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3.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1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24.xml" ContentType="application/vnd.openxmlformats-officedocument.wordprocessingml.header+xml"/>
  <Override PartName="/word/footer1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7.xml" ContentType="application/vnd.openxmlformats-officedocument.wordprocessingml.header+xml"/>
  <Override PartName="/word/footer2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30.xml" ContentType="application/vnd.openxmlformats-officedocument.wordprocessingml.header+xml"/>
  <Override PartName="/word/footer2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24.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36.xml" ContentType="application/vnd.openxmlformats-officedocument.wordprocessingml.header+xml"/>
  <Override PartName="/word/footer27.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oter2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footer29.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45.xml" ContentType="application/vnd.openxmlformats-officedocument.wordprocessingml.header+xml"/>
  <Override PartName="/word/footer32.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oter33.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34.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54.xml" ContentType="application/vnd.openxmlformats-officedocument.wordprocessingml.header+xml"/>
  <Override PartName="/word/footer37.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footer38.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39.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69.xml" ContentType="application/vnd.openxmlformats-officedocument.wordprocessingml.header+xml"/>
  <Override PartName="/word/footer46.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47.xml" ContentType="application/vnd.openxmlformats-officedocument.wordprocessingml.footer+xml"/>
  <Override PartName="/word/header72.xml" ContentType="application/vnd.openxmlformats-officedocument.wordprocessingml.header+xml"/>
  <Override PartName="/word/footer48.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75.xml" ContentType="application/vnd.openxmlformats-officedocument.wordprocessingml.header+xml"/>
  <Override PartName="/word/footer51.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footer52.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footer61.xml" ContentType="application/vnd.openxmlformats-officedocument.wordprocessingml.footer+xml"/>
  <Override PartName="/word/header9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47EB3" w14:textId="77777777" w:rsidR="00D34E50" w:rsidRPr="00D403F5" w:rsidRDefault="00D34E50" w:rsidP="00D403F5">
      <w:pPr>
        <w:pStyle w:val="2"/>
        <w:tabs>
          <w:tab w:val="clear" w:pos="360"/>
        </w:tabs>
        <w:spacing w:after="0"/>
        <w:ind w:left="0" w:firstLine="0"/>
        <w:jc w:val="right"/>
        <w:rPr>
          <w:rFonts w:ascii="Times New Roman" w:hAnsi="Times New Roman"/>
          <w:b w:val="0"/>
          <w:sz w:val="18"/>
          <w:szCs w:val="18"/>
        </w:rPr>
      </w:pPr>
      <w:bookmarkStart w:id="0" w:name="_Hlk20726855"/>
      <w:bookmarkStart w:id="1" w:name="_GoBack"/>
      <w:bookmarkEnd w:id="1"/>
      <w:r w:rsidRPr="00D403F5">
        <w:rPr>
          <w:noProof/>
          <w:sz w:val="18"/>
          <w:szCs w:val="18"/>
          <w:lang w:val="en-US" w:eastAsia="zh-TW"/>
        </w:rPr>
        <w:drawing>
          <wp:inline distT="0" distB="0" distL="0" distR="0" wp14:anchorId="40649E8F" wp14:editId="6F23A492">
            <wp:extent cx="5756910" cy="810895"/>
            <wp:effectExtent l="0" t="0" r="0"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910" cy="810895"/>
                    </a:xfrm>
                    <a:prstGeom prst="rect">
                      <a:avLst/>
                    </a:prstGeom>
                    <a:noFill/>
                    <a:ln>
                      <a:noFill/>
                    </a:ln>
                  </pic:spPr>
                </pic:pic>
              </a:graphicData>
            </a:graphic>
          </wp:inline>
        </w:drawing>
      </w:r>
    </w:p>
    <w:p w14:paraId="35DD3C78" w14:textId="77777777" w:rsidR="00D34E50" w:rsidRPr="00D403F5" w:rsidRDefault="00D34E50" w:rsidP="00D403F5">
      <w:pPr>
        <w:pStyle w:val="2"/>
        <w:tabs>
          <w:tab w:val="clear" w:pos="360"/>
        </w:tabs>
        <w:spacing w:after="0"/>
        <w:ind w:left="0" w:firstLine="0"/>
        <w:jc w:val="right"/>
        <w:rPr>
          <w:sz w:val="18"/>
          <w:szCs w:val="18"/>
        </w:rPr>
      </w:pPr>
      <w:r w:rsidRPr="00D403F5">
        <w:rPr>
          <w:rFonts w:ascii="Times New Roman" w:hAnsi="Times New Roman"/>
          <w:b w:val="0"/>
          <w:sz w:val="18"/>
          <w:szCs w:val="18"/>
        </w:rPr>
        <w:t>Original: English</w:t>
      </w:r>
    </w:p>
    <w:p w14:paraId="03659E38" w14:textId="36A6FDDB" w:rsidR="00D34E50" w:rsidRPr="00D403F5" w:rsidRDefault="00D34E50" w:rsidP="001041C6">
      <w:pPr>
        <w:tabs>
          <w:tab w:val="left" w:pos="7740"/>
          <w:tab w:val="right" w:pos="9026"/>
        </w:tabs>
        <w:spacing w:after="480"/>
        <w:rPr>
          <w:rFonts w:ascii="Times New Roman" w:hAnsi="Times New Roman" w:cs="Times New Roman"/>
          <w:sz w:val="18"/>
          <w:szCs w:val="18"/>
        </w:rPr>
      </w:pPr>
      <w:r w:rsidRPr="00D403F5">
        <w:rPr>
          <w:rFonts w:ascii="Times New Roman" w:hAnsi="Times New Roman" w:cs="Times New Roman"/>
          <w:sz w:val="18"/>
          <w:szCs w:val="18"/>
        </w:rPr>
        <w:tab/>
      </w:r>
      <w:r w:rsidRPr="00D403F5">
        <w:rPr>
          <w:rFonts w:ascii="Times New Roman" w:hAnsi="Times New Roman" w:cs="Times New Roman"/>
          <w:sz w:val="18"/>
          <w:szCs w:val="18"/>
        </w:rPr>
        <w:tab/>
        <w:t>September 2019</w:t>
      </w:r>
    </w:p>
    <w:p w14:paraId="6C736D8F" w14:textId="77777777" w:rsidR="00D34E50" w:rsidRPr="00D403F5" w:rsidRDefault="00D34E50" w:rsidP="00D403F5">
      <w:pPr>
        <w:tabs>
          <w:tab w:val="left" w:pos="567"/>
        </w:tabs>
        <w:spacing w:after="0"/>
        <w:ind w:left="426" w:hanging="426"/>
        <w:jc w:val="center"/>
        <w:rPr>
          <w:rFonts w:ascii="Arial" w:hAnsi="Arial" w:cs="Arial"/>
          <w:b/>
          <w:sz w:val="18"/>
          <w:szCs w:val="18"/>
        </w:rPr>
      </w:pPr>
      <w:r w:rsidRPr="00D403F5">
        <w:rPr>
          <w:rFonts w:ascii="Arial" w:hAnsi="Arial" w:cs="Arial"/>
          <w:b/>
          <w:sz w:val="18"/>
          <w:szCs w:val="18"/>
        </w:rPr>
        <w:t>REPORT OF THE MEETING OF THE OIE</w:t>
      </w:r>
      <w:r w:rsidRPr="00D403F5">
        <w:rPr>
          <w:rFonts w:ascii="Arial" w:hAnsi="Arial" w:cs="Arial"/>
          <w:b/>
          <w:sz w:val="18"/>
          <w:szCs w:val="18"/>
        </w:rPr>
        <w:br/>
        <w:t>AQUATIC ANIMAL HEALTH STANDARDS COMMISSION</w:t>
      </w:r>
    </w:p>
    <w:p w14:paraId="12AB7232" w14:textId="77777777" w:rsidR="00CD3C3E" w:rsidRPr="00D403F5" w:rsidRDefault="00CD3C3E" w:rsidP="001041C6">
      <w:pPr>
        <w:spacing w:after="480"/>
        <w:jc w:val="center"/>
        <w:rPr>
          <w:rFonts w:ascii="Arial" w:hAnsi="Arial" w:cs="Arial"/>
          <w:b/>
          <w:bCs/>
          <w:sz w:val="18"/>
          <w:szCs w:val="18"/>
        </w:rPr>
      </w:pPr>
      <w:r w:rsidRPr="00D403F5">
        <w:rPr>
          <w:rFonts w:ascii="Arial" w:hAnsi="Arial" w:cs="Arial"/>
          <w:b/>
          <w:bCs/>
          <w:sz w:val="18"/>
          <w:szCs w:val="18"/>
        </w:rPr>
        <w:t>Paris, 25 September‒2 October 2019</w:t>
      </w:r>
    </w:p>
    <w:p w14:paraId="5AF969C0" w14:textId="3EDB6547" w:rsidR="00EB578B" w:rsidRPr="00D403F5" w:rsidRDefault="00EB578B" w:rsidP="001041C6">
      <w:pPr>
        <w:spacing w:after="240" w:line="240" w:lineRule="auto"/>
        <w:jc w:val="both"/>
        <w:rPr>
          <w:rFonts w:ascii="Times New Roman" w:hAnsi="Times New Roman" w:cs="Times New Roman"/>
          <w:b/>
          <w:bCs/>
          <w:sz w:val="18"/>
          <w:szCs w:val="18"/>
          <w:u w:val="single"/>
        </w:rPr>
      </w:pPr>
      <w:r w:rsidRPr="00D403F5">
        <w:rPr>
          <w:rFonts w:ascii="Times New Roman" w:hAnsi="Times New Roman" w:cs="Times New Roman"/>
          <w:sz w:val="18"/>
          <w:szCs w:val="18"/>
        </w:rPr>
        <w:t xml:space="preserve">The OIE Aquatic Animal Health Standards Commission (Aquatic Animals Commission) met at OIE Headquarters in Paris from 25 September to 2 October 2019. The list of participants is presented </w:t>
      </w:r>
      <w:r w:rsidR="00691E13" w:rsidRPr="00D403F5">
        <w:rPr>
          <w:rFonts w:ascii="Times New Roman" w:hAnsi="Times New Roman" w:cs="Times New Roman"/>
          <w:sz w:val="18"/>
          <w:szCs w:val="18"/>
        </w:rPr>
        <w:t>as</w:t>
      </w:r>
      <w:r w:rsidRPr="00D403F5">
        <w:rPr>
          <w:rFonts w:ascii="Times New Roman" w:hAnsi="Times New Roman" w:cs="Times New Roman"/>
          <w:sz w:val="18"/>
          <w:szCs w:val="18"/>
        </w:rPr>
        <w:t xml:space="preserve"> </w:t>
      </w:r>
      <w:r w:rsidRPr="00D403F5">
        <w:rPr>
          <w:rFonts w:ascii="Times New Roman" w:hAnsi="Times New Roman" w:cs="Times New Roman"/>
          <w:sz w:val="18"/>
          <w:szCs w:val="18"/>
          <w:u w:val="single"/>
        </w:rPr>
        <w:t>Annex 1.</w:t>
      </w:r>
    </w:p>
    <w:p w14:paraId="5679DAD1" w14:textId="77777777" w:rsidR="007D1A19"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The Aquatic Animals Commission thanked the following </w:t>
      </w:r>
      <w:r w:rsidR="006B0A65" w:rsidRPr="00D403F5">
        <w:rPr>
          <w:rFonts w:ascii="Times New Roman" w:hAnsi="Times New Roman" w:cs="Times New Roman"/>
          <w:sz w:val="18"/>
          <w:szCs w:val="18"/>
        </w:rPr>
        <w:t xml:space="preserve">OIE </w:t>
      </w:r>
      <w:r w:rsidRPr="00D403F5">
        <w:rPr>
          <w:rFonts w:ascii="Times New Roman" w:hAnsi="Times New Roman" w:cs="Times New Roman"/>
          <w:sz w:val="18"/>
          <w:szCs w:val="18"/>
        </w:rPr>
        <w:t>Member</w:t>
      </w:r>
      <w:r w:rsidR="0004728D" w:rsidRPr="00D403F5">
        <w:rPr>
          <w:rFonts w:ascii="Times New Roman" w:hAnsi="Times New Roman" w:cs="Times New Roman"/>
          <w:sz w:val="18"/>
          <w:szCs w:val="18"/>
        </w:rPr>
        <w:t>s</w:t>
      </w:r>
      <w:r w:rsidRPr="00D403F5">
        <w:rPr>
          <w:rFonts w:ascii="Times New Roman" w:hAnsi="Times New Roman" w:cs="Times New Roman"/>
          <w:sz w:val="18"/>
          <w:szCs w:val="18"/>
        </w:rPr>
        <w:t xml:space="preserve"> for providing written comments on draft texts for the OIE </w:t>
      </w:r>
      <w:r w:rsidRPr="00D403F5">
        <w:rPr>
          <w:rFonts w:ascii="Times New Roman" w:hAnsi="Times New Roman" w:cs="Times New Roman"/>
          <w:i/>
          <w:iCs/>
          <w:sz w:val="18"/>
          <w:szCs w:val="18"/>
        </w:rPr>
        <w:t>Aquatic Animal Health Code</w:t>
      </w:r>
      <w:r w:rsidRPr="00D403F5">
        <w:rPr>
          <w:rFonts w:ascii="Times New Roman" w:hAnsi="Times New Roman" w:cs="Times New Roman"/>
          <w:sz w:val="18"/>
          <w:szCs w:val="18"/>
        </w:rPr>
        <w:t xml:space="preserve"> (hereinafter referred to as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and OIE </w:t>
      </w:r>
      <w:r w:rsidRPr="00D403F5">
        <w:rPr>
          <w:rFonts w:ascii="Times New Roman" w:hAnsi="Times New Roman" w:cs="Times New Roman"/>
          <w:i/>
          <w:iCs/>
          <w:sz w:val="18"/>
          <w:szCs w:val="18"/>
        </w:rPr>
        <w:t>Manual of Diagnostic Tests for Aquatic Animals</w:t>
      </w:r>
      <w:r w:rsidRPr="00D403F5">
        <w:rPr>
          <w:rFonts w:ascii="Times New Roman" w:hAnsi="Times New Roman" w:cs="Times New Roman"/>
          <w:sz w:val="18"/>
          <w:szCs w:val="18"/>
        </w:rPr>
        <w:t xml:space="preserve"> (hereinafter referred to as the </w:t>
      </w:r>
      <w:r w:rsidRPr="00D403F5">
        <w:rPr>
          <w:rFonts w:ascii="Times New Roman" w:hAnsi="Times New Roman" w:cs="Times New Roman"/>
          <w:i/>
          <w:iCs/>
          <w:sz w:val="18"/>
          <w:szCs w:val="18"/>
        </w:rPr>
        <w:t>Aquatic Manual</w:t>
      </w:r>
      <w:r w:rsidRPr="00D403F5">
        <w:rPr>
          <w:rFonts w:ascii="Times New Roman" w:hAnsi="Times New Roman" w:cs="Times New Roman"/>
          <w:sz w:val="18"/>
          <w:szCs w:val="18"/>
        </w:rPr>
        <w:t xml:space="preserve">) circulated after the Commission’s February 2019 meeting: Australia, Canada, </w:t>
      </w:r>
      <w:r w:rsidR="00B7014C" w:rsidRPr="00D403F5">
        <w:rPr>
          <w:rFonts w:ascii="Times New Roman" w:hAnsi="Times New Roman" w:cs="Times New Roman"/>
          <w:sz w:val="18"/>
          <w:szCs w:val="18"/>
        </w:rPr>
        <w:t xml:space="preserve">Chinese Taipei, </w:t>
      </w:r>
      <w:r w:rsidRPr="00D403F5">
        <w:rPr>
          <w:rFonts w:ascii="Times New Roman" w:hAnsi="Times New Roman" w:cs="Times New Roman"/>
          <w:sz w:val="18"/>
          <w:szCs w:val="18"/>
        </w:rPr>
        <w:t xml:space="preserve">China (People’s Rep. of), Japan, New Zealand, Norway, </w:t>
      </w:r>
      <w:r w:rsidR="001F1650" w:rsidRPr="00D403F5">
        <w:rPr>
          <w:rFonts w:ascii="Times New Roman" w:hAnsi="Times New Roman" w:cs="Times New Roman"/>
          <w:sz w:val="18"/>
          <w:szCs w:val="18"/>
        </w:rPr>
        <w:t xml:space="preserve">Singapore, </w:t>
      </w:r>
      <w:r w:rsidR="00B7014C" w:rsidRPr="00D403F5">
        <w:rPr>
          <w:rFonts w:ascii="Times New Roman" w:hAnsi="Times New Roman" w:cs="Times New Roman"/>
          <w:sz w:val="18"/>
          <w:szCs w:val="18"/>
        </w:rPr>
        <w:t xml:space="preserve">Switzerland, </w:t>
      </w:r>
      <w:r w:rsidR="001F1650" w:rsidRPr="00D403F5">
        <w:rPr>
          <w:rFonts w:ascii="Times New Roman" w:hAnsi="Times New Roman" w:cs="Times New Roman"/>
          <w:sz w:val="18"/>
          <w:szCs w:val="18"/>
        </w:rPr>
        <w:t>Thailand</w:t>
      </w:r>
      <w:r w:rsidR="00B7014C" w:rsidRPr="00D403F5">
        <w:rPr>
          <w:rFonts w:ascii="Times New Roman" w:hAnsi="Times New Roman" w:cs="Times New Roman"/>
          <w:sz w:val="18"/>
          <w:szCs w:val="18"/>
        </w:rPr>
        <w:t>, the United States of America</w:t>
      </w:r>
      <w:r w:rsidR="00332B43" w:rsidRPr="00D403F5">
        <w:rPr>
          <w:rFonts w:ascii="Times New Roman" w:hAnsi="Times New Roman" w:cs="Times New Roman"/>
          <w:sz w:val="18"/>
          <w:szCs w:val="18"/>
        </w:rPr>
        <w:t xml:space="preserve"> (</w:t>
      </w:r>
      <w:r w:rsidR="00D82AD5" w:rsidRPr="00D403F5">
        <w:rPr>
          <w:rFonts w:ascii="Times New Roman" w:hAnsi="Times New Roman" w:cs="Times New Roman"/>
          <w:sz w:val="18"/>
          <w:szCs w:val="18"/>
        </w:rPr>
        <w:t xml:space="preserve">the </w:t>
      </w:r>
      <w:r w:rsidR="00332B43" w:rsidRPr="00D403F5">
        <w:rPr>
          <w:rFonts w:ascii="Times New Roman" w:hAnsi="Times New Roman" w:cs="Times New Roman"/>
          <w:sz w:val="18"/>
          <w:szCs w:val="18"/>
        </w:rPr>
        <w:t>USA)</w:t>
      </w:r>
      <w:r w:rsidR="00B7014C" w:rsidRPr="00D403F5">
        <w:rPr>
          <w:rFonts w:ascii="Times New Roman" w:hAnsi="Times New Roman" w:cs="Times New Roman"/>
          <w:sz w:val="18"/>
          <w:szCs w:val="18"/>
        </w:rPr>
        <w:t xml:space="preserve"> and the Member States of the European Union (</w:t>
      </w:r>
      <w:r w:rsidR="00D82AD5" w:rsidRPr="00D403F5">
        <w:rPr>
          <w:rFonts w:ascii="Times New Roman" w:hAnsi="Times New Roman" w:cs="Times New Roman"/>
          <w:sz w:val="18"/>
          <w:szCs w:val="18"/>
        </w:rPr>
        <w:t xml:space="preserve">the </w:t>
      </w:r>
      <w:r w:rsidR="00B7014C" w:rsidRPr="00D403F5">
        <w:rPr>
          <w:rFonts w:ascii="Times New Roman" w:hAnsi="Times New Roman" w:cs="Times New Roman"/>
          <w:sz w:val="18"/>
          <w:szCs w:val="18"/>
        </w:rPr>
        <w:t>EU)</w:t>
      </w:r>
      <w:r w:rsidR="001F1650" w:rsidRPr="00D403F5">
        <w:rPr>
          <w:rFonts w:ascii="Times New Roman" w:hAnsi="Times New Roman" w:cs="Times New Roman"/>
          <w:sz w:val="18"/>
          <w:szCs w:val="18"/>
        </w:rPr>
        <w:t>.</w:t>
      </w:r>
      <w:r w:rsidRPr="00D403F5">
        <w:rPr>
          <w:rFonts w:ascii="Times New Roman" w:hAnsi="Times New Roman" w:cs="Times New Roman"/>
          <w:sz w:val="18"/>
          <w:szCs w:val="18"/>
        </w:rPr>
        <w:t xml:space="preserve"> </w:t>
      </w:r>
    </w:p>
    <w:p w14:paraId="2D5ADFB7" w14:textId="1BCC7B10" w:rsidR="00EB578B"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The Commission reviewed Member comments and amended relevant chapters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and the </w:t>
      </w:r>
      <w:r w:rsidRPr="00D403F5">
        <w:rPr>
          <w:rFonts w:ascii="Times New Roman" w:hAnsi="Times New Roman" w:cs="Times New Roman"/>
          <w:i/>
          <w:iCs/>
          <w:sz w:val="18"/>
          <w:szCs w:val="18"/>
        </w:rPr>
        <w:t>Aquatic Manual</w:t>
      </w:r>
      <w:r w:rsidRPr="00D403F5">
        <w:rPr>
          <w:rFonts w:ascii="Times New Roman" w:hAnsi="Times New Roman" w:cs="Times New Roman"/>
          <w:sz w:val="18"/>
          <w:szCs w:val="18"/>
        </w:rPr>
        <w:t xml:space="preserve"> where appropriate. The amendments are shown in the usual manner by ‘</w:t>
      </w:r>
      <w:r w:rsidRPr="00D403F5">
        <w:rPr>
          <w:rFonts w:ascii="Times New Roman" w:hAnsi="Times New Roman" w:cs="Times New Roman"/>
          <w:sz w:val="18"/>
          <w:szCs w:val="18"/>
          <w:u w:val="double"/>
        </w:rPr>
        <w:t>double underline</w:t>
      </w:r>
      <w:r w:rsidRPr="00D403F5">
        <w:rPr>
          <w:rFonts w:ascii="Times New Roman" w:hAnsi="Times New Roman" w:cs="Times New Roman"/>
          <w:sz w:val="18"/>
          <w:szCs w:val="18"/>
        </w:rPr>
        <w:t>’ and ‘</w:t>
      </w:r>
      <w:r w:rsidRPr="00D403F5">
        <w:rPr>
          <w:rFonts w:ascii="Times New Roman" w:hAnsi="Times New Roman" w:cs="Times New Roman"/>
          <w:strike/>
          <w:sz w:val="18"/>
          <w:szCs w:val="18"/>
        </w:rPr>
        <w:t>strikethrough</w:t>
      </w:r>
      <w:r w:rsidRPr="00D403F5">
        <w:rPr>
          <w:rFonts w:ascii="Times New Roman" w:hAnsi="Times New Roman" w:cs="Times New Roman"/>
          <w:sz w:val="18"/>
          <w:szCs w:val="18"/>
        </w:rPr>
        <w:t>’ and are presented in the Annexes to this report. In Annexes, amendments proposed at this meeting are highlighted with a coloured background in order to distinguish them from those proposed previously.</w:t>
      </w:r>
    </w:p>
    <w:p w14:paraId="124537B7" w14:textId="54C5ABDE" w:rsidR="00B7014C"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The Commission considered all Member comments that were submitted on time and supported by a rationale. However, the Commission was not able to draft a detailed explanation of the </w:t>
      </w:r>
      <w:r w:rsidR="007D1A19" w:rsidRPr="00D403F5">
        <w:rPr>
          <w:rFonts w:ascii="Times New Roman" w:hAnsi="Times New Roman" w:cs="Times New Roman"/>
          <w:sz w:val="18"/>
          <w:szCs w:val="18"/>
        </w:rPr>
        <w:t xml:space="preserve">reasons </w:t>
      </w:r>
      <w:r w:rsidRPr="00D403F5">
        <w:rPr>
          <w:rFonts w:ascii="Times New Roman" w:hAnsi="Times New Roman" w:cs="Times New Roman"/>
          <w:sz w:val="18"/>
          <w:szCs w:val="18"/>
        </w:rPr>
        <w:t xml:space="preserve">for accepting or not each of the proposals received and focused its explanations on the most significant issues. </w:t>
      </w:r>
    </w:p>
    <w:p w14:paraId="04771EDB" w14:textId="77777777" w:rsidR="00B7014C"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The Commission encourages Member</w:t>
      </w:r>
      <w:r w:rsidR="0004728D" w:rsidRPr="00D403F5">
        <w:rPr>
          <w:rFonts w:ascii="Times New Roman" w:hAnsi="Times New Roman" w:cs="Times New Roman"/>
          <w:sz w:val="18"/>
          <w:szCs w:val="18"/>
        </w:rPr>
        <w:t>s</w:t>
      </w:r>
      <w:r w:rsidRPr="00D403F5">
        <w:rPr>
          <w:rFonts w:ascii="Times New Roman" w:hAnsi="Times New Roman" w:cs="Times New Roman"/>
          <w:sz w:val="18"/>
          <w:szCs w:val="18"/>
        </w:rPr>
        <w:t xml:space="preserve"> to refer to previous reports when preparing comments on longstanding issues. </w:t>
      </w:r>
      <w:r w:rsidR="00B7014C" w:rsidRPr="00D403F5">
        <w:rPr>
          <w:rFonts w:ascii="Times New Roman" w:hAnsi="Times New Roman" w:cs="Times New Roman"/>
          <w:sz w:val="18"/>
          <w:szCs w:val="18"/>
        </w:rPr>
        <w:t>It</w:t>
      </w:r>
      <w:r w:rsidRPr="00D403F5">
        <w:rPr>
          <w:rFonts w:ascii="Times New Roman" w:hAnsi="Times New Roman" w:cs="Times New Roman"/>
          <w:sz w:val="18"/>
          <w:szCs w:val="18"/>
        </w:rPr>
        <w:t xml:space="preserve"> also draws the attention of Member</w:t>
      </w:r>
      <w:r w:rsidR="0004728D" w:rsidRPr="00D403F5">
        <w:rPr>
          <w:rFonts w:ascii="Times New Roman" w:hAnsi="Times New Roman" w:cs="Times New Roman"/>
          <w:sz w:val="18"/>
          <w:szCs w:val="18"/>
        </w:rPr>
        <w:t>s</w:t>
      </w:r>
      <w:r w:rsidRPr="00D403F5">
        <w:rPr>
          <w:rFonts w:ascii="Times New Roman" w:hAnsi="Times New Roman" w:cs="Times New Roman"/>
          <w:sz w:val="18"/>
          <w:szCs w:val="18"/>
        </w:rPr>
        <w:t xml:space="preserve"> to the reports of </w:t>
      </w:r>
      <w:r w:rsidRPr="00D403F5">
        <w:rPr>
          <w:rFonts w:ascii="Times New Roman" w:hAnsi="Times New Roman" w:cs="Times New Roman"/>
          <w:i/>
          <w:iCs/>
          <w:sz w:val="18"/>
          <w:szCs w:val="18"/>
        </w:rPr>
        <w:t>ad hoc</w:t>
      </w:r>
      <w:r w:rsidRPr="00D403F5">
        <w:rPr>
          <w:rFonts w:ascii="Times New Roman" w:hAnsi="Times New Roman" w:cs="Times New Roman"/>
          <w:sz w:val="18"/>
          <w:szCs w:val="18"/>
        </w:rPr>
        <w:t xml:space="preserve"> Groups, which include important information, and encourages Member</w:t>
      </w:r>
      <w:r w:rsidR="0004728D" w:rsidRPr="00D403F5">
        <w:rPr>
          <w:rFonts w:ascii="Times New Roman" w:hAnsi="Times New Roman" w:cs="Times New Roman"/>
          <w:sz w:val="18"/>
          <w:szCs w:val="18"/>
        </w:rPr>
        <w:t>s</w:t>
      </w:r>
      <w:r w:rsidRPr="00D403F5">
        <w:rPr>
          <w:rFonts w:ascii="Times New Roman" w:hAnsi="Times New Roman" w:cs="Times New Roman"/>
          <w:sz w:val="18"/>
          <w:szCs w:val="18"/>
        </w:rPr>
        <w:t xml:space="preserve"> to review these reports together with the report of the Commission, where relevant. These reports are readily available on the </w:t>
      </w:r>
      <w:hyperlink r:id="rId9" w:history="1">
        <w:r w:rsidRPr="00D403F5">
          <w:rPr>
            <w:rStyle w:val="aa"/>
            <w:rFonts w:ascii="Times New Roman" w:hAnsi="Times New Roman" w:cs="Times New Roman"/>
            <w:sz w:val="18"/>
            <w:szCs w:val="18"/>
          </w:rPr>
          <w:t>OIE Website</w:t>
        </w:r>
      </w:hyperlink>
      <w:r w:rsidRPr="00D403F5">
        <w:rPr>
          <w:rFonts w:ascii="Times New Roman" w:hAnsi="Times New Roman" w:cs="Times New Roman"/>
          <w:sz w:val="18"/>
          <w:szCs w:val="18"/>
        </w:rPr>
        <w:t xml:space="preserve">. </w:t>
      </w:r>
    </w:p>
    <w:p w14:paraId="4A4DE72A" w14:textId="2F170A31" w:rsidR="004A5678" w:rsidRPr="00D403F5" w:rsidRDefault="004A5678"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The table below summarises the texts as presented in the Annexes. Member</w:t>
      </w:r>
      <w:r w:rsidR="001323BE" w:rsidRPr="00D403F5">
        <w:rPr>
          <w:rFonts w:ascii="Times New Roman" w:hAnsi="Times New Roman" w:cs="Times New Roman"/>
          <w:sz w:val="18"/>
          <w:szCs w:val="18"/>
        </w:rPr>
        <w:t>s</w:t>
      </w:r>
      <w:r w:rsidRPr="00D403F5">
        <w:rPr>
          <w:rFonts w:ascii="Times New Roman" w:hAnsi="Times New Roman" w:cs="Times New Roman"/>
          <w:sz w:val="18"/>
          <w:szCs w:val="18"/>
        </w:rPr>
        <w:t xml:space="preserve"> should note that texts in </w:t>
      </w:r>
      <w:r w:rsidRPr="00D403F5">
        <w:rPr>
          <w:rFonts w:ascii="Times New Roman" w:hAnsi="Times New Roman" w:cs="Times New Roman"/>
          <w:sz w:val="18"/>
          <w:szCs w:val="18"/>
          <w:u w:val="single"/>
        </w:rPr>
        <w:t xml:space="preserve">Annexes </w:t>
      </w:r>
      <w:r w:rsidR="00E230FF" w:rsidRPr="00D403F5">
        <w:rPr>
          <w:rFonts w:ascii="Times New Roman" w:hAnsi="Times New Roman" w:cs="Times New Roman"/>
          <w:sz w:val="18"/>
          <w:szCs w:val="18"/>
          <w:u w:val="single"/>
        </w:rPr>
        <w:t>3</w:t>
      </w:r>
      <w:r w:rsidR="003373CA" w:rsidRPr="00D403F5">
        <w:rPr>
          <w:rFonts w:ascii="Times New Roman" w:hAnsi="Times New Roman" w:cs="Times New Roman"/>
          <w:sz w:val="18"/>
          <w:szCs w:val="18"/>
          <w:u w:val="single"/>
        </w:rPr>
        <w:t xml:space="preserve"> </w:t>
      </w:r>
      <w:r w:rsidRPr="00D403F5">
        <w:rPr>
          <w:rFonts w:ascii="Times New Roman" w:hAnsi="Times New Roman" w:cs="Times New Roman"/>
          <w:sz w:val="18"/>
          <w:szCs w:val="18"/>
          <w:u w:val="single"/>
        </w:rPr>
        <w:t xml:space="preserve">to </w:t>
      </w:r>
      <w:r w:rsidR="00E230FF" w:rsidRPr="00D403F5">
        <w:rPr>
          <w:rFonts w:ascii="Times New Roman" w:hAnsi="Times New Roman" w:cs="Times New Roman"/>
          <w:sz w:val="18"/>
          <w:szCs w:val="18"/>
          <w:u w:val="single"/>
        </w:rPr>
        <w:t>13</w:t>
      </w:r>
      <w:r w:rsidR="00E230FF" w:rsidRPr="00D403F5">
        <w:rPr>
          <w:rFonts w:ascii="Times New Roman" w:hAnsi="Times New Roman" w:cs="Times New Roman"/>
          <w:sz w:val="18"/>
          <w:szCs w:val="18"/>
        </w:rPr>
        <w:t xml:space="preserve"> </w:t>
      </w:r>
      <w:r w:rsidRPr="00D403F5">
        <w:rPr>
          <w:rFonts w:ascii="Times New Roman" w:hAnsi="Times New Roman" w:cs="Times New Roman"/>
          <w:sz w:val="18"/>
          <w:szCs w:val="18"/>
        </w:rPr>
        <w:t xml:space="preserve">are presented for Member comments and </w:t>
      </w:r>
      <w:r w:rsidRPr="00D403F5">
        <w:rPr>
          <w:rFonts w:ascii="Times New Roman" w:hAnsi="Times New Roman" w:cs="Times New Roman"/>
          <w:sz w:val="18"/>
          <w:szCs w:val="18"/>
          <w:u w:val="single"/>
        </w:rPr>
        <w:t xml:space="preserve">Annexes </w:t>
      </w:r>
      <w:r w:rsidR="00E230FF" w:rsidRPr="00D403F5">
        <w:rPr>
          <w:rFonts w:ascii="Times New Roman" w:hAnsi="Times New Roman" w:cs="Times New Roman"/>
          <w:sz w:val="18"/>
          <w:szCs w:val="18"/>
          <w:u w:val="single"/>
        </w:rPr>
        <w:t xml:space="preserve">14 </w:t>
      </w:r>
      <w:r w:rsidRPr="00D403F5">
        <w:rPr>
          <w:rFonts w:ascii="Times New Roman" w:hAnsi="Times New Roman" w:cs="Times New Roman"/>
          <w:sz w:val="18"/>
          <w:szCs w:val="18"/>
          <w:u w:val="single"/>
        </w:rPr>
        <w:t xml:space="preserve">to </w:t>
      </w:r>
      <w:r w:rsidR="00E230FF" w:rsidRPr="00D403F5">
        <w:rPr>
          <w:rFonts w:ascii="Times New Roman" w:hAnsi="Times New Roman" w:cs="Times New Roman"/>
          <w:sz w:val="18"/>
          <w:szCs w:val="18"/>
          <w:u w:val="single"/>
        </w:rPr>
        <w:t>1</w:t>
      </w:r>
      <w:r w:rsidR="003373CA" w:rsidRPr="00D403F5">
        <w:rPr>
          <w:rFonts w:ascii="Times New Roman" w:hAnsi="Times New Roman" w:cs="Times New Roman"/>
          <w:sz w:val="18"/>
          <w:szCs w:val="18"/>
          <w:u w:val="single"/>
        </w:rPr>
        <w:t>7</w:t>
      </w:r>
      <w:r w:rsidR="00E230FF" w:rsidRPr="00D403F5">
        <w:rPr>
          <w:rFonts w:ascii="Times New Roman" w:hAnsi="Times New Roman" w:cs="Times New Roman"/>
          <w:sz w:val="18"/>
          <w:szCs w:val="18"/>
        </w:rPr>
        <w:t xml:space="preserve"> </w:t>
      </w:r>
      <w:r w:rsidRPr="00D403F5">
        <w:rPr>
          <w:rFonts w:ascii="Times New Roman" w:hAnsi="Times New Roman" w:cs="Times New Roman"/>
          <w:sz w:val="18"/>
          <w:szCs w:val="18"/>
        </w:rPr>
        <w:t xml:space="preserve">are presented for Members’ information. </w:t>
      </w:r>
    </w:p>
    <w:p w14:paraId="12581A8E" w14:textId="47D05471" w:rsidR="00BE7356"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Comments on </w:t>
      </w:r>
      <w:r w:rsidRPr="00D403F5">
        <w:rPr>
          <w:rFonts w:ascii="Times New Roman" w:hAnsi="Times New Roman" w:cs="Times New Roman"/>
          <w:sz w:val="18"/>
          <w:szCs w:val="18"/>
          <w:u w:val="single"/>
        </w:rPr>
        <w:t xml:space="preserve">Annexes </w:t>
      </w:r>
      <w:r w:rsidR="00500A02" w:rsidRPr="00D403F5">
        <w:rPr>
          <w:rFonts w:ascii="Times New Roman" w:hAnsi="Times New Roman" w:cs="Times New Roman"/>
          <w:sz w:val="18"/>
          <w:szCs w:val="18"/>
          <w:u w:val="single"/>
        </w:rPr>
        <w:t xml:space="preserve">3 </w:t>
      </w:r>
      <w:r w:rsidRPr="00D403F5">
        <w:rPr>
          <w:rFonts w:ascii="Times New Roman" w:hAnsi="Times New Roman" w:cs="Times New Roman"/>
          <w:sz w:val="18"/>
          <w:szCs w:val="18"/>
          <w:u w:val="single"/>
        </w:rPr>
        <w:t xml:space="preserve">to </w:t>
      </w:r>
      <w:r w:rsidR="00500A02" w:rsidRPr="00D403F5">
        <w:rPr>
          <w:rFonts w:ascii="Times New Roman" w:hAnsi="Times New Roman" w:cs="Times New Roman"/>
          <w:sz w:val="18"/>
          <w:szCs w:val="18"/>
          <w:u w:val="single"/>
        </w:rPr>
        <w:t>13</w:t>
      </w:r>
      <w:r w:rsidRPr="00D403F5">
        <w:rPr>
          <w:rFonts w:ascii="Times New Roman" w:hAnsi="Times New Roman" w:cs="Times New Roman"/>
          <w:sz w:val="18"/>
          <w:szCs w:val="18"/>
        </w:rPr>
        <w:t xml:space="preserve"> of this report must reach OIE Headquarters by the </w:t>
      </w:r>
      <w:r w:rsidR="004A5678" w:rsidRPr="00D403F5">
        <w:rPr>
          <w:rFonts w:ascii="Times New Roman" w:hAnsi="Times New Roman" w:cs="Times New Roman"/>
          <w:sz w:val="18"/>
          <w:szCs w:val="18"/>
        </w:rPr>
        <w:t xml:space="preserve">13 </w:t>
      </w:r>
      <w:r w:rsidRPr="00D403F5">
        <w:rPr>
          <w:rFonts w:ascii="Times New Roman" w:hAnsi="Times New Roman" w:cs="Times New Roman"/>
          <w:sz w:val="18"/>
          <w:szCs w:val="18"/>
        </w:rPr>
        <w:t xml:space="preserve">January 2020 to be considered at the February 2020 meeting of the Commission. </w:t>
      </w:r>
    </w:p>
    <w:p w14:paraId="58FF74EE" w14:textId="77777777" w:rsidR="00BE7356"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All comments should be sent to the OIE Standards Department at: </w:t>
      </w:r>
      <w:hyperlink r:id="rId10" w:history="1">
        <w:r w:rsidRPr="00D403F5">
          <w:rPr>
            <w:rStyle w:val="aa"/>
            <w:rFonts w:ascii="Times New Roman" w:hAnsi="Times New Roman" w:cs="Times New Roman"/>
            <w:sz w:val="18"/>
            <w:szCs w:val="18"/>
          </w:rPr>
          <w:t>standards.dept@oie.int</w:t>
        </w:r>
      </w:hyperlink>
      <w:r w:rsidRPr="00D403F5">
        <w:rPr>
          <w:rFonts w:ascii="Times New Roman" w:hAnsi="Times New Roman" w:cs="Times New Roman"/>
          <w:sz w:val="18"/>
          <w:szCs w:val="18"/>
        </w:rPr>
        <w:t xml:space="preserve">. </w:t>
      </w:r>
    </w:p>
    <w:p w14:paraId="5B35A2E7" w14:textId="260B20C7" w:rsidR="00EB578B"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Comments should be submitted as </w:t>
      </w:r>
      <w:r w:rsidRPr="00D403F5">
        <w:rPr>
          <w:rFonts w:ascii="Times New Roman" w:hAnsi="Times New Roman" w:cs="Times New Roman"/>
          <w:sz w:val="18"/>
          <w:szCs w:val="18"/>
          <w:u w:val="single"/>
        </w:rPr>
        <w:t>Word files</w:t>
      </w:r>
      <w:r w:rsidRPr="00D403F5">
        <w:rPr>
          <w:rFonts w:ascii="Times New Roman" w:hAnsi="Times New Roman" w:cs="Times New Roman"/>
          <w:sz w:val="18"/>
          <w:szCs w:val="18"/>
        </w:rPr>
        <w:t xml:space="preserve"> rather than pdf files because pdf files are difficult to incorporate into the Commission’s working documents.</w:t>
      </w:r>
    </w:p>
    <w:p w14:paraId="33B76CF5" w14:textId="77777777" w:rsidR="00EB578B" w:rsidRPr="00D403F5" w:rsidRDefault="00EB578B" w:rsidP="001041C6">
      <w:pPr>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Comments should be submitted as specific proposed text changes, supported by a structured rationale or by published scientific references. Proposed deletions should be indicated in ‘</w:t>
      </w:r>
      <w:r w:rsidRPr="00D403F5">
        <w:rPr>
          <w:rFonts w:ascii="Times New Roman" w:hAnsi="Times New Roman" w:cs="Times New Roman"/>
          <w:strike/>
          <w:sz w:val="18"/>
          <w:szCs w:val="18"/>
        </w:rPr>
        <w:t>strikethrough</w:t>
      </w:r>
      <w:r w:rsidRPr="00D403F5">
        <w:rPr>
          <w:rFonts w:ascii="Times New Roman" w:hAnsi="Times New Roman" w:cs="Times New Roman"/>
          <w:sz w:val="18"/>
          <w:szCs w:val="18"/>
        </w:rPr>
        <w:t>’ and proposed additions with ‘</w:t>
      </w:r>
      <w:r w:rsidRPr="00D403F5">
        <w:rPr>
          <w:rFonts w:ascii="Times New Roman" w:hAnsi="Times New Roman" w:cs="Times New Roman"/>
          <w:sz w:val="18"/>
          <w:szCs w:val="18"/>
          <w:u w:val="double"/>
        </w:rPr>
        <w:t>double underline</w:t>
      </w:r>
      <w:r w:rsidRPr="00D403F5">
        <w:rPr>
          <w:rFonts w:ascii="Times New Roman" w:hAnsi="Times New Roman" w:cs="Times New Roman"/>
          <w:sz w:val="18"/>
          <w:szCs w:val="18"/>
        </w:rPr>
        <w:t>’. Member</w:t>
      </w:r>
      <w:r w:rsidR="0004728D" w:rsidRPr="00D403F5">
        <w:rPr>
          <w:rFonts w:ascii="Times New Roman" w:hAnsi="Times New Roman" w:cs="Times New Roman"/>
          <w:sz w:val="18"/>
          <w:szCs w:val="18"/>
        </w:rPr>
        <w:t>s</w:t>
      </w:r>
      <w:r w:rsidRPr="00D403F5">
        <w:rPr>
          <w:rFonts w:ascii="Times New Roman" w:hAnsi="Times New Roman" w:cs="Times New Roman"/>
          <w:sz w:val="18"/>
          <w:szCs w:val="18"/>
        </w:rPr>
        <w:t xml:space="preserve"> should </w:t>
      </w:r>
      <w:r w:rsidRPr="00D403F5">
        <w:rPr>
          <w:rFonts w:ascii="Times New Roman" w:hAnsi="Times New Roman" w:cs="Times New Roman"/>
          <w:sz w:val="18"/>
          <w:szCs w:val="18"/>
          <w:u w:val="single"/>
        </w:rPr>
        <w:t>not</w:t>
      </w:r>
      <w:r w:rsidRPr="00D403F5">
        <w:rPr>
          <w:rFonts w:ascii="Times New Roman" w:hAnsi="Times New Roman" w:cs="Times New Roman"/>
          <w:sz w:val="18"/>
          <w:szCs w:val="18"/>
        </w:rPr>
        <w:t xml:space="preserve"> use the automatic ‘track-changes’ function provided by </w:t>
      </w:r>
      <w:r w:rsidR="005F3C74" w:rsidRPr="00D403F5">
        <w:rPr>
          <w:rFonts w:ascii="Times New Roman" w:hAnsi="Times New Roman" w:cs="Times New Roman"/>
          <w:sz w:val="18"/>
          <w:szCs w:val="18"/>
        </w:rPr>
        <w:t xml:space="preserve">Word </w:t>
      </w:r>
      <w:r w:rsidRPr="00D403F5">
        <w:rPr>
          <w:rFonts w:ascii="Times New Roman" w:hAnsi="Times New Roman" w:cs="Times New Roman"/>
          <w:sz w:val="18"/>
          <w:szCs w:val="18"/>
        </w:rPr>
        <w:t>processing software as such changes are lost in the process of collating Member</w:t>
      </w:r>
      <w:r w:rsidR="0004728D" w:rsidRPr="00D403F5">
        <w:rPr>
          <w:rFonts w:ascii="Times New Roman" w:hAnsi="Times New Roman" w:cs="Times New Roman"/>
          <w:sz w:val="18"/>
          <w:szCs w:val="18"/>
        </w:rPr>
        <w:t>s’</w:t>
      </w:r>
      <w:r w:rsidRPr="00D403F5">
        <w:rPr>
          <w:rFonts w:ascii="Times New Roman" w:hAnsi="Times New Roman" w:cs="Times New Roman"/>
          <w:sz w:val="18"/>
          <w:szCs w:val="18"/>
        </w:rPr>
        <w:t xml:space="preserve"> submissions into the Commission’s working documents. Member</w:t>
      </w:r>
      <w:r w:rsidR="0004728D" w:rsidRPr="00D403F5">
        <w:rPr>
          <w:rFonts w:ascii="Times New Roman" w:hAnsi="Times New Roman" w:cs="Times New Roman"/>
          <w:sz w:val="18"/>
          <w:szCs w:val="18"/>
        </w:rPr>
        <w:t>s</w:t>
      </w:r>
      <w:r w:rsidRPr="00D403F5">
        <w:rPr>
          <w:rFonts w:ascii="Times New Roman" w:hAnsi="Times New Roman" w:cs="Times New Roman"/>
          <w:sz w:val="18"/>
          <w:szCs w:val="18"/>
        </w:rPr>
        <w:t xml:space="preserve"> are also requested not to reproduce the full text of a chapter as this makes it easy to miss comments while preparing the working documents.</w:t>
      </w:r>
    </w:p>
    <w:p w14:paraId="1EDBC235" w14:textId="77777777" w:rsidR="00923C13" w:rsidRPr="00D403F5" w:rsidRDefault="00923C13" w:rsidP="001041C6">
      <w:pPr>
        <w:spacing w:after="240"/>
        <w:jc w:val="both"/>
        <w:rPr>
          <w:rFonts w:ascii="Times New Roman" w:hAnsi="Times New Roman" w:cs="Times New Roman"/>
          <w:sz w:val="18"/>
          <w:szCs w:val="18"/>
        </w:rPr>
      </w:pPr>
      <w:r w:rsidRPr="00D403F5">
        <w:rPr>
          <w:rFonts w:ascii="Times New Roman" w:hAnsi="Times New Roman" w:cs="Times New Roman"/>
          <w:sz w:val="18"/>
          <w:szCs w:val="18"/>
        </w:rPr>
        <w:t>The Commission strongly encourages Members to participate in the development of the OIE’s international standards by submitting comments on this report and participate in the process of adoption at the General Session.</w:t>
      </w:r>
    </w:p>
    <w:p w14:paraId="0C8B19B7" w14:textId="77777777" w:rsidR="001041C6" w:rsidRDefault="001041C6" w:rsidP="001041C6">
      <w:pPr>
        <w:spacing w:after="240"/>
        <w:jc w:val="both"/>
        <w:rPr>
          <w:rFonts w:ascii="Times New Roman" w:hAnsi="Times New Roman" w:cs="Times New Roman"/>
          <w:sz w:val="18"/>
          <w:szCs w:val="18"/>
        </w:rPr>
      </w:pPr>
      <w:r>
        <w:rPr>
          <w:rFonts w:ascii="Times New Roman" w:hAnsi="Times New Roman" w:cs="Times New Roman"/>
          <w:sz w:val="18"/>
          <w:szCs w:val="18"/>
        </w:rPr>
        <w:br w:type="page"/>
      </w:r>
    </w:p>
    <w:p w14:paraId="6FB61E81" w14:textId="6D37B0EB" w:rsidR="0004728D" w:rsidRPr="00D403F5" w:rsidRDefault="00923C13" w:rsidP="001041C6">
      <w:pPr>
        <w:spacing w:after="240"/>
        <w:jc w:val="both"/>
        <w:rPr>
          <w:rFonts w:ascii="Times New Roman" w:hAnsi="Times New Roman" w:cs="Times New Roman"/>
          <w:sz w:val="18"/>
          <w:szCs w:val="18"/>
        </w:rPr>
      </w:pPr>
      <w:r w:rsidRPr="00D403F5">
        <w:rPr>
          <w:rFonts w:ascii="Times New Roman" w:hAnsi="Times New Roman" w:cs="Times New Roman"/>
          <w:sz w:val="18"/>
          <w:szCs w:val="18"/>
        </w:rPr>
        <w:lastRenderedPageBreak/>
        <w:t>Table 1. List of agenda items and relevant Annex (where relevant) and page number</w:t>
      </w:r>
    </w:p>
    <w:tbl>
      <w:tblPr>
        <w:tblW w:w="31233" w:type="dxa"/>
        <w:tblInd w:w="108" w:type="dxa"/>
        <w:tblLayout w:type="fixed"/>
        <w:tblLook w:val="01E0" w:firstRow="1" w:lastRow="1" w:firstColumn="1" w:lastColumn="1" w:noHBand="0" w:noVBand="0"/>
      </w:tblPr>
      <w:tblGrid>
        <w:gridCol w:w="850"/>
        <w:gridCol w:w="5556"/>
        <w:gridCol w:w="1531"/>
        <w:gridCol w:w="1135"/>
        <w:gridCol w:w="7387"/>
        <w:gridCol w:w="7387"/>
        <w:gridCol w:w="7387"/>
      </w:tblGrid>
      <w:tr w:rsidR="00BD4AF6" w:rsidRPr="00D403F5" w14:paraId="0FBB439D"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pct15" w:color="auto" w:fill="auto"/>
            <w:vAlign w:val="center"/>
          </w:tcPr>
          <w:p w14:paraId="38BD1DFF" w14:textId="78906F5A" w:rsidR="00BD4AF6" w:rsidRPr="00D403F5" w:rsidRDefault="00BD4AF6" w:rsidP="001041C6">
            <w:pPr>
              <w:suppressLineNumbers/>
              <w:tabs>
                <w:tab w:val="left" w:pos="630"/>
              </w:tabs>
              <w:suppressAutoHyphens/>
              <w:spacing w:before="120" w:after="120"/>
              <w:jc w:val="center"/>
              <w:rPr>
                <w:rFonts w:ascii="Times New Roman" w:hAnsi="Times New Roman" w:cs="Times New Roman"/>
                <w:b/>
                <w:noProof/>
                <w:sz w:val="18"/>
                <w:szCs w:val="18"/>
              </w:rPr>
            </w:pPr>
            <w:r w:rsidRPr="00D403F5">
              <w:rPr>
                <w:rFonts w:ascii="Times New Roman" w:hAnsi="Times New Roman" w:cs="Times New Roman"/>
                <w:b/>
                <w:noProof/>
                <w:sz w:val="18"/>
                <w:szCs w:val="18"/>
              </w:rPr>
              <w:t xml:space="preserve">Item </w:t>
            </w:r>
            <w:r w:rsidR="003B0010" w:rsidRPr="00D403F5">
              <w:rPr>
                <w:rFonts w:ascii="Times New Roman" w:hAnsi="Times New Roman" w:cs="Times New Roman"/>
                <w:b/>
                <w:noProof/>
                <w:sz w:val="18"/>
                <w:szCs w:val="18"/>
              </w:rPr>
              <w:t>No.</w:t>
            </w:r>
          </w:p>
        </w:tc>
        <w:tc>
          <w:tcPr>
            <w:tcW w:w="5556" w:type="dxa"/>
            <w:tcBorders>
              <w:top w:val="single" w:sz="4" w:space="0" w:color="auto"/>
              <w:left w:val="single" w:sz="4" w:space="0" w:color="auto"/>
              <w:bottom w:val="single" w:sz="4" w:space="0" w:color="auto"/>
              <w:right w:val="single" w:sz="4" w:space="0" w:color="auto"/>
            </w:tcBorders>
            <w:shd w:val="pct15" w:color="auto" w:fill="auto"/>
            <w:vAlign w:val="center"/>
          </w:tcPr>
          <w:p w14:paraId="4A347F1A" w14:textId="024CD8A2" w:rsidR="00BD4AF6" w:rsidRPr="00D403F5" w:rsidRDefault="00BD4AF6" w:rsidP="001041C6">
            <w:pPr>
              <w:suppressLineNumbers/>
              <w:suppressAutoHyphens/>
              <w:spacing w:before="120" w:after="120"/>
              <w:jc w:val="both"/>
              <w:rPr>
                <w:rFonts w:ascii="Times New Roman" w:hAnsi="Times New Roman" w:cs="Times New Roman"/>
                <w:b/>
                <w:noProof/>
                <w:sz w:val="18"/>
                <w:szCs w:val="18"/>
              </w:rPr>
            </w:pPr>
          </w:p>
        </w:tc>
        <w:tc>
          <w:tcPr>
            <w:tcW w:w="1531" w:type="dxa"/>
            <w:tcBorders>
              <w:top w:val="single" w:sz="4" w:space="0" w:color="auto"/>
              <w:left w:val="single" w:sz="4" w:space="0" w:color="auto"/>
              <w:bottom w:val="single" w:sz="4" w:space="0" w:color="auto"/>
              <w:right w:val="single" w:sz="4" w:space="0" w:color="auto"/>
            </w:tcBorders>
            <w:shd w:val="pct15" w:color="auto" w:fill="auto"/>
            <w:vAlign w:val="center"/>
          </w:tcPr>
          <w:p w14:paraId="5AFCDC83" w14:textId="77777777" w:rsidR="00BD4AF6" w:rsidRPr="00D403F5" w:rsidRDefault="00BD4AF6" w:rsidP="001041C6">
            <w:pPr>
              <w:suppressLineNumbers/>
              <w:suppressAutoHyphens/>
              <w:spacing w:before="120" w:after="120"/>
              <w:jc w:val="center"/>
              <w:rPr>
                <w:rFonts w:ascii="Times New Roman" w:hAnsi="Times New Roman" w:cs="Times New Roman"/>
                <w:b/>
                <w:noProof/>
                <w:sz w:val="18"/>
                <w:szCs w:val="18"/>
              </w:rPr>
            </w:pPr>
            <w:r w:rsidRPr="00D403F5">
              <w:rPr>
                <w:rFonts w:ascii="Times New Roman" w:hAnsi="Times New Roman" w:cs="Times New Roman"/>
                <w:b/>
                <w:noProof/>
                <w:sz w:val="18"/>
                <w:szCs w:val="18"/>
              </w:rPr>
              <w:t>Annex No.</w:t>
            </w:r>
          </w:p>
        </w:tc>
        <w:tc>
          <w:tcPr>
            <w:tcW w:w="1135" w:type="dxa"/>
            <w:tcBorders>
              <w:top w:val="single" w:sz="4" w:space="0" w:color="auto"/>
              <w:left w:val="single" w:sz="4" w:space="0" w:color="auto"/>
              <w:bottom w:val="single" w:sz="4" w:space="0" w:color="auto"/>
              <w:right w:val="single" w:sz="4" w:space="0" w:color="auto"/>
            </w:tcBorders>
            <w:shd w:val="pct15" w:color="auto" w:fill="auto"/>
            <w:vAlign w:val="center"/>
          </w:tcPr>
          <w:p w14:paraId="31A48627" w14:textId="77777777" w:rsidR="00BD4AF6" w:rsidRPr="00D403F5" w:rsidRDefault="00BD4AF6" w:rsidP="001041C6">
            <w:pPr>
              <w:suppressLineNumbers/>
              <w:suppressAutoHyphens/>
              <w:spacing w:before="120" w:after="120"/>
              <w:jc w:val="center"/>
              <w:rPr>
                <w:rFonts w:ascii="Times New Roman" w:hAnsi="Times New Roman" w:cs="Times New Roman"/>
                <w:b/>
                <w:noProof/>
                <w:sz w:val="18"/>
                <w:szCs w:val="18"/>
              </w:rPr>
            </w:pPr>
            <w:r w:rsidRPr="00D403F5">
              <w:rPr>
                <w:rFonts w:ascii="Times New Roman" w:hAnsi="Times New Roman" w:cs="Times New Roman"/>
                <w:b/>
                <w:noProof/>
                <w:sz w:val="18"/>
                <w:szCs w:val="18"/>
              </w:rPr>
              <w:t>Page No.</w:t>
            </w:r>
          </w:p>
        </w:tc>
      </w:tr>
      <w:tr w:rsidR="00BD4AF6" w:rsidRPr="00D403F5" w14:paraId="1C4F2130"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E1D8F6A" w14:textId="3752B5F9" w:rsidR="00BD4AF6" w:rsidRPr="00D403F5" w:rsidRDefault="003B0010"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1</w:t>
            </w:r>
          </w:p>
        </w:tc>
        <w:tc>
          <w:tcPr>
            <w:tcW w:w="5556" w:type="dxa"/>
            <w:tcBorders>
              <w:top w:val="single" w:sz="4" w:space="0" w:color="auto"/>
              <w:left w:val="single" w:sz="4" w:space="0" w:color="auto"/>
              <w:bottom w:val="single" w:sz="4" w:space="0" w:color="auto"/>
              <w:right w:val="single" w:sz="4" w:space="0" w:color="auto"/>
            </w:tcBorders>
            <w:shd w:val="clear" w:color="auto" w:fill="auto"/>
          </w:tcPr>
          <w:p w14:paraId="6F13A3E1" w14:textId="77777777" w:rsidR="00BD4AF6" w:rsidRPr="00D403F5" w:rsidRDefault="00BD4AF6"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Welcome from the Deputy Director General</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F82EECA" w14:textId="77777777" w:rsidR="00BD4AF6" w:rsidRPr="00D403F5" w:rsidRDefault="00BD4AF6" w:rsidP="00A22F25">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D0FA58F" w14:textId="581F1843" w:rsidR="00BD4AF6" w:rsidRPr="00D403F5" w:rsidRDefault="00951F46" w:rsidP="00951F46">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Pr>
                <w:rFonts w:ascii="Times New Roman" w:eastAsia="ヒラギノ角ゴ Pro W3" w:hAnsi="Times New Roman" w:cs="Times New Roman"/>
                <w:noProof/>
                <w:sz w:val="18"/>
                <w:szCs w:val="18"/>
                <w:lang w:eastAsia="en-GB"/>
              </w:rPr>
              <w:t>3</w:t>
            </w:r>
          </w:p>
        </w:tc>
      </w:tr>
      <w:tr w:rsidR="00BD4AF6" w:rsidRPr="00D403F5" w14:paraId="0DDF8C7D"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2B8F7CB" w14:textId="7B1BEF44" w:rsidR="00BD4AF6" w:rsidRPr="00D403F5" w:rsidRDefault="003B0010"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2</w:t>
            </w:r>
          </w:p>
        </w:tc>
        <w:tc>
          <w:tcPr>
            <w:tcW w:w="5556" w:type="dxa"/>
            <w:tcBorders>
              <w:top w:val="single" w:sz="4" w:space="0" w:color="auto"/>
              <w:left w:val="single" w:sz="4" w:space="0" w:color="auto"/>
              <w:bottom w:val="single" w:sz="4" w:space="0" w:color="auto"/>
              <w:right w:val="single" w:sz="4" w:space="0" w:color="auto"/>
            </w:tcBorders>
            <w:shd w:val="clear" w:color="auto" w:fill="auto"/>
          </w:tcPr>
          <w:p w14:paraId="2D06F9EB" w14:textId="77777777" w:rsidR="00BD4AF6" w:rsidRPr="00D403F5" w:rsidRDefault="00BD4AF6"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Meeting with the Director General</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FAE77AC" w14:textId="77777777" w:rsidR="00BD4AF6" w:rsidRPr="00D403F5" w:rsidRDefault="00BD4AF6" w:rsidP="00A22F25">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331F060" w14:textId="3BF2B0EF" w:rsidR="00BD4AF6" w:rsidRPr="00D403F5" w:rsidRDefault="00951F46" w:rsidP="00951F46">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Pr>
                <w:rFonts w:ascii="Times New Roman" w:eastAsia="ヒラギノ角ゴ Pro W3" w:hAnsi="Times New Roman" w:cs="Times New Roman"/>
                <w:noProof/>
                <w:sz w:val="18"/>
                <w:szCs w:val="18"/>
                <w:lang w:eastAsia="en-GB"/>
              </w:rPr>
              <w:t>3</w:t>
            </w:r>
          </w:p>
        </w:tc>
      </w:tr>
      <w:tr w:rsidR="00BD4AF6" w:rsidRPr="00D403F5" w14:paraId="0DCAE5C3"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41D4351" w14:textId="79B6ED6C" w:rsidR="00BD4AF6" w:rsidRPr="00D403F5" w:rsidRDefault="003B0010"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3</w:t>
            </w:r>
          </w:p>
        </w:tc>
        <w:tc>
          <w:tcPr>
            <w:tcW w:w="5556" w:type="dxa"/>
            <w:tcBorders>
              <w:top w:val="single" w:sz="4" w:space="0" w:color="auto"/>
              <w:left w:val="single" w:sz="4" w:space="0" w:color="auto"/>
              <w:bottom w:val="single" w:sz="4" w:space="0" w:color="auto"/>
              <w:right w:val="single" w:sz="4" w:space="0" w:color="auto"/>
            </w:tcBorders>
            <w:shd w:val="clear" w:color="auto" w:fill="auto"/>
          </w:tcPr>
          <w:p w14:paraId="01AC6534" w14:textId="591F8296" w:rsidR="00BD4AF6" w:rsidRPr="00D403F5" w:rsidRDefault="00BD4AF6"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Adopt</w:t>
            </w:r>
            <w:r w:rsidR="003C29CD" w:rsidRPr="00D403F5">
              <w:rPr>
                <w:rFonts w:ascii="Times New Roman" w:eastAsia="ヒラギノ角ゴ Pro W3" w:hAnsi="Times New Roman" w:cs="Times New Roman"/>
                <w:noProof/>
                <w:sz w:val="18"/>
                <w:szCs w:val="18"/>
                <w:lang w:eastAsia="en-GB"/>
              </w:rPr>
              <w:t>ed</w:t>
            </w:r>
            <w:r w:rsidRPr="00D403F5">
              <w:rPr>
                <w:rFonts w:ascii="Times New Roman" w:eastAsia="ヒラギノ角ゴ Pro W3" w:hAnsi="Times New Roman" w:cs="Times New Roman"/>
                <w:noProof/>
                <w:sz w:val="18"/>
                <w:szCs w:val="18"/>
                <w:lang w:eastAsia="en-GB"/>
              </w:rPr>
              <w:t xml:space="preserve"> agenda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DB32926" w14:textId="4D774FE6" w:rsidR="00BD4AF6" w:rsidRPr="00D403F5" w:rsidRDefault="006658F5" w:rsidP="00A22F25">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Annex</w:t>
            </w:r>
            <w:r w:rsidR="00E230FF" w:rsidRPr="00D403F5">
              <w:rPr>
                <w:rFonts w:ascii="Times New Roman" w:eastAsia="ヒラギノ角ゴ Pro W3" w:hAnsi="Times New Roman" w:cs="Times New Roman"/>
                <w:noProof/>
                <w:sz w:val="18"/>
                <w:szCs w:val="18"/>
                <w:lang w:eastAsia="en-GB"/>
              </w:rPr>
              <w:t xml:space="preserve"> 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D3E658E" w14:textId="687A9E8F" w:rsidR="00BD4AF6" w:rsidRPr="00D403F5" w:rsidRDefault="00951F46" w:rsidP="00951F46">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Pr>
                <w:rFonts w:ascii="Times New Roman" w:eastAsia="ヒラギノ角ゴ Pro W3" w:hAnsi="Times New Roman" w:cs="Times New Roman"/>
                <w:noProof/>
                <w:sz w:val="18"/>
                <w:szCs w:val="18"/>
                <w:lang w:eastAsia="en-GB"/>
              </w:rPr>
              <w:t>3</w:t>
            </w:r>
          </w:p>
        </w:tc>
      </w:tr>
      <w:tr w:rsidR="00BD4AF6" w:rsidRPr="00D403F5" w14:paraId="456F1525"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BDD0FFB" w14:textId="79BF53D3" w:rsidR="00BD4AF6" w:rsidRPr="00D403F5" w:rsidRDefault="003B0010"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4</w:t>
            </w:r>
          </w:p>
        </w:tc>
        <w:tc>
          <w:tcPr>
            <w:tcW w:w="5556" w:type="dxa"/>
            <w:tcBorders>
              <w:top w:val="single" w:sz="4" w:space="0" w:color="auto"/>
              <w:left w:val="single" w:sz="4" w:space="0" w:color="auto"/>
              <w:bottom w:val="single" w:sz="4" w:space="0" w:color="auto"/>
              <w:right w:val="single" w:sz="4" w:space="0" w:color="auto"/>
            </w:tcBorders>
            <w:shd w:val="clear" w:color="auto" w:fill="auto"/>
          </w:tcPr>
          <w:p w14:paraId="2ABAD51F" w14:textId="77777777" w:rsidR="00BD4AF6" w:rsidRPr="00D403F5" w:rsidRDefault="00BD4AF6"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Project on Antimicrobial Resistance in Aquaculture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C8EBDEF" w14:textId="77777777" w:rsidR="00BD4AF6" w:rsidRPr="00D403F5" w:rsidRDefault="00BD4AF6" w:rsidP="00A22F25">
            <w:pPr>
              <w:suppressLineNumbers/>
              <w:suppressAutoHyphens/>
              <w:spacing w:before="120" w:after="120" w:line="120" w:lineRule="atLeast"/>
              <w:jc w:val="center"/>
              <w:rPr>
                <w:rFonts w:ascii="Times New Roman" w:eastAsia="ヒラギノ角ゴ Pro W3" w:hAnsi="Times New Roman" w:cs="Times New Roman"/>
                <w:noProof/>
                <w:sz w:val="18"/>
                <w:szCs w:val="18"/>
                <w:highlight w:val="cyan"/>
                <w:lang w:eastAsia="en-GB"/>
              </w:rPr>
            </w:pPr>
            <w:r w:rsidRPr="00D403F5">
              <w:rPr>
                <w:rFonts w:ascii="Times New Roman" w:eastAsia="ヒラギノ角ゴ Pro W3" w:hAnsi="Times New Roman" w:cs="Times New Roman"/>
                <w:noProof/>
                <w:sz w:val="18"/>
                <w:szCs w:val="18"/>
                <w:lang w:eastAsia="en-GB"/>
              </w:rPr>
              <w:t>-</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B195216" w14:textId="4321B6B4" w:rsidR="00BD4AF6" w:rsidRPr="00D403F5" w:rsidRDefault="00951F46" w:rsidP="00951F46">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Pr>
                <w:rFonts w:ascii="Times New Roman" w:eastAsia="ヒラギノ角ゴ Pro W3" w:hAnsi="Times New Roman" w:cs="Times New Roman"/>
                <w:noProof/>
                <w:sz w:val="18"/>
                <w:szCs w:val="18"/>
                <w:lang w:eastAsia="en-GB"/>
              </w:rPr>
              <w:t>4</w:t>
            </w:r>
          </w:p>
        </w:tc>
      </w:tr>
      <w:tr w:rsidR="00BD4AF6" w:rsidRPr="00D403F5" w14:paraId="128567FA"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18B0FB8" w14:textId="3BFFAEC7" w:rsidR="00BD4AF6" w:rsidRPr="00D403F5" w:rsidRDefault="003B0010" w:rsidP="001041C6">
            <w:pPr>
              <w:suppressAutoHyphens/>
              <w:spacing w:before="120" w:after="120" w:line="120" w:lineRule="atLeast"/>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5</w:t>
            </w:r>
          </w:p>
        </w:tc>
        <w:tc>
          <w:tcPr>
            <w:tcW w:w="5556" w:type="dxa"/>
            <w:tcBorders>
              <w:top w:val="single" w:sz="4" w:space="0" w:color="auto"/>
              <w:left w:val="single" w:sz="4" w:space="0" w:color="auto"/>
              <w:bottom w:val="single" w:sz="4" w:space="0" w:color="auto"/>
              <w:right w:val="single" w:sz="4" w:space="0" w:color="auto"/>
            </w:tcBorders>
            <w:shd w:val="clear" w:color="auto" w:fill="auto"/>
          </w:tcPr>
          <w:p w14:paraId="5EE6F988" w14:textId="77777777" w:rsidR="00BD4AF6" w:rsidRPr="00D403F5" w:rsidRDefault="00BD4AF6" w:rsidP="001041C6">
            <w:pPr>
              <w:suppressAutoHyphens/>
              <w:spacing w:before="120" w:after="120" w:line="120" w:lineRule="atLeast"/>
              <w:rPr>
                <w:rFonts w:ascii="Times New Roman" w:hAnsi="Times New Roman" w:cs="Times New Roman"/>
                <w:sz w:val="18"/>
                <w:szCs w:val="18"/>
              </w:rPr>
            </w:pPr>
            <w:r w:rsidRPr="00D403F5">
              <w:rPr>
                <w:rFonts w:ascii="Times New Roman" w:hAnsi="Times New Roman" w:cs="Times New Roman"/>
                <w:sz w:val="18"/>
                <w:szCs w:val="18"/>
              </w:rPr>
              <w:t>Work Plan of the Aquatic Animal Health Standards Commission</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DFFC1A1" w14:textId="50EAD330" w:rsidR="00BD4AF6" w:rsidRPr="00D403F5" w:rsidRDefault="006658F5" w:rsidP="00A22F25">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sidRPr="00D403F5">
              <w:rPr>
                <w:rFonts w:ascii="Times New Roman" w:eastAsia="ヒラギノ角ゴ Pro W3" w:hAnsi="Times New Roman" w:cs="Times New Roman"/>
                <w:noProof/>
                <w:sz w:val="18"/>
                <w:szCs w:val="18"/>
                <w:lang w:eastAsia="en-GB"/>
              </w:rPr>
              <w:t>Annex</w:t>
            </w:r>
            <w:r w:rsidR="00E230FF" w:rsidRPr="00D403F5">
              <w:rPr>
                <w:rFonts w:ascii="Times New Roman" w:eastAsia="ヒラギノ角ゴ Pro W3" w:hAnsi="Times New Roman" w:cs="Times New Roman"/>
                <w:noProof/>
                <w:sz w:val="18"/>
                <w:szCs w:val="18"/>
                <w:lang w:eastAsia="en-GB"/>
              </w:rPr>
              <w:t xml:space="preserve"> 1</w:t>
            </w:r>
            <w:r w:rsidR="007F6F85" w:rsidRPr="00D403F5">
              <w:rPr>
                <w:rFonts w:ascii="Times New Roman" w:eastAsia="ヒラギノ角ゴ Pro W3" w:hAnsi="Times New Roman" w:cs="Times New Roman"/>
                <w:noProof/>
                <w:sz w:val="18"/>
                <w:szCs w:val="18"/>
                <w:lang w:eastAsia="en-GB"/>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7B4148E" w14:textId="4E4A268F" w:rsidR="00BD4AF6" w:rsidRPr="00D403F5" w:rsidRDefault="0088343B" w:rsidP="0088343B">
            <w:pPr>
              <w:suppressLineNumbers/>
              <w:suppressAutoHyphens/>
              <w:spacing w:before="120" w:after="120" w:line="120" w:lineRule="atLeast"/>
              <w:jc w:val="center"/>
              <w:rPr>
                <w:rFonts w:ascii="Times New Roman" w:eastAsia="ヒラギノ角ゴ Pro W3" w:hAnsi="Times New Roman" w:cs="Times New Roman"/>
                <w:noProof/>
                <w:sz w:val="18"/>
                <w:szCs w:val="18"/>
                <w:lang w:eastAsia="en-GB"/>
              </w:rPr>
            </w:pPr>
            <w:r>
              <w:rPr>
                <w:rFonts w:ascii="Times New Roman" w:eastAsia="ヒラギノ角ゴ Pro W3" w:hAnsi="Times New Roman" w:cs="Times New Roman"/>
                <w:noProof/>
                <w:sz w:val="18"/>
                <w:szCs w:val="18"/>
                <w:lang w:eastAsia="en-GB"/>
              </w:rPr>
              <w:t>203</w:t>
            </w:r>
          </w:p>
        </w:tc>
      </w:tr>
      <w:tr w:rsidR="00BD4AF6" w:rsidRPr="00D403F5" w14:paraId="3401C9BC"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pct15" w:color="auto" w:fill="auto"/>
          </w:tcPr>
          <w:p w14:paraId="22F293E0" w14:textId="5AE0DC23" w:rsidR="00BD4AF6" w:rsidRPr="00951F46" w:rsidRDefault="003B0010" w:rsidP="001041C6">
            <w:pPr>
              <w:suppressLineNumbers/>
              <w:tabs>
                <w:tab w:val="left" w:pos="630"/>
              </w:tabs>
              <w:suppressAutoHyphens/>
              <w:spacing w:before="120" w:after="120"/>
              <w:rPr>
                <w:rFonts w:ascii="Times New Roman" w:hAnsi="Times New Roman" w:cs="Times New Roman"/>
                <w:color w:val="0000FF"/>
                <w:sz w:val="18"/>
                <w:szCs w:val="18"/>
              </w:rPr>
            </w:pPr>
            <w:r w:rsidRPr="00951F46">
              <w:rPr>
                <w:rFonts w:ascii="Times New Roman" w:hAnsi="Times New Roman" w:cs="Times New Roman"/>
                <w:b/>
                <w:noProof/>
                <w:sz w:val="18"/>
                <w:szCs w:val="18"/>
              </w:rPr>
              <w:t>6</w:t>
            </w:r>
          </w:p>
        </w:tc>
        <w:tc>
          <w:tcPr>
            <w:tcW w:w="5556" w:type="dxa"/>
            <w:tcBorders>
              <w:top w:val="single" w:sz="4" w:space="0" w:color="auto"/>
              <w:left w:val="single" w:sz="4" w:space="0" w:color="auto"/>
              <w:bottom w:val="single" w:sz="4" w:space="0" w:color="auto"/>
              <w:right w:val="single" w:sz="4" w:space="0" w:color="auto"/>
            </w:tcBorders>
            <w:shd w:val="pct15" w:color="auto" w:fill="auto"/>
          </w:tcPr>
          <w:p w14:paraId="4F1FB8BD" w14:textId="352B62CE" w:rsidR="00BD4AF6" w:rsidRPr="00951F46" w:rsidRDefault="00BD4AF6" w:rsidP="001041C6">
            <w:pPr>
              <w:suppressLineNumbers/>
              <w:suppressAutoHyphens/>
              <w:spacing w:before="120" w:after="120"/>
              <w:rPr>
                <w:rFonts w:ascii="Times New Roman" w:hAnsi="Times New Roman" w:cs="Times New Roman"/>
                <w:b/>
                <w:sz w:val="18"/>
                <w:szCs w:val="18"/>
              </w:rPr>
            </w:pPr>
            <w:r w:rsidRPr="00951F46">
              <w:rPr>
                <w:rFonts w:ascii="Times New Roman" w:hAnsi="Times New Roman" w:cs="Times New Roman"/>
                <w:color w:val="0000FF"/>
                <w:sz w:val="18"/>
                <w:szCs w:val="18"/>
              </w:rPr>
              <w:br w:type="page"/>
            </w:r>
            <w:r w:rsidR="006E25F7" w:rsidRPr="00951F46">
              <w:rPr>
                <w:rFonts w:ascii="Times New Roman" w:hAnsi="Times New Roman" w:cs="Times New Roman"/>
                <w:b/>
                <w:sz w:val="18"/>
                <w:szCs w:val="18"/>
              </w:rPr>
              <w:t>Items for Member comments</w:t>
            </w:r>
          </w:p>
        </w:tc>
        <w:tc>
          <w:tcPr>
            <w:tcW w:w="1531" w:type="dxa"/>
            <w:tcBorders>
              <w:top w:val="single" w:sz="4" w:space="0" w:color="auto"/>
              <w:left w:val="single" w:sz="4" w:space="0" w:color="auto"/>
              <w:bottom w:val="single" w:sz="4" w:space="0" w:color="auto"/>
              <w:right w:val="single" w:sz="4" w:space="0" w:color="auto"/>
            </w:tcBorders>
            <w:shd w:val="pct15" w:color="auto" w:fill="auto"/>
          </w:tcPr>
          <w:p w14:paraId="0EFF05A0" w14:textId="77777777" w:rsidR="00BD4AF6" w:rsidRPr="00D403F5" w:rsidRDefault="00BD4AF6" w:rsidP="00A22F25">
            <w:pPr>
              <w:suppressLineNumbers/>
              <w:suppressAutoHyphens/>
              <w:spacing w:before="120" w:after="120"/>
              <w:rPr>
                <w:rFonts w:ascii="Times New Roman" w:eastAsia="MS Mincho" w:hAnsi="Times New Roman" w:cs="Times New Roman"/>
                <w:b/>
                <w:sz w:val="18"/>
                <w:szCs w:val="18"/>
                <w:highlight w:val="yellow"/>
                <w:lang w:eastAsia="fr-FR"/>
              </w:rPr>
            </w:pPr>
            <w:r w:rsidRPr="00D403F5">
              <w:rPr>
                <w:rFonts w:ascii="Times New Roman" w:eastAsia="MS Mincho" w:hAnsi="Times New Roman" w:cs="Times New Roman"/>
                <w:b/>
                <w:sz w:val="18"/>
                <w:szCs w:val="18"/>
                <w:lang w:eastAsia="fr-FR"/>
              </w:rPr>
              <w:t>Annex No.</w:t>
            </w:r>
          </w:p>
        </w:tc>
        <w:tc>
          <w:tcPr>
            <w:tcW w:w="1135" w:type="dxa"/>
            <w:tcBorders>
              <w:top w:val="single" w:sz="4" w:space="0" w:color="auto"/>
              <w:left w:val="single" w:sz="4" w:space="0" w:color="auto"/>
              <w:bottom w:val="single" w:sz="4" w:space="0" w:color="auto"/>
              <w:right w:val="single" w:sz="4" w:space="0" w:color="auto"/>
            </w:tcBorders>
            <w:shd w:val="pct15" w:color="auto" w:fill="auto"/>
          </w:tcPr>
          <w:p w14:paraId="6887923B" w14:textId="77777777" w:rsidR="00BD4AF6" w:rsidRPr="00D403F5" w:rsidRDefault="00BD4AF6" w:rsidP="001041C6">
            <w:pPr>
              <w:suppressLineNumbers/>
              <w:suppressAutoHyphens/>
              <w:spacing w:before="120" w:after="120"/>
              <w:rPr>
                <w:rFonts w:ascii="Times New Roman" w:eastAsia="MS Mincho" w:hAnsi="Times New Roman" w:cs="Times New Roman"/>
                <w:b/>
                <w:sz w:val="18"/>
                <w:szCs w:val="18"/>
                <w:highlight w:val="yellow"/>
                <w:lang w:eastAsia="fr-FR"/>
              </w:rPr>
            </w:pPr>
          </w:p>
        </w:tc>
      </w:tr>
      <w:tr w:rsidR="00BD4AF6" w:rsidRPr="00D403F5" w14:paraId="6D2A2DC0" w14:textId="77777777" w:rsidTr="00951F46">
        <w:trPr>
          <w:trHeight w:val="407"/>
        </w:trPr>
        <w:tc>
          <w:tcPr>
            <w:tcW w:w="9072" w:type="dxa"/>
            <w:gridSpan w:val="4"/>
            <w:tcBorders>
              <w:top w:val="single" w:sz="4" w:space="0" w:color="auto"/>
              <w:left w:val="single" w:sz="4" w:space="0" w:color="auto"/>
              <w:bottom w:val="single" w:sz="4" w:space="0" w:color="auto"/>
              <w:right w:val="single" w:sz="4" w:space="0" w:color="auto"/>
            </w:tcBorders>
          </w:tcPr>
          <w:p w14:paraId="43A50524" w14:textId="77777777" w:rsidR="00BD4AF6" w:rsidRPr="00D403F5" w:rsidRDefault="00BD4AF6"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b/>
                <w:i/>
                <w:sz w:val="18"/>
                <w:szCs w:val="18"/>
                <w:lang w:eastAsia="fr-FR"/>
              </w:rPr>
              <w:t>AQUATIC CODE</w:t>
            </w:r>
          </w:p>
        </w:tc>
        <w:tc>
          <w:tcPr>
            <w:tcW w:w="7387" w:type="dxa"/>
          </w:tcPr>
          <w:p w14:paraId="2CC319BC" w14:textId="77777777" w:rsidR="00BD4AF6" w:rsidRPr="00D403F5" w:rsidRDefault="00BD4AF6" w:rsidP="001041C6">
            <w:pPr>
              <w:spacing w:before="120" w:after="120"/>
              <w:rPr>
                <w:rFonts w:ascii="Times New Roman" w:hAnsi="Times New Roman" w:cs="Times New Roman"/>
                <w:sz w:val="18"/>
                <w:szCs w:val="18"/>
              </w:rPr>
            </w:pPr>
          </w:p>
        </w:tc>
        <w:tc>
          <w:tcPr>
            <w:tcW w:w="7387" w:type="dxa"/>
          </w:tcPr>
          <w:p w14:paraId="53BF0B1A" w14:textId="77777777" w:rsidR="00BD4AF6" w:rsidRPr="00D403F5" w:rsidRDefault="00BD4AF6" w:rsidP="001041C6">
            <w:pPr>
              <w:spacing w:before="120" w:after="120"/>
              <w:rPr>
                <w:rFonts w:ascii="Times New Roman" w:hAnsi="Times New Roman" w:cs="Times New Roman"/>
                <w:sz w:val="18"/>
                <w:szCs w:val="18"/>
              </w:rPr>
            </w:pPr>
          </w:p>
        </w:tc>
        <w:tc>
          <w:tcPr>
            <w:tcW w:w="7387" w:type="dxa"/>
            <w:vAlign w:val="center"/>
          </w:tcPr>
          <w:p w14:paraId="6319BB10" w14:textId="77777777" w:rsidR="00BD4AF6" w:rsidRPr="00D403F5" w:rsidRDefault="00BD4AF6" w:rsidP="001041C6">
            <w:pPr>
              <w:suppressAutoHyphens/>
              <w:spacing w:before="120" w:after="120"/>
              <w:jc w:val="center"/>
              <w:rPr>
                <w:rFonts w:ascii="Times New Roman" w:eastAsia="MS Mincho" w:hAnsi="Times New Roman" w:cs="Times New Roman"/>
                <w:b/>
                <w:i/>
                <w:sz w:val="18"/>
                <w:szCs w:val="18"/>
                <w:lang w:eastAsia="fr-FR"/>
              </w:rPr>
            </w:pPr>
            <w:r w:rsidRPr="00D403F5">
              <w:rPr>
                <w:rFonts w:ascii="Times New Roman" w:eastAsia="MS Mincho" w:hAnsi="Times New Roman" w:cs="Times New Roman"/>
                <w:b/>
                <w:i/>
                <w:sz w:val="18"/>
                <w:szCs w:val="18"/>
                <w:lang w:eastAsia="fr-FR"/>
              </w:rPr>
              <w:t>AQUATIC CODE</w:t>
            </w:r>
          </w:p>
        </w:tc>
      </w:tr>
      <w:tr w:rsidR="00BD4AF6" w:rsidRPr="00D403F5" w14:paraId="33E4F371"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062A0FE5" w14:textId="7F6A0E5E" w:rsidR="00BD4AF6" w:rsidRPr="00D403F5" w:rsidRDefault="003B0010"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w:t>
            </w:r>
            <w:r w:rsidR="00BD4AF6" w:rsidRPr="00D403F5">
              <w:rPr>
                <w:rFonts w:ascii="Times New Roman" w:eastAsia="MS Mincho" w:hAnsi="Times New Roman" w:cs="Times New Roman"/>
                <w:sz w:val="18"/>
                <w:szCs w:val="18"/>
                <w:lang w:eastAsia="fr-FR"/>
              </w:rPr>
              <w:t>.1.</w:t>
            </w:r>
          </w:p>
        </w:tc>
        <w:tc>
          <w:tcPr>
            <w:tcW w:w="5556" w:type="dxa"/>
            <w:tcBorders>
              <w:top w:val="single" w:sz="4" w:space="0" w:color="auto"/>
              <w:left w:val="single" w:sz="4" w:space="0" w:color="auto"/>
              <w:bottom w:val="single" w:sz="4" w:space="0" w:color="auto"/>
              <w:right w:val="single" w:sz="4" w:space="0" w:color="auto"/>
            </w:tcBorders>
          </w:tcPr>
          <w:p w14:paraId="16B08276" w14:textId="77777777" w:rsidR="00BD4AF6" w:rsidRPr="00D403F5" w:rsidRDefault="00BD4AF6" w:rsidP="001041C6">
            <w:pPr>
              <w:spacing w:before="120" w:after="120"/>
              <w:rPr>
                <w:rFonts w:ascii="Times New Roman" w:hAnsi="Times New Roman" w:cs="Times New Roman"/>
                <w:sz w:val="18"/>
                <w:szCs w:val="18"/>
              </w:rPr>
            </w:pPr>
            <w:r w:rsidRPr="00D403F5">
              <w:rPr>
                <w:rFonts w:ascii="Times New Roman" w:eastAsia="MS Mincho" w:hAnsi="Times New Roman" w:cs="Times New Roman"/>
                <w:sz w:val="18"/>
                <w:szCs w:val="18"/>
                <w:lang w:val="en-IE" w:eastAsia="ja-JP"/>
              </w:rPr>
              <w:t>New draft chapter on Biosecurity for Aquaculture Establishments (Chapter 4.X.)</w:t>
            </w:r>
          </w:p>
        </w:tc>
        <w:tc>
          <w:tcPr>
            <w:tcW w:w="1531" w:type="dxa"/>
            <w:tcBorders>
              <w:top w:val="single" w:sz="4" w:space="0" w:color="auto"/>
              <w:left w:val="single" w:sz="4" w:space="0" w:color="auto"/>
              <w:bottom w:val="single" w:sz="4" w:space="0" w:color="auto"/>
              <w:right w:val="single" w:sz="4" w:space="0" w:color="auto"/>
            </w:tcBorders>
          </w:tcPr>
          <w:p w14:paraId="0C899A2C" w14:textId="6EC8D29F" w:rsidR="00BD4AF6" w:rsidRPr="00D403F5" w:rsidRDefault="00BD4AF6" w:rsidP="00A22F25">
            <w:pPr>
              <w:suppressAutoHyphens/>
              <w:spacing w:before="120" w:after="12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Annex</w:t>
            </w:r>
            <w:r w:rsidR="00571C64" w:rsidRPr="00D403F5">
              <w:rPr>
                <w:rFonts w:ascii="Times New Roman" w:eastAsia="MS Mincho" w:hAnsi="Times New Roman" w:cs="Times New Roman"/>
                <w:sz w:val="18"/>
                <w:szCs w:val="18"/>
                <w:lang w:eastAsia="fr-FR"/>
              </w:rPr>
              <w:t xml:space="preserve"> </w:t>
            </w:r>
            <w:r w:rsidR="00E230FF" w:rsidRPr="00D403F5">
              <w:rPr>
                <w:rFonts w:ascii="Times New Roman" w:eastAsia="MS Mincho" w:hAnsi="Times New Roman" w:cs="Times New Roman"/>
                <w:sz w:val="18"/>
                <w:szCs w:val="18"/>
                <w:lang w:eastAsia="fr-FR"/>
              </w:rPr>
              <w:t xml:space="preserve">3 </w:t>
            </w:r>
            <w:r w:rsidR="00571C64" w:rsidRPr="00D403F5">
              <w:rPr>
                <w:rFonts w:ascii="Times New Roman" w:eastAsia="MS Mincho" w:hAnsi="Times New Roman" w:cs="Times New Roman"/>
                <w:sz w:val="18"/>
                <w:szCs w:val="18"/>
                <w:lang w:eastAsia="fr-FR"/>
              </w:rPr>
              <w:t>A (clean text);</w:t>
            </w:r>
          </w:p>
          <w:p w14:paraId="15EC5165" w14:textId="2B54C9A7" w:rsidR="00571C64" w:rsidRPr="00D403F5" w:rsidRDefault="00571C64" w:rsidP="00A22F25">
            <w:pPr>
              <w:suppressAutoHyphens/>
              <w:spacing w:before="120" w:after="12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 xml:space="preserve">Annex </w:t>
            </w:r>
            <w:r w:rsidR="00E230FF" w:rsidRPr="00D403F5">
              <w:rPr>
                <w:rFonts w:ascii="Times New Roman" w:eastAsia="MS Mincho" w:hAnsi="Times New Roman" w:cs="Times New Roman"/>
                <w:sz w:val="18"/>
                <w:szCs w:val="18"/>
                <w:lang w:eastAsia="fr-FR"/>
              </w:rPr>
              <w:t xml:space="preserve">3 </w:t>
            </w:r>
            <w:r w:rsidRPr="00D403F5">
              <w:rPr>
                <w:rFonts w:ascii="Times New Roman" w:eastAsia="MS Mincho" w:hAnsi="Times New Roman" w:cs="Times New Roman"/>
                <w:sz w:val="18"/>
                <w:szCs w:val="18"/>
                <w:lang w:eastAsia="fr-FR"/>
              </w:rPr>
              <w:t>B (track changes)</w:t>
            </w:r>
          </w:p>
        </w:tc>
        <w:tc>
          <w:tcPr>
            <w:tcW w:w="1135" w:type="dxa"/>
            <w:tcBorders>
              <w:top w:val="single" w:sz="4" w:space="0" w:color="auto"/>
              <w:left w:val="single" w:sz="4" w:space="0" w:color="auto"/>
              <w:bottom w:val="single" w:sz="4" w:space="0" w:color="auto"/>
              <w:right w:val="single" w:sz="4" w:space="0" w:color="auto"/>
            </w:tcBorders>
          </w:tcPr>
          <w:p w14:paraId="25FB4724" w14:textId="47055B77" w:rsidR="00BD4AF6" w:rsidRPr="00D403F5" w:rsidRDefault="00951F46" w:rsidP="00951F46">
            <w:pPr>
              <w:suppressAutoHyphens/>
              <w:spacing w:before="120" w:after="120"/>
              <w:jc w:val="center"/>
              <w:rPr>
                <w:rFonts w:ascii="Times New Roman" w:eastAsia="MS Mincho" w:hAnsi="Times New Roman" w:cs="Times New Roman"/>
                <w:sz w:val="18"/>
                <w:szCs w:val="18"/>
                <w:lang w:eastAsia="fr-FR"/>
              </w:rPr>
            </w:pPr>
            <w:r>
              <w:rPr>
                <w:rFonts w:ascii="Times New Roman" w:eastAsia="MS Mincho" w:hAnsi="Times New Roman" w:cs="Times New Roman"/>
                <w:sz w:val="18"/>
                <w:szCs w:val="18"/>
                <w:lang w:eastAsia="fr-FR"/>
              </w:rPr>
              <w:t>21 et 33</w:t>
            </w:r>
          </w:p>
        </w:tc>
      </w:tr>
      <w:tr w:rsidR="00BD4AF6" w:rsidRPr="00D403F5" w14:paraId="1ADB9965"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715BF4D7" w14:textId="22B61C51" w:rsidR="00BD4AF6" w:rsidRPr="00D403F5" w:rsidRDefault="003B0010"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w:t>
            </w:r>
            <w:r w:rsidR="00BD4AF6" w:rsidRPr="00D403F5">
              <w:rPr>
                <w:rFonts w:ascii="Times New Roman" w:eastAsia="MS Mincho" w:hAnsi="Times New Roman" w:cs="Times New Roman"/>
                <w:sz w:val="18"/>
                <w:szCs w:val="18"/>
                <w:lang w:eastAsia="fr-FR"/>
              </w:rPr>
              <w:t>.2.</w:t>
            </w:r>
          </w:p>
        </w:tc>
        <w:tc>
          <w:tcPr>
            <w:tcW w:w="5556" w:type="dxa"/>
            <w:tcBorders>
              <w:top w:val="single" w:sz="4" w:space="0" w:color="auto"/>
              <w:left w:val="single" w:sz="4" w:space="0" w:color="auto"/>
              <w:bottom w:val="single" w:sz="4" w:space="0" w:color="auto"/>
              <w:right w:val="single" w:sz="4" w:space="0" w:color="auto"/>
            </w:tcBorders>
          </w:tcPr>
          <w:p w14:paraId="6FCCBE2F" w14:textId="757EDDDF" w:rsidR="00BD4AF6" w:rsidRPr="00D403F5" w:rsidRDefault="003D7D4A" w:rsidP="001041C6">
            <w:pPr>
              <w:spacing w:before="120" w:after="120"/>
              <w:rPr>
                <w:rFonts w:ascii="Times New Roman" w:hAnsi="Times New Roman" w:cs="Times New Roman"/>
                <w:sz w:val="18"/>
                <w:szCs w:val="18"/>
              </w:rPr>
            </w:pPr>
            <w:r w:rsidRPr="00D403F5">
              <w:rPr>
                <w:rFonts w:ascii="Times New Roman" w:eastAsia="MS Mincho" w:hAnsi="Times New Roman" w:cs="Times New Roman"/>
                <w:sz w:val="18"/>
                <w:szCs w:val="18"/>
                <w:lang w:val="en-IE" w:eastAsia="ja-JP"/>
              </w:rPr>
              <w:t>R</w:t>
            </w:r>
            <w:r w:rsidR="00BD4AF6" w:rsidRPr="00D403F5">
              <w:rPr>
                <w:rFonts w:ascii="Times New Roman" w:eastAsia="MS Mincho" w:hAnsi="Times New Roman" w:cs="Times New Roman"/>
                <w:sz w:val="18"/>
                <w:szCs w:val="18"/>
                <w:lang w:val="en-IE" w:eastAsia="ja-JP"/>
              </w:rPr>
              <w:t>evised Article 1.3.3. of Chapter 1.3. Diseases listed by the OIE</w:t>
            </w:r>
            <w:r w:rsidR="00936F09" w:rsidRPr="00D403F5">
              <w:rPr>
                <w:rFonts w:ascii="Times New Roman" w:eastAsia="MS Mincho" w:hAnsi="Times New Roman" w:cs="Times New Roman"/>
                <w:sz w:val="18"/>
                <w:szCs w:val="18"/>
                <w:lang w:val="en-IE" w:eastAsia="ja-JP"/>
              </w:rPr>
              <w:t xml:space="preserve"> </w:t>
            </w:r>
          </w:p>
        </w:tc>
        <w:tc>
          <w:tcPr>
            <w:tcW w:w="1531" w:type="dxa"/>
            <w:tcBorders>
              <w:top w:val="single" w:sz="4" w:space="0" w:color="auto"/>
              <w:left w:val="single" w:sz="4" w:space="0" w:color="auto"/>
              <w:bottom w:val="single" w:sz="4" w:space="0" w:color="auto"/>
              <w:right w:val="single" w:sz="4" w:space="0" w:color="auto"/>
            </w:tcBorders>
          </w:tcPr>
          <w:p w14:paraId="1CA90870" w14:textId="44422CD1" w:rsidR="00BD4AF6" w:rsidRPr="00D403F5" w:rsidRDefault="00BD4AF6" w:rsidP="00A22F25">
            <w:pPr>
              <w:suppressAutoHyphens/>
              <w:spacing w:before="120" w:after="12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4</w:t>
            </w:r>
          </w:p>
        </w:tc>
        <w:tc>
          <w:tcPr>
            <w:tcW w:w="1135" w:type="dxa"/>
            <w:tcBorders>
              <w:top w:val="single" w:sz="4" w:space="0" w:color="auto"/>
              <w:left w:val="single" w:sz="4" w:space="0" w:color="auto"/>
              <w:bottom w:val="single" w:sz="4" w:space="0" w:color="auto"/>
              <w:right w:val="single" w:sz="4" w:space="0" w:color="auto"/>
            </w:tcBorders>
          </w:tcPr>
          <w:p w14:paraId="1BB571CD" w14:textId="3392B8AD" w:rsidR="00BD4AF6" w:rsidRPr="00D403F5" w:rsidRDefault="00951F46" w:rsidP="00951F46">
            <w:pPr>
              <w:suppressAutoHyphens/>
              <w:spacing w:before="120" w:after="120"/>
              <w:jc w:val="center"/>
              <w:rPr>
                <w:rFonts w:ascii="Times New Roman" w:eastAsia="MS Mincho" w:hAnsi="Times New Roman" w:cs="Times New Roman"/>
                <w:sz w:val="18"/>
                <w:szCs w:val="18"/>
                <w:lang w:eastAsia="fr-FR"/>
              </w:rPr>
            </w:pPr>
            <w:r>
              <w:rPr>
                <w:rFonts w:ascii="Times New Roman" w:eastAsia="MS Mincho" w:hAnsi="Times New Roman" w:cs="Times New Roman"/>
                <w:sz w:val="18"/>
                <w:szCs w:val="18"/>
                <w:lang w:eastAsia="fr-FR"/>
              </w:rPr>
              <w:t>47</w:t>
            </w:r>
          </w:p>
        </w:tc>
      </w:tr>
      <w:tr w:rsidR="00BD4AF6" w:rsidRPr="00D403F5" w14:paraId="210E4030"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75987BF3" w14:textId="3F69261E" w:rsidR="00BD4AF6" w:rsidRPr="00D403F5" w:rsidRDefault="003B0010"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w:t>
            </w:r>
            <w:r w:rsidR="00BD4AF6" w:rsidRPr="00D403F5">
              <w:rPr>
                <w:rFonts w:ascii="Times New Roman" w:eastAsia="MS Mincho" w:hAnsi="Times New Roman" w:cs="Times New Roman"/>
                <w:sz w:val="18"/>
                <w:szCs w:val="18"/>
                <w:lang w:eastAsia="fr-FR"/>
              </w:rPr>
              <w:t>.3.</w:t>
            </w:r>
          </w:p>
        </w:tc>
        <w:tc>
          <w:tcPr>
            <w:tcW w:w="5556" w:type="dxa"/>
            <w:tcBorders>
              <w:top w:val="single" w:sz="4" w:space="0" w:color="auto"/>
              <w:left w:val="single" w:sz="4" w:space="0" w:color="auto"/>
              <w:bottom w:val="single" w:sz="4" w:space="0" w:color="auto"/>
              <w:right w:val="single" w:sz="4" w:space="0" w:color="auto"/>
            </w:tcBorders>
          </w:tcPr>
          <w:p w14:paraId="75D80552" w14:textId="77777777" w:rsidR="00BD4AF6" w:rsidRPr="00D403F5" w:rsidRDefault="00BD4AF6" w:rsidP="001041C6">
            <w:pPr>
              <w:autoSpaceDE w:val="0"/>
              <w:autoSpaceDN w:val="0"/>
              <w:adjustRightInd w:val="0"/>
              <w:spacing w:before="120" w:after="120"/>
              <w:rPr>
                <w:rFonts w:ascii="Times New Roman" w:hAnsi="Times New Roman" w:cs="Times New Roman"/>
                <w:sz w:val="18"/>
                <w:szCs w:val="18"/>
                <w:lang w:eastAsia="fr-FR"/>
              </w:rPr>
            </w:pPr>
            <w:r w:rsidRPr="00D403F5">
              <w:rPr>
                <w:rFonts w:ascii="Times New Roman" w:hAnsi="Times New Roman" w:cs="Times New Roman"/>
                <w:sz w:val="18"/>
                <w:szCs w:val="18"/>
                <w:lang w:val="en-IE" w:eastAsia="fr-FR"/>
              </w:rPr>
              <w:t>Model Article 10.X.13.</w:t>
            </w:r>
          </w:p>
        </w:tc>
        <w:tc>
          <w:tcPr>
            <w:tcW w:w="1531" w:type="dxa"/>
            <w:tcBorders>
              <w:top w:val="single" w:sz="4" w:space="0" w:color="auto"/>
              <w:left w:val="single" w:sz="4" w:space="0" w:color="auto"/>
              <w:bottom w:val="single" w:sz="4" w:space="0" w:color="auto"/>
              <w:right w:val="single" w:sz="4" w:space="0" w:color="auto"/>
            </w:tcBorders>
          </w:tcPr>
          <w:p w14:paraId="7B51184A" w14:textId="4D0B92C4" w:rsidR="00BD4AF6" w:rsidRPr="00D403F5" w:rsidRDefault="00BD4AF6" w:rsidP="00A22F25">
            <w:pPr>
              <w:suppressAutoHyphens/>
              <w:spacing w:before="120" w:after="120"/>
              <w:jc w:val="center"/>
              <w:rPr>
                <w:rFonts w:ascii="Times New Roman" w:eastAsia="MS Mincho" w:hAnsi="Times New Roman" w:cs="Times New Roman"/>
                <w:sz w:val="18"/>
                <w:szCs w:val="18"/>
                <w:highlight w:val="yellow"/>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5</w:t>
            </w:r>
          </w:p>
        </w:tc>
        <w:tc>
          <w:tcPr>
            <w:tcW w:w="1135" w:type="dxa"/>
            <w:tcBorders>
              <w:top w:val="single" w:sz="4" w:space="0" w:color="auto"/>
              <w:left w:val="single" w:sz="4" w:space="0" w:color="auto"/>
              <w:bottom w:val="single" w:sz="4" w:space="0" w:color="auto"/>
              <w:right w:val="single" w:sz="4" w:space="0" w:color="auto"/>
            </w:tcBorders>
          </w:tcPr>
          <w:p w14:paraId="711DD8AC" w14:textId="1EC39386" w:rsidR="00BD4AF6"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49</w:t>
            </w:r>
          </w:p>
        </w:tc>
      </w:tr>
      <w:tr w:rsidR="00BD4AF6" w:rsidRPr="00D403F5" w14:paraId="67D34F70"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3AC13519" w14:textId="3FE82CCF" w:rsidR="00BD4AF6" w:rsidRPr="00D403F5" w:rsidRDefault="003B0010"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6.4.</w:t>
            </w:r>
          </w:p>
        </w:tc>
        <w:tc>
          <w:tcPr>
            <w:tcW w:w="5556" w:type="dxa"/>
            <w:tcBorders>
              <w:top w:val="single" w:sz="4" w:space="0" w:color="auto"/>
              <w:left w:val="single" w:sz="4" w:space="0" w:color="auto"/>
              <w:bottom w:val="single" w:sz="4" w:space="0" w:color="auto"/>
              <w:right w:val="single" w:sz="4" w:space="0" w:color="auto"/>
            </w:tcBorders>
          </w:tcPr>
          <w:p w14:paraId="211EDABF" w14:textId="53015C25" w:rsidR="00BD4AF6" w:rsidRPr="00D403F5" w:rsidRDefault="00BD4AF6" w:rsidP="001041C6">
            <w:pPr>
              <w:spacing w:before="120" w:after="120"/>
              <w:rPr>
                <w:rFonts w:ascii="Times New Roman" w:hAnsi="Times New Roman" w:cs="Times New Roman"/>
                <w:sz w:val="18"/>
                <w:szCs w:val="18"/>
                <w:lang w:eastAsia="fr-FR"/>
              </w:rPr>
            </w:pPr>
            <w:r w:rsidRPr="00D403F5">
              <w:rPr>
                <w:rFonts w:ascii="Times New Roman" w:hAnsi="Times New Roman" w:cs="Times New Roman"/>
                <w:sz w:val="18"/>
                <w:szCs w:val="18"/>
                <w:lang w:eastAsia="fr-FR"/>
              </w:rPr>
              <w:t>Article 10.10.2. of Chapter 10.10. Infection with viral haemorrhagic septicaemia virus</w:t>
            </w:r>
          </w:p>
        </w:tc>
        <w:tc>
          <w:tcPr>
            <w:tcW w:w="1531" w:type="dxa"/>
            <w:tcBorders>
              <w:top w:val="single" w:sz="4" w:space="0" w:color="auto"/>
              <w:left w:val="single" w:sz="4" w:space="0" w:color="auto"/>
              <w:bottom w:val="single" w:sz="4" w:space="0" w:color="auto"/>
              <w:right w:val="single" w:sz="4" w:space="0" w:color="auto"/>
            </w:tcBorders>
          </w:tcPr>
          <w:p w14:paraId="37BAA2FC" w14:textId="34BDAE8A" w:rsidR="00BD4AF6" w:rsidRPr="00D403F5" w:rsidRDefault="00BD4AF6" w:rsidP="00A22F25">
            <w:pPr>
              <w:suppressAutoHyphens/>
              <w:spacing w:before="120" w:after="120"/>
              <w:jc w:val="center"/>
              <w:rPr>
                <w:rFonts w:ascii="Times New Roman" w:eastAsia="MS Mincho" w:hAnsi="Times New Roman" w:cs="Times New Roman"/>
                <w:sz w:val="18"/>
                <w:szCs w:val="18"/>
                <w:highlight w:val="yellow"/>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6</w:t>
            </w:r>
          </w:p>
        </w:tc>
        <w:tc>
          <w:tcPr>
            <w:tcW w:w="1135" w:type="dxa"/>
            <w:tcBorders>
              <w:top w:val="single" w:sz="4" w:space="0" w:color="auto"/>
              <w:left w:val="single" w:sz="4" w:space="0" w:color="auto"/>
              <w:bottom w:val="single" w:sz="4" w:space="0" w:color="auto"/>
              <w:right w:val="single" w:sz="4" w:space="0" w:color="auto"/>
            </w:tcBorders>
          </w:tcPr>
          <w:p w14:paraId="0E0B6FF9" w14:textId="4FFF4AE1" w:rsidR="00BD4AF6"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51</w:t>
            </w:r>
          </w:p>
        </w:tc>
      </w:tr>
      <w:tr w:rsidR="00BD4AF6" w:rsidRPr="00D403F5" w14:paraId="2D5AD1A0"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309B6D6E" w14:textId="490BC7DB" w:rsidR="00BD4AF6" w:rsidRPr="00D403F5" w:rsidRDefault="003B0010"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6.5.</w:t>
            </w:r>
          </w:p>
        </w:tc>
        <w:tc>
          <w:tcPr>
            <w:tcW w:w="5556" w:type="dxa"/>
            <w:tcBorders>
              <w:top w:val="single" w:sz="4" w:space="0" w:color="auto"/>
              <w:left w:val="single" w:sz="4" w:space="0" w:color="auto"/>
              <w:bottom w:val="single" w:sz="4" w:space="0" w:color="auto"/>
              <w:right w:val="single" w:sz="4" w:space="0" w:color="auto"/>
            </w:tcBorders>
          </w:tcPr>
          <w:p w14:paraId="55C1E475" w14:textId="2AAF9E47" w:rsidR="00BD4AF6" w:rsidRPr="00D403F5" w:rsidRDefault="00BD4AF6" w:rsidP="001041C6">
            <w:pPr>
              <w:spacing w:before="120" w:after="120"/>
              <w:rPr>
                <w:rFonts w:ascii="Times New Roman" w:hAnsi="Times New Roman" w:cs="Times New Roman"/>
                <w:sz w:val="18"/>
                <w:szCs w:val="18"/>
                <w:lang w:val="en-IE"/>
              </w:rPr>
            </w:pPr>
            <w:r w:rsidRPr="00D403F5">
              <w:rPr>
                <w:rFonts w:ascii="Times New Roman" w:hAnsi="Times New Roman" w:cs="Times New Roman"/>
                <w:sz w:val="18"/>
                <w:szCs w:val="18"/>
                <w:lang w:val="en-IE"/>
              </w:rPr>
              <w:t>Article 10.9.2. of Chapter 10.9. Infection with spring viraemia of carp virus</w:t>
            </w:r>
            <w:r w:rsidR="003D7D4A" w:rsidRPr="00D403F5">
              <w:rPr>
                <w:rFonts w:ascii="Times New Roman" w:hAnsi="Times New Roman" w:cs="Times New Roman"/>
                <w:sz w:val="18"/>
                <w:szCs w:val="18"/>
                <w:lang w:val="en-IE"/>
              </w:rPr>
              <w:t xml:space="preserve"> </w:t>
            </w:r>
          </w:p>
        </w:tc>
        <w:tc>
          <w:tcPr>
            <w:tcW w:w="1531" w:type="dxa"/>
            <w:tcBorders>
              <w:top w:val="single" w:sz="4" w:space="0" w:color="auto"/>
              <w:left w:val="single" w:sz="4" w:space="0" w:color="auto"/>
              <w:bottom w:val="single" w:sz="4" w:space="0" w:color="auto"/>
              <w:right w:val="single" w:sz="4" w:space="0" w:color="auto"/>
            </w:tcBorders>
          </w:tcPr>
          <w:p w14:paraId="0A6651FF" w14:textId="341E7305" w:rsidR="00BD4AF6" w:rsidRPr="00D403F5" w:rsidRDefault="00BD4AF6" w:rsidP="00A22F25">
            <w:pPr>
              <w:suppressAutoHyphens/>
              <w:spacing w:before="120" w:after="120"/>
              <w:jc w:val="center"/>
              <w:rPr>
                <w:rFonts w:ascii="Times New Roman" w:eastAsia="MS Mincho" w:hAnsi="Times New Roman" w:cs="Times New Roman"/>
                <w:sz w:val="18"/>
                <w:szCs w:val="18"/>
                <w:highlight w:val="yellow"/>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7</w:t>
            </w:r>
          </w:p>
        </w:tc>
        <w:tc>
          <w:tcPr>
            <w:tcW w:w="1135" w:type="dxa"/>
            <w:tcBorders>
              <w:top w:val="single" w:sz="4" w:space="0" w:color="auto"/>
              <w:left w:val="single" w:sz="4" w:space="0" w:color="auto"/>
              <w:bottom w:val="single" w:sz="4" w:space="0" w:color="auto"/>
              <w:right w:val="single" w:sz="4" w:space="0" w:color="auto"/>
            </w:tcBorders>
          </w:tcPr>
          <w:p w14:paraId="12644FEC" w14:textId="2214513D" w:rsidR="00BD4AF6"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55</w:t>
            </w:r>
          </w:p>
        </w:tc>
      </w:tr>
      <w:tr w:rsidR="006E25F7" w:rsidRPr="00D403F5" w14:paraId="5AC10B7B"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3D0ED428" w14:textId="441B06DF" w:rsidR="006E25F7" w:rsidRPr="00D403F5" w:rsidRDefault="00710E8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6.6.</w:t>
            </w:r>
          </w:p>
        </w:tc>
        <w:tc>
          <w:tcPr>
            <w:tcW w:w="5556" w:type="dxa"/>
            <w:tcBorders>
              <w:top w:val="single" w:sz="4" w:space="0" w:color="auto"/>
              <w:left w:val="single" w:sz="4" w:space="0" w:color="auto"/>
              <w:bottom w:val="single" w:sz="4" w:space="0" w:color="auto"/>
              <w:right w:val="single" w:sz="4" w:space="0" w:color="auto"/>
            </w:tcBorders>
          </w:tcPr>
          <w:p w14:paraId="7CEDE608" w14:textId="4C2665F1" w:rsidR="006E25F7" w:rsidRPr="00D403F5" w:rsidRDefault="006E25F7" w:rsidP="001041C6">
            <w:pPr>
              <w:spacing w:before="120" w:after="120"/>
              <w:rPr>
                <w:rFonts w:ascii="Times New Roman" w:hAnsi="Times New Roman" w:cs="Times New Roman"/>
                <w:sz w:val="18"/>
                <w:szCs w:val="18"/>
                <w:lang w:val="en-IE"/>
              </w:rPr>
            </w:pPr>
            <w:r w:rsidRPr="00D403F5">
              <w:rPr>
                <w:rFonts w:ascii="Times New Roman" w:hAnsi="Times New Roman" w:cs="Times New Roman"/>
                <w:sz w:val="18"/>
                <w:szCs w:val="18"/>
                <w:lang w:val="en-IE"/>
              </w:rPr>
              <w:t xml:space="preserve">Discussion paper on approaches for determining periods required to demonstrate disease freedom </w:t>
            </w:r>
          </w:p>
        </w:tc>
        <w:tc>
          <w:tcPr>
            <w:tcW w:w="1531" w:type="dxa"/>
            <w:tcBorders>
              <w:top w:val="single" w:sz="4" w:space="0" w:color="auto"/>
              <w:left w:val="single" w:sz="4" w:space="0" w:color="auto"/>
              <w:bottom w:val="single" w:sz="4" w:space="0" w:color="auto"/>
              <w:right w:val="single" w:sz="4" w:space="0" w:color="auto"/>
            </w:tcBorders>
          </w:tcPr>
          <w:p w14:paraId="4D9EC980" w14:textId="24FB3CF8" w:rsidR="006E25F7" w:rsidRPr="00D403F5" w:rsidRDefault="006E25F7" w:rsidP="00A22F25">
            <w:pPr>
              <w:suppressAutoHyphens/>
              <w:spacing w:before="120" w:after="12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8</w:t>
            </w:r>
          </w:p>
        </w:tc>
        <w:tc>
          <w:tcPr>
            <w:tcW w:w="1135" w:type="dxa"/>
            <w:tcBorders>
              <w:top w:val="single" w:sz="4" w:space="0" w:color="auto"/>
              <w:left w:val="single" w:sz="4" w:space="0" w:color="auto"/>
              <w:bottom w:val="single" w:sz="4" w:space="0" w:color="auto"/>
              <w:right w:val="single" w:sz="4" w:space="0" w:color="auto"/>
            </w:tcBorders>
          </w:tcPr>
          <w:p w14:paraId="5FA5126F" w14:textId="007D4DC8" w:rsidR="006E25F7"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57</w:t>
            </w:r>
          </w:p>
        </w:tc>
      </w:tr>
      <w:tr w:rsidR="006E25F7" w:rsidRPr="00D403F5" w14:paraId="7A1C43CB"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3221005B" w14:textId="4C186C0A" w:rsidR="006E25F7" w:rsidRPr="00D403F5" w:rsidRDefault="00710E8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6.7.</w:t>
            </w:r>
          </w:p>
        </w:tc>
        <w:tc>
          <w:tcPr>
            <w:tcW w:w="5556" w:type="dxa"/>
            <w:tcBorders>
              <w:top w:val="single" w:sz="4" w:space="0" w:color="auto"/>
              <w:left w:val="single" w:sz="4" w:space="0" w:color="auto"/>
              <w:bottom w:val="single" w:sz="4" w:space="0" w:color="auto"/>
              <w:right w:val="single" w:sz="4" w:space="0" w:color="auto"/>
            </w:tcBorders>
          </w:tcPr>
          <w:p w14:paraId="37177FBF" w14:textId="3C51D6CC" w:rsidR="006E25F7" w:rsidRPr="00D403F5" w:rsidRDefault="006E25F7" w:rsidP="001041C6">
            <w:pPr>
              <w:spacing w:before="120" w:after="120"/>
              <w:rPr>
                <w:rFonts w:ascii="Times New Roman" w:hAnsi="Times New Roman" w:cs="Times New Roman"/>
                <w:sz w:val="18"/>
                <w:szCs w:val="18"/>
                <w:lang w:val="en-IE"/>
              </w:rPr>
            </w:pPr>
            <w:r w:rsidRPr="00D403F5">
              <w:rPr>
                <w:rFonts w:ascii="Times New Roman" w:hAnsi="Times New Roman" w:cs="Times New Roman"/>
                <w:sz w:val="18"/>
                <w:szCs w:val="18"/>
                <w:lang w:val="en-IE"/>
              </w:rPr>
              <w:t xml:space="preserve">Revised Glossary definition for ‘Aquatic animal waste’ </w:t>
            </w:r>
          </w:p>
        </w:tc>
        <w:tc>
          <w:tcPr>
            <w:tcW w:w="1531" w:type="dxa"/>
            <w:tcBorders>
              <w:top w:val="single" w:sz="4" w:space="0" w:color="auto"/>
              <w:left w:val="single" w:sz="4" w:space="0" w:color="auto"/>
              <w:bottom w:val="single" w:sz="4" w:space="0" w:color="auto"/>
              <w:right w:val="single" w:sz="4" w:space="0" w:color="auto"/>
            </w:tcBorders>
          </w:tcPr>
          <w:p w14:paraId="1B8C9051" w14:textId="2C540F70" w:rsidR="006E25F7" w:rsidRPr="00D403F5" w:rsidRDefault="006E25F7" w:rsidP="00A22F25">
            <w:pPr>
              <w:suppressAutoHyphens/>
              <w:spacing w:before="120" w:after="12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val="en-IE" w:eastAsia="fr-FR"/>
              </w:rPr>
              <w:t>Annex</w:t>
            </w:r>
            <w:r w:rsidR="00E230FF" w:rsidRPr="00D403F5">
              <w:rPr>
                <w:rFonts w:ascii="Times New Roman" w:eastAsia="MS Mincho" w:hAnsi="Times New Roman" w:cs="Times New Roman"/>
                <w:sz w:val="18"/>
                <w:szCs w:val="18"/>
                <w:lang w:val="en-IE" w:eastAsia="fr-FR"/>
              </w:rPr>
              <w:t xml:space="preserve"> 9</w:t>
            </w:r>
          </w:p>
        </w:tc>
        <w:tc>
          <w:tcPr>
            <w:tcW w:w="1135" w:type="dxa"/>
            <w:tcBorders>
              <w:top w:val="single" w:sz="4" w:space="0" w:color="auto"/>
              <w:left w:val="single" w:sz="4" w:space="0" w:color="auto"/>
              <w:bottom w:val="single" w:sz="4" w:space="0" w:color="auto"/>
              <w:right w:val="single" w:sz="4" w:space="0" w:color="auto"/>
            </w:tcBorders>
          </w:tcPr>
          <w:p w14:paraId="7A89234D" w14:textId="621DA31B" w:rsidR="006E25F7"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81</w:t>
            </w:r>
          </w:p>
        </w:tc>
      </w:tr>
      <w:tr w:rsidR="006E25F7" w:rsidRPr="00D403F5" w14:paraId="027A83B4" w14:textId="77777777" w:rsidTr="00951F46">
        <w:trPr>
          <w:gridAfter w:val="3"/>
          <w:wAfter w:w="22161" w:type="dxa"/>
          <w:trHeight w:val="407"/>
        </w:trPr>
        <w:tc>
          <w:tcPr>
            <w:tcW w:w="9072" w:type="dxa"/>
            <w:gridSpan w:val="4"/>
            <w:tcBorders>
              <w:top w:val="single" w:sz="4" w:space="0" w:color="auto"/>
              <w:left w:val="single" w:sz="4" w:space="0" w:color="auto"/>
              <w:bottom w:val="single" w:sz="4" w:space="0" w:color="auto"/>
              <w:right w:val="single" w:sz="4" w:space="0" w:color="auto"/>
            </w:tcBorders>
          </w:tcPr>
          <w:p w14:paraId="1028A625" w14:textId="77777777" w:rsidR="006E25F7" w:rsidRPr="00D403F5" w:rsidRDefault="006E25F7"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b/>
                <w:i/>
                <w:sz w:val="18"/>
                <w:szCs w:val="18"/>
                <w:lang w:eastAsia="fr-FR"/>
              </w:rPr>
              <w:t>AQUATIC MANUAL</w:t>
            </w:r>
          </w:p>
        </w:tc>
      </w:tr>
      <w:tr w:rsidR="00BC2F28" w:rsidRPr="00D403F5" w14:paraId="1D08D5AD"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51B274D3" w14:textId="35E07D36" w:rsidR="00BC2F28" w:rsidRPr="00D403F5" w:rsidRDefault="00BC2F2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6.8.</w:t>
            </w:r>
          </w:p>
        </w:tc>
        <w:tc>
          <w:tcPr>
            <w:tcW w:w="5556" w:type="dxa"/>
            <w:tcBorders>
              <w:top w:val="single" w:sz="4" w:space="0" w:color="auto"/>
              <w:left w:val="single" w:sz="4" w:space="0" w:color="auto"/>
              <w:bottom w:val="single" w:sz="4" w:space="0" w:color="auto"/>
              <w:right w:val="single" w:sz="4" w:space="0" w:color="auto"/>
            </w:tcBorders>
          </w:tcPr>
          <w:p w14:paraId="4638B285" w14:textId="20066DB7" w:rsidR="00BC2F28" w:rsidRPr="00D403F5" w:rsidRDefault="00BC2F28" w:rsidP="001041C6">
            <w:pPr>
              <w:pStyle w:val="Web"/>
              <w:spacing w:before="120" w:beforeAutospacing="0" w:after="120" w:afterAutospacing="0"/>
              <w:rPr>
                <w:sz w:val="18"/>
                <w:szCs w:val="18"/>
                <w:lang w:val="en-GB" w:bidi="en-US"/>
              </w:rPr>
            </w:pPr>
            <w:r w:rsidRPr="00D403F5">
              <w:rPr>
                <w:sz w:val="18"/>
                <w:szCs w:val="18"/>
                <w:lang w:val="en-GB" w:bidi="en-US"/>
              </w:rPr>
              <w:t xml:space="preserve">Reformatting of </w:t>
            </w:r>
            <w:r w:rsidRPr="00D403F5">
              <w:rPr>
                <w:i/>
                <w:iCs/>
                <w:sz w:val="18"/>
                <w:szCs w:val="18"/>
                <w:lang w:val="en-GB" w:bidi="en-US"/>
              </w:rPr>
              <w:t>Aquatic Manual</w:t>
            </w:r>
            <w:r w:rsidRPr="00D403F5">
              <w:rPr>
                <w:sz w:val="18"/>
                <w:szCs w:val="18"/>
                <w:lang w:val="en-GB" w:bidi="en-US"/>
              </w:rPr>
              <w:t xml:space="preserve"> chapters into the new template</w:t>
            </w:r>
          </w:p>
        </w:tc>
        <w:tc>
          <w:tcPr>
            <w:tcW w:w="1531" w:type="dxa"/>
            <w:tcBorders>
              <w:top w:val="single" w:sz="4" w:space="0" w:color="auto"/>
              <w:left w:val="single" w:sz="4" w:space="0" w:color="auto"/>
              <w:bottom w:val="single" w:sz="4" w:space="0" w:color="auto"/>
              <w:right w:val="single" w:sz="4" w:space="0" w:color="auto"/>
            </w:tcBorders>
          </w:tcPr>
          <w:p w14:paraId="0825796D" w14:textId="77777777" w:rsidR="00BC2F28" w:rsidRPr="00D403F5" w:rsidRDefault="00BC2F28" w:rsidP="001041C6">
            <w:pPr>
              <w:suppressAutoHyphens/>
              <w:spacing w:before="120" w:after="120"/>
              <w:rPr>
                <w:rFonts w:ascii="Times New Roman" w:eastAsia="MS Mincho" w:hAnsi="Times New Roman" w:cs="Times New Roman"/>
                <w:sz w:val="18"/>
                <w:szCs w:val="18"/>
                <w:lang w:eastAsia="fr-FR"/>
              </w:rPr>
            </w:pPr>
          </w:p>
        </w:tc>
        <w:tc>
          <w:tcPr>
            <w:tcW w:w="1135" w:type="dxa"/>
            <w:tcBorders>
              <w:top w:val="single" w:sz="4" w:space="0" w:color="auto"/>
              <w:left w:val="single" w:sz="4" w:space="0" w:color="auto"/>
              <w:bottom w:val="single" w:sz="4" w:space="0" w:color="auto"/>
              <w:right w:val="single" w:sz="4" w:space="0" w:color="auto"/>
            </w:tcBorders>
          </w:tcPr>
          <w:p w14:paraId="20B00DA9" w14:textId="77777777" w:rsidR="00BC2F28" w:rsidRPr="00D403F5" w:rsidRDefault="00BC2F28" w:rsidP="001041C6">
            <w:pPr>
              <w:suppressAutoHyphens/>
              <w:spacing w:before="120" w:after="120"/>
              <w:rPr>
                <w:rFonts w:ascii="Times New Roman" w:eastAsia="MS Mincho" w:hAnsi="Times New Roman" w:cs="Times New Roman"/>
                <w:sz w:val="18"/>
                <w:szCs w:val="18"/>
                <w:highlight w:val="yellow"/>
                <w:lang w:eastAsia="fr-FR"/>
              </w:rPr>
            </w:pPr>
          </w:p>
        </w:tc>
      </w:tr>
      <w:tr w:rsidR="006E25F7" w:rsidRPr="00D403F5" w14:paraId="49A5D28E"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311B54F4" w14:textId="4740B3EF" w:rsidR="006E25F7" w:rsidRPr="00D403F5" w:rsidRDefault="00BC2F2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6.8.1.</w:t>
            </w:r>
          </w:p>
        </w:tc>
        <w:tc>
          <w:tcPr>
            <w:tcW w:w="5556" w:type="dxa"/>
            <w:tcBorders>
              <w:top w:val="single" w:sz="4" w:space="0" w:color="auto"/>
              <w:left w:val="single" w:sz="4" w:space="0" w:color="auto"/>
              <w:bottom w:val="single" w:sz="4" w:space="0" w:color="auto"/>
              <w:right w:val="single" w:sz="4" w:space="0" w:color="auto"/>
            </w:tcBorders>
          </w:tcPr>
          <w:p w14:paraId="0096CFD7" w14:textId="61F9DD91" w:rsidR="006E25F7" w:rsidRPr="00D403F5" w:rsidRDefault="006E25F7" w:rsidP="001041C6">
            <w:pPr>
              <w:pStyle w:val="Web"/>
              <w:spacing w:before="120" w:beforeAutospacing="0" w:after="120" w:afterAutospacing="0"/>
              <w:rPr>
                <w:sz w:val="18"/>
                <w:szCs w:val="18"/>
                <w:lang w:val="en-IE" w:bidi="en-US"/>
              </w:rPr>
            </w:pPr>
            <w:bookmarkStart w:id="2" w:name="_Hlk23264220"/>
            <w:r w:rsidRPr="00D403F5">
              <w:rPr>
                <w:sz w:val="18"/>
                <w:szCs w:val="18"/>
                <w:lang w:val="en-IE" w:bidi="en-US"/>
              </w:rPr>
              <w:t>Chapter 2.3.9. Spring viraemia of carp</w:t>
            </w:r>
            <w:bookmarkEnd w:id="2"/>
          </w:p>
        </w:tc>
        <w:tc>
          <w:tcPr>
            <w:tcW w:w="1531" w:type="dxa"/>
            <w:tcBorders>
              <w:top w:val="single" w:sz="4" w:space="0" w:color="auto"/>
              <w:left w:val="single" w:sz="4" w:space="0" w:color="auto"/>
              <w:bottom w:val="single" w:sz="4" w:space="0" w:color="auto"/>
              <w:right w:val="single" w:sz="4" w:space="0" w:color="auto"/>
            </w:tcBorders>
          </w:tcPr>
          <w:p w14:paraId="641EE577" w14:textId="1FB94232" w:rsidR="006E25F7" w:rsidRPr="00D403F5" w:rsidRDefault="006E25F7" w:rsidP="00A22F25">
            <w:pPr>
              <w:suppressAutoHyphens/>
              <w:spacing w:before="120" w:after="120"/>
              <w:jc w:val="center"/>
              <w:rPr>
                <w:rFonts w:ascii="Times New Roman" w:eastAsia="MS Mincho" w:hAnsi="Times New Roman" w:cs="Times New Roman"/>
                <w:sz w:val="18"/>
                <w:szCs w:val="18"/>
                <w:highlight w:val="yellow"/>
                <w:lang w:eastAsia="fr-FR"/>
              </w:rPr>
            </w:pPr>
            <w:r w:rsidRPr="00D403F5">
              <w:rPr>
                <w:rFonts w:ascii="Times New Roman" w:eastAsia="MS Mincho" w:hAnsi="Times New Roman" w:cs="Times New Roman"/>
                <w:sz w:val="18"/>
                <w:szCs w:val="18"/>
                <w:lang w:eastAsia="fr-FR"/>
              </w:rPr>
              <w:t xml:space="preserve">Annex </w:t>
            </w:r>
            <w:r w:rsidR="00E230FF" w:rsidRPr="00D403F5">
              <w:rPr>
                <w:rFonts w:ascii="Times New Roman" w:eastAsia="MS Mincho" w:hAnsi="Times New Roman" w:cs="Times New Roman"/>
                <w:sz w:val="18"/>
                <w:szCs w:val="18"/>
                <w:lang w:eastAsia="fr-FR"/>
              </w:rPr>
              <w:t>10</w:t>
            </w:r>
          </w:p>
        </w:tc>
        <w:tc>
          <w:tcPr>
            <w:tcW w:w="1135" w:type="dxa"/>
            <w:tcBorders>
              <w:top w:val="single" w:sz="4" w:space="0" w:color="auto"/>
              <w:left w:val="single" w:sz="4" w:space="0" w:color="auto"/>
              <w:bottom w:val="single" w:sz="4" w:space="0" w:color="auto"/>
              <w:right w:val="single" w:sz="4" w:space="0" w:color="auto"/>
            </w:tcBorders>
          </w:tcPr>
          <w:p w14:paraId="1055E102" w14:textId="26073E85" w:rsidR="006E25F7"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83</w:t>
            </w:r>
          </w:p>
        </w:tc>
      </w:tr>
      <w:tr w:rsidR="006E25F7" w:rsidRPr="00D403F5" w14:paraId="067E7E23"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798B80B4" w14:textId="1843B0EB" w:rsidR="006E25F7" w:rsidRPr="00D403F5" w:rsidRDefault="00BC2F2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6.8.2.</w:t>
            </w:r>
          </w:p>
        </w:tc>
        <w:tc>
          <w:tcPr>
            <w:tcW w:w="5556" w:type="dxa"/>
            <w:tcBorders>
              <w:top w:val="single" w:sz="4" w:space="0" w:color="auto"/>
              <w:left w:val="single" w:sz="4" w:space="0" w:color="auto"/>
              <w:bottom w:val="single" w:sz="4" w:space="0" w:color="auto"/>
              <w:right w:val="single" w:sz="4" w:space="0" w:color="auto"/>
            </w:tcBorders>
          </w:tcPr>
          <w:p w14:paraId="77D5618A" w14:textId="3B761EE3" w:rsidR="006E25F7" w:rsidRPr="00D403F5" w:rsidRDefault="006E25F7" w:rsidP="001041C6">
            <w:pPr>
              <w:pStyle w:val="Web"/>
              <w:spacing w:before="120" w:beforeAutospacing="0" w:after="120" w:afterAutospacing="0"/>
              <w:rPr>
                <w:sz w:val="18"/>
                <w:szCs w:val="18"/>
                <w:lang w:val="en-IE" w:bidi="en-US"/>
              </w:rPr>
            </w:pPr>
            <w:bookmarkStart w:id="3" w:name="_Hlk23264232"/>
            <w:r w:rsidRPr="00D403F5">
              <w:rPr>
                <w:sz w:val="18"/>
                <w:szCs w:val="18"/>
                <w:lang w:val="en-IE" w:bidi="en-US"/>
              </w:rPr>
              <w:t xml:space="preserve">New draft Chapter 2.1.X. Infection with </w:t>
            </w:r>
            <w:r w:rsidRPr="00D403F5">
              <w:rPr>
                <w:i/>
                <w:iCs/>
                <w:sz w:val="18"/>
                <w:szCs w:val="18"/>
                <w:lang w:val="en-IE" w:bidi="en-US"/>
              </w:rPr>
              <w:t>Batrachochytrium salamandrivorans</w:t>
            </w:r>
            <w:bookmarkEnd w:id="3"/>
          </w:p>
        </w:tc>
        <w:tc>
          <w:tcPr>
            <w:tcW w:w="1531" w:type="dxa"/>
            <w:tcBorders>
              <w:top w:val="single" w:sz="4" w:space="0" w:color="auto"/>
              <w:left w:val="single" w:sz="4" w:space="0" w:color="auto"/>
              <w:bottom w:val="single" w:sz="4" w:space="0" w:color="auto"/>
              <w:right w:val="single" w:sz="4" w:space="0" w:color="auto"/>
            </w:tcBorders>
          </w:tcPr>
          <w:p w14:paraId="500BD78E" w14:textId="36A20C4E" w:rsidR="006E25F7" w:rsidRPr="00D403F5" w:rsidRDefault="006E25F7" w:rsidP="00A22F25">
            <w:pPr>
              <w:suppressAutoHyphens/>
              <w:spacing w:before="120" w:after="120"/>
              <w:jc w:val="center"/>
              <w:rPr>
                <w:rFonts w:ascii="Times New Roman" w:eastAsia="MS Mincho" w:hAnsi="Times New Roman" w:cs="Times New Roman"/>
                <w:sz w:val="18"/>
                <w:szCs w:val="18"/>
                <w:highlight w:val="yellow"/>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11</w:t>
            </w:r>
          </w:p>
        </w:tc>
        <w:tc>
          <w:tcPr>
            <w:tcW w:w="1135" w:type="dxa"/>
            <w:tcBorders>
              <w:top w:val="single" w:sz="4" w:space="0" w:color="auto"/>
              <w:left w:val="single" w:sz="4" w:space="0" w:color="auto"/>
              <w:bottom w:val="single" w:sz="4" w:space="0" w:color="auto"/>
              <w:right w:val="single" w:sz="4" w:space="0" w:color="auto"/>
            </w:tcBorders>
          </w:tcPr>
          <w:p w14:paraId="71593621" w14:textId="7EF62EFB" w:rsidR="006E25F7"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105</w:t>
            </w:r>
          </w:p>
        </w:tc>
      </w:tr>
      <w:tr w:rsidR="006E25F7" w:rsidRPr="00D403F5" w14:paraId="4F8D72B2"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55CB47CD" w14:textId="786F61F7" w:rsidR="006E25F7" w:rsidRPr="00D403F5" w:rsidRDefault="00BC2F2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6.8.3.</w:t>
            </w:r>
          </w:p>
        </w:tc>
        <w:tc>
          <w:tcPr>
            <w:tcW w:w="5556" w:type="dxa"/>
            <w:tcBorders>
              <w:top w:val="single" w:sz="4" w:space="0" w:color="auto"/>
              <w:left w:val="single" w:sz="4" w:space="0" w:color="auto"/>
              <w:bottom w:val="single" w:sz="4" w:space="0" w:color="auto"/>
              <w:right w:val="single" w:sz="4" w:space="0" w:color="auto"/>
            </w:tcBorders>
          </w:tcPr>
          <w:p w14:paraId="728E76A2" w14:textId="44374A31" w:rsidR="006E25F7" w:rsidRPr="00D403F5" w:rsidRDefault="006E25F7" w:rsidP="001041C6">
            <w:pPr>
              <w:pStyle w:val="Web"/>
              <w:spacing w:before="120" w:beforeAutospacing="0" w:after="120" w:afterAutospacing="0"/>
              <w:rPr>
                <w:sz w:val="18"/>
                <w:szCs w:val="18"/>
                <w:lang w:val="en-IE" w:bidi="en-US"/>
              </w:rPr>
            </w:pPr>
            <w:r w:rsidRPr="00D403F5">
              <w:rPr>
                <w:sz w:val="18"/>
                <w:szCs w:val="18"/>
                <w:lang w:val="en-IE"/>
              </w:rPr>
              <w:t xml:space="preserve">Chapter 2.3.4. Infectious haematopoietic necrosis </w:t>
            </w:r>
          </w:p>
        </w:tc>
        <w:tc>
          <w:tcPr>
            <w:tcW w:w="1531" w:type="dxa"/>
            <w:tcBorders>
              <w:top w:val="single" w:sz="4" w:space="0" w:color="auto"/>
              <w:left w:val="single" w:sz="4" w:space="0" w:color="auto"/>
              <w:bottom w:val="single" w:sz="4" w:space="0" w:color="auto"/>
              <w:right w:val="single" w:sz="4" w:space="0" w:color="auto"/>
            </w:tcBorders>
          </w:tcPr>
          <w:p w14:paraId="5E6A2C05" w14:textId="767413C8" w:rsidR="006E25F7" w:rsidRPr="00D403F5" w:rsidRDefault="006E25F7" w:rsidP="00A22F25">
            <w:pPr>
              <w:suppressAutoHyphens/>
              <w:spacing w:before="120" w:after="12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12</w:t>
            </w:r>
          </w:p>
        </w:tc>
        <w:tc>
          <w:tcPr>
            <w:tcW w:w="1135" w:type="dxa"/>
            <w:tcBorders>
              <w:top w:val="single" w:sz="4" w:space="0" w:color="auto"/>
              <w:left w:val="single" w:sz="4" w:space="0" w:color="auto"/>
              <w:bottom w:val="single" w:sz="4" w:space="0" w:color="auto"/>
              <w:right w:val="single" w:sz="4" w:space="0" w:color="auto"/>
            </w:tcBorders>
          </w:tcPr>
          <w:p w14:paraId="2A27AFBB" w14:textId="45755C01" w:rsidR="006E25F7"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121</w:t>
            </w:r>
          </w:p>
        </w:tc>
      </w:tr>
      <w:tr w:rsidR="006E25F7" w:rsidRPr="00D403F5" w14:paraId="3C991F91"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657E279D" w14:textId="72E19A44" w:rsidR="006E25F7" w:rsidRPr="00D403F5" w:rsidRDefault="00BC2F2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6.8.4.</w:t>
            </w:r>
          </w:p>
        </w:tc>
        <w:tc>
          <w:tcPr>
            <w:tcW w:w="5556" w:type="dxa"/>
            <w:tcBorders>
              <w:top w:val="single" w:sz="4" w:space="0" w:color="auto"/>
              <w:left w:val="single" w:sz="4" w:space="0" w:color="auto"/>
              <w:bottom w:val="single" w:sz="4" w:space="0" w:color="auto"/>
              <w:right w:val="single" w:sz="4" w:space="0" w:color="auto"/>
            </w:tcBorders>
          </w:tcPr>
          <w:p w14:paraId="33C2A6B3" w14:textId="17A72A65" w:rsidR="006E25F7" w:rsidRPr="00D403F5" w:rsidRDefault="006E25F7" w:rsidP="001041C6">
            <w:pPr>
              <w:pStyle w:val="Web"/>
              <w:spacing w:before="120" w:beforeAutospacing="0" w:after="120" w:afterAutospacing="0"/>
              <w:rPr>
                <w:sz w:val="18"/>
                <w:szCs w:val="18"/>
                <w:lang w:val="en-IE" w:bidi="en-US"/>
              </w:rPr>
            </w:pPr>
            <w:r w:rsidRPr="00D403F5">
              <w:rPr>
                <w:sz w:val="18"/>
                <w:szCs w:val="18"/>
                <w:lang w:val="en-IE"/>
              </w:rPr>
              <w:t>Chapter 2.3.10. Viral haemorrhagic septicaemia</w:t>
            </w:r>
          </w:p>
        </w:tc>
        <w:tc>
          <w:tcPr>
            <w:tcW w:w="1531" w:type="dxa"/>
            <w:tcBorders>
              <w:top w:val="single" w:sz="4" w:space="0" w:color="auto"/>
              <w:left w:val="single" w:sz="4" w:space="0" w:color="auto"/>
              <w:bottom w:val="single" w:sz="4" w:space="0" w:color="auto"/>
              <w:right w:val="single" w:sz="4" w:space="0" w:color="auto"/>
            </w:tcBorders>
          </w:tcPr>
          <w:p w14:paraId="4D81F3BF" w14:textId="714C79A0" w:rsidR="006E25F7" w:rsidRPr="00D403F5" w:rsidRDefault="006E25F7" w:rsidP="00A22F25">
            <w:pPr>
              <w:suppressAutoHyphens/>
              <w:spacing w:before="120" w:after="12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Annex</w:t>
            </w:r>
            <w:r w:rsidR="00E230FF" w:rsidRPr="00D403F5">
              <w:rPr>
                <w:rFonts w:ascii="Times New Roman" w:eastAsia="MS Mincho" w:hAnsi="Times New Roman" w:cs="Times New Roman"/>
                <w:sz w:val="18"/>
                <w:szCs w:val="18"/>
                <w:lang w:eastAsia="fr-FR"/>
              </w:rPr>
              <w:t xml:space="preserve"> 13</w:t>
            </w:r>
          </w:p>
        </w:tc>
        <w:tc>
          <w:tcPr>
            <w:tcW w:w="1135" w:type="dxa"/>
            <w:tcBorders>
              <w:top w:val="single" w:sz="4" w:space="0" w:color="auto"/>
              <w:left w:val="single" w:sz="4" w:space="0" w:color="auto"/>
              <w:bottom w:val="single" w:sz="4" w:space="0" w:color="auto"/>
              <w:right w:val="single" w:sz="4" w:space="0" w:color="auto"/>
            </w:tcBorders>
          </w:tcPr>
          <w:p w14:paraId="0D70D49C" w14:textId="42575FC4" w:rsidR="006E25F7" w:rsidRPr="00951F46" w:rsidRDefault="00951F46" w:rsidP="00951F46">
            <w:pPr>
              <w:suppressAutoHyphens/>
              <w:spacing w:before="120" w:after="120"/>
              <w:jc w:val="center"/>
              <w:rPr>
                <w:rFonts w:ascii="Times New Roman" w:eastAsia="MS Mincho" w:hAnsi="Times New Roman" w:cs="Times New Roman"/>
                <w:sz w:val="18"/>
                <w:szCs w:val="18"/>
                <w:lang w:eastAsia="fr-FR"/>
              </w:rPr>
            </w:pPr>
            <w:r w:rsidRPr="00951F46">
              <w:rPr>
                <w:rFonts w:ascii="Times New Roman" w:eastAsia="MS Mincho" w:hAnsi="Times New Roman" w:cs="Times New Roman"/>
                <w:sz w:val="18"/>
                <w:szCs w:val="18"/>
                <w:lang w:eastAsia="fr-FR"/>
              </w:rPr>
              <w:t>141</w:t>
            </w:r>
          </w:p>
        </w:tc>
      </w:tr>
      <w:tr w:rsidR="006E25F7" w:rsidRPr="00D403F5" w14:paraId="74395E7A"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9AB038" w14:textId="6AFCA28E" w:rsidR="006E25F7" w:rsidRPr="00D403F5" w:rsidRDefault="00BC2F28"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7</w:t>
            </w:r>
          </w:p>
        </w:tc>
        <w:tc>
          <w:tcPr>
            <w:tcW w:w="55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671216" w14:textId="5FBEC8D4" w:rsidR="006E25F7" w:rsidRPr="00D403F5" w:rsidRDefault="006E25F7" w:rsidP="001041C6">
            <w:pPr>
              <w:pStyle w:val="Web"/>
              <w:spacing w:before="120" w:beforeAutospacing="0" w:after="120" w:afterAutospacing="0"/>
              <w:rPr>
                <w:b/>
                <w:bCs/>
                <w:sz w:val="18"/>
                <w:szCs w:val="18"/>
                <w:lang w:val="en-IE"/>
              </w:rPr>
            </w:pPr>
            <w:r w:rsidRPr="00D403F5">
              <w:rPr>
                <w:b/>
                <w:bCs/>
                <w:sz w:val="18"/>
                <w:szCs w:val="18"/>
                <w:lang w:val="en-IE"/>
              </w:rPr>
              <w:t xml:space="preserve">Items for </w:t>
            </w:r>
            <w:r w:rsidR="00DB2AF1" w:rsidRPr="00D403F5">
              <w:rPr>
                <w:b/>
                <w:bCs/>
                <w:sz w:val="18"/>
                <w:szCs w:val="18"/>
                <w:lang w:val="en-IE"/>
              </w:rPr>
              <w:t xml:space="preserve">Member </w:t>
            </w:r>
            <w:r w:rsidRPr="00D403F5">
              <w:rPr>
                <w:b/>
                <w:bCs/>
                <w:sz w:val="18"/>
                <w:szCs w:val="18"/>
                <w:lang w:val="en-IE"/>
              </w:rPr>
              <w:t>information</w:t>
            </w:r>
          </w:p>
        </w:tc>
        <w:tc>
          <w:tcPr>
            <w:tcW w:w="15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2DA33F" w14:textId="77777777" w:rsidR="006E25F7" w:rsidRPr="00D403F5" w:rsidRDefault="006E25F7" w:rsidP="001041C6">
            <w:pPr>
              <w:suppressAutoHyphens/>
              <w:spacing w:before="120" w:after="120"/>
              <w:rPr>
                <w:rFonts w:ascii="Times New Roman" w:eastAsia="MS Mincho" w:hAnsi="Times New Roman" w:cs="Times New Roman"/>
                <w:sz w:val="18"/>
                <w:szCs w:val="18"/>
                <w:lang w:eastAsia="fr-FR"/>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DC65C6" w14:textId="77777777" w:rsidR="006E25F7" w:rsidRPr="00D403F5" w:rsidRDefault="006E25F7" w:rsidP="001041C6">
            <w:pPr>
              <w:suppressAutoHyphens/>
              <w:spacing w:before="120" w:after="120" w:line="120" w:lineRule="atLeast"/>
              <w:rPr>
                <w:rFonts w:ascii="Times New Roman" w:hAnsi="Times New Roman" w:cs="Times New Roman"/>
                <w:b/>
                <w:bCs/>
                <w:noProof/>
                <w:sz w:val="18"/>
                <w:szCs w:val="18"/>
              </w:rPr>
            </w:pPr>
          </w:p>
        </w:tc>
      </w:tr>
      <w:tr w:rsidR="006E25F7" w:rsidRPr="00D403F5" w14:paraId="4DE0E926"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3DD94EBC" w14:textId="2D1CC054" w:rsidR="006E25F7" w:rsidRPr="00D403F5" w:rsidRDefault="00BC2F28" w:rsidP="001041C6">
            <w:pPr>
              <w:suppressAutoHyphens/>
              <w:spacing w:before="120" w:after="120"/>
              <w:rPr>
                <w:rFonts w:ascii="Times New Roman" w:eastAsia="MS Mincho" w:hAnsi="Times New Roman" w:cs="Times New Roman"/>
                <w:bCs/>
                <w:sz w:val="18"/>
                <w:szCs w:val="18"/>
                <w:lang w:eastAsia="fr-FR"/>
              </w:rPr>
            </w:pPr>
            <w:r w:rsidRPr="00D403F5">
              <w:rPr>
                <w:rFonts w:ascii="Times New Roman" w:hAnsi="Times New Roman" w:cs="Times New Roman"/>
                <w:bCs/>
                <w:sz w:val="18"/>
                <w:szCs w:val="18"/>
                <w:lang w:val="en-IE"/>
              </w:rPr>
              <w:t>7</w:t>
            </w:r>
            <w:r w:rsidR="00DE4CE0" w:rsidRPr="00D403F5">
              <w:rPr>
                <w:rFonts w:ascii="Times New Roman" w:hAnsi="Times New Roman" w:cs="Times New Roman"/>
                <w:bCs/>
                <w:sz w:val="18"/>
                <w:szCs w:val="18"/>
                <w:lang w:val="en-IE"/>
              </w:rPr>
              <w:t xml:space="preserve">.1. </w:t>
            </w:r>
          </w:p>
        </w:tc>
        <w:tc>
          <w:tcPr>
            <w:tcW w:w="5556" w:type="dxa"/>
            <w:tcBorders>
              <w:top w:val="single" w:sz="4" w:space="0" w:color="auto"/>
              <w:left w:val="single" w:sz="4" w:space="0" w:color="auto"/>
              <w:bottom w:val="single" w:sz="4" w:space="0" w:color="auto"/>
              <w:right w:val="single" w:sz="4" w:space="0" w:color="auto"/>
            </w:tcBorders>
          </w:tcPr>
          <w:p w14:paraId="54AE4DAC" w14:textId="6E695B80" w:rsidR="006E25F7" w:rsidRPr="00D403F5" w:rsidRDefault="006E25F7" w:rsidP="001041C6">
            <w:pPr>
              <w:pStyle w:val="Web"/>
              <w:spacing w:before="120" w:beforeAutospacing="0" w:after="120" w:afterAutospacing="0"/>
              <w:rPr>
                <w:sz w:val="18"/>
                <w:szCs w:val="18"/>
                <w:lang w:val="en-IE"/>
              </w:rPr>
            </w:pPr>
            <w:bookmarkStart w:id="4" w:name="_Hlk23264568"/>
            <w:r w:rsidRPr="00D403F5">
              <w:rPr>
                <w:sz w:val="18"/>
                <w:szCs w:val="18"/>
                <w:lang w:val="en-IE"/>
              </w:rPr>
              <w:t>Glossary definitions for ‘Competent Authority’, ‘Veterinary Authority’ and ‘Veterinary Services’. Information about work in the Terrestrial Code Commission.</w:t>
            </w:r>
            <w:bookmarkEnd w:id="4"/>
          </w:p>
        </w:tc>
        <w:tc>
          <w:tcPr>
            <w:tcW w:w="1531" w:type="dxa"/>
            <w:tcBorders>
              <w:top w:val="single" w:sz="4" w:space="0" w:color="auto"/>
              <w:left w:val="single" w:sz="4" w:space="0" w:color="auto"/>
              <w:bottom w:val="single" w:sz="4" w:space="0" w:color="auto"/>
              <w:right w:val="single" w:sz="4" w:space="0" w:color="auto"/>
            </w:tcBorders>
          </w:tcPr>
          <w:p w14:paraId="3DE6B559" w14:textId="037B3FED" w:rsidR="006E25F7" w:rsidRPr="00D403F5" w:rsidRDefault="006E25F7" w:rsidP="001041C6">
            <w:pPr>
              <w:suppressAutoHyphens/>
              <w:spacing w:before="120" w:after="120"/>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w:t>
            </w:r>
          </w:p>
        </w:tc>
        <w:tc>
          <w:tcPr>
            <w:tcW w:w="1135" w:type="dxa"/>
            <w:tcBorders>
              <w:top w:val="single" w:sz="4" w:space="0" w:color="auto"/>
              <w:left w:val="single" w:sz="4" w:space="0" w:color="auto"/>
              <w:bottom w:val="single" w:sz="4" w:space="0" w:color="auto"/>
              <w:right w:val="single" w:sz="4" w:space="0" w:color="auto"/>
            </w:tcBorders>
          </w:tcPr>
          <w:p w14:paraId="56C7E675" w14:textId="77777777" w:rsidR="006E25F7" w:rsidRPr="00D403F5" w:rsidRDefault="006E25F7" w:rsidP="001041C6">
            <w:pPr>
              <w:suppressAutoHyphens/>
              <w:spacing w:before="120" w:after="120" w:line="120" w:lineRule="atLeast"/>
              <w:rPr>
                <w:rFonts w:ascii="Times New Roman" w:hAnsi="Times New Roman" w:cs="Times New Roman"/>
                <w:b/>
                <w:bCs/>
                <w:noProof/>
                <w:sz w:val="18"/>
                <w:szCs w:val="18"/>
              </w:rPr>
            </w:pPr>
          </w:p>
        </w:tc>
      </w:tr>
      <w:tr w:rsidR="00951F46" w:rsidRPr="00D403F5" w14:paraId="50F95484"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2622E2" w14:textId="710731E3" w:rsidR="00951F46" w:rsidRPr="00D403F5" w:rsidRDefault="00951F46" w:rsidP="00951F46">
            <w:pPr>
              <w:suppressAutoHyphens/>
              <w:spacing w:before="120" w:after="120"/>
              <w:rPr>
                <w:rFonts w:ascii="Times New Roman" w:hAnsi="Times New Roman" w:cs="Times New Roman"/>
                <w:sz w:val="18"/>
                <w:szCs w:val="18"/>
                <w:lang w:val="en-IE"/>
              </w:rPr>
            </w:pPr>
            <w:r w:rsidRPr="00D403F5">
              <w:rPr>
                <w:rFonts w:ascii="Times New Roman" w:eastAsia="MS Mincho" w:hAnsi="Times New Roman" w:cs="Times New Roman"/>
                <w:sz w:val="18"/>
                <w:szCs w:val="18"/>
                <w:lang w:eastAsia="fr-FR"/>
              </w:rPr>
              <w:lastRenderedPageBreak/>
              <w:t>7</w:t>
            </w:r>
          </w:p>
        </w:tc>
        <w:tc>
          <w:tcPr>
            <w:tcW w:w="55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153814" w14:textId="3C11D291" w:rsidR="00951F46" w:rsidRPr="00D403F5" w:rsidRDefault="00951F46" w:rsidP="001041C6">
            <w:pPr>
              <w:pStyle w:val="Web"/>
              <w:spacing w:before="160" w:beforeAutospacing="0" w:after="160" w:afterAutospacing="0"/>
              <w:rPr>
                <w:sz w:val="18"/>
                <w:szCs w:val="18"/>
                <w:lang w:val="en-IE"/>
              </w:rPr>
            </w:pPr>
            <w:r w:rsidRPr="00D403F5">
              <w:rPr>
                <w:b/>
                <w:bCs/>
                <w:sz w:val="18"/>
                <w:szCs w:val="18"/>
                <w:lang w:val="en-IE"/>
              </w:rPr>
              <w:t>Items for Member information</w:t>
            </w:r>
          </w:p>
        </w:tc>
        <w:tc>
          <w:tcPr>
            <w:tcW w:w="15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153A66" w14:textId="77777777" w:rsidR="00951F46" w:rsidRPr="00D403F5" w:rsidRDefault="00951F46" w:rsidP="001041C6">
            <w:pPr>
              <w:suppressAutoHyphens/>
              <w:spacing w:before="160"/>
              <w:rPr>
                <w:rFonts w:ascii="Times New Roman" w:hAnsi="Times New Roman" w:cs="Times New Roman"/>
                <w:bCs/>
                <w:noProof/>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6E1A72" w14:textId="77777777" w:rsidR="00951F46" w:rsidRPr="00D403F5" w:rsidRDefault="00951F46" w:rsidP="001041C6">
            <w:pPr>
              <w:suppressAutoHyphens/>
              <w:spacing w:before="160" w:line="120" w:lineRule="atLeast"/>
              <w:rPr>
                <w:rFonts w:ascii="Times New Roman" w:hAnsi="Times New Roman" w:cs="Times New Roman"/>
                <w:b/>
                <w:bCs/>
                <w:noProof/>
                <w:sz w:val="18"/>
                <w:szCs w:val="18"/>
              </w:rPr>
            </w:pPr>
          </w:p>
        </w:tc>
      </w:tr>
      <w:tr w:rsidR="00C57977" w:rsidRPr="00D403F5" w14:paraId="761535A8"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5A31ED85" w14:textId="36B5ECB2" w:rsidR="00C57977" w:rsidRPr="00D403F5" w:rsidRDefault="00C57977" w:rsidP="001041C6">
            <w:pPr>
              <w:suppressAutoHyphens/>
              <w:spacing w:before="160"/>
              <w:rPr>
                <w:rFonts w:ascii="Times New Roman" w:hAnsi="Times New Roman" w:cs="Times New Roman"/>
                <w:noProof/>
                <w:sz w:val="18"/>
                <w:szCs w:val="18"/>
              </w:rPr>
            </w:pPr>
            <w:r w:rsidRPr="00D403F5">
              <w:rPr>
                <w:rFonts w:ascii="Times New Roman" w:hAnsi="Times New Roman" w:cs="Times New Roman"/>
                <w:sz w:val="18"/>
                <w:szCs w:val="18"/>
                <w:lang w:val="en-IE"/>
              </w:rPr>
              <w:t>7.2.</w:t>
            </w:r>
          </w:p>
        </w:tc>
        <w:tc>
          <w:tcPr>
            <w:tcW w:w="5556" w:type="dxa"/>
            <w:tcBorders>
              <w:top w:val="single" w:sz="4" w:space="0" w:color="auto"/>
              <w:left w:val="single" w:sz="4" w:space="0" w:color="auto"/>
              <w:bottom w:val="single" w:sz="4" w:space="0" w:color="auto"/>
              <w:right w:val="single" w:sz="4" w:space="0" w:color="auto"/>
            </w:tcBorders>
          </w:tcPr>
          <w:p w14:paraId="4871E8A6" w14:textId="5AA74C00" w:rsidR="00C57977" w:rsidRPr="00D403F5" w:rsidRDefault="00C57977" w:rsidP="001041C6">
            <w:pPr>
              <w:pStyle w:val="Web"/>
              <w:spacing w:before="160" w:beforeAutospacing="0" w:after="160" w:afterAutospacing="0"/>
              <w:rPr>
                <w:rFonts w:eastAsia="MS Mincho"/>
                <w:sz w:val="18"/>
                <w:szCs w:val="18"/>
                <w:lang w:val="en-IE" w:eastAsia="ja-JP"/>
              </w:rPr>
            </w:pPr>
            <w:r w:rsidRPr="00D403F5">
              <w:rPr>
                <w:sz w:val="18"/>
                <w:szCs w:val="18"/>
                <w:lang w:val="en-IE"/>
              </w:rPr>
              <w:t>Acute hepatopancreatic necrosis disease (AHPND) (Chapter 9.1.)</w:t>
            </w:r>
          </w:p>
        </w:tc>
        <w:tc>
          <w:tcPr>
            <w:tcW w:w="1531" w:type="dxa"/>
            <w:tcBorders>
              <w:top w:val="single" w:sz="4" w:space="0" w:color="auto"/>
              <w:left w:val="single" w:sz="4" w:space="0" w:color="auto"/>
              <w:bottom w:val="single" w:sz="4" w:space="0" w:color="auto"/>
              <w:right w:val="single" w:sz="4" w:space="0" w:color="auto"/>
            </w:tcBorders>
          </w:tcPr>
          <w:p w14:paraId="54F70045" w14:textId="5F1B8DE4" w:rsidR="00C57977" w:rsidRPr="00D403F5" w:rsidRDefault="00C57977" w:rsidP="00A22F25">
            <w:pPr>
              <w:suppressAutoHyphens/>
              <w:spacing w:before="160"/>
              <w:jc w:val="center"/>
              <w:rPr>
                <w:rFonts w:ascii="Times New Roman" w:hAnsi="Times New Roman" w:cs="Times New Roman"/>
                <w:bCs/>
                <w:noProof/>
                <w:sz w:val="18"/>
                <w:szCs w:val="18"/>
              </w:rPr>
            </w:pPr>
            <w:r w:rsidRPr="00D403F5">
              <w:rPr>
                <w:rFonts w:ascii="Times New Roman" w:hAnsi="Times New Roman" w:cs="Times New Roman"/>
                <w:bCs/>
                <w:noProof/>
                <w:sz w:val="18"/>
                <w:szCs w:val="18"/>
              </w:rPr>
              <w:t>-</w:t>
            </w:r>
          </w:p>
        </w:tc>
        <w:tc>
          <w:tcPr>
            <w:tcW w:w="1135" w:type="dxa"/>
            <w:tcBorders>
              <w:top w:val="single" w:sz="4" w:space="0" w:color="auto"/>
              <w:left w:val="single" w:sz="4" w:space="0" w:color="auto"/>
              <w:bottom w:val="single" w:sz="4" w:space="0" w:color="auto"/>
              <w:right w:val="single" w:sz="4" w:space="0" w:color="auto"/>
            </w:tcBorders>
          </w:tcPr>
          <w:p w14:paraId="22D23A59" w14:textId="77777777" w:rsidR="00C57977" w:rsidRPr="00D403F5" w:rsidRDefault="00C57977" w:rsidP="001041C6">
            <w:pPr>
              <w:suppressAutoHyphens/>
              <w:spacing w:before="160" w:line="120" w:lineRule="atLeast"/>
              <w:rPr>
                <w:rFonts w:ascii="Times New Roman" w:hAnsi="Times New Roman" w:cs="Times New Roman"/>
                <w:b/>
                <w:bCs/>
                <w:noProof/>
                <w:sz w:val="18"/>
                <w:szCs w:val="18"/>
              </w:rPr>
            </w:pPr>
          </w:p>
        </w:tc>
      </w:tr>
      <w:tr w:rsidR="00C57977" w:rsidRPr="00D403F5" w14:paraId="2CFF1FBB"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014AD66D" w14:textId="754DAD7A" w:rsidR="00C57977" w:rsidRPr="00D403F5" w:rsidRDefault="00C57977" w:rsidP="001041C6">
            <w:pPr>
              <w:suppressAutoHyphens/>
              <w:spacing w:before="160"/>
              <w:rPr>
                <w:rFonts w:ascii="Times New Roman" w:hAnsi="Times New Roman" w:cs="Times New Roman"/>
                <w:bCs/>
                <w:noProof/>
                <w:sz w:val="18"/>
                <w:szCs w:val="18"/>
              </w:rPr>
            </w:pPr>
            <w:r w:rsidRPr="00D403F5">
              <w:rPr>
                <w:rFonts w:ascii="Times New Roman" w:hAnsi="Times New Roman" w:cs="Times New Roman"/>
                <w:bCs/>
                <w:noProof/>
                <w:sz w:val="18"/>
                <w:szCs w:val="18"/>
              </w:rPr>
              <w:t>7.3.</w:t>
            </w:r>
          </w:p>
        </w:tc>
        <w:tc>
          <w:tcPr>
            <w:tcW w:w="5556" w:type="dxa"/>
            <w:tcBorders>
              <w:top w:val="single" w:sz="4" w:space="0" w:color="auto"/>
              <w:left w:val="single" w:sz="4" w:space="0" w:color="auto"/>
              <w:bottom w:val="single" w:sz="4" w:space="0" w:color="auto"/>
              <w:right w:val="single" w:sz="4" w:space="0" w:color="auto"/>
            </w:tcBorders>
          </w:tcPr>
          <w:p w14:paraId="2F10D78F" w14:textId="30280BCE" w:rsidR="00C57977" w:rsidRPr="00D403F5" w:rsidRDefault="00C57977" w:rsidP="001041C6">
            <w:pPr>
              <w:pStyle w:val="Web"/>
              <w:spacing w:before="160" w:beforeAutospacing="0" w:after="160" w:afterAutospacing="0"/>
              <w:rPr>
                <w:sz w:val="18"/>
                <w:szCs w:val="18"/>
                <w:lang w:val="en-IE"/>
              </w:rPr>
            </w:pPr>
            <w:r w:rsidRPr="00D403F5">
              <w:rPr>
                <w:rFonts w:eastAsia="MS Mincho"/>
                <w:sz w:val="18"/>
                <w:szCs w:val="18"/>
                <w:lang w:val="en-IE" w:eastAsia="ja-JP"/>
              </w:rPr>
              <w:t>Assessment for Infection with Decapod iridescent virus-1 (DIV1) against the criteria for listing an aquatic animal disease (Chapter 1.2.)</w:t>
            </w:r>
          </w:p>
        </w:tc>
        <w:tc>
          <w:tcPr>
            <w:tcW w:w="1531" w:type="dxa"/>
            <w:tcBorders>
              <w:top w:val="single" w:sz="4" w:space="0" w:color="auto"/>
              <w:left w:val="single" w:sz="4" w:space="0" w:color="auto"/>
              <w:bottom w:val="single" w:sz="4" w:space="0" w:color="auto"/>
              <w:right w:val="single" w:sz="4" w:space="0" w:color="auto"/>
            </w:tcBorders>
          </w:tcPr>
          <w:p w14:paraId="342A5920" w14:textId="4EF75E6F" w:rsidR="00C57977" w:rsidRPr="00D403F5" w:rsidRDefault="00C57977" w:rsidP="00A22F25">
            <w:pPr>
              <w:suppressAutoHyphens/>
              <w:spacing w:before="160"/>
              <w:jc w:val="center"/>
              <w:rPr>
                <w:rFonts w:ascii="Times New Roman" w:hAnsi="Times New Roman" w:cs="Times New Roman"/>
                <w:bCs/>
                <w:noProof/>
                <w:sz w:val="18"/>
                <w:szCs w:val="18"/>
              </w:rPr>
            </w:pPr>
            <w:r w:rsidRPr="00D403F5">
              <w:rPr>
                <w:rFonts w:ascii="Times New Roman" w:hAnsi="Times New Roman" w:cs="Times New Roman"/>
                <w:bCs/>
                <w:noProof/>
                <w:sz w:val="18"/>
                <w:szCs w:val="18"/>
              </w:rPr>
              <w:t>Annex</w:t>
            </w:r>
            <w:r w:rsidR="00E230FF" w:rsidRPr="00D403F5">
              <w:rPr>
                <w:rFonts w:ascii="Times New Roman" w:hAnsi="Times New Roman" w:cs="Times New Roman"/>
                <w:bCs/>
                <w:noProof/>
                <w:sz w:val="18"/>
                <w:szCs w:val="18"/>
              </w:rPr>
              <w:t xml:space="preserve"> 14</w:t>
            </w:r>
          </w:p>
        </w:tc>
        <w:tc>
          <w:tcPr>
            <w:tcW w:w="1135" w:type="dxa"/>
            <w:tcBorders>
              <w:top w:val="single" w:sz="4" w:space="0" w:color="auto"/>
              <w:left w:val="single" w:sz="4" w:space="0" w:color="auto"/>
              <w:bottom w:val="single" w:sz="4" w:space="0" w:color="auto"/>
              <w:right w:val="single" w:sz="4" w:space="0" w:color="auto"/>
            </w:tcBorders>
          </w:tcPr>
          <w:p w14:paraId="57A9ED3D" w14:textId="6DDD023C" w:rsidR="00C57977" w:rsidRPr="00A22F25" w:rsidRDefault="00A22F25" w:rsidP="00A22F25">
            <w:pPr>
              <w:suppressAutoHyphens/>
              <w:spacing w:before="160" w:line="120" w:lineRule="atLeast"/>
              <w:jc w:val="center"/>
              <w:rPr>
                <w:rFonts w:ascii="Times New Roman" w:hAnsi="Times New Roman" w:cs="Times New Roman"/>
                <w:bCs/>
                <w:noProof/>
                <w:sz w:val="18"/>
                <w:szCs w:val="18"/>
              </w:rPr>
            </w:pPr>
            <w:r w:rsidRPr="00A22F25">
              <w:rPr>
                <w:rFonts w:ascii="Times New Roman" w:hAnsi="Times New Roman" w:cs="Times New Roman"/>
                <w:bCs/>
                <w:noProof/>
                <w:sz w:val="18"/>
                <w:szCs w:val="18"/>
              </w:rPr>
              <w:t>167</w:t>
            </w:r>
          </w:p>
        </w:tc>
      </w:tr>
      <w:tr w:rsidR="00C57977" w:rsidRPr="00D403F5" w14:paraId="74127764"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3F7288AB" w14:textId="40051C5A" w:rsidR="00C57977" w:rsidRPr="00D403F5" w:rsidRDefault="00C57977" w:rsidP="001041C6">
            <w:pPr>
              <w:suppressAutoHyphens/>
              <w:spacing w:before="160"/>
              <w:rPr>
                <w:rFonts w:ascii="Times New Roman" w:hAnsi="Times New Roman" w:cs="Times New Roman"/>
                <w:sz w:val="18"/>
                <w:szCs w:val="18"/>
                <w:lang w:val="en-IE"/>
              </w:rPr>
            </w:pPr>
            <w:r w:rsidRPr="00D403F5">
              <w:rPr>
                <w:rFonts w:ascii="Times New Roman" w:hAnsi="Times New Roman" w:cs="Times New Roman"/>
                <w:bCs/>
                <w:noProof/>
                <w:sz w:val="18"/>
                <w:szCs w:val="18"/>
              </w:rPr>
              <w:t xml:space="preserve">7.4. </w:t>
            </w:r>
          </w:p>
        </w:tc>
        <w:tc>
          <w:tcPr>
            <w:tcW w:w="5556" w:type="dxa"/>
            <w:tcBorders>
              <w:top w:val="single" w:sz="4" w:space="0" w:color="auto"/>
              <w:left w:val="single" w:sz="4" w:space="0" w:color="auto"/>
              <w:bottom w:val="single" w:sz="4" w:space="0" w:color="auto"/>
              <w:right w:val="single" w:sz="4" w:space="0" w:color="auto"/>
            </w:tcBorders>
          </w:tcPr>
          <w:p w14:paraId="27F1D6DF" w14:textId="5C98C8AA" w:rsidR="00C57977" w:rsidRPr="00D403F5" w:rsidRDefault="00C57977" w:rsidP="001041C6">
            <w:pPr>
              <w:pStyle w:val="Web"/>
              <w:spacing w:before="160" w:beforeAutospacing="0" w:after="160" w:afterAutospacing="0"/>
              <w:rPr>
                <w:sz w:val="18"/>
                <w:szCs w:val="18"/>
                <w:lang w:val="en-IE"/>
              </w:rPr>
            </w:pPr>
            <w:bookmarkStart w:id="5" w:name="_Hlk23264589"/>
            <w:r w:rsidRPr="00D403F5">
              <w:rPr>
                <w:sz w:val="18"/>
                <w:szCs w:val="18"/>
                <w:lang w:val="en-IE"/>
              </w:rPr>
              <w:t xml:space="preserve">Report of the </w:t>
            </w:r>
            <w:r w:rsidRPr="00D403F5">
              <w:rPr>
                <w:i/>
                <w:sz w:val="18"/>
                <w:szCs w:val="18"/>
                <w:lang w:val="en-IE"/>
              </w:rPr>
              <w:t>ad hoc</w:t>
            </w:r>
            <w:r w:rsidRPr="00D403F5">
              <w:rPr>
                <w:sz w:val="18"/>
                <w:szCs w:val="18"/>
                <w:lang w:val="en-IE"/>
              </w:rPr>
              <w:t xml:space="preserve"> Group on susceptibility of fish species to infection with OIE listed diseases</w:t>
            </w:r>
            <w:bookmarkEnd w:id="5"/>
          </w:p>
        </w:tc>
        <w:tc>
          <w:tcPr>
            <w:tcW w:w="1531" w:type="dxa"/>
            <w:tcBorders>
              <w:top w:val="single" w:sz="4" w:space="0" w:color="auto"/>
              <w:left w:val="single" w:sz="4" w:space="0" w:color="auto"/>
              <w:bottom w:val="single" w:sz="4" w:space="0" w:color="auto"/>
              <w:right w:val="single" w:sz="4" w:space="0" w:color="auto"/>
            </w:tcBorders>
          </w:tcPr>
          <w:p w14:paraId="03CCFF2F" w14:textId="2FB63C94" w:rsidR="00C57977" w:rsidRPr="00D403F5" w:rsidRDefault="00C57977" w:rsidP="00A22F25">
            <w:pPr>
              <w:suppressAutoHyphens/>
              <w:spacing w:before="160"/>
              <w:jc w:val="center"/>
              <w:rPr>
                <w:rFonts w:ascii="Times New Roman" w:eastAsia="MS Mincho" w:hAnsi="Times New Roman" w:cs="Times New Roman"/>
                <w:sz w:val="18"/>
                <w:szCs w:val="18"/>
                <w:lang w:eastAsia="fr-FR"/>
              </w:rPr>
            </w:pPr>
            <w:r w:rsidRPr="00D403F5">
              <w:rPr>
                <w:rFonts w:ascii="Times New Roman" w:hAnsi="Times New Roman" w:cs="Times New Roman"/>
                <w:bCs/>
                <w:noProof/>
                <w:sz w:val="18"/>
                <w:szCs w:val="18"/>
              </w:rPr>
              <w:t>Annex</w:t>
            </w:r>
            <w:r w:rsidR="00E230FF" w:rsidRPr="00D403F5">
              <w:rPr>
                <w:rFonts w:ascii="Times New Roman" w:hAnsi="Times New Roman" w:cs="Times New Roman"/>
                <w:bCs/>
                <w:noProof/>
                <w:sz w:val="18"/>
                <w:szCs w:val="18"/>
              </w:rPr>
              <w:t xml:space="preserve"> 15</w:t>
            </w:r>
          </w:p>
        </w:tc>
        <w:tc>
          <w:tcPr>
            <w:tcW w:w="1135" w:type="dxa"/>
            <w:tcBorders>
              <w:top w:val="single" w:sz="4" w:space="0" w:color="auto"/>
              <w:left w:val="single" w:sz="4" w:space="0" w:color="auto"/>
              <w:bottom w:val="single" w:sz="4" w:space="0" w:color="auto"/>
              <w:right w:val="single" w:sz="4" w:space="0" w:color="auto"/>
            </w:tcBorders>
          </w:tcPr>
          <w:p w14:paraId="6A665D34" w14:textId="52ABADBC" w:rsidR="00C57977" w:rsidRPr="00A22F25" w:rsidRDefault="00A22F25" w:rsidP="00A22F25">
            <w:pPr>
              <w:suppressAutoHyphens/>
              <w:spacing w:before="160" w:line="120" w:lineRule="atLeast"/>
              <w:jc w:val="center"/>
              <w:rPr>
                <w:rFonts w:ascii="Times New Roman" w:hAnsi="Times New Roman" w:cs="Times New Roman"/>
                <w:bCs/>
                <w:noProof/>
                <w:sz w:val="18"/>
                <w:szCs w:val="18"/>
              </w:rPr>
            </w:pPr>
            <w:r w:rsidRPr="00A22F25">
              <w:rPr>
                <w:rFonts w:ascii="Times New Roman" w:hAnsi="Times New Roman" w:cs="Times New Roman"/>
                <w:bCs/>
                <w:noProof/>
                <w:sz w:val="18"/>
                <w:szCs w:val="18"/>
              </w:rPr>
              <w:t>171</w:t>
            </w:r>
          </w:p>
        </w:tc>
      </w:tr>
      <w:tr w:rsidR="007F6F85" w:rsidRPr="00D403F5" w14:paraId="3A6E3494"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62F2F29E" w14:textId="6CACC035" w:rsidR="007F6F85" w:rsidRPr="00D403F5" w:rsidRDefault="007F6F85" w:rsidP="001041C6">
            <w:pPr>
              <w:suppressAutoHyphens/>
              <w:spacing w:before="160"/>
              <w:rPr>
                <w:rFonts w:ascii="Times New Roman" w:hAnsi="Times New Roman" w:cs="Times New Roman"/>
                <w:sz w:val="18"/>
                <w:szCs w:val="18"/>
                <w:lang w:val="en-IE"/>
              </w:rPr>
            </w:pPr>
            <w:r w:rsidRPr="00D403F5">
              <w:rPr>
                <w:rFonts w:ascii="Times New Roman" w:hAnsi="Times New Roman" w:cs="Times New Roman"/>
                <w:sz w:val="18"/>
                <w:szCs w:val="18"/>
                <w:lang w:val="en-IE"/>
              </w:rPr>
              <w:t>7.5.</w:t>
            </w:r>
          </w:p>
        </w:tc>
        <w:tc>
          <w:tcPr>
            <w:tcW w:w="5556" w:type="dxa"/>
            <w:tcBorders>
              <w:top w:val="single" w:sz="4" w:space="0" w:color="auto"/>
              <w:left w:val="single" w:sz="4" w:space="0" w:color="auto"/>
              <w:bottom w:val="single" w:sz="4" w:space="0" w:color="auto"/>
              <w:right w:val="single" w:sz="4" w:space="0" w:color="auto"/>
            </w:tcBorders>
          </w:tcPr>
          <w:p w14:paraId="1D52810D" w14:textId="4A7F0F15" w:rsidR="007F6F85" w:rsidRPr="00D403F5" w:rsidRDefault="007F6F85" w:rsidP="001041C6">
            <w:pPr>
              <w:pStyle w:val="Web"/>
              <w:spacing w:before="160" w:beforeAutospacing="0" w:after="160" w:afterAutospacing="0"/>
              <w:rPr>
                <w:bCs/>
                <w:sz w:val="18"/>
                <w:szCs w:val="18"/>
                <w:lang w:val="en-IE"/>
              </w:rPr>
            </w:pPr>
            <w:bookmarkStart w:id="6" w:name="_Hlk24460743"/>
            <w:r w:rsidRPr="00D403F5">
              <w:rPr>
                <w:bCs/>
                <w:sz w:val="18"/>
                <w:szCs w:val="18"/>
                <w:lang w:val="en-IE"/>
              </w:rPr>
              <w:t>Revised assessments for zebrafish against the criteria in Chapter 1.5. Criteria for listing species as susceptible to infection with a specific pathogen</w:t>
            </w:r>
            <w:bookmarkEnd w:id="6"/>
          </w:p>
        </w:tc>
        <w:tc>
          <w:tcPr>
            <w:tcW w:w="1531" w:type="dxa"/>
            <w:tcBorders>
              <w:top w:val="single" w:sz="4" w:space="0" w:color="auto"/>
              <w:left w:val="single" w:sz="4" w:space="0" w:color="auto"/>
              <w:bottom w:val="single" w:sz="4" w:space="0" w:color="auto"/>
              <w:right w:val="single" w:sz="4" w:space="0" w:color="auto"/>
            </w:tcBorders>
          </w:tcPr>
          <w:p w14:paraId="012D878C" w14:textId="7F70E7D1" w:rsidR="007F6F85" w:rsidRPr="00D403F5" w:rsidRDefault="007F6F85" w:rsidP="00A22F25">
            <w:pPr>
              <w:suppressAutoHyphens/>
              <w:spacing w:before="16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Annex 16</w:t>
            </w:r>
          </w:p>
        </w:tc>
        <w:tc>
          <w:tcPr>
            <w:tcW w:w="1135" w:type="dxa"/>
            <w:tcBorders>
              <w:top w:val="single" w:sz="4" w:space="0" w:color="auto"/>
              <w:left w:val="single" w:sz="4" w:space="0" w:color="auto"/>
              <w:bottom w:val="single" w:sz="4" w:space="0" w:color="auto"/>
              <w:right w:val="single" w:sz="4" w:space="0" w:color="auto"/>
            </w:tcBorders>
          </w:tcPr>
          <w:p w14:paraId="4AB5C5B3" w14:textId="1F34DB64" w:rsidR="007F6F85" w:rsidRPr="00A22F25" w:rsidRDefault="00A22F25" w:rsidP="00A22F25">
            <w:pPr>
              <w:suppressAutoHyphens/>
              <w:spacing w:before="160" w:line="120" w:lineRule="atLeast"/>
              <w:jc w:val="center"/>
              <w:rPr>
                <w:rFonts w:ascii="Times New Roman" w:hAnsi="Times New Roman" w:cs="Times New Roman"/>
                <w:bCs/>
                <w:noProof/>
                <w:sz w:val="18"/>
                <w:szCs w:val="18"/>
              </w:rPr>
            </w:pPr>
            <w:r w:rsidRPr="00A22F25">
              <w:rPr>
                <w:rFonts w:ascii="Times New Roman" w:hAnsi="Times New Roman" w:cs="Times New Roman"/>
                <w:bCs/>
                <w:noProof/>
                <w:sz w:val="18"/>
                <w:szCs w:val="18"/>
              </w:rPr>
              <w:t>199</w:t>
            </w:r>
          </w:p>
        </w:tc>
      </w:tr>
      <w:tr w:rsidR="00C57977" w:rsidRPr="00D403F5" w14:paraId="43DA16E6"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1652DB4E" w14:textId="2018A085" w:rsidR="00C57977" w:rsidRPr="00D403F5" w:rsidRDefault="00C57977" w:rsidP="001041C6">
            <w:pPr>
              <w:suppressAutoHyphens/>
              <w:spacing w:before="160"/>
              <w:rPr>
                <w:rFonts w:ascii="Times New Roman" w:hAnsi="Times New Roman" w:cs="Times New Roman"/>
                <w:sz w:val="18"/>
                <w:szCs w:val="18"/>
                <w:lang w:val="en-IE"/>
              </w:rPr>
            </w:pPr>
            <w:r w:rsidRPr="00D403F5">
              <w:rPr>
                <w:rFonts w:ascii="Times New Roman" w:hAnsi="Times New Roman" w:cs="Times New Roman"/>
                <w:sz w:val="18"/>
                <w:szCs w:val="18"/>
                <w:lang w:val="en-IE"/>
              </w:rPr>
              <w:t>7.</w:t>
            </w:r>
            <w:r w:rsidR="007F6F85" w:rsidRPr="00D403F5">
              <w:rPr>
                <w:rFonts w:ascii="Times New Roman" w:hAnsi="Times New Roman" w:cs="Times New Roman"/>
                <w:sz w:val="18"/>
                <w:szCs w:val="18"/>
                <w:lang w:val="en-IE"/>
              </w:rPr>
              <w:t>6</w:t>
            </w:r>
            <w:r w:rsidRPr="00D403F5">
              <w:rPr>
                <w:rFonts w:ascii="Times New Roman" w:hAnsi="Times New Roman" w:cs="Times New Roman"/>
                <w:sz w:val="18"/>
                <w:szCs w:val="18"/>
                <w:lang w:val="en-IE"/>
              </w:rPr>
              <w:t>.</w:t>
            </w:r>
          </w:p>
        </w:tc>
        <w:tc>
          <w:tcPr>
            <w:tcW w:w="5556" w:type="dxa"/>
            <w:tcBorders>
              <w:top w:val="single" w:sz="4" w:space="0" w:color="auto"/>
              <w:left w:val="single" w:sz="4" w:space="0" w:color="auto"/>
              <w:bottom w:val="single" w:sz="4" w:space="0" w:color="auto"/>
              <w:right w:val="single" w:sz="4" w:space="0" w:color="auto"/>
            </w:tcBorders>
          </w:tcPr>
          <w:p w14:paraId="03B40972" w14:textId="3C18DC83" w:rsidR="00C57977" w:rsidRPr="00D403F5" w:rsidRDefault="00C57977" w:rsidP="001041C6">
            <w:pPr>
              <w:pStyle w:val="Web"/>
              <w:spacing w:before="160" w:beforeAutospacing="0" w:after="160" w:afterAutospacing="0"/>
              <w:rPr>
                <w:sz w:val="18"/>
                <w:szCs w:val="18"/>
                <w:lang w:val="en-IE"/>
              </w:rPr>
            </w:pPr>
            <w:r w:rsidRPr="00D403F5">
              <w:rPr>
                <w:bCs/>
                <w:sz w:val="18"/>
                <w:szCs w:val="18"/>
                <w:lang w:val="en-IE"/>
              </w:rPr>
              <w:t xml:space="preserve">Electronic </w:t>
            </w:r>
            <w:r w:rsidRPr="00D403F5">
              <w:rPr>
                <w:bCs/>
                <w:i/>
                <w:sz w:val="18"/>
                <w:szCs w:val="18"/>
                <w:lang w:val="en-IE"/>
              </w:rPr>
              <w:t xml:space="preserve">ad hoc </w:t>
            </w:r>
            <w:r w:rsidRPr="00D403F5">
              <w:rPr>
                <w:bCs/>
                <w:sz w:val="18"/>
                <w:szCs w:val="18"/>
                <w:lang w:val="en-IE"/>
              </w:rPr>
              <w:t>Group on Tilapia lake virus</w:t>
            </w:r>
          </w:p>
        </w:tc>
        <w:tc>
          <w:tcPr>
            <w:tcW w:w="1531" w:type="dxa"/>
            <w:tcBorders>
              <w:top w:val="single" w:sz="4" w:space="0" w:color="auto"/>
              <w:left w:val="single" w:sz="4" w:space="0" w:color="auto"/>
              <w:bottom w:val="single" w:sz="4" w:space="0" w:color="auto"/>
              <w:right w:val="single" w:sz="4" w:space="0" w:color="auto"/>
            </w:tcBorders>
          </w:tcPr>
          <w:p w14:paraId="2CDB002E" w14:textId="0E86409C" w:rsidR="00C57977" w:rsidRPr="00D403F5" w:rsidRDefault="00C57977" w:rsidP="00A22F25">
            <w:pPr>
              <w:suppressAutoHyphens/>
              <w:spacing w:before="16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w:t>
            </w:r>
          </w:p>
        </w:tc>
        <w:tc>
          <w:tcPr>
            <w:tcW w:w="1135" w:type="dxa"/>
            <w:tcBorders>
              <w:top w:val="single" w:sz="4" w:space="0" w:color="auto"/>
              <w:left w:val="single" w:sz="4" w:space="0" w:color="auto"/>
              <w:bottom w:val="single" w:sz="4" w:space="0" w:color="auto"/>
              <w:right w:val="single" w:sz="4" w:space="0" w:color="auto"/>
            </w:tcBorders>
          </w:tcPr>
          <w:p w14:paraId="68A2AD2A" w14:textId="77777777" w:rsidR="00C57977" w:rsidRPr="00D403F5" w:rsidRDefault="00C57977" w:rsidP="001041C6">
            <w:pPr>
              <w:suppressAutoHyphens/>
              <w:spacing w:before="160" w:line="120" w:lineRule="atLeast"/>
              <w:rPr>
                <w:rFonts w:ascii="Times New Roman" w:hAnsi="Times New Roman" w:cs="Times New Roman"/>
                <w:b/>
                <w:bCs/>
                <w:noProof/>
                <w:sz w:val="18"/>
                <w:szCs w:val="18"/>
              </w:rPr>
            </w:pPr>
          </w:p>
        </w:tc>
      </w:tr>
      <w:tr w:rsidR="00C57977" w:rsidRPr="00D403F5" w14:paraId="31B17B18"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58E60CA1" w14:textId="7D149F01" w:rsidR="00C57977" w:rsidRPr="00D403F5" w:rsidRDefault="00C57977" w:rsidP="001041C6">
            <w:pPr>
              <w:suppressAutoHyphens/>
              <w:spacing w:before="160"/>
              <w:rPr>
                <w:rFonts w:ascii="Times New Roman" w:hAnsi="Times New Roman" w:cs="Times New Roman"/>
                <w:sz w:val="18"/>
                <w:szCs w:val="18"/>
                <w:lang w:val="en-IE"/>
              </w:rPr>
            </w:pPr>
            <w:r w:rsidRPr="00D403F5">
              <w:rPr>
                <w:rFonts w:ascii="Times New Roman" w:hAnsi="Times New Roman" w:cs="Times New Roman"/>
                <w:sz w:val="18"/>
                <w:szCs w:val="18"/>
                <w:lang w:val="en-IE"/>
              </w:rPr>
              <w:t>7.</w:t>
            </w:r>
            <w:r w:rsidR="007F6F85" w:rsidRPr="00D403F5">
              <w:rPr>
                <w:rFonts w:ascii="Times New Roman" w:hAnsi="Times New Roman" w:cs="Times New Roman"/>
                <w:sz w:val="18"/>
                <w:szCs w:val="18"/>
                <w:lang w:val="en-IE"/>
              </w:rPr>
              <w:t>7</w:t>
            </w:r>
            <w:r w:rsidRPr="00D403F5">
              <w:rPr>
                <w:rFonts w:ascii="Times New Roman" w:hAnsi="Times New Roman" w:cs="Times New Roman"/>
                <w:sz w:val="18"/>
                <w:szCs w:val="18"/>
                <w:lang w:val="en-IE"/>
              </w:rPr>
              <w:t>.</w:t>
            </w:r>
          </w:p>
        </w:tc>
        <w:tc>
          <w:tcPr>
            <w:tcW w:w="5556" w:type="dxa"/>
            <w:tcBorders>
              <w:top w:val="single" w:sz="4" w:space="0" w:color="auto"/>
              <w:left w:val="single" w:sz="4" w:space="0" w:color="auto"/>
              <w:bottom w:val="single" w:sz="4" w:space="0" w:color="auto"/>
              <w:right w:val="single" w:sz="4" w:space="0" w:color="auto"/>
            </w:tcBorders>
          </w:tcPr>
          <w:p w14:paraId="0C7F6804" w14:textId="06F372AD" w:rsidR="00C57977" w:rsidRPr="00D403F5" w:rsidRDefault="00C57977" w:rsidP="001041C6">
            <w:pPr>
              <w:pStyle w:val="para2"/>
              <w:suppressAutoHyphens/>
              <w:spacing w:before="160" w:after="160"/>
              <w:ind w:left="0" w:firstLine="16"/>
              <w:jc w:val="left"/>
              <w:rPr>
                <w:rFonts w:ascii="Times New Roman" w:hAnsi="Times New Roman" w:cs="Times New Roman"/>
                <w:b w:val="0"/>
                <w:color w:val="auto"/>
                <w:lang w:val="en-IE"/>
              </w:rPr>
            </w:pPr>
            <w:r w:rsidRPr="00D403F5">
              <w:rPr>
                <w:rFonts w:ascii="Times New Roman" w:hAnsi="Times New Roman" w:cs="Times New Roman"/>
                <w:b w:val="0"/>
                <w:color w:val="auto"/>
                <w:lang w:val="en-IE"/>
              </w:rPr>
              <w:t>A</w:t>
            </w:r>
            <w:r w:rsidRPr="00D403F5">
              <w:rPr>
                <w:rFonts w:ascii="Times New Roman" w:hAnsi="Times New Roman" w:cs="Times New Roman"/>
                <w:b w:val="0"/>
                <w:i/>
                <w:color w:val="auto"/>
                <w:lang w:val="en-IE"/>
              </w:rPr>
              <w:t>d hoc</w:t>
            </w:r>
            <w:r w:rsidRPr="00D403F5">
              <w:rPr>
                <w:rFonts w:ascii="Times New Roman" w:hAnsi="Times New Roman" w:cs="Times New Roman"/>
                <w:b w:val="0"/>
                <w:color w:val="auto"/>
                <w:lang w:val="en-IE"/>
              </w:rPr>
              <w:t xml:space="preserve"> Group on </w:t>
            </w:r>
            <w:r w:rsidR="005701BA" w:rsidRPr="00D403F5">
              <w:rPr>
                <w:rFonts w:ascii="Times New Roman" w:hAnsi="Times New Roman" w:cs="Times New Roman"/>
                <w:b w:val="0"/>
                <w:color w:val="auto"/>
                <w:lang w:val="en-IE"/>
              </w:rPr>
              <w:t>s</w:t>
            </w:r>
            <w:r w:rsidRPr="00D403F5">
              <w:rPr>
                <w:rFonts w:ascii="Times New Roman" w:hAnsi="Times New Roman" w:cs="Times New Roman"/>
                <w:b w:val="0"/>
                <w:color w:val="auto"/>
                <w:lang w:val="en-IE"/>
              </w:rPr>
              <w:t xml:space="preserve">usceptibility of mollusc species to infection with OIE listed diseases </w:t>
            </w:r>
          </w:p>
        </w:tc>
        <w:tc>
          <w:tcPr>
            <w:tcW w:w="1531" w:type="dxa"/>
            <w:tcBorders>
              <w:top w:val="single" w:sz="4" w:space="0" w:color="auto"/>
              <w:left w:val="single" w:sz="4" w:space="0" w:color="auto"/>
              <w:bottom w:val="single" w:sz="4" w:space="0" w:color="auto"/>
              <w:right w:val="single" w:sz="4" w:space="0" w:color="auto"/>
            </w:tcBorders>
          </w:tcPr>
          <w:p w14:paraId="0EC607AB" w14:textId="6061E9B1" w:rsidR="00C57977" w:rsidRPr="00D403F5" w:rsidRDefault="00C57977" w:rsidP="00A22F25">
            <w:pPr>
              <w:suppressAutoHyphens/>
              <w:spacing w:before="160"/>
              <w:jc w:val="center"/>
              <w:rPr>
                <w:rFonts w:ascii="Times New Roman" w:eastAsia="MS Mincho" w:hAnsi="Times New Roman" w:cs="Times New Roman"/>
                <w:sz w:val="18"/>
                <w:szCs w:val="18"/>
                <w:lang w:eastAsia="fr-FR"/>
              </w:rPr>
            </w:pPr>
            <w:r w:rsidRPr="00D403F5">
              <w:rPr>
                <w:rFonts w:ascii="Times New Roman" w:eastAsia="MS Mincho" w:hAnsi="Times New Roman" w:cs="Times New Roman"/>
                <w:sz w:val="18"/>
                <w:szCs w:val="18"/>
                <w:lang w:eastAsia="fr-FR"/>
              </w:rPr>
              <w:t>-</w:t>
            </w:r>
          </w:p>
        </w:tc>
        <w:tc>
          <w:tcPr>
            <w:tcW w:w="1135" w:type="dxa"/>
            <w:tcBorders>
              <w:top w:val="single" w:sz="4" w:space="0" w:color="auto"/>
              <w:left w:val="single" w:sz="4" w:space="0" w:color="auto"/>
              <w:bottom w:val="single" w:sz="4" w:space="0" w:color="auto"/>
              <w:right w:val="single" w:sz="4" w:space="0" w:color="auto"/>
            </w:tcBorders>
          </w:tcPr>
          <w:p w14:paraId="5E20F706" w14:textId="77777777" w:rsidR="00C57977" w:rsidRPr="00D403F5" w:rsidRDefault="00C57977" w:rsidP="001041C6">
            <w:pPr>
              <w:suppressAutoHyphens/>
              <w:spacing w:before="160" w:line="120" w:lineRule="atLeast"/>
              <w:rPr>
                <w:rFonts w:ascii="Times New Roman" w:hAnsi="Times New Roman" w:cs="Times New Roman"/>
                <w:b/>
                <w:bCs/>
                <w:noProof/>
                <w:sz w:val="18"/>
                <w:szCs w:val="18"/>
              </w:rPr>
            </w:pPr>
          </w:p>
        </w:tc>
      </w:tr>
      <w:tr w:rsidR="00C57977" w:rsidRPr="00D403F5" w14:paraId="2CE163E0"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4FE3C156" w14:textId="1B24F3E9" w:rsidR="00C57977" w:rsidRPr="00D403F5" w:rsidRDefault="00C57977" w:rsidP="001041C6">
            <w:pPr>
              <w:suppressAutoHyphens/>
              <w:spacing w:before="160" w:line="120" w:lineRule="atLeast"/>
              <w:rPr>
                <w:rFonts w:ascii="Times New Roman" w:hAnsi="Times New Roman" w:cs="Times New Roman"/>
                <w:bCs/>
                <w:noProof/>
                <w:sz w:val="18"/>
                <w:szCs w:val="18"/>
              </w:rPr>
            </w:pPr>
            <w:r w:rsidRPr="00D403F5">
              <w:rPr>
                <w:rFonts w:ascii="Times New Roman" w:hAnsi="Times New Roman" w:cs="Times New Roman"/>
                <w:sz w:val="18"/>
                <w:szCs w:val="18"/>
                <w:lang w:val="en-IE"/>
              </w:rPr>
              <w:t>7.</w:t>
            </w:r>
            <w:r w:rsidR="007F6F85" w:rsidRPr="00D403F5">
              <w:rPr>
                <w:rFonts w:ascii="Times New Roman" w:hAnsi="Times New Roman" w:cs="Times New Roman"/>
                <w:sz w:val="18"/>
                <w:szCs w:val="18"/>
                <w:lang w:val="en-IE"/>
              </w:rPr>
              <w:t>8</w:t>
            </w:r>
            <w:r w:rsidRPr="00D403F5">
              <w:rPr>
                <w:rFonts w:ascii="Times New Roman" w:hAnsi="Times New Roman" w:cs="Times New Roman"/>
                <w:sz w:val="18"/>
                <w:szCs w:val="18"/>
                <w:lang w:val="en-IE"/>
              </w:rPr>
              <w:t>.</w:t>
            </w:r>
          </w:p>
        </w:tc>
        <w:tc>
          <w:tcPr>
            <w:tcW w:w="5556" w:type="dxa"/>
            <w:tcBorders>
              <w:top w:val="single" w:sz="4" w:space="0" w:color="auto"/>
              <w:left w:val="single" w:sz="4" w:space="0" w:color="auto"/>
              <w:bottom w:val="single" w:sz="4" w:space="0" w:color="auto"/>
              <w:right w:val="single" w:sz="4" w:space="0" w:color="auto"/>
            </w:tcBorders>
          </w:tcPr>
          <w:p w14:paraId="6F7CDF40" w14:textId="33AED4DA" w:rsidR="00C57977" w:rsidRPr="00D403F5" w:rsidRDefault="00C57977" w:rsidP="001041C6">
            <w:pPr>
              <w:pStyle w:val="Web"/>
              <w:pBdr>
                <w:top w:val="nil"/>
                <w:left w:val="nil"/>
                <w:bottom w:val="nil"/>
                <w:right w:val="nil"/>
                <w:between w:val="nil"/>
                <w:bar w:val="nil"/>
              </w:pBdr>
              <w:spacing w:before="160" w:beforeAutospacing="0" w:after="160" w:afterAutospacing="0"/>
              <w:rPr>
                <w:sz w:val="18"/>
                <w:szCs w:val="18"/>
                <w:lang w:val="en-IE"/>
              </w:rPr>
            </w:pPr>
            <w:r w:rsidRPr="00D403F5">
              <w:rPr>
                <w:sz w:val="18"/>
                <w:szCs w:val="18"/>
                <w:lang w:val="en-IE"/>
              </w:rPr>
              <w:t>Evaluation of applications for OIE Reference Centres for Aquatic Animal Health issues or change of experts</w:t>
            </w:r>
          </w:p>
        </w:tc>
        <w:tc>
          <w:tcPr>
            <w:tcW w:w="1531" w:type="dxa"/>
            <w:tcBorders>
              <w:top w:val="single" w:sz="4" w:space="0" w:color="auto"/>
              <w:left w:val="single" w:sz="4" w:space="0" w:color="auto"/>
              <w:bottom w:val="single" w:sz="4" w:space="0" w:color="auto"/>
              <w:right w:val="single" w:sz="4" w:space="0" w:color="auto"/>
            </w:tcBorders>
          </w:tcPr>
          <w:p w14:paraId="248D8061" w14:textId="55288357" w:rsidR="00C57977" w:rsidRPr="00D403F5" w:rsidRDefault="00C57977" w:rsidP="00A22F25">
            <w:pPr>
              <w:suppressAutoHyphens/>
              <w:spacing w:before="160" w:line="120" w:lineRule="atLeast"/>
              <w:jc w:val="center"/>
              <w:rPr>
                <w:rFonts w:ascii="Times New Roman" w:hAnsi="Times New Roman" w:cs="Times New Roman"/>
                <w:bCs/>
                <w:noProof/>
                <w:sz w:val="18"/>
                <w:szCs w:val="18"/>
              </w:rPr>
            </w:pPr>
            <w:r w:rsidRPr="00D403F5">
              <w:rPr>
                <w:rFonts w:ascii="Times New Roman" w:eastAsia="MS Mincho" w:hAnsi="Times New Roman" w:cs="Times New Roman"/>
                <w:sz w:val="18"/>
                <w:szCs w:val="18"/>
                <w:lang w:eastAsia="fr-FR"/>
              </w:rPr>
              <w:t>-</w:t>
            </w:r>
          </w:p>
        </w:tc>
        <w:tc>
          <w:tcPr>
            <w:tcW w:w="1135" w:type="dxa"/>
            <w:tcBorders>
              <w:top w:val="single" w:sz="4" w:space="0" w:color="auto"/>
              <w:left w:val="single" w:sz="4" w:space="0" w:color="auto"/>
              <w:bottom w:val="single" w:sz="4" w:space="0" w:color="auto"/>
              <w:right w:val="single" w:sz="4" w:space="0" w:color="auto"/>
            </w:tcBorders>
          </w:tcPr>
          <w:p w14:paraId="6382D2E4" w14:textId="77777777" w:rsidR="00C57977" w:rsidRPr="00D403F5" w:rsidRDefault="00C57977" w:rsidP="001041C6">
            <w:pPr>
              <w:suppressAutoHyphens/>
              <w:spacing w:before="160" w:line="120" w:lineRule="atLeast"/>
              <w:rPr>
                <w:rFonts w:ascii="Times New Roman" w:hAnsi="Times New Roman" w:cs="Times New Roman"/>
                <w:b/>
                <w:noProof/>
                <w:sz w:val="18"/>
                <w:szCs w:val="18"/>
              </w:rPr>
            </w:pPr>
          </w:p>
        </w:tc>
      </w:tr>
      <w:tr w:rsidR="00C57977" w:rsidRPr="00D403F5" w14:paraId="0AEB9D3E"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tcPr>
          <w:p w14:paraId="477815A6" w14:textId="73ADDF93" w:rsidR="00C57977" w:rsidRPr="00D403F5" w:rsidRDefault="00C57977" w:rsidP="001041C6">
            <w:pPr>
              <w:suppressAutoHyphens/>
              <w:spacing w:before="160" w:line="120" w:lineRule="atLeast"/>
              <w:rPr>
                <w:rFonts w:ascii="Times New Roman" w:hAnsi="Times New Roman" w:cs="Times New Roman"/>
                <w:bCs/>
                <w:noProof/>
                <w:sz w:val="18"/>
                <w:szCs w:val="18"/>
              </w:rPr>
            </w:pPr>
            <w:r w:rsidRPr="00D403F5">
              <w:rPr>
                <w:rFonts w:ascii="Times New Roman" w:hAnsi="Times New Roman" w:cs="Times New Roman"/>
                <w:bCs/>
                <w:noProof/>
                <w:sz w:val="18"/>
                <w:szCs w:val="18"/>
              </w:rPr>
              <w:t>7.</w:t>
            </w:r>
            <w:r w:rsidR="007F6F85" w:rsidRPr="00D403F5">
              <w:rPr>
                <w:rFonts w:ascii="Times New Roman" w:hAnsi="Times New Roman" w:cs="Times New Roman"/>
                <w:bCs/>
                <w:noProof/>
                <w:sz w:val="18"/>
                <w:szCs w:val="18"/>
              </w:rPr>
              <w:t>9</w:t>
            </w:r>
            <w:r w:rsidRPr="00D403F5">
              <w:rPr>
                <w:rFonts w:ascii="Times New Roman" w:hAnsi="Times New Roman" w:cs="Times New Roman"/>
                <w:bCs/>
                <w:noProof/>
                <w:sz w:val="18"/>
                <w:szCs w:val="18"/>
              </w:rPr>
              <w:t xml:space="preserve">. </w:t>
            </w:r>
          </w:p>
        </w:tc>
        <w:tc>
          <w:tcPr>
            <w:tcW w:w="5556" w:type="dxa"/>
            <w:tcBorders>
              <w:top w:val="single" w:sz="4" w:space="0" w:color="auto"/>
              <w:left w:val="single" w:sz="4" w:space="0" w:color="auto"/>
              <w:bottom w:val="single" w:sz="4" w:space="0" w:color="auto"/>
              <w:right w:val="single" w:sz="4" w:space="0" w:color="auto"/>
            </w:tcBorders>
          </w:tcPr>
          <w:p w14:paraId="64E35C7B" w14:textId="21BD94B6" w:rsidR="00C57977" w:rsidRPr="00D403F5" w:rsidRDefault="00C57977" w:rsidP="001041C6">
            <w:pPr>
              <w:pStyle w:val="Web"/>
              <w:pBdr>
                <w:top w:val="nil"/>
                <w:left w:val="nil"/>
                <w:bottom w:val="nil"/>
                <w:right w:val="nil"/>
                <w:between w:val="nil"/>
                <w:bar w:val="nil"/>
              </w:pBdr>
              <w:spacing w:before="160" w:beforeAutospacing="0" w:after="160" w:afterAutospacing="0"/>
              <w:rPr>
                <w:sz w:val="18"/>
                <w:szCs w:val="18"/>
                <w:lang w:val="en-IE"/>
              </w:rPr>
            </w:pPr>
            <w:r w:rsidRPr="00D403F5">
              <w:rPr>
                <w:rFonts w:eastAsiaTheme="minorHAnsi"/>
                <w:bCs/>
                <w:sz w:val="18"/>
                <w:szCs w:val="18"/>
                <w:lang w:val="en-IE"/>
              </w:rPr>
              <w:t>Development of an OIE Strategy for Aquatic Animal Health</w:t>
            </w:r>
            <w:r w:rsidRPr="00D403F5">
              <w:rPr>
                <w:rFonts w:eastAsiaTheme="minorHAnsi"/>
                <w:b/>
                <w:sz w:val="18"/>
                <w:szCs w:val="18"/>
                <w:lang w:val="en-IE"/>
              </w:rPr>
              <w:t xml:space="preserve"> </w:t>
            </w:r>
          </w:p>
        </w:tc>
        <w:tc>
          <w:tcPr>
            <w:tcW w:w="1531" w:type="dxa"/>
            <w:tcBorders>
              <w:top w:val="single" w:sz="4" w:space="0" w:color="auto"/>
              <w:left w:val="single" w:sz="4" w:space="0" w:color="auto"/>
              <w:bottom w:val="single" w:sz="4" w:space="0" w:color="auto"/>
              <w:right w:val="single" w:sz="4" w:space="0" w:color="auto"/>
            </w:tcBorders>
          </w:tcPr>
          <w:p w14:paraId="015FCDC7" w14:textId="7D3ECD75" w:rsidR="00C57977" w:rsidRPr="00D403F5" w:rsidRDefault="00E230FF" w:rsidP="00A22F25">
            <w:pPr>
              <w:suppressAutoHyphens/>
              <w:spacing w:before="160" w:line="120" w:lineRule="atLeast"/>
              <w:jc w:val="center"/>
              <w:rPr>
                <w:rFonts w:ascii="Times New Roman" w:hAnsi="Times New Roman" w:cs="Times New Roman"/>
                <w:bCs/>
                <w:noProof/>
                <w:sz w:val="18"/>
                <w:szCs w:val="18"/>
              </w:rPr>
            </w:pPr>
            <w:r w:rsidRPr="00D403F5">
              <w:rPr>
                <w:rFonts w:ascii="Times New Roman" w:hAnsi="Times New Roman" w:cs="Times New Roman"/>
                <w:bCs/>
                <w:noProof/>
                <w:sz w:val="18"/>
                <w:szCs w:val="18"/>
              </w:rPr>
              <w:t>-</w:t>
            </w:r>
          </w:p>
        </w:tc>
        <w:tc>
          <w:tcPr>
            <w:tcW w:w="1135" w:type="dxa"/>
            <w:tcBorders>
              <w:top w:val="single" w:sz="4" w:space="0" w:color="auto"/>
              <w:left w:val="single" w:sz="4" w:space="0" w:color="auto"/>
              <w:bottom w:val="single" w:sz="4" w:space="0" w:color="auto"/>
              <w:right w:val="single" w:sz="4" w:space="0" w:color="auto"/>
            </w:tcBorders>
          </w:tcPr>
          <w:p w14:paraId="5365FEC5" w14:textId="77777777" w:rsidR="00C57977" w:rsidRPr="00D403F5" w:rsidRDefault="00C57977" w:rsidP="001041C6">
            <w:pPr>
              <w:suppressAutoHyphens/>
              <w:spacing w:before="160" w:line="120" w:lineRule="atLeast"/>
              <w:rPr>
                <w:rFonts w:ascii="Times New Roman" w:hAnsi="Times New Roman" w:cs="Times New Roman"/>
                <w:b/>
                <w:noProof/>
                <w:sz w:val="18"/>
                <w:szCs w:val="18"/>
              </w:rPr>
            </w:pPr>
          </w:p>
        </w:tc>
      </w:tr>
      <w:tr w:rsidR="00A25DEB" w:rsidRPr="00D403F5" w14:paraId="369BCB39"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563247" w14:textId="4DA92676" w:rsidR="00A25DEB" w:rsidRPr="00D403F5" w:rsidRDefault="00A25DEB" w:rsidP="001041C6">
            <w:pPr>
              <w:suppressAutoHyphens/>
              <w:spacing w:before="160" w:line="120" w:lineRule="atLeast"/>
              <w:rPr>
                <w:rFonts w:ascii="Times New Roman" w:hAnsi="Times New Roman" w:cs="Times New Roman"/>
                <w:bCs/>
                <w:noProof/>
                <w:sz w:val="18"/>
                <w:szCs w:val="18"/>
              </w:rPr>
            </w:pPr>
            <w:r w:rsidRPr="00D403F5">
              <w:rPr>
                <w:rFonts w:ascii="Times New Roman" w:hAnsi="Times New Roman" w:cs="Times New Roman"/>
                <w:bCs/>
                <w:noProof/>
                <w:sz w:val="18"/>
                <w:szCs w:val="18"/>
              </w:rPr>
              <w:t>8.</w:t>
            </w:r>
          </w:p>
        </w:tc>
        <w:tc>
          <w:tcPr>
            <w:tcW w:w="55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D3937A" w14:textId="78D72F6F" w:rsidR="00A25DEB" w:rsidRPr="00D403F5" w:rsidRDefault="00A25DEB" w:rsidP="001041C6">
            <w:pPr>
              <w:pStyle w:val="Web"/>
              <w:pBdr>
                <w:top w:val="nil"/>
                <w:left w:val="nil"/>
                <w:bottom w:val="nil"/>
                <w:right w:val="nil"/>
                <w:between w:val="nil"/>
                <w:bar w:val="nil"/>
              </w:pBdr>
              <w:spacing w:before="160" w:beforeAutospacing="0" w:after="160" w:afterAutospacing="0"/>
              <w:rPr>
                <w:rFonts w:eastAsiaTheme="minorHAnsi"/>
                <w:bCs/>
                <w:sz w:val="18"/>
                <w:szCs w:val="18"/>
                <w:lang w:val="en-IE"/>
              </w:rPr>
            </w:pPr>
            <w:bookmarkStart w:id="7" w:name="_Hlk24462589"/>
            <w:r w:rsidRPr="00D403F5">
              <w:rPr>
                <w:rFonts w:eastAsiaTheme="minorHAnsi"/>
                <w:bCs/>
                <w:sz w:val="18"/>
                <w:szCs w:val="18"/>
                <w:lang w:val="en-IE"/>
              </w:rPr>
              <w:t>Activities of</w:t>
            </w:r>
            <w:r w:rsidR="00207020" w:rsidRPr="00D403F5">
              <w:rPr>
                <w:rFonts w:eastAsiaTheme="minorHAnsi"/>
                <w:bCs/>
                <w:sz w:val="18"/>
                <w:szCs w:val="18"/>
                <w:lang w:val="en-IE"/>
              </w:rPr>
              <w:t xml:space="preserve"> the</w:t>
            </w:r>
            <w:r w:rsidRPr="00D403F5">
              <w:rPr>
                <w:rFonts w:eastAsiaTheme="minorHAnsi"/>
                <w:bCs/>
                <w:sz w:val="18"/>
                <w:szCs w:val="18"/>
                <w:lang w:val="en-IE"/>
              </w:rPr>
              <w:t xml:space="preserve"> </w:t>
            </w:r>
            <w:r w:rsidR="00207020" w:rsidRPr="00D403F5">
              <w:rPr>
                <w:rFonts w:eastAsiaTheme="minorHAnsi"/>
                <w:bCs/>
                <w:sz w:val="18"/>
                <w:szCs w:val="18"/>
                <w:lang w:val="en-IE"/>
              </w:rPr>
              <w:t xml:space="preserve">Aquatic Animals Commission </w:t>
            </w:r>
            <w:r w:rsidRPr="00D403F5">
              <w:rPr>
                <w:rFonts w:eastAsiaTheme="minorHAnsi"/>
                <w:bCs/>
                <w:sz w:val="18"/>
                <w:szCs w:val="18"/>
                <w:lang w:val="en-IE"/>
              </w:rPr>
              <w:t xml:space="preserve">members </w:t>
            </w:r>
            <w:bookmarkEnd w:id="7"/>
          </w:p>
        </w:tc>
        <w:tc>
          <w:tcPr>
            <w:tcW w:w="15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CD8650" w14:textId="77777777" w:rsidR="00A25DEB" w:rsidRPr="00D403F5" w:rsidRDefault="00A25DEB" w:rsidP="001041C6">
            <w:pPr>
              <w:suppressAutoHyphens/>
              <w:spacing w:before="160" w:line="120" w:lineRule="atLeast"/>
              <w:rPr>
                <w:rFonts w:ascii="Times New Roman" w:hAnsi="Times New Roman" w:cs="Times New Roman"/>
                <w:bCs/>
                <w:noProof/>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A6807B" w14:textId="77777777" w:rsidR="00A25DEB" w:rsidRPr="00D403F5" w:rsidRDefault="00A25DEB" w:rsidP="001041C6">
            <w:pPr>
              <w:suppressAutoHyphens/>
              <w:spacing w:before="160" w:line="120" w:lineRule="atLeast"/>
              <w:rPr>
                <w:rFonts w:ascii="Times New Roman" w:hAnsi="Times New Roman" w:cs="Times New Roman"/>
                <w:b/>
                <w:noProof/>
                <w:sz w:val="18"/>
                <w:szCs w:val="18"/>
              </w:rPr>
            </w:pPr>
          </w:p>
        </w:tc>
      </w:tr>
      <w:tr w:rsidR="00C57977" w:rsidRPr="00D403F5" w14:paraId="29F1405C" w14:textId="77777777" w:rsidTr="00951F46">
        <w:trPr>
          <w:gridAfter w:val="3"/>
          <w:wAfter w:w="22161" w:type="dxa"/>
          <w:trHeight w:val="407"/>
        </w:trPr>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B92D4" w14:textId="325D6EA7" w:rsidR="00C57977" w:rsidRPr="00D403F5" w:rsidRDefault="00A25DEB" w:rsidP="001041C6">
            <w:pPr>
              <w:suppressAutoHyphens/>
              <w:spacing w:before="160" w:line="120" w:lineRule="atLeast"/>
              <w:rPr>
                <w:rFonts w:ascii="Times New Roman" w:hAnsi="Times New Roman" w:cs="Times New Roman"/>
                <w:bCs/>
                <w:noProof/>
                <w:sz w:val="18"/>
                <w:szCs w:val="18"/>
              </w:rPr>
            </w:pPr>
            <w:r w:rsidRPr="00D403F5">
              <w:rPr>
                <w:rFonts w:ascii="Times New Roman" w:hAnsi="Times New Roman" w:cs="Times New Roman"/>
                <w:bCs/>
                <w:noProof/>
                <w:sz w:val="18"/>
                <w:szCs w:val="18"/>
              </w:rPr>
              <w:t>9.</w:t>
            </w:r>
          </w:p>
        </w:tc>
        <w:tc>
          <w:tcPr>
            <w:tcW w:w="55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8CA900" w14:textId="4E0D5F5C" w:rsidR="00C57977" w:rsidRPr="00D403F5" w:rsidRDefault="00C57977" w:rsidP="001041C6">
            <w:pPr>
              <w:pStyle w:val="Web"/>
              <w:pBdr>
                <w:top w:val="nil"/>
                <w:left w:val="nil"/>
                <w:bottom w:val="nil"/>
                <w:right w:val="nil"/>
                <w:between w:val="nil"/>
                <w:bar w:val="nil"/>
              </w:pBdr>
              <w:shd w:val="clear" w:color="auto" w:fill="BFBFBF" w:themeFill="background1" w:themeFillShade="BF"/>
              <w:spacing w:before="160" w:beforeAutospacing="0" w:after="160" w:afterAutospacing="0"/>
              <w:rPr>
                <w:rFonts w:eastAsiaTheme="minorHAnsi"/>
                <w:bCs/>
                <w:noProof/>
                <w:sz w:val="18"/>
                <w:szCs w:val="18"/>
                <w:highlight w:val="darkGray"/>
                <w:lang w:val="en-GB" w:eastAsia="en-US"/>
              </w:rPr>
            </w:pPr>
            <w:r w:rsidRPr="00D403F5">
              <w:rPr>
                <w:rFonts w:eastAsiaTheme="minorHAnsi"/>
                <w:bCs/>
                <w:noProof/>
                <w:sz w:val="18"/>
                <w:szCs w:val="18"/>
                <w:lang w:val="en-GB" w:eastAsia="en-US"/>
              </w:rPr>
              <w:t xml:space="preserve">Next meeting </w:t>
            </w:r>
          </w:p>
        </w:tc>
        <w:tc>
          <w:tcPr>
            <w:tcW w:w="15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3C6AF8" w14:textId="77777777" w:rsidR="00C57977" w:rsidRPr="00D403F5" w:rsidRDefault="00C57977" w:rsidP="001041C6">
            <w:pPr>
              <w:suppressAutoHyphens/>
              <w:spacing w:before="160" w:line="120" w:lineRule="atLeast"/>
              <w:rPr>
                <w:rFonts w:ascii="Times New Roman" w:hAnsi="Times New Roman" w:cs="Times New Roman"/>
                <w:bCs/>
                <w:noProof/>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E0A39B" w14:textId="77777777" w:rsidR="00C57977" w:rsidRPr="00D403F5" w:rsidRDefault="00C57977" w:rsidP="001041C6">
            <w:pPr>
              <w:suppressAutoHyphens/>
              <w:spacing w:before="160" w:line="120" w:lineRule="atLeast"/>
              <w:rPr>
                <w:rFonts w:ascii="Times New Roman" w:hAnsi="Times New Roman" w:cs="Times New Roman"/>
                <w:b/>
                <w:noProof/>
                <w:sz w:val="18"/>
                <w:szCs w:val="18"/>
              </w:rPr>
            </w:pPr>
          </w:p>
        </w:tc>
      </w:tr>
    </w:tbl>
    <w:p w14:paraId="604BE9A9" w14:textId="79508956" w:rsidR="001F30BE" w:rsidRPr="00D403F5" w:rsidRDefault="001865CC" w:rsidP="00A22F25">
      <w:pPr>
        <w:spacing w:before="240" w:after="60"/>
        <w:ind w:left="425" w:hanging="425"/>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1.</w:t>
      </w:r>
      <w:r w:rsidRPr="00D403F5">
        <w:rPr>
          <w:rFonts w:ascii="Times New Roman" w:eastAsia="MS Mincho" w:hAnsi="Times New Roman" w:cs="Times New Roman"/>
          <w:b/>
          <w:sz w:val="18"/>
          <w:szCs w:val="18"/>
          <w:lang w:val="en-IE" w:eastAsia="ja-JP"/>
        </w:rPr>
        <w:tab/>
      </w:r>
      <w:r w:rsidR="001F30BE" w:rsidRPr="00D403F5">
        <w:rPr>
          <w:rFonts w:ascii="Times New Roman" w:eastAsia="MS Mincho" w:hAnsi="Times New Roman" w:cs="Times New Roman"/>
          <w:b/>
          <w:sz w:val="18"/>
          <w:szCs w:val="18"/>
          <w:lang w:val="en-IE" w:eastAsia="ja-JP"/>
        </w:rPr>
        <w:t>WELCOME FROM THE DEPUTY DIRECTOR GENERAL</w:t>
      </w:r>
    </w:p>
    <w:p w14:paraId="5B4FD9CD" w14:textId="247460FB" w:rsidR="001F30BE" w:rsidRPr="00D403F5" w:rsidRDefault="001F30BE" w:rsidP="00A22F25">
      <w:pPr>
        <w:spacing w:after="6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Dr Matthew Stone, OIE Deputy Director General</w:t>
      </w:r>
      <w:r w:rsidR="00A22F25">
        <w:rPr>
          <w:rFonts w:ascii="Times New Roman" w:hAnsi="Times New Roman" w:cs="Times New Roman"/>
          <w:sz w:val="18"/>
          <w:szCs w:val="18"/>
        </w:rPr>
        <w:t xml:space="preserve"> for</w:t>
      </w:r>
      <w:r w:rsidRPr="00D403F5">
        <w:rPr>
          <w:rFonts w:ascii="Times New Roman" w:hAnsi="Times New Roman" w:cs="Times New Roman"/>
          <w:sz w:val="18"/>
          <w:szCs w:val="18"/>
        </w:rPr>
        <w:t xml:space="preserve"> International Standards and Science, welcomed the members of the Aquatic Animals Commission and thanked them, their institutions and their governments for making their expertise and time available to support the OIE’s work. </w:t>
      </w:r>
    </w:p>
    <w:p w14:paraId="21636C69" w14:textId="35BECE3C" w:rsidR="001F30BE" w:rsidRPr="00D403F5" w:rsidRDefault="001F30BE" w:rsidP="00A22F25">
      <w:pPr>
        <w:spacing w:after="6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Dr Stone provided the Commission with a brief overview of the development of the draft 7</w:t>
      </w:r>
      <w:r w:rsidRPr="00D403F5">
        <w:rPr>
          <w:rFonts w:ascii="Times New Roman" w:hAnsi="Times New Roman" w:cs="Times New Roman"/>
          <w:sz w:val="18"/>
          <w:szCs w:val="18"/>
          <w:vertAlign w:val="superscript"/>
        </w:rPr>
        <w:t>th</w:t>
      </w:r>
      <w:r w:rsidRPr="00D403F5">
        <w:rPr>
          <w:rFonts w:ascii="Times New Roman" w:hAnsi="Times New Roman" w:cs="Times New Roman"/>
          <w:sz w:val="18"/>
          <w:szCs w:val="18"/>
        </w:rPr>
        <w:t xml:space="preserve"> </w:t>
      </w:r>
      <w:r w:rsidR="00C37611" w:rsidRPr="00D403F5">
        <w:rPr>
          <w:rFonts w:ascii="Times New Roman" w:hAnsi="Times New Roman" w:cs="Times New Roman"/>
          <w:sz w:val="18"/>
          <w:szCs w:val="18"/>
        </w:rPr>
        <w:t xml:space="preserve">OIE </w:t>
      </w:r>
      <w:r w:rsidRPr="00D403F5">
        <w:rPr>
          <w:rFonts w:ascii="Times New Roman" w:hAnsi="Times New Roman" w:cs="Times New Roman"/>
          <w:sz w:val="18"/>
          <w:szCs w:val="18"/>
        </w:rPr>
        <w:t xml:space="preserve">Strategic Plan, noting its focus on scientific expertise and the use of multidisciplinary evidence in standard setting and capacity building; ensuring the OIE is a good partner, and targets collaborations for impact; improving monitoring and evaluation to demonstrate performance across OIE’s strategies, programmes and projects; and the development of internal data management, stewardship and governance practices that support the ongoing digital transformation of the OIE. He also provided a brief update on the culmination of the design phase of the OIE Observatory project; the OIE-WAHIS development project; and the ongoing work on the OIE Reference Centre system. </w:t>
      </w:r>
    </w:p>
    <w:p w14:paraId="7E42B0F0" w14:textId="37959A51" w:rsidR="001F30BE" w:rsidRPr="00D403F5" w:rsidRDefault="001F30BE" w:rsidP="00A22F25">
      <w:pPr>
        <w:spacing w:after="6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Dr Stone noted that the OIE’s continuous improvement approach to ensuring good coordination across all the Specialist Commissions through the internal mechanism of the Common Secretariat is maturing and </w:t>
      </w:r>
      <w:r w:rsidR="006330D8" w:rsidRPr="00D403F5">
        <w:rPr>
          <w:rFonts w:ascii="Times New Roman" w:hAnsi="Times New Roman" w:cs="Times New Roman"/>
          <w:sz w:val="18"/>
          <w:szCs w:val="18"/>
        </w:rPr>
        <w:t>realising clear</w:t>
      </w:r>
      <w:r w:rsidRPr="00D403F5">
        <w:rPr>
          <w:rFonts w:ascii="Times New Roman" w:hAnsi="Times New Roman" w:cs="Times New Roman"/>
          <w:sz w:val="18"/>
          <w:szCs w:val="18"/>
        </w:rPr>
        <w:t xml:space="preserve"> benefits. The recent focus had been on identifying and supporting discussions between Commissions on common issues. He finished his opening remarks by reassuring members that the OIE’s performance management system for Specialist Commissions was providing very useful feedback, and all parties now appreciate</w:t>
      </w:r>
      <w:r w:rsidR="006330D8" w:rsidRPr="00D403F5">
        <w:rPr>
          <w:rFonts w:ascii="Times New Roman" w:hAnsi="Times New Roman" w:cs="Times New Roman"/>
          <w:sz w:val="18"/>
          <w:szCs w:val="18"/>
        </w:rPr>
        <w:t>d</w:t>
      </w:r>
      <w:r w:rsidRPr="00D403F5">
        <w:rPr>
          <w:rFonts w:ascii="Times New Roman" w:hAnsi="Times New Roman" w:cs="Times New Roman"/>
          <w:sz w:val="18"/>
          <w:szCs w:val="18"/>
        </w:rPr>
        <w:t xml:space="preserve"> the process was important to optimise the performance of the elected Commissions and the</w:t>
      </w:r>
      <w:r w:rsidR="006330D8" w:rsidRPr="00D403F5">
        <w:rPr>
          <w:rFonts w:ascii="Times New Roman" w:hAnsi="Times New Roman" w:cs="Times New Roman"/>
          <w:sz w:val="18"/>
          <w:szCs w:val="18"/>
        </w:rPr>
        <w:t>ir partnership with the</w:t>
      </w:r>
      <w:r w:rsidRPr="00D403F5">
        <w:rPr>
          <w:rFonts w:ascii="Times New Roman" w:hAnsi="Times New Roman" w:cs="Times New Roman"/>
          <w:sz w:val="18"/>
          <w:szCs w:val="18"/>
        </w:rPr>
        <w:t xml:space="preserve"> OIE Secretariat. </w:t>
      </w:r>
    </w:p>
    <w:p w14:paraId="6D0A0E06" w14:textId="60A47DA0" w:rsidR="001F30BE" w:rsidRPr="00D403F5" w:rsidRDefault="00DE4CE0" w:rsidP="00A22F25">
      <w:pPr>
        <w:spacing w:after="60"/>
        <w:ind w:left="426" w:hanging="426"/>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2.</w:t>
      </w:r>
      <w:r w:rsidR="001865CC" w:rsidRPr="00D403F5">
        <w:rPr>
          <w:rFonts w:ascii="Times New Roman" w:eastAsia="MS Mincho" w:hAnsi="Times New Roman" w:cs="Times New Roman"/>
          <w:b/>
          <w:sz w:val="18"/>
          <w:szCs w:val="18"/>
          <w:lang w:val="en-IE" w:eastAsia="ja-JP"/>
        </w:rPr>
        <w:tab/>
      </w:r>
      <w:r w:rsidR="001F30BE" w:rsidRPr="00D403F5">
        <w:rPr>
          <w:rFonts w:ascii="Times New Roman" w:eastAsia="MS Mincho" w:hAnsi="Times New Roman" w:cs="Times New Roman"/>
          <w:b/>
          <w:sz w:val="18"/>
          <w:szCs w:val="18"/>
          <w:lang w:val="en-IE" w:eastAsia="ja-JP"/>
        </w:rPr>
        <w:t>MEETING WITH THE DIRECTOR GENERAL</w:t>
      </w:r>
    </w:p>
    <w:p w14:paraId="35C8EBF9" w14:textId="77777777" w:rsidR="001F30BE" w:rsidRPr="00D403F5" w:rsidRDefault="003F6A96" w:rsidP="00A22F25">
      <w:pPr>
        <w:spacing w:after="6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Dr Monique Eloit, </w:t>
      </w:r>
      <w:r w:rsidR="0099139A" w:rsidRPr="00D403F5">
        <w:rPr>
          <w:rFonts w:ascii="Times New Roman" w:hAnsi="Times New Roman" w:cs="Times New Roman"/>
          <w:sz w:val="18"/>
          <w:szCs w:val="18"/>
        </w:rPr>
        <w:t xml:space="preserve">OIE Director General, met with the Aquatic Animals Commission and </w:t>
      </w:r>
      <w:r w:rsidR="001F30BE" w:rsidRPr="00D403F5">
        <w:rPr>
          <w:rFonts w:ascii="Times New Roman" w:hAnsi="Times New Roman" w:cs="Times New Roman"/>
          <w:sz w:val="18"/>
          <w:szCs w:val="18"/>
        </w:rPr>
        <w:t xml:space="preserve">acknowledged the significant work </w:t>
      </w:r>
      <w:r w:rsidR="0099139A" w:rsidRPr="00D403F5">
        <w:rPr>
          <w:rFonts w:ascii="Times New Roman" w:hAnsi="Times New Roman" w:cs="Times New Roman"/>
          <w:sz w:val="18"/>
          <w:szCs w:val="18"/>
        </w:rPr>
        <w:t>being undertaken by</w:t>
      </w:r>
      <w:r w:rsidR="001F30BE" w:rsidRPr="00D403F5">
        <w:rPr>
          <w:rFonts w:ascii="Times New Roman" w:hAnsi="Times New Roman" w:cs="Times New Roman"/>
          <w:sz w:val="18"/>
          <w:szCs w:val="18"/>
        </w:rPr>
        <w:t xml:space="preserve"> th</w:t>
      </w:r>
      <w:r w:rsidR="0099139A" w:rsidRPr="00D403F5">
        <w:rPr>
          <w:rFonts w:ascii="Times New Roman" w:hAnsi="Times New Roman" w:cs="Times New Roman"/>
          <w:sz w:val="18"/>
          <w:szCs w:val="18"/>
        </w:rPr>
        <w:t>is</w:t>
      </w:r>
      <w:r w:rsidR="001F30BE" w:rsidRPr="00D403F5">
        <w:rPr>
          <w:rFonts w:ascii="Times New Roman" w:hAnsi="Times New Roman" w:cs="Times New Roman"/>
          <w:sz w:val="18"/>
          <w:szCs w:val="18"/>
        </w:rPr>
        <w:t xml:space="preserve"> Commission</w:t>
      </w:r>
      <w:r w:rsidR="0099139A" w:rsidRPr="00D403F5">
        <w:rPr>
          <w:rFonts w:ascii="Times New Roman" w:hAnsi="Times New Roman" w:cs="Times New Roman"/>
          <w:sz w:val="18"/>
          <w:szCs w:val="18"/>
        </w:rPr>
        <w:t xml:space="preserve">. Dr Eloit </w:t>
      </w:r>
      <w:r w:rsidR="001F30BE" w:rsidRPr="00D403F5">
        <w:rPr>
          <w:rFonts w:ascii="Times New Roman" w:hAnsi="Times New Roman" w:cs="Times New Roman"/>
          <w:sz w:val="18"/>
          <w:szCs w:val="18"/>
        </w:rPr>
        <w:t xml:space="preserve">thanked the members and the Secretariat for their </w:t>
      </w:r>
      <w:r w:rsidR="00F02247" w:rsidRPr="00D403F5">
        <w:rPr>
          <w:rFonts w:ascii="Times New Roman" w:hAnsi="Times New Roman" w:cs="Times New Roman"/>
          <w:sz w:val="18"/>
          <w:szCs w:val="18"/>
        </w:rPr>
        <w:t>work and</w:t>
      </w:r>
      <w:r w:rsidR="0099139A" w:rsidRPr="00D403F5">
        <w:rPr>
          <w:rFonts w:ascii="Times New Roman" w:hAnsi="Times New Roman" w:cs="Times New Roman"/>
          <w:sz w:val="18"/>
          <w:szCs w:val="18"/>
        </w:rPr>
        <w:t xml:space="preserve"> highlighted </w:t>
      </w:r>
      <w:r w:rsidR="001F30BE" w:rsidRPr="00D403F5">
        <w:rPr>
          <w:rFonts w:ascii="Times New Roman" w:hAnsi="Times New Roman" w:cs="Times New Roman"/>
          <w:sz w:val="18"/>
          <w:szCs w:val="18"/>
        </w:rPr>
        <w:t>the Commission</w:t>
      </w:r>
      <w:r w:rsidR="0099139A" w:rsidRPr="00D403F5">
        <w:rPr>
          <w:rFonts w:ascii="Times New Roman" w:hAnsi="Times New Roman" w:cs="Times New Roman"/>
          <w:sz w:val="18"/>
          <w:szCs w:val="18"/>
        </w:rPr>
        <w:t xml:space="preserve">’s active participation in the OIE </w:t>
      </w:r>
      <w:r w:rsidR="001F30BE" w:rsidRPr="00D403F5">
        <w:rPr>
          <w:rFonts w:ascii="Times New Roman" w:hAnsi="Times New Roman" w:cs="Times New Roman"/>
          <w:sz w:val="18"/>
          <w:szCs w:val="18"/>
        </w:rPr>
        <w:t xml:space="preserve">Global Conference on Aquatic Animal Health </w:t>
      </w:r>
      <w:r w:rsidR="0099139A" w:rsidRPr="00D403F5">
        <w:rPr>
          <w:rFonts w:ascii="Times New Roman" w:hAnsi="Times New Roman" w:cs="Times New Roman"/>
          <w:sz w:val="18"/>
          <w:szCs w:val="18"/>
        </w:rPr>
        <w:t xml:space="preserve">held </w:t>
      </w:r>
      <w:r w:rsidR="001F30BE" w:rsidRPr="00D403F5">
        <w:rPr>
          <w:rFonts w:ascii="Times New Roman" w:hAnsi="Times New Roman" w:cs="Times New Roman"/>
          <w:sz w:val="18"/>
          <w:szCs w:val="18"/>
        </w:rPr>
        <w:t>in Chile in April 2019</w:t>
      </w:r>
      <w:r w:rsidR="0099139A" w:rsidRPr="00D403F5">
        <w:rPr>
          <w:rFonts w:ascii="Times New Roman" w:hAnsi="Times New Roman" w:cs="Times New Roman"/>
          <w:sz w:val="18"/>
          <w:szCs w:val="18"/>
        </w:rPr>
        <w:t xml:space="preserve"> that resulted in a very successful conference</w:t>
      </w:r>
      <w:r w:rsidR="001F30BE" w:rsidRPr="00D403F5">
        <w:rPr>
          <w:rFonts w:ascii="Times New Roman" w:hAnsi="Times New Roman" w:cs="Times New Roman"/>
          <w:sz w:val="18"/>
          <w:szCs w:val="18"/>
        </w:rPr>
        <w:t xml:space="preserve">. </w:t>
      </w:r>
    </w:p>
    <w:p w14:paraId="53D879C3" w14:textId="32E535F2" w:rsidR="001F30BE" w:rsidRPr="00D403F5" w:rsidRDefault="001865CC" w:rsidP="00A22F25">
      <w:pPr>
        <w:spacing w:after="60" w:line="240" w:lineRule="auto"/>
        <w:ind w:left="426" w:hanging="426"/>
        <w:rPr>
          <w:rFonts w:ascii="Times New Roman" w:hAnsi="Times New Roman" w:cs="Times New Roman"/>
          <w:b/>
          <w:bCs/>
          <w:sz w:val="18"/>
          <w:szCs w:val="18"/>
        </w:rPr>
      </w:pPr>
      <w:r w:rsidRPr="00D403F5">
        <w:rPr>
          <w:rFonts w:ascii="Times New Roman" w:hAnsi="Times New Roman" w:cs="Times New Roman"/>
          <w:b/>
          <w:bCs/>
          <w:sz w:val="18"/>
          <w:szCs w:val="18"/>
        </w:rPr>
        <w:t>3.</w:t>
      </w:r>
      <w:r w:rsidRPr="00D403F5">
        <w:rPr>
          <w:rFonts w:ascii="Times New Roman" w:hAnsi="Times New Roman" w:cs="Times New Roman"/>
          <w:b/>
          <w:bCs/>
          <w:sz w:val="18"/>
          <w:szCs w:val="18"/>
        </w:rPr>
        <w:tab/>
      </w:r>
      <w:r w:rsidR="001F30BE" w:rsidRPr="00D403F5">
        <w:rPr>
          <w:rFonts w:ascii="Times New Roman" w:hAnsi="Times New Roman" w:cs="Times New Roman"/>
          <w:b/>
          <w:bCs/>
          <w:sz w:val="18"/>
          <w:szCs w:val="18"/>
        </w:rPr>
        <w:t>ADOPTION OF THE AGENDA</w:t>
      </w:r>
    </w:p>
    <w:p w14:paraId="32C41D42" w14:textId="7066F180" w:rsidR="001F30BE" w:rsidRPr="00D403F5" w:rsidRDefault="001F30BE" w:rsidP="001041C6">
      <w:pPr>
        <w:spacing w:after="240" w:line="240" w:lineRule="auto"/>
        <w:ind w:left="426"/>
        <w:rPr>
          <w:rFonts w:ascii="Times New Roman" w:hAnsi="Times New Roman" w:cs="Times New Roman"/>
          <w:sz w:val="18"/>
          <w:szCs w:val="18"/>
        </w:rPr>
      </w:pPr>
      <w:r w:rsidRPr="00D403F5">
        <w:rPr>
          <w:rFonts w:ascii="Times New Roman" w:hAnsi="Times New Roman" w:cs="Times New Roman"/>
          <w:sz w:val="18"/>
          <w:szCs w:val="18"/>
        </w:rPr>
        <w:t xml:space="preserve">The </w:t>
      </w:r>
      <w:r w:rsidR="003C29CD" w:rsidRPr="00D403F5">
        <w:rPr>
          <w:rFonts w:ascii="Times New Roman" w:hAnsi="Times New Roman" w:cs="Times New Roman"/>
          <w:sz w:val="18"/>
          <w:szCs w:val="18"/>
        </w:rPr>
        <w:t xml:space="preserve">provisional </w:t>
      </w:r>
      <w:r w:rsidRPr="00D403F5">
        <w:rPr>
          <w:rFonts w:ascii="Times New Roman" w:hAnsi="Times New Roman" w:cs="Times New Roman"/>
          <w:sz w:val="18"/>
          <w:szCs w:val="18"/>
        </w:rPr>
        <w:t xml:space="preserve">agenda circulated prior to the meeting was discussed, updated, and agreed. The adopted agenda of the meeting is presented </w:t>
      </w:r>
      <w:r w:rsidR="009D3364" w:rsidRPr="00D403F5">
        <w:rPr>
          <w:rFonts w:ascii="Times New Roman" w:hAnsi="Times New Roman" w:cs="Times New Roman"/>
          <w:sz w:val="18"/>
          <w:szCs w:val="18"/>
        </w:rPr>
        <w:t xml:space="preserve">as </w:t>
      </w:r>
      <w:r w:rsidRPr="00D403F5">
        <w:rPr>
          <w:rFonts w:ascii="Times New Roman" w:hAnsi="Times New Roman" w:cs="Times New Roman"/>
          <w:sz w:val="18"/>
          <w:szCs w:val="18"/>
          <w:u w:val="single"/>
        </w:rPr>
        <w:t xml:space="preserve">Annex </w:t>
      </w:r>
      <w:r w:rsidR="00E230FF" w:rsidRPr="00D403F5">
        <w:rPr>
          <w:rFonts w:ascii="Times New Roman" w:hAnsi="Times New Roman" w:cs="Times New Roman"/>
          <w:sz w:val="18"/>
          <w:szCs w:val="18"/>
          <w:u w:val="single"/>
        </w:rPr>
        <w:t>2</w:t>
      </w:r>
      <w:r w:rsidRPr="00D403F5">
        <w:rPr>
          <w:rFonts w:ascii="Times New Roman" w:hAnsi="Times New Roman" w:cs="Times New Roman"/>
          <w:sz w:val="18"/>
          <w:szCs w:val="18"/>
        </w:rPr>
        <w:t>.</w:t>
      </w:r>
    </w:p>
    <w:p w14:paraId="7DFD2B15" w14:textId="77777777" w:rsidR="00A22F25" w:rsidRDefault="00A22F25" w:rsidP="001041C6">
      <w:pPr>
        <w:spacing w:after="240" w:line="240" w:lineRule="auto"/>
        <w:ind w:left="426" w:hanging="426"/>
        <w:rPr>
          <w:rFonts w:ascii="Times New Roman" w:eastAsia="MS Mincho" w:hAnsi="Times New Roman" w:cs="Times New Roman"/>
          <w:b/>
          <w:sz w:val="18"/>
          <w:szCs w:val="18"/>
          <w:lang w:val="en-IE" w:eastAsia="ja-JP"/>
        </w:rPr>
      </w:pPr>
      <w:r>
        <w:rPr>
          <w:rFonts w:ascii="Times New Roman" w:eastAsia="MS Mincho" w:hAnsi="Times New Roman" w:cs="Times New Roman"/>
          <w:b/>
          <w:sz w:val="18"/>
          <w:szCs w:val="18"/>
          <w:lang w:val="en-IE" w:eastAsia="ja-JP"/>
        </w:rPr>
        <w:br w:type="page"/>
      </w:r>
    </w:p>
    <w:p w14:paraId="1B732B01" w14:textId="52BB7ED2" w:rsidR="00CD3C3E" w:rsidRPr="00D403F5" w:rsidRDefault="001865CC" w:rsidP="001041C6">
      <w:pPr>
        <w:spacing w:after="240" w:line="240" w:lineRule="auto"/>
        <w:ind w:left="426" w:hanging="426"/>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 xml:space="preserve">4. </w:t>
      </w:r>
      <w:r w:rsidRPr="00D403F5">
        <w:rPr>
          <w:rFonts w:ascii="Times New Roman" w:eastAsia="MS Mincho" w:hAnsi="Times New Roman" w:cs="Times New Roman"/>
          <w:b/>
          <w:sz w:val="18"/>
          <w:szCs w:val="18"/>
          <w:lang w:val="en-IE" w:eastAsia="ja-JP"/>
        </w:rPr>
        <w:tab/>
      </w:r>
      <w:r w:rsidR="00877D58" w:rsidRPr="00D403F5">
        <w:rPr>
          <w:rFonts w:ascii="Times New Roman" w:eastAsia="MS Mincho" w:hAnsi="Times New Roman" w:cs="Times New Roman"/>
          <w:b/>
          <w:sz w:val="18"/>
          <w:szCs w:val="18"/>
          <w:lang w:val="en-IE" w:eastAsia="ja-JP"/>
        </w:rPr>
        <w:t xml:space="preserve">ONE </w:t>
      </w:r>
      <w:r w:rsidR="00877D58" w:rsidRPr="00D403F5">
        <w:rPr>
          <w:rFonts w:ascii="Times New Roman" w:hAnsi="Times New Roman" w:cs="Times New Roman"/>
          <w:b/>
          <w:bCs/>
          <w:sz w:val="18"/>
          <w:szCs w:val="18"/>
        </w:rPr>
        <w:t>YEAR</w:t>
      </w:r>
      <w:r w:rsidR="00877D58" w:rsidRPr="00D403F5">
        <w:rPr>
          <w:rFonts w:ascii="Times New Roman" w:eastAsia="MS Mincho" w:hAnsi="Times New Roman" w:cs="Times New Roman"/>
          <w:b/>
          <w:sz w:val="18"/>
          <w:szCs w:val="18"/>
          <w:lang w:val="en-IE" w:eastAsia="ja-JP"/>
        </w:rPr>
        <w:t xml:space="preserve"> PROJECT ON ANTIMICROBIAL RESISTANCE (AMR) IN AQUACULTURE</w:t>
      </w:r>
    </w:p>
    <w:p w14:paraId="2C458C66" w14:textId="23454197" w:rsidR="00DB0A38" w:rsidRPr="00D403F5" w:rsidRDefault="0099139A" w:rsidP="001041C6">
      <w:pPr>
        <w:spacing w:after="240" w:line="240" w:lineRule="auto"/>
        <w:ind w:left="426"/>
        <w:jc w:val="both"/>
        <w:rPr>
          <w:rFonts w:ascii="Times New Roman" w:eastAsia="MS Mincho" w:hAnsi="Times New Roman" w:cs="Times New Roman"/>
          <w:bCs/>
          <w:sz w:val="18"/>
          <w:szCs w:val="18"/>
          <w:lang w:val="en-IE" w:eastAsia="ja-JP"/>
        </w:rPr>
      </w:pPr>
      <w:r w:rsidRPr="00D403F5">
        <w:rPr>
          <w:rFonts w:ascii="Times New Roman" w:eastAsia="MS Mincho" w:hAnsi="Times New Roman" w:cs="Times New Roman"/>
          <w:bCs/>
          <w:sz w:val="18"/>
          <w:szCs w:val="18"/>
          <w:lang w:val="en-IE" w:eastAsia="ja-JP"/>
        </w:rPr>
        <w:t xml:space="preserve">Dr </w:t>
      </w:r>
      <w:r w:rsidR="00E205AE" w:rsidRPr="00D403F5">
        <w:rPr>
          <w:rFonts w:ascii="Times New Roman" w:eastAsia="MS Mincho" w:hAnsi="Times New Roman" w:cs="Times New Roman"/>
          <w:bCs/>
          <w:sz w:val="18"/>
          <w:szCs w:val="18"/>
          <w:lang w:val="en-IE" w:eastAsia="ja-JP"/>
        </w:rPr>
        <w:t xml:space="preserve">Dante Matéo </w:t>
      </w:r>
      <w:r w:rsidR="000671DF" w:rsidRPr="00D403F5">
        <w:rPr>
          <w:rFonts w:ascii="Times New Roman" w:eastAsia="MS Mincho" w:hAnsi="Times New Roman" w:cs="Times New Roman"/>
          <w:bCs/>
          <w:sz w:val="18"/>
          <w:szCs w:val="18"/>
          <w:lang w:val="en-IE" w:eastAsia="ja-JP"/>
        </w:rPr>
        <w:t>who</w:t>
      </w:r>
      <w:r w:rsidR="00BE7356" w:rsidRPr="00D403F5">
        <w:rPr>
          <w:rFonts w:ascii="Times New Roman" w:eastAsia="MS Mincho" w:hAnsi="Times New Roman" w:cs="Times New Roman"/>
          <w:bCs/>
          <w:sz w:val="18"/>
          <w:szCs w:val="18"/>
          <w:lang w:val="en-IE" w:eastAsia="ja-JP"/>
        </w:rPr>
        <w:t xml:space="preserve"> </w:t>
      </w:r>
      <w:r w:rsidR="00E205AE" w:rsidRPr="00D403F5">
        <w:rPr>
          <w:rFonts w:ascii="Times New Roman" w:eastAsia="MS Mincho" w:hAnsi="Times New Roman" w:cs="Times New Roman"/>
          <w:bCs/>
          <w:sz w:val="18"/>
          <w:szCs w:val="18"/>
          <w:lang w:val="en-IE" w:eastAsia="ja-JP"/>
        </w:rPr>
        <w:t xml:space="preserve">recently joined the </w:t>
      </w:r>
      <w:r w:rsidRPr="00D403F5">
        <w:rPr>
          <w:rFonts w:ascii="Times New Roman" w:eastAsia="MS Mincho" w:hAnsi="Times New Roman" w:cs="Times New Roman"/>
          <w:bCs/>
          <w:sz w:val="18"/>
          <w:szCs w:val="18"/>
          <w:lang w:val="en-IE" w:eastAsia="ja-JP"/>
        </w:rPr>
        <w:t xml:space="preserve">OIE </w:t>
      </w:r>
      <w:r w:rsidR="00E205AE" w:rsidRPr="00D403F5">
        <w:rPr>
          <w:rFonts w:ascii="Times New Roman" w:eastAsia="MS Mincho" w:hAnsi="Times New Roman" w:cs="Times New Roman"/>
          <w:bCs/>
          <w:sz w:val="18"/>
          <w:szCs w:val="18"/>
          <w:lang w:val="en-IE" w:eastAsia="ja-JP"/>
        </w:rPr>
        <w:t xml:space="preserve">Department of Antimicrobial Resistance &amp; Veterinary Products </w:t>
      </w:r>
      <w:r w:rsidRPr="00D403F5">
        <w:rPr>
          <w:rFonts w:ascii="Times New Roman" w:eastAsia="MS Mincho" w:hAnsi="Times New Roman" w:cs="Times New Roman"/>
          <w:bCs/>
          <w:sz w:val="18"/>
          <w:szCs w:val="18"/>
          <w:lang w:val="en-IE" w:eastAsia="ja-JP"/>
        </w:rPr>
        <w:t xml:space="preserve">met with the Commission to inform them that he </w:t>
      </w:r>
      <w:r w:rsidR="00E205AE" w:rsidRPr="00D403F5">
        <w:rPr>
          <w:rFonts w:ascii="Times New Roman" w:eastAsia="MS Mincho" w:hAnsi="Times New Roman" w:cs="Times New Roman"/>
          <w:bCs/>
          <w:sz w:val="18"/>
          <w:szCs w:val="18"/>
          <w:lang w:val="en-IE" w:eastAsia="ja-JP"/>
        </w:rPr>
        <w:t xml:space="preserve">will spend the next year developing a </w:t>
      </w:r>
      <w:r w:rsidR="00BE7356" w:rsidRPr="00D403F5">
        <w:rPr>
          <w:rFonts w:ascii="Times New Roman" w:eastAsia="MS Mincho" w:hAnsi="Times New Roman" w:cs="Times New Roman"/>
          <w:bCs/>
          <w:sz w:val="18"/>
          <w:szCs w:val="18"/>
          <w:lang w:val="en-IE" w:eastAsia="ja-JP"/>
        </w:rPr>
        <w:t xml:space="preserve">work </w:t>
      </w:r>
      <w:r w:rsidR="00E205AE" w:rsidRPr="00D403F5">
        <w:rPr>
          <w:rFonts w:ascii="Times New Roman" w:eastAsia="MS Mincho" w:hAnsi="Times New Roman" w:cs="Times New Roman"/>
          <w:bCs/>
          <w:sz w:val="18"/>
          <w:szCs w:val="18"/>
          <w:lang w:val="en-IE" w:eastAsia="ja-JP"/>
        </w:rPr>
        <w:t xml:space="preserve">plan on how the OIE could </w:t>
      </w:r>
      <w:r w:rsidRPr="00D403F5">
        <w:rPr>
          <w:rFonts w:ascii="Times New Roman" w:eastAsia="MS Mincho" w:hAnsi="Times New Roman" w:cs="Times New Roman"/>
          <w:bCs/>
          <w:sz w:val="18"/>
          <w:szCs w:val="18"/>
          <w:lang w:val="en-IE" w:eastAsia="ja-JP"/>
        </w:rPr>
        <w:t xml:space="preserve">better </w:t>
      </w:r>
      <w:r w:rsidR="00E205AE" w:rsidRPr="00D403F5">
        <w:rPr>
          <w:rFonts w:ascii="Times New Roman" w:eastAsia="MS Mincho" w:hAnsi="Times New Roman" w:cs="Times New Roman"/>
          <w:bCs/>
          <w:sz w:val="18"/>
          <w:szCs w:val="18"/>
          <w:lang w:val="en-IE" w:eastAsia="ja-JP"/>
        </w:rPr>
        <w:t xml:space="preserve">address the prudent use of antimicrobial </w:t>
      </w:r>
      <w:r w:rsidRPr="00D403F5">
        <w:rPr>
          <w:rFonts w:ascii="Times New Roman" w:eastAsia="MS Mincho" w:hAnsi="Times New Roman" w:cs="Times New Roman"/>
          <w:bCs/>
          <w:sz w:val="18"/>
          <w:szCs w:val="18"/>
          <w:lang w:val="en-IE" w:eastAsia="ja-JP"/>
        </w:rPr>
        <w:t xml:space="preserve">agents and issues of antimicrobial resistance </w:t>
      </w:r>
      <w:r w:rsidR="00E205AE" w:rsidRPr="00D403F5">
        <w:rPr>
          <w:rFonts w:ascii="Times New Roman" w:eastAsia="MS Mincho" w:hAnsi="Times New Roman" w:cs="Times New Roman"/>
          <w:bCs/>
          <w:sz w:val="18"/>
          <w:szCs w:val="18"/>
          <w:lang w:val="en-IE" w:eastAsia="ja-JP"/>
        </w:rPr>
        <w:t xml:space="preserve">in aquaculture. </w:t>
      </w:r>
      <w:r w:rsidR="006330D8" w:rsidRPr="00D403F5">
        <w:rPr>
          <w:rFonts w:ascii="Times New Roman" w:eastAsia="MS Mincho" w:hAnsi="Times New Roman" w:cs="Times New Roman"/>
          <w:bCs/>
          <w:sz w:val="18"/>
          <w:szCs w:val="18"/>
          <w:lang w:val="en-IE" w:eastAsia="ja-JP"/>
        </w:rPr>
        <w:t xml:space="preserve">This project was initiated following the global conference in Chile 2019 and is funded by the Norwegian Agency for Development and Cooperation (NORAD). </w:t>
      </w:r>
      <w:r w:rsidRPr="00D403F5">
        <w:rPr>
          <w:rFonts w:ascii="Times New Roman" w:eastAsia="MS Mincho" w:hAnsi="Times New Roman" w:cs="Times New Roman"/>
          <w:bCs/>
          <w:sz w:val="18"/>
          <w:szCs w:val="18"/>
          <w:lang w:val="en-IE" w:eastAsia="ja-JP"/>
        </w:rPr>
        <w:t>He explained that t</w:t>
      </w:r>
      <w:r w:rsidR="008531BD" w:rsidRPr="00D403F5">
        <w:rPr>
          <w:rFonts w:ascii="Times New Roman" w:eastAsia="MS Mincho" w:hAnsi="Times New Roman" w:cs="Times New Roman"/>
          <w:bCs/>
          <w:sz w:val="18"/>
          <w:szCs w:val="18"/>
          <w:lang w:val="en-IE" w:eastAsia="ja-JP"/>
        </w:rPr>
        <w:t xml:space="preserve">he plan will </w:t>
      </w:r>
      <w:r w:rsidRPr="00D403F5">
        <w:rPr>
          <w:rFonts w:ascii="Times New Roman" w:eastAsia="MS Mincho" w:hAnsi="Times New Roman" w:cs="Times New Roman"/>
          <w:bCs/>
          <w:sz w:val="18"/>
          <w:szCs w:val="18"/>
          <w:lang w:val="en-IE" w:eastAsia="ja-JP"/>
        </w:rPr>
        <w:t xml:space="preserve">ensure that </w:t>
      </w:r>
      <w:r w:rsidR="008531BD" w:rsidRPr="00D403F5">
        <w:rPr>
          <w:rFonts w:ascii="Times New Roman" w:eastAsia="MS Mincho" w:hAnsi="Times New Roman" w:cs="Times New Roman"/>
          <w:bCs/>
          <w:sz w:val="18"/>
          <w:szCs w:val="18"/>
          <w:lang w:val="en-IE" w:eastAsia="ja-JP"/>
        </w:rPr>
        <w:t xml:space="preserve">the OIE </w:t>
      </w:r>
      <w:r w:rsidRPr="00D403F5">
        <w:rPr>
          <w:rFonts w:ascii="Times New Roman" w:eastAsia="MS Mincho" w:hAnsi="Times New Roman" w:cs="Times New Roman"/>
          <w:bCs/>
          <w:sz w:val="18"/>
          <w:szCs w:val="18"/>
          <w:lang w:val="en-IE" w:eastAsia="ja-JP"/>
        </w:rPr>
        <w:t xml:space="preserve">has </w:t>
      </w:r>
      <w:r w:rsidR="00A06C09" w:rsidRPr="00D403F5">
        <w:rPr>
          <w:rFonts w:ascii="Times New Roman" w:eastAsia="MS Mincho" w:hAnsi="Times New Roman" w:cs="Times New Roman"/>
          <w:bCs/>
          <w:sz w:val="18"/>
          <w:szCs w:val="18"/>
          <w:lang w:val="en-IE" w:eastAsia="ja-JP"/>
        </w:rPr>
        <w:t>up to date</w:t>
      </w:r>
      <w:r w:rsidR="008531BD" w:rsidRPr="00D403F5">
        <w:rPr>
          <w:rFonts w:ascii="Times New Roman" w:eastAsia="MS Mincho" w:hAnsi="Times New Roman" w:cs="Times New Roman"/>
          <w:bCs/>
          <w:sz w:val="18"/>
          <w:szCs w:val="18"/>
          <w:lang w:val="en-IE" w:eastAsia="ja-JP"/>
        </w:rPr>
        <w:t xml:space="preserve"> and </w:t>
      </w:r>
      <w:r w:rsidRPr="00D403F5">
        <w:rPr>
          <w:rFonts w:ascii="Times New Roman" w:eastAsia="MS Mincho" w:hAnsi="Times New Roman" w:cs="Times New Roman"/>
          <w:bCs/>
          <w:sz w:val="18"/>
          <w:szCs w:val="18"/>
          <w:lang w:val="en-IE" w:eastAsia="ja-JP"/>
        </w:rPr>
        <w:t xml:space="preserve">relevant </w:t>
      </w:r>
      <w:r w:rsidR="008531BD" w:rsidRPr="00D403F5">
        <w:rPr>
          <w:rFonts w:ascii="Times New Roman" w:eastAsia="MS Mincho" w:hAnsi="Times New Roman" w:cs="Times New Roman"/>
          <w:bCs/>
          <w:sz w:val="18"/>
          <w:szCs w:val="18"/>
          <w:lang w:val="en-IE" w:eastAsia="ja-JP"/>
        </w:rPr>
        <w:t>tools to support Member</w:t>
      </w:r>
      <w:r w:rsidR="0004728D" w:rsidRPr="00D403F5">
        <w:rPr>
          <w:rFonts w:ascii="Times New Roman" w:eastAsia="MS Mincho" w:hAnsi="Times New Roman" w:cs="Times New Roman"/>
          <w:bCs/>
          <w:sz w:val="18"/>
          <w:szCs w:val="18"/>
          <w:lang w:val="en-IE" w:eastAsia="ja-JP"/>
        </w:rPr>
        <w:t>s</w:t>
      </w:r>
      <w:r w:rsidR="00A06C09" w:rsidRPr="00D403F5">
        <w:rPr>
          <w:rFonts w:ascii="Times New Roman" w:eastAsia="MS Mincho" w:hAnsi="Times New Roman" w:cs="Times New Roman"/>
          <w:bCs/>
          <w:sz w:val="18"/>
          <w:szCs w:val="18"/>
          <w:lang w:val="en-IE" w:eastAsia="ja-JP"/>
        </w:rPr>
        <w:t xml:space="preserve"> in this area</w:t>
      </w:r>
      <w:r w:rsidR="008531BD" w:rsidRPr="00D403F5">
        <w:rPr>
          <w:rFonts w:ascii="Times New Roman" w:eastAsia="MS Mincho" w:hAnsi="Times New Roman" w:cs="Times New Roman"/>
          <w:bCs/>
          <w:sz w:val="18"/>
          <w:szCs w:val="18"/>
          <w:lang w:val="en-IE" w:eastAsia="ja-JP"/>
        </w:rPr>
        <w:t xml:space="preserve">. </w:t>
      </w:r>
      <w:r w:rsidR="006330D8" w:rsidRPr="00D403F5">
        <w:rPr>
          <w:rFonts w:ascii="Times New Roman" w:eastAsia="MS Mincho" w:hAnsi="Times New Roman" w:cs="Times New Roman"/>
          <w:bCs/>
          <w:sz w:val="18"/>
          <w:szCs w:val="18"/>
          <w:lang w:val="en-IE" w:eastAsia="ja-JP"/>
        </w:rPr>
        <w:t>The work plan, and notably</w:t>
      </w:r>
      <w:r w:rsidR="00A06C09" w:rsidRPr="00D403F5">
        <w:rPr>
          <w:rFonts w:ascii="Times New Roman" w:eastAsia="MS Mincho" w:hAnsi="Times New Roman" w:cs="Times New Roman"/>
          <w:bCs/>
          <w:sz w:val="18"/>
          <w:szCs w:val="18"/>
          <w:lang w:val="en-IE" w:eastAsia="ja-JP"/>
        </w:rPr>
        <w:t xml:space="preserve"> targeted s</w:t>
      </w:r>
      <w:r w:rsidR="008531BD" w:rsidRPr="00D403F5">
        <w:rPr>
          <w:rFonts w:ascii="Times New Roman" w:eastAsia="MS Mincho" w:hAnsi="Times New Roman" w:cs="Times New Roman"/>
          <w:bCs/>
          <w:sz w:val="18"/>
          <w:szCs w:val="18"/>
          <w:lang w:val="en-IE" w:eastAsia="ja-JP"/>
        </w:rPr>
        <w:t>trategies</w:t>
      </w:r>
      <w:r w:rsidR="00A06C09" w:rsidRPr="00D403F5">
        <w:rPr>
          <w:rFonts w:ascii="Times New Roman" w:eastAsia="MS Mincho" w:hAnsi="Times New Roman" w:cs="Times New Roman"/>
          <w:bCs/>
          <w:sz w:val="18"/>
          <w:szCs w:val="18"/>
          <w:lang w:val="en-IE" w:eastAsia="ja-JP"/>
        </w:rPr>
        <w:t xml:space="preserve"> </w:t>
      </w:r>
      <w:r w:rsidR="008531BD" w:rsidRPr="00D403F5">
        <w:rPr>
          <w:rFonts w:ascii="Times New Roman" w:eastAsia="MS Mincho" w:hAnsi="Times New Roman" w:cs="Times New Roman"/>
          <w:bCs/>
          <w:sz w:val="18"/>
          <w:szCs w:val="18"/>
          <w:lang w:val="en-IE" w:eastAsia="ja-JP"/>
        </w:rPr>
        <w:t xml:space="preserve">and </w:t>
      </w:r>
      <w:r w:rsidR="00A06C09" w:rsidRPr="00D403F5">
        <w:rPr>
          <w:rFonts w:ascii="Times New Roman" w:eastAsia="MS Mincho" w:hAnsi="Times New Roman" w:cs="Times New Roman"/>
          <w:bCs/>
          <w:sz w:val="18"/>
          <w:szCs w:val="18"/>
          <w:lang w:val="en-IE" w:eastAsia="ja-JP"/>
        </w:rPr>
        <w:t xml:space="preserve">training </w:t>
      </w:r>
      <w:r w:rsidR="008531BD" w:rsidRPr="00D403F5">
        <w:rPr>
          <w:rFonts w:ascii="Times New Roman" w:eastAsia="MS Mincho" w:hAnsi="Times New Roman" w:cs="Times New Roman"/>
          <w:bCs/>
          <w:sz w:val="18"/>
          <w:szCs w:val="18"/>
          <w:lang w:val="en-IE" w:eastAsia="ja-JP"/>
        </w:rPr>
        <w:t xml:space="preserve">events </w:t>
      </w:r>
      <w:r w:rsidR="00A06C09" w:rsidRPr="00D403F5">
        <w:rPr>
          <w:rFonts w:ascii="Times New Roman" w:eastAsia="MS Mincho" w:hAnsi="Times New Roman" w:cs="Times New Roman"/>
          <w:bCs/>
          <w:sz w:val="18"/>
          <w:szCs w:val="18"/>
          <w:lang w:val="en-IE" w:eastAsia="ja-JP"/>
        </w:rPr>
        <w:t>will</w:t>
      </w:r>
      <w:r w:rsidR="006330D8" w:rsidRPr="00D403F5">
        <w:rPr>
          <w:rFonts w:ascii="Times New Roman" w:eastAsia="MS Mincho" w:hAnsi="Times New Roman" w:cs="Times New Roman"/>
          <w:bCs/>
          <w:sz w:val="18"/>
          <w:szCs w:val="18"/>
          <w:lang w:val="en-IE" w:eastAsia="ja-JP"/>
        </w:rPr>
        <w:t>,</w:t>
      </w:r>
      <w:r w:rsidR="00A06C09" w:rsidRPr="00D403F5">
        <w:rPr>
          <w:rFonts w:ascii="Times New Roman" w:eastAsia="MS Mincho" w:hAnsi="Times New Roman" w:cs="Times New Roman"/>
          <w:bCs/>
          <w:sz w:val="18"/>
          <w:szCs w:val="18"/>
          <w:lang w:val="en-IE" w:eastAsia="ja-JP"/>
        </w:rPr>
        <w:t xml:space="preserve"> be </w:t>
      </w:r>
      <w:r w:rsidR="006330D8" w:rsidRPr="00D403F5">
        <w:rPr>
          <w:rFonts w:ascii="Times New Roman" w:eastAsia="MS Mincho" w:hAnsi="Times New Roman" w:cs="Times New Roman"/>
          <w:bCs/>
          <w:sz w:val="18"/>
          <w:szCs w:val="18"/>
          <w:lang w:val="en-IE" w:eastAsia="ja-JP"/>
        </w:rPr>
        <w:t>aligned</w:t>
      </w:r>
      <w:r w:rsidR="00A06C09" w:rsidRPr="00D403F5">
        <w:rPr>
          <w:rFonts w:ascii="Times New Roman" w:eastAsia="MS Mincho" w:hAnsi="Times New Roman" w:cs="Times New Roman"/>
          <w:bCs/>
          <w:sz w:val="18"/>
          <w:szCs w:val="18"/>
          <w:lang w:val="en-IE" w:eastAsia="ja-JP"/>
        </w:rPr>
        <w:t xml:space="preserve"> with </w:t>
      </w:r>
      <w:r w:rsidR="008531BD" w:rsidRPr="00D403F5">
        <w:rPr>
          <w:rFonts w:ascii="Times New Roman" w:eastAsia="MS Mincho" w:hAnsi="Times New Roman" w:cs="Times New Roman"/>
          <w:bCs/>
          <w:sz w:val="18"/>
          <w:szCs w:val="18"/>
          <w:lang w:val="en-IE" w:eastAsia="ja-JP"/>
        </w:rPr>
        <w:t xml:space="preserve">the OIE </w:t>
      </w:r>
      <w:r w:rsidR="00BE7356" w:rsidRPr="00D403F5">
        <w:rPr>
          <w:rFonts w:ascii="Times New Roman" w:eastAsia="MS Mincho" w:hAnsi="Times New Roman" w:cs="Times New Roman"/>
          <w:bCs/>
          <w:sz w:val="18"/>
          <w:szCs w:val="18"/>
          <w:lang w:val="en-IE" w:eastAsia="ja-JP"/>
        </w:rPr>
        <w:t xml:space="preserve">Strategy </w:t>
      </w:r>
      <w:r w:rsidR="008531BD" w:rsidRPr="00D403F5">
        <w:rPr>
          <w:rFonts w:ascii="Times New Roman" w:eastAsia="MS Mincho" w:hAnsi="Times New Roman" w:cs="Times New Roman"/>
          <w:bCs/>
          <w:sz w:val="18"/>
          <w:szCs w:val="18"/>
          <w:lang w:val="en-IE" w:eastAsia="ja-JP"/>
        </w:rPr>
        <w:t xml:space="preserve">on </w:t>
      </w:r>
      <w:r w:rsidR="006677C0" w:rsidRPr="00D403F5">
        <w:rPr>
          <w:rFonts w:ascii="Times New Roman" w:eastAsia="MS Mincho" w:hAnsi="Times New Roman" w:cs="Times New Roman"/>
          <w:bCs/>
          <w:sz w:val="18"/>
          <w:szCs w:val="18"/>
          <w:lang w:val="en-IE" w:eastAsia="ja-JP"/>
        </w:rPr>
        <w:t>Antimicrobial</w:t>
      </w:r>
      <w:r w:rsidR="00BE7356" w:rsidRPr="00D403F5">
        <w:rPr>
          <w:rFonts w:ascii="Times New Roman" w:eastAsia="MS Mincho" w:hAnsi="Times New Roman" w:cs="Times New Roman"/>
          <w:bCs/>
          <w:sz w:val="18"/>
          <w:szCs w:val="18"/>
          <w:lang w:val="en-IE" w:eastAsia="ja-JP"/>
        </w:rPr>
        <w:t xml:space="preserve"> </w:t>
      </w:r>
      <w:r w:rsidR="006677C0" w:rsidRPr="00D403F5">
        <w:rPr>
          <w:rFonts w:ascii="Times New Roman" w:eastAsia="MS Mincho" w:hAnsi="Times New Roman" w:cs="Times New Roman"/>
          <w:bCs/>
          <w:sz w:val="18"/>
          <w:szCs w:val="18"/>
          <w:lang w:val="en-IE" w:eastAsia="ja-JP"/>
        </w:rPr>
        <w:t>Resistance</w:t>
      </w:r>
      <w:r w:rsidR="00BE7356" w:rsidRPr="00D403F5">
        <w:rPr>
          <w:rFonts w:ascii="Times New Roman" w:eastAsia="MS Mincho" w:hAnsi="Times New Roman" w:cs="Times New Roman"/>
          <w:bCs/>
          <w:sz w:val="18"/>
          <w:szCs w:val="18"/>
          <w:lang w:val="en-IE" w:eastAsia="ja-JP"/>
        </w:rPr>
        <w:t xml:space="preserve"> and the Prudent Use of Antimicrobials</w:t>
      </w:r>
      <w:r w:rsidR="008531BD" w:rsidRPr="00D403F5">
        <w:rPr>
          <w:rFonts w:ascii="Times New Roman" w:eastAsia="MS Mincho" w:hAnsi="Times New Roman" w:cs="Times New Roman"/>
          <w:bCs/>
          <w:sz w:val="18"/>
          <w:szCs w:val="18"/>
          <w:lang w:val="en-IE" w:eastAsia="ja-JP"/>
        </w:rPr>
        <w:t xml:space="preserve">. </w:t>
      </w:r>
      <w:r w:rsidR="00DB0A38" w:rsidRPr="00D403F5">
        <w:rPr>
          <w:rFonts w:ascii="Times New Roman" w:eastAsia="MS Mincho" w:hAnsi="Times New Roman" w:cs="Times New Roman"/>
          <w:bCs/>
          <w:sz w:val="18"/>
          <w:szCs w:val="18"/>
          <w:lang w:val="en-IE" w:eastAsia="ja-JP"/>
        </w:rPr>
        <w:t xml:space="preserve">The Commission </w:t>
      </w:r>
      <w:r w:rsidR="006330D8" w:rsidRPr="00D403F5">
        <w:rPr>
          <w:rFonts w:ascii="Times New Roman" w:eastAsia="MS Mincho" w:hAnsi="Times New Roman" w:cs="Times New Roman"/>
          <w:bCs/>
          <w:sz w:val="18"/>
          <w:szCs w:val="18"/>
          <w:lang w:val="en-IE" w:eastAsia="ja-JP"/>
        </w:rPr>
        <w:t>offered to provide support and advice</w:t>
      </w:r>
      <w:r w:rsidR="00B12EB3" w:rsidRPr="00D403F5">
        <w:rPr>
          <w:rFonts w:ascii="Times New Roman" w:eastAsia="MS Mincho" w:hAnsi="Times New Roman" w:cs="Times New Roman"/>
          <w:bCs/>
          <w:sz w:val="18"/>
          <w:szCs w:val="18"/>
          <w:lang w:val="en-IE" w:eastAsia="ja-JP"/>
        </w:rPr>
        <w:t xml:space="preserve"> </w:t>
      </w:r>
      <w:r w:rsidR="00A06C09" w:rsidRPr="00D403F5">
        <w:rPr>
          <w:rFonts w:ascii="Times New Roman" w:eastAsia="MS Mincho" w:hAnsi="Times New Roman" w:cs="Times New Roman"/>
          <w:bCs/>
          <w:sz w:val="18"/>
          <w:szCs w:val="18"/>
          <w:lang w:val="en-IE" w:eastAsia="ja-JP"/>
        </w:rPr>
        <w:t xml:space="preserve">and requested that the work plan be </w:t>
      </w:r>
      <w:r w:rsidR="00DB0A38" w:rsidRPr="00D403F5">
        <w:rPr>
          <w:rFonts w:ascii="Times New Roman" w:eastAsia="MS Mincho" w:hAnsi="Times New Roman" w:cs="Times New Roman"/>
          <w:bCs/>
          <w:sz w:val="18"/>
          <w:szCs w:val="18"/>
          <w:lang w:val="en-IE" w:eastAsia="ja-JP"/>
        </w:rPr>
        <w:t>achievable and realistic</w:t>
      </w:r>
      <w:r w:rsidR="00A06C09" w:rsidRPr="00D403F5">
        <w:rPr>
          <w:rFonts w:ascii="Times New Roman" w:eastAsia="MS Mincho" w:hAnsi="Times New Roman" w:cs="Times New Roman"/>
          <w:bCs/>
          <w:sz w:val="18"/>
          <w:szCs w:val="18"/>
          <w:lang w:val="en-IE" w:eastAsia="ja-JP"/>
        </w:rPr>
        <w:t xml:space="preserve"> </w:t>
      </w:r>
      <w:r w:rsidR="00DB0A38" w:rsidRPr="00D403F5">
        <w:rPr>
          <w:rFonts w:ascii="Times New Roman" w:eastAsia="MS Mincho" w:hAnsi="Times New Roman" w:cs="Times New Roman"/>
          <w:bCs/>
          <w:sz w:val="18"/>
          <w:szCs w:val="18"/>
          <w:lang w:val="en-IE" w:eastAsia="ja-JP"/>
        </w:rPr>
        <w:t>consider</w:t>
      </w:r>
      <w:r w:rsidR="00BB2A3E" w:rsidRPr="00D403F5">
        <w:rPr>
          <w:rFonts w:ascii="Times New Roman" w:eastAsia="MS Mincho" w:hAnsi="Times New Roman" w:cs="Times New Roman"/>
          <w:bCs/>
          <w:sz w:val="18"/>
          <w:szCs w:val="18"/>
          <w:lang w:val="en-IE" w:eastAsia="ja-JP"/>
        </w:rPr>
        <w:t xml:space="preserve">ing </w:t>
      </w:r>
      <w:r w:rsidR="00DB0A38" w:rsidRPr="00D403F5">
        <w:rPr>
          <w:rFonts w:ascii="Times New Roman" w:eastAsia="MS Mincho" w:hAnsi="Times New Roman" w:cs="Times New Roman"/>
          <w:bCs/>
          <w:sz w:val="18"/>
          <w:szCs w:val="18"/>
          <w:lang w:val="en-IE" w:eastAsia="ja-JP"/>
        </w:rPr>
        <w:t xml:space="preserve">the impacts and feasibility of any proposed measures. </w:t>
      </w:r>
    </w:p>
    <w:p w14:paraId="0327E007" w14:textId="0FADB0D7" w:rsidR="004913DE" w:rsidRPr="00D403F5" w:rsidRDefault="006330D8" w:rsidP="001041C6">
      <w:pPr>
        <w:spacing w:after="240" w:line="240" w:lineRule="auto"/>
        <w:ind w:left="426"/>
        <w:jc w:val="both"/>
        <w:rPr>
          <w:rFonts w:ascii="Times New Roman" w:eastAsia="MS Mincho" w:hAnsi="Times New Roman" w:cs="Times New Roman"/>
          <w:bCs/>
          <w:sz w:val="18"/>
          <w:szCs w:val="18"/>
          <w:lang w:val="en-IE" w:eastAsia="ja-JP"/>
        </w:rPr>
      </w:pPr>
      <w:r w:rsidRPr="00D403F5">
        <w:rPr>
          <w:rFonts w:ascii="Times New Roman" w:eastAsia="MS Mincho" w:hAnsi="Times New Roman" w:cs="Times New Roman"/>
          <w:bCs/>
          <w:sz w:val="18"/>
          <w:szCs w:val="18"/>
          <w:lang w:val="en-IE" w:eastAsia="ja-JP"/>
        </w:rPr>
        <w:t xml:space="preserve">Dr </w:t>
      </w:r>
      <w:r w:rsidR="00BE7356" w:rsidRPr="00D403F5">
        <w:rPr>
          <w:rFonts w:ascii="Times New Roman" w:eastAsia="MS Mincho" w:hAnsi="Times New Roman" w:cs="Times New Roman"/>
          <w:bCs/>
          <w:sz w:val="18"/>
          <w:szCs w:val="18"/>
          <w:lang w:val="en-IE" w:eastAsia="ja-JP"/>
        </w:rPr>
        <w:t>Dante Matéo</w:t>
      </w:r>
      <w:r w:rsidR="00266A99" w:rsidRPr="00D403F5">
        <w:rPr>
          <w:rFonts w:ascii="Times New Roman" w:eastAsia="MS Mincho" w:hAnsi="Times New Roman" w:cs="Times New Roman"/>
          <w:bCs/>
          <w:sz w:val="18"/>
          <w:szCs w:val="18"/>
          <w:lang w:val="en-IE" w:eastAsia="ja-JP"/>
        </w:rPr>
        <w:t xml:space="preserve"> may be </w:t>
      </w:r>
      <w:r w:rsidR="000A5667" w:rsidRPr="00D403F5">
        <w:rPr>
          <w:rFonts w:ascii="Times New Roman" w:eastAsia="MS Mincho" w:hAnsi="Times New Roman" w:cs="Times New Roman"/>
          <w:bCs/>
          <w:sz w:val="18"/>
          <w:szCs w:val="18"/>
          <w:lang w:val="en-IE" w:eastAsia="ja-JP"/>
        </w:rPr>
        <w:t>contacted</w:t>
      </w:r>
      <w:r w:rsidR="00266A99" w:rsidRPr="00D403F5">
        <w:rPr>
          <w:rFonts w:ascii="Times New Roman" w:eastAsia="MS Mincho" w:hAnsi="Times New Roman" w:cs="Times New Roman"/>
          <w:bCs/>
          <w:sz w:val="18"/>
          <w:szCs w:val="18"/>
          <w:lang w:val="en-IE" w:eastAsia="ja-JP"/>
        </w:rPr>
        <w:t xml:space="preserve"> at </w:t>
      </w:r>
      <w:hyperlink r:id="rId11" w:history="1">
        <w:r w:rsidR="00266A99" w:rsidRPr="00D403F5">
          <w:rPr>
            <w:rStyle w:val="aa"/>
            <w:rFonts w:ascii="Times New Roman" w:eastAsia="MS Mincho" w:hAnsi="Times New Roman" w:cs="Times New Roman"/>
            <w:bCs/>
            <w:sz w:val="18"/>
            <w:szCs w:val="18"/>
            <w:lang w:val="en-IE" w:eastAsia="ja-JP"/>
          </w:rPr>
          <w:t>d.mateo@oie.int</w:t>
        </w:r>
      </w:hyperlink>
      <w:r w:rsidR="00266A99" w:rsidRPr="00D403F5">
        <w:rPr>
          <w:rFonts w:ascii="Times New Roman" w:eastAsia="MS Mincho" w:hAnsi="Times New Roman" w:cs="Times New Roman"/>
          <w:bCs/>
          <w:sz w:val="18"/>
          <w:szCs w:val="18"/>
          <w:lang w:val="en-IE" w:eastAsia="ja-JP"/>
        </w:rPr>
        <w:t xml:space="preserve"> for any further information.</w:t>
      </w:r>
    </w:p>
    <w:p w14:paraId="2BCA1E26" w14:textId="6DD3E45D" w:rsidR="003532F7" w:rsidRPr="00D403F5" w:rsidRDefault="001865CC" w:rsidP="001041C6">
      <w:pPr>
        <w:spacing w:after="240" w:line="240" w:lineRule="auto"/>
        <w:ind w:left="425" w:hanging="426"/>
        <w:rPr>
          <w:rFonts w:ascii="Times New Roman" w:hAnsi="Times New Roman" w:cs="Times New Roman"/>
          <w:b/>
          <w:caps/>
          <w:sz w:val="18"/>
          <w:szCs w:val="18"/>
          <w:lang w:val="en-IE"/>
        </w:rPr>
      </w:pPr>
      <w:bookmarkStart w:id="8" w:name="_Hlk20737463"/>
      <w:bookmarkEnd w:id="0"/>
      <w:r w:rsidRPr="00D403F5">
        <w:rPr>
          <w:rFonts w:ascii="Times New Roman" w:hAnsi="Times New Roman" w:cs="Times New Roman"/>
          <w:b/>
          <w:caps/>
          <w:sz w:val="18"/>
          <w:szCs w:val="18"/>
          <w:lang w:val="en-IE"/>
        </w:rPr>
        <w:t>5.</w:t>
      </w:r>
      <w:r w:rsidRPr="00D403F5">
        <w:rPr>
          <w:rFonts w:ascii="Times New Roman" w:hAnsi="Times New Roman" w:cs="Times New Roman"/>
          <w:b/>
          <w:caps/>
          <w:sz w:val="18"/>
          <w:szCs w:val="18"/>
          <w:lang w:val="en-IE"/>
        </w:rPr>
        <w:tab/>
      </w:r>
      <w:r w:rsidR="00DE4CE0" w:rsidRPr="00D403F5">
        <w:rPr>
          <w:rFonts w:ascii="Times New Roman" w:hAnsi="Times New Roman" w:cs="Times New Roman"/>
          <w:b/>
          <w:bCs/>
          <w:sz w:val="18"/>
          <w:szCs w:val="18"/>
        </w:rPr>
        <w:t>WORK</w:t>
      </w:r>
      <w:r w:rsidR="00DE4CE0" w:rsidRPr="00D403F5">
        <w:rPr>
          <w:rFonts w:ascii="Times New Roman" w:hAnsi="Times New Roman" w:cs="Times New Roman"/>
          <w:b/>
          <w:sz w:val="18"/>
          <w:szCs w:val="18"/>
          <w:lang w:val="en-IE"/>
        </w:rPr>
        <w:t xml:space="preserve"> </w:t>
      </w:r>
      <w:r w:rsidR="003532F7" w:rsidRPr="00D403F5">
        <w:rPr>
          <w:rFonts w:ascii="Times New Roman" w:hAnsi="Times New Roman" w:cs="Times New Roman"/>
          <w:b/>
          <w:caps/>
          <w:sz w:val="18"/>
          <w:szCs w:val="18"/>
          <w:lang w:val="en-IE"/>
        </w:rPr>
        <w:t xml:space="preserve">plan of the Aquatic Animal Health Standards Commission </w:t>
      </w:r>
    </w:p>
    <w:p w14:paraId="03F354BA" w14:textId="2551F537" w:rsidR="003532F7" w:rsidRPr="00D403F5" w:rsidRDefault="003532F7" w:rsidP="001041C6">
      <w:pPr>
        <w:pStyle w:val="Web"/>
        <w:tabs>
          <w:tab w:val="left" w:pos="426"/>
        </w:tabs>
        <w:spacing w:before="0" w:beforeAutospacing="0" w:after="240" w:afterAutospacing="0"/>
        <w:ind w:left="425"/>
        <w:jc w:val="both"/>
        <w:rPr>
          <w:sz w:val="18"/>
          <w:szCs w:val="18"/>
          <w:lang w:val="en-IE"/>
        </w:rPr>
      </w:pPr>
      <w:r w:rsidRPr="00D403F5">
        <w:rPr>
          <w:sz w:val="18"/>
          <w:szCs w:val="18"/>
          <w:lang w:val="en-IE"/>
        </w:rPr>
        <w:t xml:space="preserve">The Commission reviewed and updated its work </w:t>
      </w:r>
      <w:r w:rsidR="003C29CD" w:rsidRPr="00D403F5">
        <w:rPr>
          <w:sz w:val="18"/>
          <w:szCs w:val="18"/>
          <w:lang w:val="en-IE"/>
        </w:rPr>
        <w:t xml:space="preserve">plan </w:t>
      </w:r>
      <w:r w:rsidR="00ED54F0" w:rsidRPr="00D403F5">
        <w:rPr>
          <w:sz w:val="18"/>
          <w:szCs w:val="18"/>
          <w:lang w:val="en-IE"/>
        </w:rPr>
        <w:t>taking into account previous decisions,</w:t>
      </w:r>
      <w:r w:rsidRPr="00D403F5">
        <w:rPr>
          <w:sz w:val="18"/>
          <w:szCs w:val="18"/>
          <w:lang w:val="en-IE"/>
        </w:rPr>
        <w:t xml:space="preserve"> </w:t>
      </w:r>
      <w:r w:rsidR="00ED54F0" w:rsidRPr="00D403F5">
        <w:rPr>
          <w:sz w:val="18"/>
          <w:szCs w:val="18"/>
          <w:lang w:val="en-IE"/>
        </w:rPr>
        <w:t>Members</w:t>
      </w:r>
      <w:r w:rsidR="00B12EB3" w:rsidRPr="00D403F5">
        <w:rPr>
          <w:sz w:val="18"/>
          <w:szCs w:val="18"/>
          <w:lang w:val="en-IE"/>
        </w:rPr>
        <w:t>’</w:t>
      </w:r>
      <w:r w:rsidR="00ED54F0" w:rsidRPr="00D403F5">
        <w:rPr>
          <w:sz w:val="18"/>
          <w:szCs w:val="18"/>
          <w:lang w:val="en-IE"/>
        </w:rPr>
        <w:t xml:space="preserve"> </w:t>
      </w:r>
      <w:r w:rsidR="006330D8" w:rsidRPr="00D403F5">
        <w:rPr>
          <w:sz w:val="18"/>
          <w:szCs w:val="18"/>
          <w:lang w:val="en-IE"/>
        </w:rPr>
        <w:t>comments</w:t>
      </w:r>
      <w:r w:rsidR="00571C64" w:rsidRPr="00D403F5">
        <w:rPr>
          <w:sz w:val="18"/>
          <w:szCs w:val="18"/>
          <w:lang w:val="en-IE"/>
        </w:rPr>
        <w:t>,</w:t>
      </w:r>
      <w:r w:rsidR="00ED54F0" w:rsidRPr="00D403F5">
        <w:rPr>
          <w:sz w:val="18"/>
          <w:szCs w:val="18"/>
          <w:lang w:val="en-IE"/>
        </w:rPr>
        <w:t xml:space="preserve"> and recommendations from the OIE Global Aquatic Animal </w:t>
      </w:r>
      <w:r w:rsidR="00EE6A11" w:rsidRPr="00D403F5">
        <w:rPr>
          <w:sz w:val="18"/>
          <w:szCs w:val="18"/>
          <w:lang w:val="en-IE"/>
        </w:rPr>
        <w:t>H</w:t>
      </w:r>
      <w:r w:rsidR="00ED54F0" w:rsidRPr="00D403F5">
        <w:rPr>
          <w:sz w:val="18"/>
          <w:szCs w:val="18"/>
          <w:lang w:val="en-IE"/>
        </w:rPr>
        <w:t>ealth Conference held in April 2019</w:t>
      </w:r>
      <w:r w:rsidRPr="00D403F5">
        <w:rPr>
          <w:sz w:val="18"/>
          <w:szCs w:val="18"/>
          <w:lang w:val="en-IE"/>
        </w:rPr>
        <w:t>.</w:t>
      </w:r>
    </w:p>
    <w:p w14:paraId="6B4166EC" w14:textId="73106CA5" w:rsidR="00B21617" w:rsidRPr="00D403F5" w:rsidRDefault="00B21617" w:rsidP="001041C6">
      <w:pPr>
        <w:pStyle w:val="Web"/>
        <w:tabs>
          <w:tab w:val="left" w:pos="426"/>
        </w:tabs>
        <w:spacing w:before="0" w:beforeAutospacing="0" w:after="240" w:afterAutospacing="0"/>
        <w:ind w:left="425"/>
        <w:jc w:val="both"/>
        <w:rPr>
          <w:sz w:val="18"/>
          <w:szCs w:val="18"/>
          <w:lang w:val="en-IE"/>
        </w:rPr>
      </w:pPr>
      <w:r w:rsidRPr="00D403F5">
        <w:rPr>
          <w:sz w:val="18"/>
          <w:szCs w:val="18"/>
          <w:lang w:val="en-IE"/>
        </w:rPr>
        <w:t xml:space="preserve">The Commission proposed the addition of two new items: 1. ‘development of a new standard for ornamental aquatic animals’ and 2. ‘development of a new standard to address trade in genetic products’, noting that these are well-defined, longstanding issues with significant trade impacts. The Commission also highlighted that both issues were included in the recommendations from the OIE Global Aquatic Conference on Aquatic Animal Health. </w:t>
      </w:r>
    </w:p>
    <w:p w14:paraId="5B44DFAB" w14:textId="6D092617" w:rsidR="005D361B" w:rsidRPr="00D403F5" w:rsidRDefault="005D361B" w:rsidP="001041C6">
      <w:pPr>
        <w:pStyle w:val="Web"/>
        <w:tabs>
          <w:tab w:val="left" w:pos="426"/>
        </w:tabs>
        <w:spacing w:before="0" w:beforeAutospacing="0" w:after="240" w:afterAutospacing="0"/>
        <w:ind w:left="425"/>
        <w:jc w:val="both"/>
        <w:rPr>
          <w:sz w:val="18"/>
          <w:szCs w:val="18"/>
          <w:lang w:val="en-IE"/>
        </w:rPr>
      </w:pPr>
      <w:r w:rsidRPr="00D403F5">
        <w:rPr>
          <w:sz w:val="18"/>
          <w:szCs w:val="18"/>
          <w:lang w:val="en-IE"/>
        </w:rPr>
        <w:t>The Commission noted that the development of an OIE Strategy on Aquatic Animal Health would likely have implications for its workplan that would need to be considered at a later time.</w:t>
      </w:r>
    </w:p>
    <w:p w14:paraId="41ECEB4C" w14:textId="5B816502" w:rsidR="00B21617" w:rsidRPr="00D403F5" w:rsidRDefault="00B21617" w:rsidP="001041C6">
      <w:pPr>
        <w:pStyle w:val="Web"/>
        <w:tabs>
          <w:tab w:val="left" w:pos="426"/>
        </w:tabs>
        <w:spacing w:before="0" w:beforeAutospacing="0" w:after="240" w:afterAutospacing="0"/>
        <w:ind w:left="425"/>
        <w:jc w:val="both"/>
        <w:rPr>
          <w:sz w:val="18"/>
          <w:szCs w:val="18"/>
          <w:lang w:val="en-US"/>
        </w:rPr>
      </w:pPr>
      <w:r w:rsidRPr="00D403F5">
        <w:rPr>
          <w:sz w:val="18"/>
          <w:szCs w:val="18"/>
          <w:lang w:val="en-IE"/>
        </w:rPr>
        <w:t xml:space="preserve">The revised work </w:t>
      </w:r>
      <w:r w:rsidR="00BB2A3E" w:rsidRPr="00D403F5">
        <w:rPr>
          <w:sz w:val="18"/>
          <w:szCs w:val="18"/>
          <w:lang w:val="en-IE"/>
        </w:rPr>
        <w:t xml:space="preserve">plan </w:t>
      </w:r>
      <w:r w:rsidRPr="00D403F5">
        <w:rPr>
          <w:sz w:val="18"/>
          <w:szCs w:val="18"/>
          <w:lang w:val="en-IE"/>
        </w:rPr>
        <w:t xml:space="preserve">is presented </w:t>
      </w:r>
      <w:r w:rsidR="00F70439" w:rsidRPr="00D403F5">
        <w:rPr>
          <w:sz w:val="18"/>
          <w:szCs w:val="18"/>
          <w:lang w:val="en-IE"/>
        </w:rPr>
        <w:t xml:space="preserve">as </w:t>
      </w:r>
      <w:r w:rsidRPr="00D403F5">
        <w:rPr>
          <w:sz w:val="18"/>
          <w:szCs w:val="18"/>
          <w:u w:val="single"/>
          <w:lang w:val="en-IE"/>
        </w:rPr>
        <w:t xml:space="preserve">Annex </w:t>
      </w:r>
      <w:r w:rsidR="00E230FF" w:rsidRPr="00D403F5">
        <w:rPr>
          <w:sz w:val="18"/>
          <w:szCs w:val="18"/>
          <w:u w:val="single"/>
          <w:lang w:val="en-IE"/>
        </w:rPr>
        <w:t>1</w:t>
      </w:r>
      <w:r w:rsidR="007F6F85" w:rsidRPr="00D403F5">
        <w:rPr>
          <w:sz w:val="18"/>
          <w:szCs w:val="18"/>
          <w:u w:val="single"/>
          <w:lang w:val="en-IE"/>
        </w:rPr>
        <w:t>7</w:t>
      </w:r>
      <w:r w:rsidR="00E230FF" w:rsidRPr="00D403F5">
        <w:rPr>
          <w:sz w:val="18"/>
          <w:szCs w:val="18"/>
          <w:lang w:val="en-IE"/>
        </w:rPr>
        <w:t xml:space="preserve"> </w:t>
      </w:r>
      <w:r w:rsidRPr="00D403F5">
        <w:rPr>
          <w:sz w:val="18"/>
          <w:szCs w:val="18"/>
          <w:lang w:val="en-IE"/>
        </w:rPr>
        <w:t>for Member comment.</w:t>
      </w:r>
      <w:r w:rsidRPr="00D403F5">
        <w:rPr>
          <w:sz w:val="18"/>
          <w:szCs w:val="18"/>
          <w:lang w:val="en-US"/>
        </w:rPr>
        <w:t xml:space="preserve"> </w:t>
      </w:r>
    </w:p>
    <w:bookmarkEnd w:id="8"/>
    <w:p w14:paraId="4A8143BC" w14:textId="0FCF2334" w:rsidR="001865CC" w:rsidRPr="00D403F5" w:rsidRDefault="00DE4CE0" w:rsidP="001041C6">
      <w:pPr>
        <w:pStyle w:val="a4"/>
        <w:spacing w:after="240" w:line="240" w:lineRule="auto"/>
        <w:ind w:left="450" w:hanging="450"/>
        <w:contextualSpacing w:val="0"/>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 xml:space="preserve">6. </w:t>
      </w:r>
      <w:r w:rsidRPr="00D403F5">
        <w:rPr>
          <w:rFonts w:ascii="Times New Roman" w:eastAsia="MS Mincho" w:hAnsi="Times New Roman" w:cs="Times New Roman"/>
          <w:b/>
          <w:sz w:val="18"/>
          <w:szCs w:val="18"/>
          <w:lang w:val="en-IE" w:eastAsia="ja-JP"/>
        </w:rPr>
        <w:tab/>
        <w:t xml:space="preserve">TEXTS PRESENTED FOR MEMBER COMMENTS </w:t>
      </w:r>
    </w:p>
    <w:p w14:paraId="2916C4DE" w14:textId="7D63F2F5" w:rsidR="001865CC" w:rsidRPr="00D403F5" w:rsidRDefault="001865CC" w:rsidP="001041C6">
      <w:pPr>
        <w:spacing w:after="240" w:line="240" w:lineRule="auto"/>
        <w:ind w:left="450"/>
        <w:jc w:val="both"/>
        <w:rPr>
          <w:rFonts w:ascii="Times New Roman" w:eastAsia="MS Mincho" w:hAnsi="Times New Roman" w:cs="Times New Roman"/>
          <w:sz w:val="18"/>
          <w:szCs w:val="18"/>
          <w:lang w:val="en-IE" w:eastAsia="ja-JP"/>
        </w:rPr>
      </w:pPr>
      <w:r w:rsidRPr="00D403F5">
        <w:rPr>
          <w:rFonts w:ascii="Times New Roman" w:eastAsia="MS Mincho" w:hAnsi="Times New Roman" w:cs="Times New Roman"/>
          <w:sz w:val="18"/>
          <w:szCs w:val="18"/>
          <w:lang w:val="en-IE" w:eastAsia="ja-JP"/>
        </w:rPr>
        <w:t xml:space="preserve">The Commission considered all comments and made amendments to draft texts to improve clarity and readability, where relevant. Where amendments were of an editorial nature, no explanatory text has been provided in this report. In addition, the Commission did not consider comments where a rationale had not been provided or that were difficult to interpret. The Commission wished to note that not all </w:t>
      </w:r>
      <w:r w:rsidR="00592BAD" w:rsidRPr="00D403F5">
        <w:rPr>
          <w:rFonts w:ascii="Times New Roman" w:eastAsia="MS Mincho" w:hAnsi="Times New Roman" w:cs="Times New Roman"/>
          <w:sz w:val="18"/>
          <w:szCs w:val="18"/>
          <w:lang w:val="en-IE" w:eastAsia="ja-JP"/>
        </w:rPr>
        <w:t xml:space="preserve">alternative drafting </w:t>
      </w:r>
      <w:r w:rsidRPr="00D403F5">
        <w:rPr>
          <w:rFonts w:ascii="Times New Roman" w:eastAsia="MS Mincho" w:hAnsi="Times New Roman" w:cs="Times New Roman"/>
          <w:sz w:val="18"/>
          <w:szCs w:val="18"/>
          <w:lang w:val="en-IE" w:eastAsia="ja-JP"/>
        </w:rPr>
        <w:t xml:space="preserve">proposed by Members to improve clarity were accepted; in these cases, it considered the </w:t>
      </w:r>
      <w:r w:rsidR="00592BAD" w:rsidRPr="00D403F5">
        <w:rPr>
          <w:rFonts w:ascii="Times New Roman" w:eastAsia="MS Mincho" w:hAnsi="Times New Roman" w:cs="Times New Roman"/>
          <w:sz w:val="18"/>
          <w:szCs w:val="18"/>
          <w:lang w:val="en-IE" w:eastAsia="ja-JP"/>
        </w:rPr>
        <w:t xml:space="preserve">existing </w:t>
      </w:r>
      <w:r w:rsidRPr="00D403F5">
        <w:rPr>
          <w:rFonts w:ascii="Times New Roman" w:eastAsia="MS Mincho" w:hAnsi="Times New Roman" w:cs="Times New Roman"/>
          <w:sz w:val="18"/>
          <w:szCs w:val="18"/>
          <w:lang w:val="en-IE" w:eastAsia="ja-JP"/>
        </w:rPr>
        <w:t xml:space="preserve">text </w:t>
      </w:r>
      <w:r w:rsidR="00592BAD" w:rsidRPr="00D403F5">
        <w:rPr>
          <w:rFonts w:ascii="Times New Roman" w:eastAsia="MS Mincho" w:hAnsi="Times New Roman" w:cs="Times New Roman"/>
          <w:sz w:val="18"/>
          <w:szCs w:val="18"/>
          <w:lang w:val="en-IE" w:eastAsia="ja-JP"/>
        </w:rPr>
        <w:t>and not improved by the proposed changes</w:t>
      </w:r>
      <w:r w:rsidRPr="00D403F5">
        <w:rPr>
          <w:rFonts w:ascii="Times New Roman" w:eastAsia="MS Mincho" w:hAnsi="Times New Roman" w:cs="Times New Roman"/>
          <w:sz w:val="18"/>
          <w:szCs w:val="18"/>
          <w:lang w:val="en-IE" w:eastAsia="ja-JP"/>
        </w:rPr>
        <w:t>.</w:t>
      </w:r>
    </w:p>
    <w:p w14:paraId="0B714720" w14:textId="40C6A3C8" w:rsidR="00F05D46" w:rsidRPr="00D403F5" w:rsidRDefault="00F05D46" w:rsidP="001041C6">
      <w:pPr>
        <w:pStyle w:val="a4"/>
        <w:spacing w:after="240" w:line="240" w:lineRule="auto"/>
        <w:ind w:left="0"/>
        <w:contextualSpacing w:val="0"/>
        <w:jc w:val="center"/>
        <w:rPr>
          <w:rFonts w:ascii="Times New Roman" w:eastAsia="MS Mincho" w:hAnsi="Times New Roman" w:cs="Times New Roman"/>
          <w:b/>
          <w:i/>
          <w:sz w:val="18"/>
          <w:szCs w:val="18"/>
          <w:lang w:val="en-IE" w:eastAsia="ja-JP"/>
        </w:rPr>
      </w:pPr>
      <w:r w:rsidRPr="00D403F5">
        <w:rPr>
          <w:rFonts w:ascii="Times New Roman" w:eastAsia="MS Mincho" w:hAnsi="Times New Roman" w:cs="Times New Roman"/>
          <w:b/>
          <w:sz w:val="18"/>
          <w:szCs w:val="18"/>
          <w:lang w:val="en-IE" w:eastAsia="ja-JP"/>
        </w:rPr>
        <w:t xml:space="preserve">OIE </w:t>
      </w:r>
      <w:r w:rsidRPr="00D403F5">
        <w:rPr>
          <w:rFonts w:ascii="Times New Roman" w:eastAsia="MS Mincho" w:hAnsi="Times New Roman" w:cs="Times New Roman"/>
          <w:b/>
          <w:i/>
          <w:sz w:val="18"/>
          <w:szCs w:val="18"/>
          <w:lang w:val="en-IE" w:eastAsia="ja-JP"/>
        </w:rPr>
        <w:t>AQUATIC ANIMAL HEALTH CODE</w:t>
      </w:r>
    </w:p>
    <w:p w14:paraId="01BC5603" w14:textId="2F805437" w:rsidR="00F05D46" w:rsidRPr="00D403F5" w:rsidRDefault="001865CC" w:rsidP="001041C6">
      <w:pPr>
        <w:spacing w:after="240" w:line="240" w:lineRule="auto"/>
        <w:ind w:left="993" w:hanging="567"/>
        <w:jc w:val="both"/>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6</w:t>
      </w:r>
      <w:r w:rsidR="00F05D46" w:rsidRPr="00D403F5">
        <w:rPr>
          <w:rFonts w:ascii="Times New Roman" w:eastAsia="MS Mincho" w:hAnsi="Times New Roman" w:cs="Times New Roman"/>
          <w:b/>
          <w:sz w:val="18"/>
          <w:szCs w:val="18"/>
          <w:lang w:val="en-IE" w:eastAsia="ja-JP"/>
        </w:rPr>
        <w:t>.1.</w:t>
      </w:r>
      <w:r w:rsidR="00BD79C8" w:rsidRPr="00D403F5">
        <w:rPr>
          <w:rFonts w:ascii="Times New Roman" w:eastAsia="MS Mincho" w:hAnsi="Times New Roman" w:cs="Times New Roman"/>
          <w:b/>
          <w:sz w:val="18"/>
          <w:szCs w:val="18"/>
          <w:lang w:val="en-IE" w:eastAsia="ja-JP"/>
        </w:rPr>
        <w:tab/>
      </w:r>
      <w:r w:rsidR="00F05D46" w:rsidRPr="00D403F5">
        <w:rPr>
          <w:rFonts w:ascii="Times New Roman" w:eastAsia="MS Mincho" w:hAnsi="Times New Roman" w:cs="Times New Roman"/>
          <w:b/>
          <w:sz w:val="18"/>
          <w:szCs w:val="18"/>
          <w:lang w:val="en-IE" w:eastAsia="ja-JP"/>
        </w:rPr>
        <w:t xml:space="preserve">New draft chapter </w:t>
      </w:r>
      <w:bookmarkStart w:id="9" w:name="_Hlk22133501"/>
      <w:r w:rsidR="00F05D46" w:rsidRPr="00D403F5">
        <w:rPr>
          <w:rFonts w:ascii="Times New Roman" w:eastAsia="MS Mincho" w:hAnsi="Times New Roman" w:cs="Times New Roman"/>
          <w:b/>
          <w:sz w:val="18"/>
          <w:szCs w:val="18"/>
          <w:lang w:val="en-IE" w:eastAsia="ja-JP"/>
        </w:rPr>
        <w:t>on Biosecurity for Aquaculture Establishments (Chapter 4.X.)</w:t>
      </w:r>
      <w:bookmarkEnd w:id="9"/>
    </w:p>
    <w:p w14:paraId="313C6431" w14:textId="77777777" w:rsidR="00F05D46" w:rsidRPr="00D403F5" w:rsidRDefault="00F05D46" w:rsidP="001041C6">
      <w:pPr>
        <w:spacing w:after="240" w:line="240" w:lineRule="auto"/>
        <w:ind w:left="993"/>
        <w:jc w:val="both"/>
        <w:rPr>
          <w:rFonts w:ascii="Times New Roman" w:eastAsia="MS Mincho" w:hAnsi="Times New Roman" w:cs="Times New Roman"/>
          <w:sz w:val="18"/>
          <w:szCs w:val="18"/>
          <w:lang w:val="en-IE" w:eastAsia="ja-JP"/>
        </w:rPr>
      </w:pPr>
      <w:r w:rsidRPr="00D403F5">
        <w:rPr>
          <w:rFonts w:ascii="Times New Roman" w:eastAsia="MS Mincho" w:hAnsi="Times New Roman" w:cs="Times New Roman"/>
          <w:sz w:val="18"/>
          <w:szCs w:val="18"/>
          <w:lang w:val="en-IE" w:eastAsia="ja-JP"/>
        </w:rPr>
        <w:t>Comments were received from Australia, Canada, China (People’s Rep. of), Japan, New Zealand, Norway</w:t>
      </w:r>
      <w:r w:rsidR="00533999" w:rsidRPr="00D403F5">
        <w:rPr>
          <w:rFonts w:ascii="Times New Roman" w:eastAsia="MS Mincho" w:hAnsi="Times New Roman" w:cs="Times New Roman"/>
          <w:sz w:val="18"/>
          <w:szCs w:val="18"/>
          <w:lang w:val="en-IE" w:eastAsia="ja-JP"/>
        </w:rPr>
        <w:t>,</w:t>
      </w:r>
      <w:r w:rsidRPr="00D403F5">
        <w:rPr>
          <w:rFonts w:ascii="Times New Roman" w:eastAsia="MS Mincho" w:hAnsi="Times New Roman" w:cs="Times New Roman"/>
          <w:sz w:val="18"/>
          <w:szCs w:val="18"/>
          <w:lang w:val="en-IE" w:eastAsia="ja-JP"/>
        </w:rPr>
        <w:t xml:space="preserve"> USA</w:t>
      </w:r>
      <w:r w:rsidR="00332B43" w:rsidRPr="00D403F5">
        <w:rPr>
          <w:rFonts w:ascii="Times New Roman" w:eastAsia="MS Mincho" w:hAnsi="Times New Roman" w:cs="Times New Roman"/>
          <w:sz w:val="18"/>
          <w:szCs w:val="18"/>
          <w:lang w:val="en-IE" w:eastAsia="ja-JP"/>
        </w:rPr>
        <w:t xml:space="preserve"> and t</w:t>
      </w:r>
      <w:r w:rsidR="000671DF" w:rsidRPr="00D403F5">
        <w:rPr>
          <w:rFonts w:ascii="Times New Roman" w:eastAsia="MS Mincho" w:hAnsi="Times New Roman" w:cs="Times New Roman"/>
          <w:sz w:val="18"/>
          <w:szCs w:val="18"/>
          <w:lang w:val="en-IE" w:eastAsia="ja-JP"/>
        </w:rPr>
        <w:t xml:space="preserve">he </w:t>
      </w:r>
      <w:r w:rsidR="00332B43" w:rsidRPr="00D403F5">
        <w:rPr>
          <w:rFonts w:ascii="Times New Roman" w:eastAsia="MS Mincho" w:hAnsi="Times New Roman" w:cs="Times New Roman"/>
          <w:sz w:val="18"/>
          <w:szCs w:val="18"/>
          <w:lang w:val="en-IE" w:eastAsia="ja-JP"/>
        </w:rPr>
        <w:t>EU.</w:t>
      </w:r>
    </w:p>
    <w:p w14:paraId="74DC80FE" w14:textId="2F118AAD" w:rsidR="00701627" w:rsidRPr="00D403F5" w:rsidRDefault="00F05D46" w:rsidP="001041C6">
      <w:pPr>
        <w:spacing w:after="240" w:line="240" w:lineRule="auto"/>
        <w:ind w:left="993"/>
        <w:jc w:val="both"/>
        <w:rPr>
          <w:rFonts w:ascii="Times New Roman" w:eastAsia="MS Mincho" w:hAnsi="Times New Roman" w:cs="Times New Roman"/>
          <w:sz w:val="18"/>
          <w:szCs w:val="18"/>
          <w:lang w:val="en-IE" w:eastAsia="ja-JP"/>
        </w:rPr>
      </w:pPr>
      <w:r w:rsidRPr="00D403F5">
        <w:rPr>
          <w:rFonts w:ascii="Times New Roman" w:eastAsia="MS Mincho" w:hAnsi="Times New Roman" w:cs="Times New Roman"/>
          <w:sz w:val="18"/>
          <w:szCs w:val="18"/>
          <w:lang w:val="en-IE" w:eastAsia="ja-JP"/>
        </w:rPr>
        <w:t xml:space="preserve">The </w:t>
      </w:r>
      <w:r w:rsidR="00533999" w:rsidRPr="00D403F5">
        <w:rPr>
          <w:rFonts w:ascii="Times New Roman" w:eastAsia="MS Mincho" w:hAnsi="Times New Roman" w:cs="Times New Roman"/>
          <w:sz w:val="18"/>
          <w:szCs w:val="18"/>
          <w:lang w:val="en-IE" w:eastAsia="ja-JP"/>
        </w:rPr>
        <w:t xml:space="preserve">new </w:t>
      </w:r>
      <w:r w:rsidRPr="00D403F5">
        <w:rPr>
          <w:rFonts w:ascii="Times New Roman" w:eastAsia="MS Mincho" w:hAnsi="Times New Roman" w:cs="Times New Roman"/>
          <w:sz w:val="18"/>
          <w:szCs w:val="18"/>
          <w:lang w:val="en-IE" w:eastAsia="ja-JP"/>
        </w:rPr>
        <w:t xml:space="preserve">draft chapter on Biosecurity for Aquaculture Establishments (Chapter 4.X.) was circulated for the second time for Member comments in the Aquatic Animals Commission’s February 2019 report. </w:t>
      </w:r>
      <w:bookmarkStart w:id="10" w:name="_Hlk20916815"/>
      <w:bookmarkStart w:id="11" w:name="_Hlk20752216"/>
      <w:r w:rsidR="00701627" w:rsidRPr="00D403F5">
        <w:rPr>
          <w:rFonts w:ascii="Times New Roman" w:eastAsia="MS Mincho" w:hAnsi="Times New Roman" w:cs="Times New Roman"/>
          <w:sz w:val="18"/>
          <w:szCs w:val="18"/>
          <w:lang w:val="en-IE" w:eastAsia="ja-JP"/>
        </w:rPr>
        <w:t xml:space="preserve">This is the second new chapter </w:t>
      </w:r>
      <w:r w:rsidR="00533999" w:rsidRPr="00D403F5">
        <w:rPr>
          <w:rFonts w:ascii="Times New Roman" w:eastAsia="MS Mincho" w:hAnsi="Times New Roman" w:cs="Times New Roman"/>
          <w:sz w:val="18"/>
          <w:szCs w:val="18"/>
          <w:lang w:val="en-IE" w:eastAsia="ja-JP"/>
        </w:rPr>
        <w:t xml:space="preserve">to be developed for Section 4 </w:t>
      </w:r>
      <w:r w:rsidR="00870E16" w:rsidRPr="00D403F5">
        <w:rPr>
          <w:rFonts w:ascii="Times New Roman" w:eastAsia="MS Mincho" w:hAnsi="Times New Roman" w:cs="Times New Roman"/>
          <w:sz w:val="18"/>
          <w:szCs w:val="18"/>
          <w:lang w:val="en-IE" w:eastAsia="ja-JP"/>
        </w:rPr>
        <w:t xml:space="preserve">Disease Prevention and Control </w:t>
      </w:r>
      <w:r w:rsidR="00533999" w:rsidRPr="00D403F5">
        <w:rPr>
          <w:rFonts w:ascii="Times New Roman" w:eastAsia="MS Mincho" w:hAnsi="Times New Roman" w:cs="Times New Roman"/>
          <w:sz w:val="18"/>
          <w:szCs w:val="18"/>
          <w:lang w:val="en-IE" w:eastAsia="ja-JP"/>
        </w:rPr>
        <w:t xml:space="preserve">of the </w:t>
      </w:r>
      <w:r w:rsidR="00533999" w:rsidRPr="00D403F5">
        <w:rPr>
          <w:rFonts w:ascii="Times New Roman" w:eastAsia="MS Mincho" w:hAnsi="Times New Roman" w:cs="Times New Roman"/>
          <w:i/>
          <w:iCs/>
          <w:sz w:val="18"/>
          <w:szCs w:val="18"/>
          <w:lang w:val="en-IE" w:eastAsia="ja-JP"/>
        </w:rPr>
        <w:t>Aquatic Code</w:t>
      </w:r>
      <w:r w:rsidR="00533999" w:rsidRPr="00D403F5">
        <w:rPr>
          <w:rFonts w:ascii="Times New Roman" w:eastAsia="MS Mincho" w:hAnsi="Times New Roman" w:cs="Times New Roman"/>
          <w:sz w:val="18"/>
          <w:szCs w:val="18"/>
          <w:lang w:val="en-IE" w:eastAsia="ja-JP"/>
        </w:rPr>
        <w:t xml:space="preserve"> </w:t>
      </w:r>
      <w:r w:rsidR="00701627" w:rsidRPr="00D403F5">
        <w:rPr>
          <w:rFonts w:ascii="Times New Roman" w:eastAsia="MS Mincho" w:hAnsi="Times New Roman" w:cs="Times New Roman"/>
          <w:sz w:val="18"/>
          <w:szCs w:val="18"/>
          <w:lang w:val="en-IE" w:eastAsia="ja-JP"/>
        </w:rPr>
        <w:t xml:space="preserve">following the adoption of Chapter 4.3. Disinfection of aquaculture establishments and equipment in 2017. </w:t>
      </w:r>
      <w:bookmarkEnd w:id="10"/>
    </w:p>
    <w:bookmarkEnd w:id="11"/>
    <w:p w14:paraId="4A4D9545" w14:textId="77777777" w:rsidR="00F05D46" w:rsidRPr="00D403F5" w:rsidRDefault="00F05D46" w:rsidP="001041C6">
      <w:pPr>
        <w:spacing w:after="240" w:line="240" w:lineRule="auto"/>
        <w:ind w:left="993"/>
        <w:jc w:val="both"/>
        <w:rPr>
          <w:rFonts w:ascii="Times New Roman" w:eastAsia="MS Mincho" w:hAnsi="Times New Roman" w:cs="Times New Roman"/>
          <w:b/>
          <w:bCs/>
          <w:sz w:val="18"/>
          <w:szCs w:val="18"/>
          <w:lang w:val="en-IE" w:eastAsia="ja-JP"/>
        </w:rPr>
      </w:pPr>
      <w:r w:rsidRPr="00D403F5">
        <w:rPr>
          <w:rFonts w:ascii="Times New Roman" w:eastAsia="MS Mincho" w:hAnsi="Times New Roman" w:cs="Times New Roman"/>
          <w:b/>
          <w:bCs/>
          <w:sz w:val="18"/>
          <w:szCs w:val="18"/>
          <w:lang w:val="en-IE" w:eastAsia="ja-JP"/>
        </w:rPr>
        <w:t>General Comments</w:t>
      </w:r>
    </w:p>
    <w:p w14:paraId="2F08678A" w14:textId="77777777" w:rsidR="004F38AB" w:rsidRPr="00D403F5" w:rsidRDefault="004F38AB"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Commission agreed with the proposal to change </w:t>
      </w:r>
      <w:r w:rsidR="000671DF" w:rsidRPr="00D403F5">
        <w:rPr>
          <w:rFonts w:ascii="Times New Roman" w:hAnsi="Times New Roman" w:cs="Times New Roman"/>
          <w:sz w:val="18"/>
          <w:szCs w:val="18"/>
          <w:lang w:val="en-IE" w:eastAsia="fr-FR"/>
        </w:rPr>
        <w:t>‘</w:t>
      </w:r>
      <w:r w:rsidRPr="00D403F5">
        <w:rPr>
          <w:rFonts w:ascii="Times New Roman" w:hAnsi="Times New Roman" w:cs="Times New Roman"/>
          <w:sz w:val="18"/>
          <w:szCs w:val="18"/>
          <w:lang w:val="en-IE" w:eastAsia="fr-FR"/>
        </w:rPr>
        <w:t>risk</w:t>
      </w:r>
      <w:r w:rsidR="000671DF" w:rsidRPr="00D403F5">
        <w:rPr>
          <w:rFonts w:ascii="Times New Roman" w:hAnsi="Times New Roman" w:cs="Times New Roman"/>
          <w:sz w:val="18"/>
          <w:szCs w:val="18"/>
          <w:lang w:val="en-IE" w:eastAsia="fr-FR"/>
        </w:rPr>
        <w:t>’</w:t>
      </w:r>
      <w:r w:rsidRPr="00D403F5">
        <w:rPr>
          <w:rFonts w:ascii="Times New Roman" w:hAnsi="Times New Roman" w:cs="Times New Roman"/>
          <w:sz w:val="18"/>
          <w:szCs w:val="18"/>
          <w:lang w:val="en-IE" w:eastAsia="fr-FR"/>
        </w:rPr>
        <w:t xml:space="preserve"> to </w:t>
      </w:r>
      <w:r w:rsidR="000671DF" w:rsidRPr="00D403F5">
        <w:rPr>
          <w:rFonts w:ascii="Times New Roman" w:hAnsi="Times New Roman" w:cs="Times New Roman"/>
          <w:sz w:val="18"/>
          <w:szCs w:val="18"/>
          <w:lang w:val="en-IE" w:eastAsia="fr-FR"/>
        </w:rPr>
        <w:t>‘</w:t>
      </w:r>
      <w:r w:rsidRPr="00D403F5">
        <w:rPr>
          <w:rFonts w:ascii="Times New Roman" w:hAnsi="Times New Roman" w:cs="Times New Roman"/>
          <w:sz w:val="18"/>
          <w:szCs w:val="18"/>
          <w:lang w:val="en-IE" w:eastAsia="fr-FR"/>
        </w:rPr>
        <w:t>likelihood</w:t>
      </w:r>
      <w:r w:rsidR="000671DF" w:rsidRPr="00D403F5">
        <w:rPr>
          <w:rFonts w:ascii="Times New Roman" w:hAnsi="Times New Roman" w:cs="Times New Roman"/>
          <w:sz w:val="18"/>
          <w:szCs w:val="18"/>
          <w:lang w:val="en-IE" w:eastAsia="fr-FR"/>
        </w:rPr>
        <w:t>’</w:t>
      </w:r>
      <w:r w:rsidRPr="00D403F5">
        <w:rPr>
          <w:rFonts w:ascii="Times New Roman" w:hAnsi="Times New Roman" w:cs="Times New Roman"/>
          <w:sz w:val="18"/>
          <w:szCs w:val="18"/>
          <w:lang w:val="en-IE" w:eastAsia="fr-FR"/>
        </w:rPr>
        <w:t xml:space="preserve"> where appropriate throughout the chapter to reflect the intended meaning. </w:t>
      </w:r>
      <w:r w:rsidR="00612AF2" w:rsidRPr="00D403F5">
        <w:rPr>
          <w:rFonts w:ascii="Times New Roman" w:hAnsi="Times New Roman" w:cs="Times New Roman"/>
          <w:sz w:val="18"/>
          <w:szCs w:val="18"/>
          <w:lang w:val="en-IE" w:eastAsia="fr-FR"/>
        </w:rPr>
        <w:t>S</w:t>
      </w:r>
      <w:r w:rsidR="00D82AD5" w:rsidRPr="00D403F5">
        <w:rPr>
          <w:rFonts w:ascii="Times New Roman" w:hAnsi="Times New Roman" w:cs="Times New Roman"/>
          <w:sz w:val="18"/>
          <w:szCs w:val="18"/>
          <w:lang w:val="en-IE" w:eastAsia="fr-FR"/>
        </w:rPr>
        <w:t>everal editorial amendments throughout the chapter for improved readability</w:t>
      </w:r>
      <w:r w:rsidR="00612AF2" w:rsidRPr="00D403F5">
        <w:rPr>
          <w:rFonts w:ascii="Times New Roman" w:hAnsi="Times New Roman" w:cs="Times New Roman"/>
          <w:sz w:val="18"/>
          <w:szCs w:val="18"/>
          <w:lang w:val="en-IE" w:eastAsia="fr-FR"/>
        </w:rPr>
        <w:t xml:space="preserve"> were also made</w:t>
      </w:r>
      <w:r w:rsidR="00D82AD5" w:rsidRPr="00D403F5">
        <w:rPr>
          <w:rFonts w:ascii="Times New Roman" w:hAnsi="Times New Roman" w:cs="Times New Roman"/>
          <w:sz w:val="18"/>
          <w:szCs w:val="18"/>
          <w:lang w:val="en-IE" w:eastAsia="fr-FR"/>
        </w:rPr>
        <w:t xml:space="preserve">. </w:t>
      </w:r>
    </w:p>
    <w:p w14:paraId="7078D4D9" w14:textId="77777777" w:rsidR="00F05D46" w:rsidRPr="00D403F5" w:rsidRDefault="00F05D46" w:rsidP="001041C6">
      <w:pPr>
        <w:spacing w:after="240" w:line="240" w:lineRule="auto"/>
        <w:ind w:left="993"/>
        <w:jc w:val="both"/>
        <w:rPr>
          <w:rFonts w:ascii="Times New Roman" w:hAnsi="Times New Roman" w:cs="Times New Roman"/>
          <w:b/>
          <w:bCs/>
          <w:sz w:val="18"/>
          <w:szCs w:val="18"/>
          <w:lang w:val="en-IE" w:eastAsia="fr-FR"/>
        </w:rPr>
      </w:pPr>
      <w:r w:rsidRPr="00D403F5">
        <w:rPr>
          <w:rFonts w:ascii="Times New Roman" w:hAnsi="Times New Roman" w:cs="Times New Roman"/>
          <w:b/>
          <w:bCs/>
          <w:sz w:val="18"/>
          <w:szCs w:val="18"/>
          <w:lang w:val="en-IE" w:eastAsia="fr-FR"/>
        </w:rPr>
        <w:t>Article 4.X.1.</w:t>
      </w:r>
      <w:r w:rsidR="00504F49" w:rsidRPr="00D403F5">
        <w:rPr>
          <w:rFonts w:ascii="Times New Roman" w:hAnsi="Times New Roman" w:cs="Times New Roman"/>
          <w:b/>
          <w:bCs/>
          <w:sz w:val="18"/>
          <w:szCs w:val="18"/>
          <w:lang w:val="en-IE" w:eastAsia="fr-FR"/>
        </w:rPr>
        <w:t xml:space="preserve"> Purpose</w:t>
      </w:r>
    </w:p>
    <w:p w14:paraId="65D1D295" w14:textId="5B4138A7" w:rsidR="00592BAD" w:rsidRPr="00D403F5" w:rsidRDefault="00592BAD" w:rsidP="001041C6">
      <w:pPr>
        <w:spacing w:after="240" w:line="240" w:lineRule="auto"/>
        <w:ind w:left="993"/>
        <w:jc w:val="both"/>
        <w:rPr>
          <w:rFonts w:ascii="Times New Roman" w:hAnsi="Times New Roman" w:cs="Times New Roman"/>
          <w:color w:val="000000" w:themeColor="text1"/>
          <w:sz w:val="18"/>
          <w:szCs w:val="18"/>
          <w:lang w:val="en-IE" w:eastAsia="fr-FR"/>
        </w:rPr>
      </w:pPr>
      <w:r w:rsidRPr="00D403F5">
        <w:rPr>
          <w:rFonts w:ascii="Times New Roman" w:hAnsi="Times New Roman" w:cs="Times New Roman"/>
          <w:sz w:val="18"/>
          <w:szCs w:val="18"/>
          <w:lang w:val="en-IE" w:eastAsia="fr-FR"/>
        </w:rPr>
        <w:t>The Commission considered a comment to move away from a species-specific approach towards a pathway management approach. The Commission noted that the chapter currently does adopt a pathway approach to biosecurity, combined with risk assessments for identified hazards. Hazards can be single pathogens or groups of pathogens. This approach was considered to be appropriate for the development of a biosecurity plan</w:t>
      </w:r>
      <w:r w:rsidRPr="00D403F5">
        <w:rPr>
          <w:rFonts w:ascii="Times New Roman" w:hAnsi="Times New Roman" w:cs="Times New Roman"/>
          <w:color w:val="000000" w:themeColor="text1"/>
          <w:sz w:val="18"/>
          <w:szCs w:val="18"/>
          <w:lang w:val="en-IE" w:eastAsia="fr-FR"/>
        </w:rPr>
        <w:t xml:space="preserve">. </w:t>
      </w:r>
    </w:p>
    <w:p w14:paraId="5753E4DE" w14:textId="77777777" w:rsidR="001041C6" w:rsidRDefault="001041C6" w:rsidP="001041C6">
      <w:pPr>
        <w:spacing w:after="240" w:line="240" w:lineRule="auto"/>
        <w:ind w:left="993"/>
        <w:jc w:val="both"/>
        <w:rPr>
          <w:rFonts w:ascii="Times New Roman" w:hAnsi="Times New Roman" w:cs="Times New Roman"/>
          <w:b/>
          <w:bCs/>
          <w:color w:val="000000" w:themeColor="text1"/>
          <w:sz w:val="18"/>
          <w:szCs w:val="18"/>
          <w:lang w:val="en-IE" w:eastAsia="fr-FR"/>
        </w:rPr>
      </w:pPr>
      <w:r>
        <w:rPr>
          <w:rFonts w:ascii="Times New Roman" w:hAnsi="Times New Roman" w:cs="Times New Roman"/>
          <w:b/>
          <w:bCs/>
          <w:color w:val="000000" w:themeColor="text1"/>
          <w:sz w:val="18"/>
          <w:szCs w:val="18"/>
          <w:lang w:val="en-IE" w:eastAsia="fr-FR"/>
        </w:rPr>
        <w:br w:type="page"/>
      </w:r>
    </w:p>
    <w:p w14:paraId="6A61DF54" w14:textId="19651E9B" w:rsidR="00F05D46" w:rsidRPr="00D403F5" w:rsidRDefault="00F05D46" w:rsidP="001041C6">
      <w:pPr>
        <w:spacing w:after="240" w:line="240" w:lineRule="auto"/>
        <w:ind w:left="993"/>
        <w:jc w:val="both"/>
        <w:rPr>
          <w:rFonts w:ascii="Times New Roman" w:hAnsi="Times New Roman" w:cs="Times New Roman"/>
          <w:b/>
          <w:bCs/>
          <w:color w:val="000000" w:themeColor="text1"/>
          <w:sz w:val="18"/>
          <w:szCs w:val="18"/>
          <w:lang w:val="en-IE" w:eastAsia="fr-FR"/>
        </w:rPr>
      </w:pPr>
      <w:r w:rsidRPr="00D403F5">
        <w:rPr>
          <w:rFonts w:ascii="Times New Roman" w:hAnsi="Times New Roman" w:cs="Times New Roman"/>
          <w:b/>
          <w:bCs/>
          <w:color w:val="000000" w:themeColor="text1"/>
          <w:sz w:val="18"/>
          <w:szCs w:val="18"/>
          <w:lang w:val="en-IE" w:eastAsia="fr-FR"/>
        </w:rPr>
        <w:t>Article 4.X.3.</w:t>
      </w:r>
      <w:r w:rsidR="00504F49" w:rsidRPr="00D403F5">
        <w:rPr>
          <w:rFonts w:ascii="Times New Roman" w:hAnsi="Times New Roman" w:cs="Times New Roman"/>
          <w:b/>
          <w:bCs/>
          <w:color w:val="000000" w:themeColor="text1"/>
          <w:sz w:val="18"/>
          <w:szCs w:val="18"/>
          <w:lang w:val="en-IE" w:eastAsia="fr-FR"/>
        </w:rPr>
        <w:t xml:space="preserve"> Introduction</w:t>
      </w:r>
    </w:p>
    <w:p w14:paraId="47C190F3" w14:textId="7E6C8BA0" w:rsidR="00F05D46" w:rsidRPr="00D403F5" w:rsidRDefault="00F05D46" w:rsidP="001041C6">
      <w:pPr>
        <w:spacing w:after="240" w:line="240" w:lineRule="auto"/>
        <w:ind w:left="993"/>
        <w:jc w:val="both"/>
        <w:rPr>
          <w:rFonts w:ascii="Times New Roman" w:hAnsi="Times New Roman" w:cs="Times New Roman"/>
          <w:color w:val="000000" w:themeColor="text1"/>
          <w:sz w:val="18"/>
          <w:szCs w:val="18"/>
          <w:lang w:val="en-IE" w:eastAsia="fr-FR"/>
        </w:rPr>
      </w:pPr>
      <w:r w:rsidRPr="00D403F5">
        <w:rPr>
          <w:rFonts w:ascii="Times New Roman" w:hAnsi="Times New Roman" w:cs="Times New Roman"/>
          <w:color w:val="000000" w:themeColor="text1"/>
          <w:sz w:val="18"/>
          <w:szCs w:val="18"/>
          <w:lang w:val="en-IE" w:eastAsia="fr-FR"/>
        </w:rPr>
        <w:t xml:space="preserve">In paragraph 1, the Commission agreed </w:t>
      </w:r>
      <w:r w:rsidR="00B53DE6" w:rsidRPr="00D403F5">
        <w:rPr>
          <w:rFonts w:ascii="Times New Roman" w:hAnsi="Times New Roman" w:cs="Times New Roman"/>
          <w:color w:val="000000" w:themeColor="text1"/>
          <w:sz w:val="18"/>
          <w:szCs w:val="18"/>
          <w:lang w:val="en-IE" w:eastAsia="fr-FR"/>
        </w:rPr>
        <w:t xml:space="preserve">with a comment </w:t>
      </w:r>
      <w:r w:rsidRPr="00D403F5">
        <w:rPr>
          <w:rFonts w:ascii="Times New Roman" w:hAnsi="Times New Roman" w:cs="Times New Roman"/>
          <w:color w:val="000000" w:themeColor="text1"/>
          <w:sz w:val="18"/>
          <w:szCs w:val="18"/>
          <w:lang w:val="en-IE" w:eastAsia="fr-FR"/>
        </w:rPr>
        <w:t xml:space="preserve">to move the last sentence </w:t>
      </w:r>
      <w:r w:rsidR="00E758CD" w:rsidRPr="00D403F5">
        <w:rPr>
          <w:rFonts w:ascii="Times New Roman" w:hAnsi="Times New Roman" w:cs="Times New Roman"/>
          <w:color w:val="000000" w:themeColor="text1"/>
          <w:sz w:val="18"/>
          <w:szCs w:val="18"/>
          <w:lang w:val="en-IE" w:eastAsia="fr-FR"/>
        </w:rPr>
        <w:t xml:space="preserve">regarding the importance of biosecurity at the country, zone or compartment level earlier in the paragraph </w:t>
      </w:r>
      <w:r w:rsidR="00592BAD" w:rsidRPr="00D403F5">
        <w:rPr>
          <w:rFonts w:ascii="Times New Roman" w:hAnsi="Times New Roman" w:cs="Times New Roman"/>
          <w:color w:val="000000" w:themeColor="text1"/>
          <w:sz w:val="18"/>
          <w:szCs w:val="18"/>
          <w:lang w:val="en-IE" w:eastAsia="fr-FR"/>
        </w:rPr>
        <w:t>to clarify the context in which biosecurity at the establishment level operated</w:t>
      </w:r>
      <w:r w:rsidRPr="00D403F5">
        <w:rPr>
          <w:rFonts w:ascii="Times New Roman" w:hAnsi="Times New Roman" w:cs="Times New Roman"/>
          <w:color w:val="000000" w:themeColor="text1"/>
          <w:sz w:val="18"/>
          <w:szCs w:val="18"/>
          <w:lang w:val="en-IE" w:eastAsia="fr-FR"/>
        </w:rPr>
        <w:t>.</w:t>
      </w:r>
    </w:p>
    <w:p w14:paraId="67E2A8A5" w14:textId="4AC16A4F" w:rsidR="00F05D46" w:rsidRPr="00D403F5" w:rsidRDefault="00F05D46" w:rsidP="001041C6">
      <w:pPr>
        <w:spacing w:after="240" w:line="240" w:lineRule="auto"/>
        <w:ind w:left="993"/>
        <w:jc w:val="both"/>
        <w:rPr>
          <w:rFonts w:ascii="Times New Roman" w:hAnsi="Times New Roman" w:cs="Times New Roman"/>
          <w:color w:val="000000" w:themeColor="text1"/>
          <w:sz w:val="18"/>
          <w:szCs w:val="18"/>
          <w:lang w:val="en-IE" w:eastAsia="fr-FR"/>
        </w:rPr>
      </w:pPr>
      <w:r w:rsidRPr="00D403F5">
        <w:rPr>
          <w:rFonts w:ascii="Times New Roman" w:hAnsi="Times New Roman" w:cs="Times New Roman"/>
          <w:color w:val="000000" w:themeColor="text1"/>
          <w:sz w:val="18"/>
          <w:szCs w:val="18"/>
          <w:lang w:val="en-IE" w:eastAsia="fr-FR"/>
        </w:rPr>
        <w:t xml:space="preserve">In paragraph 2, the Commission agreed with a comment to change </w:t>
      </w:r>
      <w:r w:rsidR="000671DF" w:rsidRPr="00D403F5">
        <w:rPr>
          <w:rFonts w:ascii="Times New Roman" w:hAnsi="Times New Roman" w:cs="Times New Roman"/>
          <w:color w:val="000000" w:themeColor="text1"/>
          <w:sz w:val="18"/>
          <w:szCs w:val="18"/>
          <w:lang w:val="en-IE" w:eastAsia="fr-FR"/>
        </w:rPr>
        <w:t>‘</w:t>
      </w:r>
      <w:r w:rsidRPr="00D403F5">
        <w:rPr>
          <w:rFonts w:ascii="Times New Roman" w:hAnsi="Times New Roman" w:cs="Times New Roman"/>
          <w:color w:val="000000" w:themeColor="text1"/>
          <w:sz w:val="18"/>
          <w:szCs w:val="18"/>
          <w:lang w:val="en-IE" w:eastAsia="fr-FR"/>
        </w:rPr>
        <w:t>aquaculture staff</w:t>
      </w:r>
      <w:r w:rsidR="000671DF" w:rsidRPr="00D403F5">
        <w:rPr>
          <w:rFonts w:ascii="Times New Roman" w:hAnsi="Times New Roman" w:cs="Times New Roman"/>
          <w:color w:val="000000" w:themeColor="text1"/>
          <w:sz w:val="18"/>
          <w:szCs w:val="18"/>
          <w:lang w:val="en-IE" w:eastAsia="fr-FR"/>
        </w:rPr>
        <w:t>’</w:t>
      </w:r>
      <w:r w:rsidRPr="00D403F5">
        <w:rPr>
          <w:rFonts w:ascii="Times New Roman" w:hAnsi="Times New Roman" w:cs="Times New Roman"/>
          <w:color w:val="000000" w:themeColor="text1"/>
          <w:sz w:val="18"/>
          <w:szCs w:val="18"/>
          <w:lang w:val="en-IE" w:eastAsia="fr-FR"/>
        </w:rPr>
        <w:t xml:space="preserve"> to </w:t>
      </w:r>
      <w:r w:rsidR="000671DF" w:rsidRPr="00D403F5">
        <w:rPr>
          <w:rFonts w:ascii="Times New Roman" w:hAnsi="Times New Roman" w:cs="Times New Roman"/>
          <w:color w:val="000000" w:themeColor="text1"/>
          <w:sz w:val="18"/>
          <w:szCs w:val="18"/>
          <w:lang w:val="en-IE" w:eastAsia="fr-FR"/>
        </w:rPr>
        <w:t>‘</w:t>
      </w:r>
      <w:r w:rsidRPr="00D403F5">
        <w:rPr>
          <w:rFonts w:ascii="Times New Roman" w:hAnsi="Times New Roman" w:cs="Times New Roman"/>
          <w:color w:val="000000" w:themeColor="text1"/>
          <w:sz w:val="18"/>
          <w:szCs w:val="18"/>
          <w:lang w:val="en-IE" w:eastAsia="fr-FR"/>
        </w:rPr>
        <w:t>aquaculture establishment staff</w:t>
      </w:r>
      <w:r w:rsidR="000671DF" w:rsidRPr="00D403F5">
        <w:rPr>
          <w:rFonts w:ascii="Times New Roman" w:hAnsi="Times New Roman" w:cs="Times New Roman"/>
          <w:color w:val="000000" w:themeColor="text1"/>
          <w:sz w:val="18"/>
          <w:szCs w:val="18"/>
          <w:lang w:val="en-IE" w:eastAsia="fr-FR"/>
        </w:rPr>
        <w:t>’</w:t>
      </w:r>
      <w:r w:rsidR="00592BAD" w:rsidRPr="00D403F5">
        <w:rPr>
          <w:rFonts w:ascii="Times New Roman" w:hAnsi="Times New Roman" w:cs="Times New Roman"/>
          <w:color w:val="000000" w:themeColor="text1"/>
          <w:sz w:val="18"/>
          <w:szCs w:val="18"/>
          <w:lang w:val="en-IE" w:eastAsia="fr-FR"/>
        </w:rPr>
        <w:t>.</w:t>
      </w:r>
      <w:r w:rsidRPr="00D403F5">
        <w:rPr>
          <w:rFonts w:ascii="Times New Roman" w:hAnsi="Times New Roman" w:cs="Times New Roman"/>
          <w:color w:val="000000" w:themeColor="text1"/>
          <w:sz w:val="18"/>
          <w:szCs w:val="18"/>
          <w:lang w:val="en-IE" w:eastAsia="fr-FR"/>
        </w:rPr>
        <w:t xml:space="preserve"> </w:t>
      </w:r>
      <w:r w:rsidR="00592BAD" w:rsidRPr="00D403F5">
        <w:rPr>
          <w:rFonts w:ascii="Times New Roman" w:hAnsi="Times New Roman" w:cs="Times New Roman"/>
          <w:color w:val="000000" w:themeColor="text1"/>
          <w:sz w:val="18"/>
          <w:szCs w:val="18"/>
          <w:lang w:val="en-IE" w:eastAsia="fr-FR"/>
        </w:rPr>
        <w:t>This</w:t>
      </w:r>
      <w:r w:rsidRPr="00D403F5">
        <w:rPr>
          <w:rFonts w:ascii="Times New Roman" w:hAnsi="Times New Roman" w:cs="Times New Roman"/>
          <w:color w:val="000000" w:themeColor="text1"/>
          <w:sz w:val="18"/>
          <w:szCs w:val="18"/>
          <w:lang w:val="en-IE" w:eastAsia="fr-FR"/>
        </w:rPr>
        <w:t xml:space="preserve"> </w:t>
      </w:r>
      <w:r w:rsidR="00796F27" w:rsidRPr="00D403F5">
        <w:rPr>
          <w:rFonts w:ascii="Times New Roman" w:hAnsi="Times New Roman" w:cs="Times New Roman"/>
          <w:color w:val="000000" w:themeColor="text1"/>
          <w:sz w:val="18"/>
          <w:szCs w:val="18"/>
          <w:lang w:val="en-IE" w:eastAsia="fr-FR"/>
        </w:rPr>
        <w:t>addition</w:t>
      </w:r>
      <w:r w:rsidRPr="00D403F5">
        <w:rPr>
          <w:rFonts w:ascii="Times New Roman" w:hAnsi="Times New Roman" w:cs="Times New Roman"/>
          <w:color w:val="000000" w:themeColor="text1"/>
          <w:sz w:val="18"/>
          <w:szCs w:val="18"/>
          <w:lang w:val="en-IE" w:eastAsia="fr-FR"/>
        </w:rPr>
        <w:t xml:space="preserve"> </w:t>
      </w:r>
      <w:r w:rsidR="00796F27" w:rsidRPr="00D403F5">
        <w:rPr>
          <w:rFonts w:ascii="Times New Roman" w:hAnsi="Times New Roman" w:cs="Times New Roman"/>
          <w:color w:val="000000" w:themeColor="text1"/>
          <w:sz w:val="18"/>
          <w:szCs w:val="18"/>
          <w:lang w:val="en-IE" w:eastAsia="fr-FR"/>
        </w:rPr>
        <w:t>clarifie</w:t>
      </w:r>
      <w:r w:rsidR="00B53DE6" w:rsidRPr="00D403F5">
        <w:rPr>
          <w:rFonts w:ascii="Times New Roman" w:hAnsi="Times New Roman" w:cs="Times New Roman"/>
          <w:color w:val="000000" w:themeColor="text1"/>
          <w:sz w:val="18"/>
          <w:szCs w:val="18"/>
          <w:lang w:val="en-IE" w:eastAsia="fr-FR"/>
        </w:rPr>
        <w:t>d</w:t>
      </w:r>
      <w:r w:rsidRPr="00D403F5">
        <w:rPr>
          <w:rFonts w:ascii="Times New Roman" w:hAnsi="Times New Roman" w:cs="Times New Roman"/>
          <w:color w:val="000000" w:themeColor="text1"/>
          <w:sz w:val="18"/>
          <w:szCs w:val="18"/>
          <w:lang w:val="en-IE" w:eastAsia="fr-FR"/>
        </w:rPr>
        <w:t xml:space="preserve"> and emphasise</w:t>
      </w:r>
      <w:r w:rsidR="00B53DE6" w:rsidRPr="00D403F5">
        <w:rPr>
          <w:rFonts w:ascii="Times New Roman" w:hAnsi="Times New Roman" w:cs="Times New Roman"/>
          <w:color w:val="000000" w:themeColor="text1"/>
          <w:sz w:val="18"/>
          <w:szCs w:val="18"/>
          <w:lang w:val="en-IE" w:eastAsia="fr-FR"/>
        </w:rPr>
        <w:t>d</w:t>
      </w:r>
      <w:r w:rsidRPr="00D403F5">
        <w:rPr>
          <w:rFonts w:ascii="Times New Roman" w:hAnsi="Times New Roman" w:cs="Times New Roman"/>
          <w:color w:val="000000" w:themeColor="text1"/>
          <w:sz w:val="18"/>
          <w:szCs w:val="18"/>
          <w:lang w:val="en-IE" w:eastAsia="fr-FR"/>
        </w:rPr>
        <w:t xml:space="preserve"> that individuals who are developing and implementing the biosecurity plan for an establishment are not governmental employees, but rather staff working at that specific establishment. </w:t>
      </w:r>
    </w:p>
    <w:p w14:paraId="7D6CB122" w14:textId="4EB214AB" w:rsidR="008F7D5A" w:rsidRPr="00D403F5" w:rsidRDefault="008F7D5A" w:rsidP="001041C6">
      <w:pPr>
        <w:spacing w:after="240" w:line="240" w:lineRule="auto"/>
        <w:ind w:left="993"/>
        <w:jc w:val="both"/>
        <w:rPr>
          <w:rFonts w:ascii="Times New Roman" w:hAnsi="Times New Roman" w:cs="Times New Roman"/>
          <w:color w:val="000000" w:themeColor="text1"/>
          <w:sz w:val="18"/>
          <w:szCs w:val="18"/>
          <w:lang w:val="en-IE" w:eastAsia="fr-FR"/>
        </w:rPr>
      </w:pPr>
      <w:r w:rsidRPr="00D403F5">
        <w:rPr>
          <w:rFonts w:ascii="Times New Roman" w:hAnsi="Times New Roman" w:cs="Times New Roman"/>
          <w:color w:val="000000" w:themeColor="text1"/>
          <w:sz w:val="18"/>
          <w:szCs w:val="18"/>
          <w:lang w:val="en-IE" w:eastAsia="fr-FR"/>
        </w:rPr>
        <w:t xml:space="preserve">In paragraph 2, </w:t>
      </w:r>
      <w:r w:rsidR="00F05D46" w:rsidRPr="00D403F5">
        <w:rPr>
          <w:rFonts w:ascii="Times New Roman" w:hAnsi="Times New Roman" w:cs="Times New Roman"/>
          <w:color w:val="000000" w:themeColor="text1"/>
          <w:sz w:val="18"/>
          <w:szCs w:val="18"/>
          <w:lang w:val="en-IE" w:eastAsia="fr-FR"/>
        </w:rPr>
        <w:t xml:space="preserve">the Commission did not agree with a comment that </w:t>
      </w:r>
      <w:r w:rsidR="000671DF" w:rsidRPr="00D403F5">
        <w:rPr>
          <w:rFonts w:ascii="Times New Roman" w:hAnsi="Times New Roman" w:cs="Times New Roman"/>
          <w:color w:val="000000" w:themeColor="text1"/>
          <w:sz w:val="18"/>
          <w:szCs w:val="18"/>
          <w:lang w:val="en-IE" w:eastAsia="fr-FR"/>
        </w:rPr>
        <w:t>‘</w:t>
      </w:r>
      <w:r w:rsidR="00F05D46" w:rsidRPr="00D403F5">
        <w:rPr>
          <w:rFonts w:ascii="Times New Roman" w:hAnsi="Times New Roman" w:cs="Times New Roman"/>
          <w:color w:val="000000" w:themeColor="text1"/>
          <w:sz w:val="18"/>
          <w:szCs w:val="18"/>
          <w:lang w:val="en-IE" w:eastAsia="fr-FR"/>
        </w:rPr>
        <w:t>veterinary paraprofessionals</w:t>
      </w:r>
      <w:r w:rsidR="000671DF" w:rsidRPr="00D403F5">
        <w:rPr>
          <w:rFonts w:ascii="Times New Roman" w:hAnsi="Times New Roman" w:cs="Times New Roman"/>
          <w:color w:val="000000" w:themeColor="text1"/>
          <w:sz w:val="18"/>
          <w:szCs w:val="18"/>
          <w:lang w:val="en-IE" w:eastAsia="fr-FR"/>
        </w:rPr>
        <w:t>’</w:t>
      </w:r>
      <w:r w:rsidR="00F05D46" w:rsidRPr="00D403F5">
        <w:rPr>
          <w:rFonts w:ascii="Times New Roman" w:hAnsi="Times New Roman" w:cs="Times New Roman"/>
          <w:color w:val="000000" w:themeColor="text1"/>
          <w:sz w:val="18"/>
          <w:szCs w:val="18"/>
          <w:lang w:val="en-IE" w:eastAsia="fr-FR"/>
        </w:rPr>
        <w:t xml:space="preserve"> should be included in the text and that the term </w:t>
      </w:r>
      <w:r w:rsidR="000671DF" w:rsidRPr="00D403F5">
        <w:rPr>
          <w:rFonts w:ascii="Times New Roman" w:hAnsi="Times New Roman" w:cs="Times New Roman"/>
          <w:color w:val="000000" w:themeColor="text1"/>
          <w:sz w:val="18"/>
          <w:szCs w:val="18"/>
          <w:lang w:val="en-IE" w:eastAsia="fr-FR"/>
        </w:rPr>
        <w:t>‘</w:t>
      </w:r>
      <w:r w:rsidR="00F05D46" w:rsidRPr="00D403F5">
        <w:rPr>
          <w:rFonts w:ascii="Times New Roman" w:hAnsi="Times New Roman" w:cs="Times New Roman"/>
          <w:color w:val="000000" w:themeColor="text1"/>
          <w:sz w:val="18"/>
          <w:szCs w:val="18"/>
          <w:lang w:val="en-IE" w:eastAsia="fr-FR"/>
        </w:rPr>
        <w:t>Veterinary professionals</w:t>
      </w:r>
      <w:r w:rsidR="000671DF" w:rsidRPr="00D403F5">
        <w:rPr>
          <w:rFonts w:ascii="Times New Roman" w:hAnsi="Times New Roman" w:cs="Times New Roman"/>
          <w:color w:val="000000" w:themeColor="text1"/>
          <w:sz w:val="18"/>
          <w:szCs w:val="18"/>
          <w:lang w:val="en-IE" w:eastAsia="fr-FR"/>
        </w:rPr>
        <w:t>’</w:t>
      </w:r>
      <w:r w:rsidR="00F05D46" w:rsidRPr="00D403F5">
        <w:rPr>
          <w:rFonts w:ascii="Times New Roman" w:hAnsi="Times New Roman" w:cs="Times New Roman"/>
          <w:color w:val="000000" w:themeColor="text1"/>
          <w:sz w:val="18"/>
          <w:szCs w:val="18"/>
          <w:lang w:val="en-IE" w:eastAsia="fr-FR"/>
        </w:rPr>
        <w:t xml:space="preserve"> should be included in the Glossary. The Commission noted that </w:t>
      </w:r>
      <w:r w:rsidR="0066791E" w:rsidRPr="00D403F5">
        <w:rPr>
          <w:rFonts w:ascii="Times New Roman" w:hAnsi="Times New Roman" w:cs="Times New Roman"/>
          <w:color w:val="000000" w:themeColor="text1"/>
          <w:sz w:val="18"/>
          <w:szCs w:val="18"/>
          <w:lang w:val="en-IE" w:eastAsia="fr-FR"/>
        </w:rPr>
        <w:t xml:space="preserve">the responsibilities of </w:t>
      </w:r>
      <w:r w:rsidR="00F05D46" w:rsidRPr="00D403F5">
        <w:rPr>
          <w:rFonts w:ascii="Times New Roman" w:hAnsi="Times New Roman" w:cs="Times New Roman"/>
          <w:color w:val="000000" w:themeColor="text1"/>
          <w:sz w:val="18"/>
          <w:szCs w:val="18"/>
          <w:lang w:val="en-IE" w:eastAsia="fr-FR"/>
        </w:rPr>
        <w:t xml:space="preserve">veterinary paraprofessionals </w:t>
      </w:r>
      <w:r w:rsidR="0066791E" w:rsidRPr="00D403F5">
        <w:rPr>
          <w:rFonts w:ascii="Times New Roman" w:hAnsi="Times New Roman" w:cs="Times New Roman"/>
          <w:color w:val="000000" w:themeColor="text1"/>
          <w:sz w:val="18"/>
          <w:szCs w:val="18"/>
          <w:lang w:val="en-IE" w:eastAsia="fr-FR"/>
        </w:rPr>
        <w:t>are</w:t>
      </w:r>
      <w:r w:rsidR="00F05D46" w:rsidRPr="00D403F5">
        <w:rPr>
          <w:rFonts w:ascii="Times New Roman" w:hAnsi="Times New Roman" w:cs="Times New Roman"/>
          <w:color w:val="000000" w:themeColor="text1"/>
          <w:sz w:val="18"/>
          <w:szCs w:val="18"/>
          <w:lang w:val="en-IE" w:eastAsia="fr-FR"/>
        </w:rPr>
        <w:t xml:space="preserve"> currently </w:t>
      </w:r>
      <w:r w:rsidR="0066791E" w:rsidRPr="00D403F5">
        <w:rPr>
          <w:rFonts w:ascii="Times New Roman" w:hAnsi="Times New Roman" w:cs="Times New Roman"/>
          <w:color w:val="000000" w:themeColor="text1"/>
          <w:sz w:val="18"/>
          <w:szCs w:val="18"/>
          <w:lang w:val="en-IE" w:eastAsia="fr-FR"/>
        </w:rPr>
        <w:t>incorporated within</w:t>
      </w:r>
      <w:r w:rsidR="00F05D46" w:rsidRPr="00D403F5">
        <w:rPr>
          <w:rFonts w:ascii="Times New Roman" w:hAnsi="Times New Roman" w:cs="Times New Roman"/>
          <w:color w:val="000000" w:themeColor="text1"/>
          <w:sz w:val="18"/>
          <w:szCs w:val="18"/>
          <w:lang w:val="en-IE" w:eastAsia="fr-FR"/>
        </w:rPr>
        <w:t xml:space="preserve"> the Glossary definition </w:t>
      </w:r>
      <w:r w:rsidR="00B53DE6" w:rsidRPr="00D403F5">
        <w:rPr>
          <w:rFonts w:ascii="Times New Roman" w:hAnsi="Times New Roman" w:cs="Times New Roman"/>
          <w:color w:val="000000" w:themeColor="text1"/>
          <w:sz w:val="18"/>
          <w:szCs w:val="18"/>
          <w:lang w:val="en-IE" w:eastAsia="fr-FR"/>
        </w:rPr>
        <w:t>for</w:t>
      </w:r>
      <w:r w:rsidR="00F05D46" w:rsidRPr="00D403F5">
        <w:rPr>
          <w:rFonts w:ascii="Times New Roman" w:hAnsi="Times New Roman" w:cs="Times New Roman"/>
          <w:color w:val="000000" w:themeColor="text1"/>
          <w:sz w:val="18"/>
          <w:szCs w:val="18"/>
          <w:lang w:val="en-IE" w:eastAsia="fr-FR"/>
        </w:rPr>
        <w:t xml:space="preserve"> </w:t>
      </w:r>
      <w:r w:rsidR="004D57EC" w:rsidRPr="00D403F5">
        <w:rPr>
          <w:rFonts w:ascii="Times New Roman" w:hAnsi="Times New Roman" w:cs="Times New Roman"/>
          <w:color w:val="000000" w:themeColor="text1"/>
          <w:sz w:val="18"/>
          <w:szCs w:val="18"/>
          <w:lang w:val="en-IE" w:eastAsia="fr-FR"/>
        </w:rPr>
        <w:t>‘</w:t>
      </w:r>
      <w:r w:rsidR="00F05D46" w:rsidRPr="00D403F5">
        <w:rPr>
          <w:rFonts w:ascii="Times New Roman" w:hAnsi="Times New Roman" w:cs="Times New Roman"/>
          <w:color w:val="000000" w:themeColor="text1"/>
          <w:sz w:val="18"/>
          <w:szCs w:val="18"/>
          <w:lang w:val="en-IE" w:eastAsia="fr-FR"/>
        </w:rPr>
        <w:t>Aquatic Animal Health Professionals</w:t>
      </w:r>
      <w:r w:rsidR="004D57EC" w:rsidRPr="00D403F5">
        <w:rPr>
          <w:rFonts w:ascii="Times New Roman" w:hAnsi="Times New Roman" w:cs="Times New Roman"/>
          <w:color w:val="000000" w:themeColor="text1"/>
          <w:sz w:val="18"/>
          <w:szCs w:val="18"/>
          <w:lang w:val="en-IE" w:eastAsia="fr-FR"/>
        </w:rPr>
        <w:t>’</w:t>
      </w:r>
      <w:r w:rsidR="00F05D46" w:rsidRPr="00D403F5">
        <w:rPr>
          <w:rFonts w:ascii="Times New Roman" w:hAnsi="Times New Roman" w:cs="Times New Roman"/>
          <w:color w:val="000000" w:themeColor="text1"/>
          <w:sz w:val="18"/>
          <w:szCs w:val="18"/>
          <w:lang w:val="en-IE" w:eastAsia="fr-FR"/>
        </w:rPr>
        <w:t xml:space="preserve">. </w:t>
      </w:r>
    </w:p>
    <w:p w14:paraId="4DD45478" w14:textId="4761C9FF" w:rsidR="008F7D5A" w:rsidRPr="00D403F5" w:rsidRDefault="008F7D5A" w:rsidP="001041C6">
      <w:pPr>
        <w:spacing w:after="240" w:line="240" w:lineRule="auto"/>
        <w:ind w:left="993"/>
        <w:jc w:val="both"/>
        <w:rPr>
          <w:rFonts w:ascii="Times New Roman" w:hAnsi="Times New Roman" w:cs="Times New Roman"/>
          <w:color w:val="000000" w:themeColor="text1"/>
          <w:sz w:val="18"/>
          <w:szCs w:val="18"/>
          <w:lang w:val="en-IE" w:eastAsia="fr-FR"/>
        </w:rPr>
      </w:pPr>
      <w:r w:rsidRPr="00D403F5">
        <w:rPr>
          <w:rFonts w:ascii="Times New Roman" w:hAnsi="Times New Roman" w:cs="Times New Roman"/>
          <w:color w:val="000000" w:themeColor="text1"/>
          <w:sz w:val="18"/>
          <w:szCs w:val="18"/>
          <w:lang w:val="en-IE" w:eastAsia="fr-FR"/>
        </w:rPr>
        <w:t>In paragraph</w:t>
      </w:r>
      <w:r w:rsidRPr="00D403F5">
        <w:rPr>
          <w:rFonts w:ascii="Times New Roman" w:hAnsi="Times New Roman" w:cs="Times New Roman"/>
          <w:sz w:val="18"/>
          <w:szCs w:val="18"/>
          <w:lang w:val="en-IE" w:eastAsia="fr-FR"/>
        </w:rPr>
        <w:t xml:space="preserve"> 3, the </w:t>
      </w:r>
      <w:r w:rsidR="00144123" w:rsidRPr="00D403F5">
        <w:rPr>
          <w:rFonts w:ascii="Times New Roman" w:hAnsi="Times New Roman" w:cs="Times New Roman"/>
          <w:sz w:val="18"/>
          <w:szCs w:val="18"/>
          <w:lang w:val="en-IE" w:eastAsia="fr-FR"/>
        </w:rPr>
        <w:t xml:space="preserve">Commission </w:t>
      </w:r>
      <w:r w:rsidRPr="00D403F5">
        <w:rPr>
          <w:rFonts w:ascii="Times New Roman" w:hAnsi="Times New Roman" w:cs="Times New Roman"/>
          <w:sz w:val="18"/>
          <w:szCs w:val="18"/>
          <w:lang w:val="en-IE" w:eastAsia="fr-FR"/>
        </w:rPr>
        <w:t xml:space="preserve">agreed that </w:t>
      </w:r>
      <w:r w:rsidR="00D22598" w:rsidRPr="00D403F5">
        <w:rPr>
          <w:rFonts w:ascii="Times New Roman" w:hAnsi="Times New Roman" w:cs="Times New Roman"/>
          <w:sz w:val="18"/>
          <w:szCs w:val="18"/>
          <w:lang w:val="en-IE" w:eastAsia="fr-FR"/>
        </w:rPr>
        <w:t xml:space="preserve">improved </w:t>
      </w:r>
      <w:r w:rsidRPr="00D403F5">
        <w:rPr>
          <w:rFonts w:ascii="Times New Roman" w:hAnsi="Times New Roman" w:cs="Times New Roman"/>
          <w:sz w:val="18"/>
          <w:szCs w:val="18"/>
          <w:lang w:val="en-IE" w:eastAsia="fr-FR"/>
        </w:rPr>
        <w:t>aquatic animal welfare is also an outcome achieved through implementation of effective biosecurity and included a reference to welfare to address this</w:t>
      </w:r>
      <w:r w:rsidR="00B53DE6" w:rsidRPr="00D403F5">
        <w:rPr>
          <w:rFonts w:ascii="Times New Roman" w:hAnsi="Times New Roman" w:cs="Times New Roman"/>
          <w:sz w:val="18"/>
          <w:szCs w:val="18"/>
          <w:lang w:val="en-IE" w:eastAsia="fr-FR"/>
        </w:rPr>
        <w:t xml:space="preserve"> point</w:t>
      </w:r>
      <w:r w:rsidRPr="00D403F5">
        <w:rPr>
          <w:rFonts w:ascii="Times New Roman" w:hAnsi="Times New Roman" w:cs="Times New Roman"/>
          <w:sz w:val="18"/>
          <w:szCs w:val="18"/>
          <w:lang w:val="en-IE" w:eastAsia="fr-FR"/>
        </w:rPr>
        <w:t>.</w:t>
      </w:r>
    </w:p>
    <w:p w14:paraId="65B967D1" w14:textId="77777777" w:rsidR="00F05D46" w:rsidRPr="00D403F5" w:rsidRDefault="00F05D46" w:rsidP="001041C6">
      <w:pPr>
        <w:spacing w:after="240" w:line="240" w:lineRule="auto"/>
        <w:ind w:left="993"/>
        <w:jc w:val="both"/>
        <w:rPr>
          <w:rFonts w:ascii="Times New Roman" w:hAnsi="Times New Roman" w:cs="Times New Roman"/>
          <w:sz w:val="18"/>
          <w:szCs w:val="18"/>
          <w:highlight w:val="yellow"/>
          <w:u w:val="single"/>
          <w:lang w:val="en-IE" w:eastAsia="fr-FR"/>
        </w:rPr>
      </w:pPr>
      <w:r w:rsidRPr="00D403F5">
        <w:rPr>
          <w:rFonts w:ascii="Times New Roman" w:hAnsi="Times New Roman" w:cs="Times New Roman"/>
          <w:color w:val="000000" w:themeColor="text1"/>
          <w:sz w:val="18"/>
          <w:szCs w:val="18"/>
          <w:lang w:val="en-IE" w:eastAsia="fr-FR"/>
        </w:rPr>
        <w:t>In paragraph</w:t>
      </w:r>
      <w:r w:rsidRPr="00D403F5">
        <w:rPr>
          <w:rFonts w:ascii="Times New Roman" w:hAnsi="Times New Roman" w:cs="Times New Roman"/>
          <w:sz w:val="18"/>
          <w:szCs w:val="18"/>
          <w:lang w:val="en-IE" w:eastAsia="fr-FR"/>
        </w:rPr>
        <w:t xml:space="preserve"> 3, the Commission agreed </w:t>
      </w:r>
      <w:r w:rsidR="00B53DE6" w:rsidRPr="00D403F5">
        <w:rPr>
          <w:rFonts w:ascii="Times New Roman" w:hAnsi="Times New Roman" w:cs="Times New Roman"/>
          <w:sz w:val="18"/>
          <w:szCs w:val="18"/>
          <w:lang w:val="en-IE" w:eastAsia="fr-FR"/>
        </w:rPr>
        <w:t xml:space="preserve">with a comment </w:t>
      </w:r>
      <w:r w:rsidRPr="00D403F5">
        <w:rPr>
          <w:rFonts w:ascii="Times New Roman" w:hAnsi="Times New Roman" w:cs="Times New Roman"/>
          <w:sz w:val="18"/>
          <w:szCs w:val="18"/>
          <w:lang w:val="en-IE" w:eastAsia="fr-FR"/>
        </w:rPr>
        <w:t>to replace ‘treatments’ with ‘veterinary medicinal products (including antimicrobial agents)’ agreeing that this was more precise.</w:t>
      </w:r>
    </w:p>
    <w:p w14:paraId="14D0B02B" w14:textId="3841755E" w:rsidR="00F05D46" w:rsidRPr="00D403F5" w:rsidRDefault="00F05D46" w:rsidP="001041C6">
      <w:pPr>
        <w:spacing w:after="240" w:line="240" w:lineRule="auto"/>
        <w:ind w:left="993"/>
        <w:jc w:val="both"/>
        <w:rPr>
          <w:rFonts w:ascii="Times New Roman" w:hAnsi="Times New Roman" w:cs="Times New Roman"/>
          <w:b/>
          <w:bCs/>
          <w:color w:val="000000" w:themeColor="text1"/>
          <w:sz w:val="18"/>
          <w:szCs w:val="18"/>
          <w:lang w:val="en-IE" w:eastAsia="fr-FR"/>
        </w:rPr>
      </w:pPr>
      <w:r w:rsidRPr="00D403F5">
        <w:rPr>
          <w:rFonts w:ascii="Times New Roman" w:hAnsi="Times New Roman" w:cs="Times New Roman"/>
          <w:b/>
          <w:bCs/>
          <w:color w:val="000000" w:themeColor="text1"/>
          <w:sz w:val="18"/>
          <w:szCs w:val="18"/>
          <w:lang w:val="en-IE" w:eastAsia="fr-FR"/>
        </w:rPr>
        <w:t>Article 4.X.4.</w:t>
      </w:r>
      <w:r w:rsidR="00504F49" w:rsidRPr="00D403F5">
        <w:rPr>
          <w:rFonts w:ascii="Times New Roman" w:hAnsi="Times New Roman" w:cs="Times New Roman"/>
          <w:b/>
          <w:bCs/>
          <w:color w:val="000000" w:themeColor="text1"/>
          <w:sz w:val="18"/>
          <w:szCs w:val="18"/>
          <w:lang w:val="en-IE" w:eastAsia="fr-FR"/>
        </w:rPr>
        <w:t xml:space="preserve"> General principles</w:t>
      </w:r>
    </w:p>
    <w:p w14:paraId="25032309" w14:textId="77777777" w:rsidR="00F05D46" w:rsidRPr="00D403F5" w:rsidRDefault="002E5D14"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w:t>
      </w:r>
      <w:r w:rsidR="00144123" w:rsidRPr="00D403F5">
        <w:rPr>
          <w:rFonts w:ascii="Times New Roman" w:hAnsi="Times New Roman" w:cs="Times New Roman"/>
          <w:sz w:val="18"/>
          <w:szCs w:val="18"/>
          <w:lang w:val="en-IE" w:eastAsia="fr-FR"/>
        </w:rPr>
        <w:t xml:space="preserve">Commission </w:t>
      </w:r>
      <w:r w:rsidRPr="00D403F5">
        <w:rPr>
          <w:rFonts w:ascii="Times New Roman" w:hAnsi="Times New Roman" w:cs="Times New Roman"/>
          <w:sz w:val="18"/>
          <w:szCs w:val="18"/>
          <w:lang w:val="en-IE" w:eastAsia="fr-FR"/>
        </w:rPr>
        <w:t>agreed with a comment to delete point 1 noting that it was already addressed in other points.</w:t>
      </w:r>
    </w:p>
    <w:p w14:paraId="0463D9B4" w14:textId="77777777" w:rsidR="002E5D14" w:rsidRPr="00D403F5" w:rsidRDefault="00B53DE6"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T</w:t>
      </w:r>
      <w:r w:rsidR="002E5D14" w:rsidRPr="00D403F5">
        <w:rPr>
          <w:rFonts w:ascii="Times New Roman" w:hAnsi="Times New Roman" w:cs="Times New Roman"/>
          <w:sz w:val="18"/>
          <w:szCs w:val="18"/>
          <w:lang w:val="en-IE" w:eastAsia="fr-FR"/>
        </w:rPr>
        <w:t xml:space="preserve">he </w:t>
      </w:r>
      <w:r w:rsidR="00144123" w:rsidRPr="00D403F5">
        <w:rPr>
          <w:rFonts w:ascii="Times New Roman" w:hAnsi="Times New Roman" w:cs="Times New Roman"/>
          <w:sz w:val="18"/>
          <w:szCs w:val="18"/>
          <w:lang w:val="en-IE" w:eastAsia="fr-FR"/>
        </w:rPr>
        <w:t xml:space="preserve">Commission </w:t>
      </w:r>
      <w:r w:rsidR="00302BCE" w:rsidRPr="00D403F5">
        <w:rPr>
          <w:rFonts w:ascii="Times New Roman" w:hAnsi="Times New Roman" w:cs="Times New Roman"/>
          <w:sz w:val="18"/>
          <w:szCs w:val="18"/>
          <w:lang w:val="en-IE" w:eastAsia="fr-FR"/>
        </w:rPr>
        <w:t xml:space="preserve">also </w:t>
      </w:r>
      <w:r w:rsidRPr="00D403F5">
        <w:rPr>
          <w:rFonts w:ascii="Times New Roman" w:hAnsi="Times New Roman" w:cs="Times New Roman"/>
          <w:sz w:val="18"/>
          <w:szCs w:val="18"/>
          <w:lang w:val="en-IE" w:eastAsia="fr-FR"/>
        </w:rPr>
        <w:t xml:space="preserve">agreed to </w:t>
      </w:r>
      <w:r w:rsidR="002E5D14" w:rsidRPr="00D403F5">
        <w:rPr>
          <w:rFonts w:ascii="Times New Roman" w:hAnsi="Times New Roman" w:cs="Times New Roman"/>
          <w:sz w:val="18"/>
          <w:szCs w:val="18"/>
          <w:lang w:val="en-IE" w:eastAsia="fr-FR"/>
        </w:rPr>
        <w:t xml:space="preserve">add a new point 5 regarding appropriate documentation and record keeping. </w:t>
      </w:r>
    </w:p>
    <w:p w14:paraId="05A3822C" w14:textId="1FE1C6EF" w:rsidR="00F05D46" w:rsidRPr="00D403F5" w:rsidRDefault="00F05D46" w:rsidP="001041C6">
      <w:pPr>
        <w:spacing w:after="240" w:line="240" w:lineRule="auto"/>
        <w:ind w:left="993"/>
        <w:jc w:val="both"/>
        <w:rPr>
          <w:rFonts w:ascii="Times New Roman" w:hAnsi="Times New Roman" w:cs="Times New Roman"/>
          <w:b/>
          <w:bCs/>
          <w:sz w:val="18"/>
          <w:szCs w:val="18"/>
          <w:lang w:val="en-IE" w:eastAsia="fr-FR"/>
        </w:rPr>
      </w:pPr>
      <w:bookmarkStart w:id="12" w:name="_Hlk20755703"/>
      <w:r w:rsidRPr="00D403F5">
        <w:rPr>
          <w:rFonts w:ascii="Times New Roman" w:hAnsi="Times New Roman" w:cs="Times New Roman"/>
          <w:b/>
          <w:bCs/>
          <w:sz w:val="18"/>
          <w:szCs w:val="18"/>
          <w:lang w:val="en-IE" w:eastAsia="fr-FR"/>
        </w:rPr>
        <w:t>Article 4.X.</w:t>
      </w:r>
      <w:r w:rsidR="00D27622" w:rsidRPr="00D403F5">
        <w:rPr>
          <w:rFonts w:ascii="Times New Roman" w:hAnsi="Times New Roman" w:cs="Times New Roman"/>
          <w:b/>
          <w:bCs/>
          <w:sz w:val="18"/>
          <w:szCs w:val="18"/>
          <w:lang w:val="en-IE" w:eastAsia="fr-FR"/>
        </w:rPr>
        <w:t>5bis</w:t>
      </w:r>
      <w:r w:rsidR="00504F49" w:rsidRPr="00D403F5">
        <w:rPr>
          <w:rFonts w:ascii="Times New Roman" w:hAnsi="Times New Roman" w:cs="Times New Roman"/>
          <w:b/>
          <w:bCs/>
          <w:sz w:val="18"/>
          <w:szCs w:val="18"/>
          <w:lang w:val="en-IE" w:eastAsia="fr-FR"/>
        </w:rPr>
        <w:t xml:space="preserve"> Area management</w:t>
      </w:r>
    </w:p>
    <w:p w14:paraId="097ADC30" w14:textId="77777777" w:rsidR="00D22598" w:rsidRPr="00D403F5" w:rsidRDefault="00D22598" w:rsidP="001041C6">
      <w:pPr>
        <w:spacing w:after="240" w:line="240" w:lineRule="auto"/>
        <w:ind w:left="993"/>
        <w:jc w:val="both"/>
        <w:rPr>
          <w:rFonts w:ascii="Times New Roman" w:hAnsi="Times New Roman" w:cs="Times New Roman"/>
          <w:b/>
          <w:bCs/>
          <w:sz w:val="18"/>
          <w:szCs w:val="18"/>
          <w:u w:val="single"/>
          <w:lang w:val="en-IE" w:eastAsia="fr-FR"/>
        </w:rPr>
      </w:pPr>
      <w:r w:rsidRPr="00D403F5">
        <w:rPr>
          <w:rFonts w:ascii="Times New Roman" w:hAnsi="Times New Roman" w:cs="Times New Roman"/>
          <w:sz w:val="18"/>
          <w:szCs w:val="18"/>
          <w:lang w:val="en-IE" w:eastAsia="fr-FR"/>
        </w:rPr>
        <w:t xml:space="preserve">The Commission accepted a comment to develop a new article on ‘Area Management’ to provide recommendations for situations where there are epidemiological links between aquaculture establishments and biosecurity measures cannot be effectively applied by a single establishment. In these circumstances, a consistent set of biosecurity measures should be applied by all of the aquaculture establishments considered to be epidemiologically linked.   </w:t>
      </w:r>
    </w:p>
    <w:bookmarkEnd w:id="12"/>
    <w:p w14:paraId="6DD211BD" w14:textId="77777777" w:rsidR="00F05D46" w:rsidRPr="00D403F5" w:rsidRDefault="00F05D46" w:rsidP="001041C6">
      <w:pPr>
        <w:spacing w:after="240" w:line="240" w:lineRule="auto"/>
        <w:ind w:left="993"/>
        <w:jc w:val="both"/>
        <w:rPr>
          <w:rFonts w:ascii="Times New Roman" w:hAnsi="Times New Roman" w:cs="Times New Roman"/>
          <w:b/>
          <w:bCs/>
          <w:color w:val="000000" w:themeColor="text1"/>
          <w:sz w:val="18"/>
          <w:szCs w:val="18"/>
          <w:lang w:val="en-IE" w:eastAsia="fr-FR"/>
        </w:rPr>
      </w:pPr>
      <w:r w:rsidRPr="00D403F5">
        <w:rPr>
          <w:rFonts w:ascii="Times New Roman" w:hAnsi="Times New Roman" w:cs="Times New Roman"/>
          <w:b/>
          <w:bCs/>
          <w:color w:val="000000" w:themeColor="text1"/>
          <w:sz w:val="18"/>
          <w:szCs w:val="18"/>
          <w:lang w:val="en-IE" w:eastAsia="fr-FR"/>
        </w:rPr>
        <w:t>Article 4.X.</w:t>
      </w:r>
      <w:r w:rsidR="004F38AB" w:rsidRPr="00D403F5">
        <w:rPr>
          <w:rFonts w:ascii="Times New Roman" w:hAnsi="Times New Roman" w:cs="Times New Roman"/>
          <w:b/>
          <w:bCs/>
          <w:color w:val="000000" w:themeColor="text1"/>
          <w:sz w:val="18"/>
          <w:szCs w:val="18"/>
          <w:lang w:val="en-IE" w:eastAsia="fr-FR"/>
        </w:rPr>
        <w:t>6</w:t>
      </w:r>
      <w:r w:rsidRPr="00D403F5">
        <w:rPr>
          <w:rFonts w:ascii="Times New Roman" w:hAnsi="Times New Roman" w:cs="Times New Roman"/>
          <w:b/>
          <w:bCs/>
          <w:color w:val="000000" w:themeColor="text1"/>
          <w:sz w:val="18"/>
          <w:szCs w:val="18"/>
          <w:lang w:val="en-IE" w:eastAsia="fr-FR"/>
        </w:rPr>
        <w:t xml:space="preserve">. </w:t>
      </w:r>
      <w:r w:rsidR="00504F49" w:rsidRPr="00D403F5">
        <w:rPr>
          <w:rFonts w:ascii="Times New Roman" w:hAnsi="Times New Roman" w:cs="Times New Roman"/>
          <w:b/>
          <w:bCs/>
          <w:color w:val="000000" w:themeColor="text1"/>
          <w:sz w:val="18"/>
          <w:szCs w:val="18"/>
          <w:lang w:val="en-IE" w:eastAsia="fr-FR"/>
        </w:rPr>
        <w:t>Transmission pathways and mitigation measures</w:t>
      </w:r>
    </w:p>
    <w:p w14:paraId="2EFF75D3" w14:textId="77777777" w:rsidR="004F38AB" w:rsidRPr="00D403F5" w:rsidRDefault="0038372B"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T</w:t>
      </w:r>
      <w:r w:rsidR="004F38AB" w:rsidRPr="00D403F5">
        <w:rPr>
          <w:rFonts w:ascii="Times New Roman" w:hAnsi="Times New Roman" w:cs="Times New Roman"/>
          <w:sz w:val="18"/>
          <w:szCs w:val="18"/>
          <w:lang w:val="en-IE" w:eastAsia="fr-FR"/>
        </w:rPr>
        <w:t>he Commission amended the title from ‘Transmission pathways, and associated risks and mitigation measures’ to ‘Transmission pathways and mitigation measures’ to more accurately reflect the content of this article.</w:t>
      </w:r>
    </w:p>
    <w:p w14:paraId="1957E45D" w14:textId="77777777" w:rsidR="0038372B" w:rsidRPr="00D403F5" w:rsidRDefault="00F05D46"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For point 1</w:t>
      </w:r>
      <w:r w:rsidR="00DA5DC0" w:rsidRPr="00D403F5">
        <w:rPr>
          <w:rFonts w:ascii="Times New Roman" w:hAnsi="Times New Roman" w:cs="Times New Roman"/>
          <w:sz w:val="18"/>
          <w:szCs w:val="18"/>
          <w:lang w:val="en-IE" w:eastAsia="fr-FR"/>
        </w:rPr>
        <w:t xml:space="preserve"> regarding transmission risks associated with aquatic animals</w:t>
      </w:r>
      <w:r w:rsidRPr="00D403F5">
        <w:rPr>
          <w:rFonts w:ascii="Times New Roman" w:hAnsi="Times New Roman" w:cs="Times New Roman"/>
          <w:sz w:val="18"/>
          <w:szCs w:val="18"/>
          <w:lang w:val="en-IE" w:eastAsia="fr-FR"/>
        </w:rPr>
        <w:t xml:space="preserve">, the Commission agreed </w:t>
      </w:r>
      <w:r w:rsidR="0038372B" w:rsidRPr="00D403F5">
        <w:rPr>
          <w:rFonts w:ascii="Times New Roman" w:hAnsi="Times New Roman" w:cs="Times New Roman"/>
          <w:sz w:val="18"/>
          <w:szCs w:val="18"/>
          <w:lang w:val="en-IE" w:eastAsia="fr-FR"/>
        </w:rPr>
        <w:t xml:space="preserve">with a comment to add a new point </w:t>
      </w:r>
      <w:r w:rsidR="00E43989" w:rsidRPr="00D403F5">
        <w:rPr>
          <w:rFonts w:ascii="Times New Roman" w:hAnsi="Times New Roman" w:cs="Times New Roman"/>
          <w:sz w:val="18"/>
          <w:szCs w:val="18"/>
          <w:lang w:val="en-IE" w:eastAsia="fr-FR"/>
        </w:rPr>
        <w:t>(</w:t>
      </w:r>
      <w:r w:rsidR="0038372B" w:rsidRPr="00D403F5">
        <w:rPr>
          <w:rFonts w:ascii="Times New Roman" w:hAnsi="Times New Roman" w:cs="Times New Roman"/>
          <w:sz w:val="18"/>
          <w:szCs w:val="18"/>
          <w:lang w:val="en-IE" w:eastAsia="fr-FR"/>
        </w:rPr>
        <w:t xml:space="preserve">i) providing </w:t>
      </w:r>
      <w:r w:rsidRPr="00D403F5">
        <w:rPr>
          <w:rFonts w:ascii="Times New Roman" w:hAnsi="Times New Roman" w:cs="Times New Roman"/>
          <w:sz w:val="18"/>
          <w:szCs w:val="18"/>
          <w:lang w:val="en-IE" w:eastAsia="fr-FR"/>
        </w:rPr>
        <w:t>guidance on fallowing of aquaculture establishments</w:t>
      </w:r>
      <w:r w:rsidR="005E2D78" w:rsidRPr="00D403F5">
        <w:rPr>
          <w:rFonts w:ascii="Times New Roman" w:hAnsi="Times New Roman" w:cs="Times New Roman"/>
          <w:sz w:val="18"/>
          <w:szCs w:val="18"/>
          <w:lang w:val="en-IE" w:eastAsia="fr-FR"/>
        </w:rPr>
        <w:t xml:space="preserve">. </w:t>
      </w:r>
    </w:p>
    <w:p w14:paraId="5BE08CEA" w14:textId="35D944E6" w:rsidR="005E2D78" w:rsidRPr="00D403F5" w:rsidRDefault="005E2D78" w:rsidP="001041C6">
      <w:pPr>
        <w:spacing w:after="240" w:line="240" w:lineRule="auto"/>
        <w:ind w:left="993"/>
        <w:jc w:val="both"/>
        <w:rPr>
          <w:rFonts w:ascii="Times New Roman" w:hAnsi="Times New Roman" w:cs="Times New Roman"/>
          <w:sz w:val="18"/>
          <w:szCs w:val="18"/>
          <w:lang w:eastAsia="fr-FR"/>
        </w:rPr>
      </w:pPr>
      <w:r w:rsidRPr="00D403F5">
        <w:rPr>
          <w:rFonts w:ascii="Times New Roman" w:hAnsi="Times New Roman" w:cs="Times New Roman"/>
          <w:sz w:val="18"/>
          <w:szCs w:val="18"/>
          <w:lang w:val="en-IE" w:eastAsia="fr-FR"/>
        </w:rPr>
        <w:t>The Commission reminded Members that as agreed in the planned restructure of Section 4, Chapter</w:t>
      </w:r>
      <w:r w:rsidR="00DE4CE0" w:rsidRPr="00D403F5">
        <w:rPr>
          <w:rFonts w:ascii="Times New Roman" w:hAnsi="Times New Roman" w:cs="Times New Roman"/>
          <w:sz w:val="18"/>
          <w:szCs w:val="18"/>
          <w:lang w:val="en-IE" w:eastAsia="fr-FR"/>
        </w:rPr>
        <w:t> </w:t>
      </w:r>
      <w:r w:rsidRPr="00D403F5">
        <w:rPr>
          <w:rFonts w:ascii="Times New Roman" w:hAnsi="Times New Roman" w:cs="Times New Roman"/>
          <w:sz w:val="18"/>
          <w:szCs w:val="18"/>
          <w:lang w:val="en-IE" w:eastAsia="fr-FR"/>
        </w:rPr>
        <w:t>4.6. Fallowing in aquaculture</w:t>
      </w:r>
      <w:r w:rsidR="00967845" w:rsidRPr="00D403F5">
        <w:rPr>
          <w:rFonts w:ascii="Times New Roman" w:hAnsi="Times New Roman" w:cs="Times New Roman"/>
          <w:sz w:val="18"/>
          <w:szCs w:val="18"/>
          <w:lang w:val="en-IE" w:eastAsia="fr-FR"/>
        </w:rPr>
        <w:t>,</w:t>
      </w:r>
      <w:r w:rsidRPr="00D403F5">
        <w:rPr>
          <w:rFonts w:ascii="Times New Roman" w:hAnsi="Times New Roman" w:cs="Times New Roman"/>
          <w:sz w:val="18"/>
          <w:szCs w:val="18"/>
          <w:lang w:val="en-IE" w:eastAsia="fr-FR"/>
        </w:rPr>
        <w:t xml:space="preserve"> will be deleted from the </w:t>
      </w:r>
      <w:r w:rsidRPr="00D403F5">
        <w:rPr>
          <w:rFonts w:ascii="Times New Roman" w:hAnsi="Times New Roman" w:cs="Times New Roman"/>
          <w:i/>
          <w:iCs/>
          <w:sz w:val="18"/>
          <w:szCs w:val="18"/>
          <w:lang w:val="en-IE" w:eastAsia="fr-FR"/>
        </w:rPr>
        <w:t>Aquatic Code</w:t>
      </w:r>
      <w:r w:rsidRPr="00D403F5">
        <w:rPr>
          <w:rFonts w:ascii="Times New Roman" w:hAnsi="Times New Roman" w:cs="Times New Roman"/>
          <w:sz w:val="18"/>
          <w:szCs w:val="18"/>
          <w:lang w:val="en-IE" w:eastAsia="fr-FR"/>
        </w:rPr>
        <w:t xml:space="preserve"> once the new chapter on Biosecurity for aquaculture establishments is adopted. The </w:t>
      </w:r>
      <w:r w:rsidR="00DA5DC0" w:rsidRPr="00D403F5">
        <w:rPr>
          <w:rFonts w:ascii="Times New Roman" w:hAnsi="Times New Roman" w:cs="Times New Roman"/>
          <w:sz w:val="18"/>
          <w:szCs w:val="18"/>
          <w:lang w:val="en-IE" w:eastAsia="fr-FR"/>
        </w:rPr>
        <w:t>Commission</w:t>
      </w:r>
      <w:r w:rsidRPr="00D403F5">
        <w:rPr>
          <w:rFonts w:ascii="Times New Roman" w:hAnsi="Times New Roman" w:cs="Times New Roman"/>
          <w:sz w:val="18"/>
          <w:szCs w:val="18"/>
          <w:lang w:val="en-IE" w:eastAsia="fr-FR"/>
        </w:rPr>
        <w:t xml:space="preserve"> also noted that any relevant information</w:t>
      </w:r>
      <w:r w:rsidR="00D22598" w:rsidRPr="00D403F5">
        <w:rPr>
          <w:rFonts w:ascii="Times New Roman" w:hAnsi="Times New Roman" w:cs="Times New Roman"/>
          <w:sz w:val="18"/>
          <w:szCs w:val="18"/>
          <w:lang w:val="en-IE" w:eastAsia="fr-FR"/>
        </w:rPr>
        <w:t xml:space="preserve"> in Chapter 4.6.</w:t>
      </w:r>
      <w:r w:rsidRPr="00D403F5">
        <w:rPr>
          <w:rFonts w:ascii="Times New Roman" w:hAnsi="Times New Roman" w:cs="Times New Roman"/>
          <w:sz w:val="18"/>
          <w:szCs w:val="18"/>
          <w:lang w:val="en-IE" w:eastAsia="fr-FR"/>
        </w:rPr>
        <w:t xml:space="preserve"> not include</w:t>
      </w:r>
      <w:r w:rsidR="00F71CC3" w:rsidRPr="00D403F5">
        <w:rPr>
          <w:rFonts w:ascii="Times New Roman" w:hAnsi="Times New Roman" w:cs="Times New Roman"/>
          <w:sz w:val="18"/>
          <w:szCs w:val="18"/>
          <w:lang w:val="en-IE" w:eastAsia="fr-FR"/>
        </w:rPr>
        <w:t>d</w:t>
      </w:r>
      <w:r w:rsidRPr="00D403F5">
        <w:rPr>
          <w:rFonts w:ascii="Times New Roman" w:hAnsi="Times New Roman" w:cs="Times New Roman"/>
          <w:sz w:val="18"/>
          <w:szCs w:val="18"/>
          <w:lang w:val="en-IE" w:eastAsia="fr-FR"/>
        </w:rPr>
        <w:t xml:space="preserve"> in the new biosecurity chapter will be considered for inclusion in the new chapter on </w:t>
      </w:r>
      <w:r w:rsidR="00F71CC3" w:rsidRPr="00D403F5">
        <w:rPr>
          <w:rFonts w:ascii="Times New Roman" w:hAnsi="Times New Roman" w:cs="Times New Roman"/>
          <w:sz w:val="18"/>
          <w:szCs w:val="18"/>
          <w:lang w:val="en-IE" w:eastAsia="fr-FR"/>
        </w:rPr>
        <w:t xml:space="preserve">disease </w:t>
      </w:r>
      <w:r w:rsidRPr="00D403F5">
        <w:rPr>
          <w:rFonts w:ascii="Times New Roman" w:hAnsi="Times New Roman" w:cs="Times New Roman"/>
          <w:sz w:val="18"/>
          <w:szCs w:val="18"/>
          <w:lang w:val="en-IE" w:eastAsia="fr-FR"/>
        </w:rPr>
        <w:t xml:space="preserve">outbreak management (see </w:t>
      </w:r>
      <w:r w:rsidR="00E230FF" w:rsidRPr="00D403F5">
        <w:rPr>
          <w:rFonts w:ascii="Times New Roman" w:hAnsi="Times New Roman" w:cs="Times New Roman"/>
          <w:sz w:val="18"/>
          <w:szCs w:val="18"/>
          <w:u w:val="single"/>
          <w:lang w:val="en-IE" w:eastAsia="fr-FR"/>
        </w:rPr>
        <w:t>Annex 1</w:t>
      </w:r>
      <w:r w:rsidR="007F6F85" w:rsidRPr="00D403F5">
        <w:rPr>
          <w:rFonts w:ascii="Times New Roman" w:hAnsi="Times New Roman" w:cs="Times New Roman"/>
          <w:sz w:val="18"/>
          <w:szCs w:val="18"/>
          <w:u w:val="single"/>
          <w:lang w:val="en-IE" w:eastAsia="fr-FR"/>
        </w:rPr>
        <w:t>7</w:t>
      </w:r>
      <w:r w:rsidRPr="00D403F5">
        <w:rPr>
          <w:rFonts w:ascii="Times New Roman" w:hAnsi="Times New Roman" w:cs="Times New Roman"/>
          <w:sz w:val="18"/>
          <w:szCs w:val="18"/>
          <w:lang w:val="en-IE" w:eastAsia="fr-FR"/>
        </w:rPr>
        <w:t xml:space="preserve"> work plan).</w:t>
      </w:r>
    </w:p>
    <w:p w14:paraId="508AD1A3" w14:textId="4F01C924" w:rsidR="00F05D46" w:rsidRPr="00D403F5" w:rsidRDefault="00F05D46"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For point 3</w:t>
      </w:r>
      <w:r w:rsidR="00D56F32" w:rsidRPr="00D403F5">
        <w:rPr>
          <w:rFonts w:ascii="Times New Roman" w:hAnsi="Times New Roman" w:cs="Times New Roman"/>
          <w:sz w:val="18"/>
          <w:szCs w:val="18"/>
          <w:lang w:val="en-IE" w:eastAsia="fr-FR"/>
        </w:rPr>
        <w:t xml:space="preserve"> regarding transmission risks associated with water</w:t>
      </w:r>
      <w:r w:rsidRPr="00D403F5">
        <w:rPr>
          <w:rFonts w:ascii="Times New Roman" w:hAnsi="Times New Roman" w:cs="Times New Roman"/>
          <w:sz w:val="18"/>
          <w:szCs w:val="18"/>
          <w:lang w:val="en-IE" w:eastAsia="fr-FR"/>
        </w:rPr>
        <w:t xml:space="preserve">, </w:t>
      </w:r>
      <w:r w:rsidR="009B5F43" w:rsidRPr="00D403F5">
        <w:rPr>
          <w:rFonts w:ascii="Times New Roman" w:hAnsi="Times New Roman" w:cs="Times New Roman"/>
          <w:sz w:val="18"/>
          <w:szCs w:val="18"/>
          <w:lang w:val="en-IE" w:eastAsia="fr-FR"/>
        </w:rPr>
        <w:t>the</w:t>
      </w:r>
      <w:r w:rsidRPr="00D403F5">
        <w:rPr>
          <w:rFonts w:ascii="Times New Roman" w:hAnsi="Times New Roman" w:cs="Times New Roman"/>
          <w:sz w:val="18"/>
          <w:szCs w:val="18"/>
          <w:lang w:val="en-IE" w:eastAsia="fr-FR"/>
        </w:rPr>
        <w:t xml:space="preserve"> Commission agreed </w:t>
      </w:r>
      <w:r w:rsidR="00D56F32" w:rsidRPr="00D403F5">
        <w:rPr>
          <w:rFonts w:ascii="Times New Roman" w:hAnsi="Times New Roman" w:cs="Times New Roman"/>
          <w:sz w:val="18"/>
          <w:szCs w:val="18"/>
          <w:lang w:val="en-IE" w:eastAsia="fr-FR"/>
        </w:rPr>
        <w:t xml:space="preserve">with a comment to add </w:t>
      </w:r>
      <w:r w:rsidR="00DA5DC0" w:rsidRPr="00D403F5">
        <w:rPr>
          <w:rFonts w:ascii="Times New Roman" w:hAnsi="Times New Roman" w:cs="Times New Roman"/>
          <w:sz w:val="18"/>
          <w:szCs w:val="18"/>
          <w:lang w:val="en-IE" w:eastAsia="fr-FR"/>
        </w:rPr>
        <w:t xml:space="preserve">factors </w:t>
      </w:r>
      <w:r w:rsidR="00D56F32" w:rsidRPr="00D403F5">
        <w:rPr>
          <w:rFonts w:ascii="Times New Roman" w:hAnsi="Times New Roman" w:cs="Times New Roman"/>
          <w:sz w:val="18"/>
          <w:szCs w:val="18"/>
          <w:lang w:val="en-IE" w:eastAsia="fr-FR"/>
        </w:rPr>
        <w:t>such as distance and water currents</w:t>
      </w:r>
      <w:r w:rsidR="0038372B" w:rsidRPr="00D403F5">
        <w:rPr>
          <w:rFonts w:ascii="Times New Roman" w:hAnsi="Times New Roman" w:cs="Times New Roman"/>
          <w:sz w:val="18"/>
          <w:szCs w:val="18"/>
          <w:lang w:val="en-IE" w:eastAsia="fr-FR"/>
        </w:rPr>
        <w:t xml:space="preserve"> to point </w:t>
      </w:r>
      <w:r w:rsidR="00E43989" w:rsidRPr="00D403F5">
        <w:rPr>
          <w:rFonts w:ascii="Times New Roman" w:hAnsi="Times New Roman" w:cs="Times New Roman"/>
          <w:sz w:val="18"/>
          <w:szCs w:val="18"/>
          <w:lang w:val="en-IE" w:eastAsia="fr-FR"/>
        </w:rPr>
        <w:t>(</w:t>
      </w:r>
      <w:r w:rsidR="0038372B" w:rsidRPr="00D403F5">
        <w:rPr>
          <w:rFonts w:ascii="Times New Roman" w:hAnsi="Times New Roman" w:cs="Times New Roman"/>
          <w:sz w:val="18"/>
          <w:szCs w:val="18"/>
          <w:lang w:val="en-IE" w:eastAsia="fr-FR"/>
        </w:rPr>
        <w:t>c)</w:t>
      </w:r>
      <w:r w:rsidR="00D56F32" w:rsidRPr="00D403F5">
        <w:rPr>
          <w:rFonts w:ascii="Times New Roman" w:hAnsi="Times New Roman" w:cs="Times New Roman"/>
          <w:sz w:val="18"/>
          <w:szCs w:val="18"/>
          <w:lang w:val="en-IE" w:eastAsia="fr-FR"/>
        </w:rPr>
        <w:t xml:space="preserve">. The Commission also </w:t>
      </w:r>
      <w:r w:rsidR="008979C1" w:rsidRPr="00D403F5">
        <w:rPr>
          <w:rFonts w:ascii="Times New Roman" w:hAnsi="Times New Roman" w:cs="Times New Roman"/>
          <w:sz w:val="18"/>
          <w:szCs w:val="18"/>
          <w:lang w:val="en-IE" w:eastAsia="fr-FR"/>
        </w:rPr>
        <w:t>accepted</w:t>
      </w:r>
      <w:r w:rsidRPr="00D403F5">
        <w:rPr>
          <w:rFonts w:ascii="Times New Roman" w:hAnsi="Times New Roman" w:cs="Times New Roman"/>
          <w:sz w:val="18"/>
          <w:szCs w:val="18"/>
          <w:lang w:val="en-IE" w:eastAsia="fr-FR"/>
        </w:rPr>
        <w:t xml:space="preserve"> to include the risks of flooding and defective </w:t>
      </w:r>
      <w:r w:rsidR="009E4E4E" w:rsidRPr="00D403F5">
        <w:rPr>
          <w:rFonts w:ascii="Times New Roman" w:hAnsi="Times New Roman" w:cs="Times New Roman"/>
          <w:sz w:val="18"/>
          <w:szCs w:val="18"/>
          <w:lang w:val="en-IE" w:eastAsia="fr-FR"/>
        </w:rPr>
        <w:t xml:space="preserve">infrastructure </w:t>
      </w:r>
      <w:r w:rsidR="00D22598" w:rsidRPr="00D403F5">
        <w:rPr>
          <w:rFonts w:ascii="Times New Roman" w:hAnsi="Times New Roman" w:cs="Times New Roman"/>
          <w:sz w:val="18"/>
          <w:szCs w:val="18"/>
          <w:lang w:val="en-IE" w:eastAsia="fr-FR"/>
        </w:rPr>
        <w:t>addressed in</w:t>
      </w:r>
      <w:r w:rsidR="00D56F32" w:rsidRPr="00D403F5">
        <w:rPr>
          <w:rFonts w:ascii="Times New Roman" w:hAnsi="Times New Roman" w:cs="Times New Roman"/>
          <w:sz w:val="18"/>
          <w:szCs w:val="18"/>
          <w:lang w:val="en-IE" w:eastAsia="fr-FR"/>
        </w:rPr>
        <w:t xml:space="preserve"> a new point </w:t>
      </w:r>
      <w:r w:rsidR="00E43989" w:rsidRPr="00D403F5">
        <w:rPr>
          <w:rFonts w:ascii="Times New Roman" w:hAnsi="Times New Roman" w:cs="Times New Roman"/>
          <w:sz w:val="18"/>
          <w:szCs w:val="18"/>
          <w:lang w:val="en-IE" w:eastAsia="fr-FR"/>
        </w:rPr>
        <w:t>(</w:t>
      </w:r>
      <w:r w:rsidR="00D56F32" w:rsidRPr="00D403F5">
        <w:rPr>
          <w:rFonts w:ascii="Times New Roman" w:hAnsi="Times New Roman" w:cs="Times New Roman"/>
          <w:sz w:val="18"/>
          <w:szCs w:val="18"/>
          <w:lang w:val="en-IE" w:eastAsia="fr-FR"/>
        </w:rPr>
        <w:t>d)</w:t>
      </w:r>
      <w:r w:rsidRPr="00D403F5">
        <w:rPr>
          <w:rFonts w:ascii="Times New Roman" w:hAnsi="Times New Roman" w:cs="Times New Roman"/>
          <w:sz w:val="18"/>
          <w:szCs w:val="18"/>
          <w:lang w:val="en-IE" w:eastAsia="fr-FR"/>
        </w:rPr>
        <w:t>.</w:t>
      </w:r>
    </w:p>
    <w:p w14:paraId="4AB6A353" w14:textId="77777777" w:rsidR="00D22598" w:rsidRPr="00D403F5" w:rsidRDefault="00D22598"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For point 4 regarding transmission risks associated with feed, the Commission agreed with a comment to highlight the risks associated with inappropriate storage and management of feed on site. Instead of adding a new point, point (c) was amended to include measures to mitigate the risk. The Commission did not agree with a comment to include disinfection of feed, as it considered this was addressed in point (a), which cover processing to inactivate pathogenic agents. </w:t>
      </w:r>
    </w:p>
    <w:p w14:paraId="72E7D4C1" w14:textId="77777777" w:rsidR="001041C6" w:rsidRDefault="001041C6" w:rsidP="001041C6">
      <w:pPr>
        <w:spacing w:after="240" w:line="240" w:lineRule="auto"/>
        <w:ind w:left="993"/>
        <w:jc w:val="both"/>
        <w:rPr>
          <w:rFonts w:ascii="Times New Roman" w:hAnsi="Times New Roman" w:cs="Times New Roman"/>
          <w:sz w:val="18"/>
          <w:szCs w:val="18"/>
          <w:lang w:val="en-IE" w:eastAsia="fr-FR"/>
        </w:rPr>
      </w:pPr>
      <w:r>
        <w:rPr>
          <w:rFonts w:ascii="Times New Roman" w:hAnsi="Times New Roman" w:cs="Times New Roman"/>
          <w:sz w:val="18"/>
          <w:szCs w:val="18"/>
          <w:lang w:val="en-IE" w:eastAsia="fr-FR"/>
        </w:rPr>
        <w:br w:type="page"/>
      </w:r>
    </w:p>
    <w:p w14:paraId="281B7283" w14:textId="70AE89C2" w:rsidR="00F05D46" w:rsidRPr="00D403F5" w:rsidRDefault="00F05D46"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For point 5 </w:t>
      </w:r>
      <w:r w:rsidR="00D06E72" w:rsidRPr="00D403F5">
        <w:rPr>
          <w:rFonts w:ascii="Times New Roman" w:hAnsi="Times New Roman" w:cs="Times New Roman"/>
          <w:sz w:val="18"/>
          <w:szCs w:val="18"/>
          <w:lang w:val="en-IE" w:eastAsia="fr-FR"/>
        </w:rPr>
        <w:t xml:space="preserve">regarding transmission risks associated with fomites, </w:t>
      </w:r>
      <w:r w:rsidRPr="00D403F5">
        <w:rPr>
          <w:rFonts w:ascii="Times New Roman" w:hAnsi="Times New Roman" w:cs="Times New Roman"/>
          <w:sz w:val="18"/>
          <w:szCs w:val="18"/>
          <w:lang w:val="en-IE" w:eastAsia="fr-FR"/>
        </w:rPr>
        <w:t xml:space="preserve">the Commission </w:t>
      </w:r>
      <w:r w:rsidR="00D06E72" w:rsidRPr="00D403F5">
        <w:rPr>
          <w:rFonts w:ascii="Times New Roman" w:hAnsi="Times New Roman" w:cs="Times New Roman"/>
          <w:sz w:val="18"/>
          <w:szCs w:val="18"/>
          <w:lang w:val="en-IE" w:eastAsia="fr-FR"/>
        </w:rPr>
        <w:t xml:space="preserve">agreed with </w:t>
      </w:r>
      <w:r w:rsidR="00DA5DC0" w:rsidRPr="00D403F5">
        <w:rPr>
          <w:rFonts w:ascii="Times New Roman" w:hAnsi="Times New Roman" w:cs="Times New Roman"/>
          <w:sz w:val="18"/>
          <w:szCs w:val="18"/>
          <w:lang w:val="en-IE" w:eastAsia="fr-FR"/>
        </w:rPr>
        <w:t xml:space="preserve">a </w:t>
      </w:r>
      <w:r w:rsidR="00D06E72" w:rsidRPr="00D403F5">
        <w:rPr>
          <w:rFonts w:ascii="Times New Roman" w:hAnsi="Times New Roman" w:cs="Times New Roman"/>
          <w:sz w:val="18"/>
          <w:szCs w:val="18"/>
          <w:lang w:val="en-IE" w:eastAsia="fr-FR"/>
        </w:rPr>
        <w:t xml:space="preserve">comment to improve clarity and </w:t>
      </w:r>
      <w:r w:rsidRPr="00D403F5">
        <w:rPr>
          <w:rFonts w:ascii="Times New Roman" w:hAnsi="Times New Roman" w:cs="Times New Roman"/>
          <w:sz w:val="18"/>
          <w:szCs w:val="18"/>
          <w:lang w:val="en-IE" w:eastAsia="fr-FR"/>
        </w:rPr>
        <w:t xml:space="preserve">revised </w:t>
      </w:r>
      <w:r w:rsidR="0038372B" w:rsidRPr="00D403F5">
        <w:rPr>
          <w:rFonts w:ascii="Times New Roman" w:hAnsi="Times New Roman" w:cs="Times New Roman"/>
          <w:sz w:val="18"/>
          <w:szCs w:val="18"/>
          <w:lang w:val="en-IE" w:eastAsia="fr-FR"/>
        </w:rPr>
        <w:t xml:space="preserve">the </w:t>
      </w:r>
      <w:r w:rsidRPr="00D403F5">
        <w:rPr>
          <w:rFonts w:ascii="Times New Roman" w:hAnsi="Times New Roman" w:cs="Times New Roman"/>
          <w:sz w:val="18"/>
          <w:szCs w:val="18"/>
          <w:lang w:val="en-IE" w:eastAsia="fr-FR"/>
        </w:rPr>
        <w:t>text</w:t>
      </w:r>
      <w:r w:rsidR="00D06E72" w:rsidRPr="00D403F5">
        <w:rPr>
          <w:rFonts w:ascii="Times New Roman" w:hAnsi="Times New Roman" w:cs="Times New Roman"/>
          <w:sz w:val="18"/>
          <w:szCs w:val="18"/>
          <w:lang w:val="en-IE" w:eastAsia="fr-FR"/>
        </w:rPr>
        <w:t xml:space="preserve"> accordingly</w:t>
      </w:r>
      <w:r w:rsidRPr="00D403F5">
        <w:rPr>
          <w:rFonts w:ascii="Times New Roman" w:hAnsi="Times New Roman" w:cs="Times New Roman"/>
          <w:sz w:val="18"/>
          <w:szCs w:val="18"/>
          <w:lang w:val="en-IE" w:eastAsia="fr-FR"/>
        </w:rPr>
        <w:t xml:space="preserve">. The Commission </w:t>
      </w:r>
      <w:r w:rsidR="00497B34" w:rsidRPr="00D403F5">
        <w:rPr>
          <w:rFonts w:ascii="Times New Roman" w:hAnsi="Times New Roman" w:cs="Times New Roman"/>
          <w:sz w:val="18"/>
          <w:szCs w:val="18"/>
          <w:lang w:val="en-IE" w:eastAsia="fr-FR"/>
        </w:rPr>
        <w:t xml:space="preserve">also </w:t>
      </w:r>
      <w:r w:rsidR="00D06E72" w:rsidRPr="00D403F5">
        <w:rPr>
          <w:rFonts w:ascii="Times New Roman" w:hAnsi="Times New Roman" w:cs="Times New Roman"/>
          <w:sz w:val="18"/>
          <w:szCs w:val="18"/>
          <w:lang w:val="en-IE" w:eastAsia="fr-FR"/>
        </w:rPr>
        <w:t xml:space="preserve">included a new point </w:t>
      </w:r>
      <w:r w:rsidR="00E43989" w:rsidRPr="00D403F5">
        <w:rPr>
          <w:rFonts w:ascii="Times New Roman" w:hAnsi="Times New Roman" w:cs="Times New Roman"/>
          <w:sz w:val="18"/>
          <w:szCs w:val="18"/>
          <w:lang w:val="en-IE" w:eastAsia="fr-FR"/>
        </w:rPr>
        <w:t>(</w:t>
      </w:r>
      <w:r w:rsidR="00D06E72" w:rsidRPr="00D403F5">
        <w:rPr>
          <w:rFonts w:ascii="Times New Roman" w:hAnsi="Times New Roman" w:cs="Times New Roman"/>
          <w:sz w:val="18"/>
          <w:szCs w:val="18"/>
          <w:lang w:val="en-IE" w:eastAsia="fr-FR"/>
        </w:rPr>
        <w:t xml:space="preserve">d) to </w:t>
      </w:r>
      <w:r w:rsidRPr="00D403F5">
        <w:rPr>
          <w:rFonts w:ascii="Times New Roman" w:hAnsi="Times New Roman" w:cs="Times New Roman"/>
          <w:sz w:val="18"/>
          <w:szCs w:val="18"/>
          <w:lang w:val="en-IE" w:eastAsia="fr-FR"/>
        </w:rPr>
        <w:t xml:space="preserve">ensure </w:t>
      </w:r>
      <w:r w:rsidR="0038372B" w:rsidRPr="00D403F5">
        <w:rPr>
          <w:rFonts w:ascii="Times New Roman" w:hAnsi="Times New Roman" w:cs="Times New Roman"/>
          <w:sz w:val="18"/>
          <w:szCs w:val="18"/>
          <w:lang w:val="en-IE" w:eastAsia="fr-FR"/>
        </w:rPr>
        <w:t xml:space="preserve">that </w:t>
      </w:r>
      <w:r w:rsidR="00D06E72" w:rsidRPr="00D403F5">
        <w:rPr>
          <w:rFonts w:ascii="Times New Roman" w:hAnsi="Times New Roman" w:cs="Times New Roman"/>
          <w:sz w:val="18"/>
          <w:szCs w:val="18"/>
          <w:lang w:val="en-IE" w:eastAsia="fr-FR"/>
        </w:rPr>
        <w:t>the text include</w:t>
      </w:r>
      <w:r w:rsidRPr="00D403F5">
        <w:rPr>
          <w:rFonts w:ascii="Times New Roman" w:hAnsi="Times New Roman" w:cs="Times New Roman"/>
          <w:sz w:val="18"/>
          <w:szCs w:val="18"/>
          <w:lang w:val="en-IE" w:eastAsia="fr-FR"/>
        </w:rPr>
        <w:t>d concepts for both movemen</w:t>
      </w:r>
      <w:r w:rsidR="00497B34" w:rsidRPr="00D403F5">
        <w:rPr>
          <w:rFonts w:ascii="Times New Roman" w:hAnsi="Times New Roman" w:cs="Times New Roman"/>
          <w:sz w:val="18"/>
          <w:szCs w:val="18"/>
          <w:lang w:val="en-IE" w:eastAsia="fr-FR"/>
        </w:rPr>
        <w:t>t</w:t>
      </w:r>
      <w:r w:rsidRPr="00D403F5">
        <w:rPr>
          <w:rFonts w:ascii="Times New Roman" w:hAnsi="Times New Roman" w:cs="Times New Roman"/>
          <w:sz w:val="18"/>
          <w:szCs w:val="18"/>
          <w:lang w:val="en-IE" w:eastAsia="fr-FR"/>
        </w:rPr>
        <w:t xml:space="preserve">s of fomites </w:t>
      </w:r>
      <w:r w:rsidR="009E4E4E" w:rsidRPr="00D403F5">
        <w:rPr>
          <w:rFonts w:ascii="Times New Roman" w:hAnsi="Times New Roman" w:cs="Times New Roman"/>
          <w:sz w:val="18"/>
          <w:szCs w:val="18"/>
          <w:lang w:val="en-IE" w:eastAsia="fr-FR"/>
        </w:rPr>
        <w:t xml:space="preserve">between aquaculture establishments and for movements between </w:t>
      </w:r>
      <w:r w:rsidRPr="00D403F5">
        <w:rPr>
          <w:rFonts w:ascii="Times New Roman" w:hAnsi="Times New Roman" w:cs="Times New Roman"/>
          <w:sz w:val="18"/>
          <w:szCs w:val="18"/>
          <w:lang w:val="en-IE" w:eastAsia="fr-FR"/>
        </w:rPr>
        <w:t>production units</w:t>
      </w:r>
      <w:r w:rsidR="00D22598" w:rsidRPr="00D403F5">
        <w:rPr>
          <w:rFonts w:ascii="Times New Roman" w:hAnsi="Times New Roman" w:cs="Times New Roman"/>
          <w:sz w:val="18"/>
          <w:szCs w:val="18"/>
          <w:lang w:val="en-IE" w:eastAsia="fr-FR"/>
        </w:rPr>
        <w:t xml:space="preserve"> within an aquaculture establishment</w:t>
      </w:r>
      <w:r w:rsidRPr="00D403F5">
        <w:rPr>
          <w:rFonts w:ascii="Times New Roman" w:hAnsi="Times New Roman" w:cs="Times New Roman"/>
          <w:sz w:val="18"/>
          <w:szCs w:val="18"/>
          <w:lang w:val="en-IE" w:eastAsia="fr-FR"/>
        </w:rPr>
        <w:t>.</w:t>
      </w:r>
    </w:p>
    <w:p w14:paraId="4004C31D" w14:textId="7B9061AB" w:rsidR="00351147" w:rsidRPr="00D403F5" w:rsidRDefault="00F05D46"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For point 6 </w:t>
      </w:r>
      <w:r w:rsidR="00497B34" w:rsidRPr="00D403F5">
        <w:rPr>
          <w:rFonts w:ascii="Times New Roman" w:hAnsi="Times New Roman" w:cs="Times New Roman"/>
          <w:sz w:val="18"/>
          <w:szCs w:val="18"/>
          <w:lang w:val="en-IE" w:eastAsia="fr-FR"/>
        </w:rPr>
        <w:t xml:space="preserve">regarding transmission risks associated with vectors, </w:t>
      </w:r>
      <w:r w:rsidRPr="00D403F5">
        <w:rPr>
          <w:rFonts w:ascii="Times New Roman" w:hAnsi="Times New Roman" w:cs="Times New Roman"/>
          <w:sz w:val="18"/>
          <w:szCs w:val="18"/>
          <w:lang w:val="en-IE" w:eastAsia="fr-FR"/>
        </w:rPr>
        <w:t xml:space="preserve">the Commission amended the text to improve clarity and provide further guidance </w:t>
      </w:r>
      <w:r w:rsidR="00497B34" w:rsidRPr="00D403F5">
        <w:rPr>
          <w:rFonts w:ascii="Times New Roman" w:hAnsi="Times New Roman" w:cs="Times New Roman"/>
          <w:sz w:val="18"/>
          <w:szCs w:val="18"/>
          <w:lang w:val="en-IE" w:eastAsia="fr-FR"/>
        </w:rPr>
        <w:t xml:space="preserve">on possible </w:t>
      </w:r>
      <w:r w:rsidRPr="00D403F5">
        <w:rPr>
          <w:rFonts w:ascii="Times New Roman" w:hAnsi="Times New Roman" w:cs="Times New Roman"/>
          <w:sz w:val="18"/>
          <w:szCs w:val="18"/>
          <w:lang w:val="en-IE" w:eastAsia="fr-FR"/>
        </w:rPr>
        <w:t>mitigati</w:t>
      </w:r>
      <w:r w:rsidR="00497B34" w:rsidRPr="00D403F5">
        <w:rPr>
          <w:rFonts w:ascii="Times New Roman" w:hAnsi="Times New Roman" w:cs="Times New Roman"/>
          <w:sz w:val="18"/>
          <w:szCs w:val="18"/>
          <w:lang w:val="en-IE" w:eastAsia="fr-FR"/>
        </w:rPr>
        <w:t>o</w:t>
      </w:r>
      <w:r w:rsidRPr="00D403F5">
        <w:rPr>
          <w:rFonts w:ascii="Times New Roman" w:hAnsi="Times New Roman" w:cs="Times New Roman"/>
          <w:sz w:val="18"/>
          <w:szCs w:val="18"/>
          <w:lang w:val="en-IE" w:eastAsia="fr-FR"/>
        </w:rPr>
        <w:t>n measures</w:t>
      </w:r>
      <w:r w:rsidR="00497B34" w:rsidRPr="00D403F5">
        <w:rPr>
          <w:rFonts w:ascii="Times New Roman" w:hAnsi="Times New Roman" w:cs="Times New Roman"/>
          <w:sz w:val="18"/>
          <w:szCs w:val="18"/>
          <w:lang w:val="en-IE" w:eastAsia="fr-FR"/>
        </w:rPr>
        <w:t xml:space="preserve">, including </w:t>
      </w:r>
      <w:r w:rsidR="00416455" w:rsidRPr="00D403F5">
        <w:rPr>
          <w:rFonts w:ascii="Times New Roman" w:hAnsi="Times New Roman" w:cs="Times New Roman"/>
          <w:sz w:val="18"/>
          <w:szCs w:val="18"/>
          <w:lang w:val="en-IE" w:eastAsia="fr-FR"/>
        </w:rPr>
        <w:t xml:space="preserve">control of </w:t>
      </w:r>
      <w:r w:rsidR="00497B34" w:rsidRPr="00D403F5">
        <w:rPr>
          <w:rFonts w:ascii="Times New Roman" w:hAnsi="Times New Roman" w:cs="Times New Roman"/>
          <w:sz w:val="18"/>
          <w:szCs w:val="18"/>
          <w:lang w:val="en-IE" w:eastAsia="fr-FR"/>
        </w:rPr>
        <w:t xml:space="preserve">access </w:t>
      </w:r>
      <w:r w:rsidR="00416455" w:rsidRPr="00D403F5">
        <w:rPr>
          <w:rFonts w:ascii="Times New Roman" w:hAnsi="Times New Roman" w:cs="Times New Roman"/>
          <w:sz w:val="18"/>
          <w:szCs w:val="18"/>
          <w:lang w:val="en-IE" w:eastAsia="fr-FR"/>
        </w:rPr>
        <w:t xml:space="preserve">by </w:t>
      </w:r>
      <w:r w:rsidR="00497B34" w:rsidRPr="00D403F5">
        <w:rPr>
          <w:rFonts w:ascii="Times New Roman" w:hAnsi="Times New Roman" w:cs="Times New Roman"/>
          <w:sz w:val="18"/>
          <w:szCs w:val="18"/>
          <w:lang w:val="en-IE" w:eastAsia="fr-FR"/>
        </w:rPr>
        <w:t>personnel</w:t>
      </w:r>
      <w:r w:rsidRPr="00D403F5">
        <w:rPr>
          <w:rFonts w:ascii="Times New Roman" w:hAnsi="Times New Roman" w:cs="Times New Roman"/>
          <w:sz w:val="18"/>
          <w:szCs w:val="18"/>
          <w:lang w:val="en-IE" w:eastAsia="fr-FR"/>
        </w:rPr>
        <w:t>.</w:t>
      </w:r>
    </w:p>
    <w:p w14:paraId="11BDF9DE" w14:textId="77777777" w:rsidR="00F05D46" w:rsidRPr="00D403F5" w:rsidRDefault="00F05D46" w:rsidP="001041C6">
      <w:pPr>
        <w:spacing w:after="240" w:line="240" w:lineRule="auto"/>
        <w:ind w:left="993"/>
        <w:jc w:val="both"/>
        <w:rPr>
          <w:rFonts w:ascii="Times New Roman" w:hAnsi="Times New Roman" w:cs="Times New Roman"/>
          <w:b/>
          <w:bCs/>
          <w:sz w:val="18"/>
          <w:szCs w:val="18"/>
          <w:lang w:val="en-IE" w:eastAsia="fr-FR"/>
        </w:rPr>
      </w:pPr>
      <w:bookmarkStart w:id="13" w:name="_Hlk20755399"/>
      <w:r w:rsidRPr="00D403F5">
        <w:rPr>
          <w:rFonts w:ascii="Times New Roman" w:hAnsi="Times New Roman" w:cs="Times New Roman"/>
          <w:b/>
          <w:bCs/>
          <w:sz w:val="18"/>
          <w:szCs w:val="18"/>
          <w:lang w:val="en-IE" w:eastAsia="fr-FR"/>
        </w:rPr>
        <w:t xml:space="preserve">Article </w:t>
      </w:r>
      <w:r w:rsidR="004F38AB" w:rsidRPr="00D403F5">
        <w:rPr>
          <w:rFonts w:ascii="Times New Roman" w:hAnsi="Times New Roman" w:cs="Times New Roman"/>
          <w:b/>
          <w:bCs/>
          <w:sz w:val="18"/>
          <w:szCs w:val="18"/>
          <w:lang w:val="en-IE" w:eastAsia="fr-FR"/>
        </w:rPr>
        <w:t>4.X.7</w:t>
      </w:r>
      <w:r w:rsidRPr="00D403F5">
        <w:rPr>
          <w:rFonts w:ascii="Times New Roman" w:hAnsi="Times New Roman" w:cs="Times New Roman"/>
          <w:b/>
          <w:bCs/>
          <w:sz w:val="18"/>
          <w:szCs w:val="18"/>
          <w:lang w:val="en-IE" w:eastAsia="fr-FR"/>
        </w:rPr>
        <w:t>.</w:t>
      </w:r>
      <w:r w:rsidR="00504F49" w:rsidRPr="00D403F5">
        <w:rPr>
          <w:rFonts w:ascii="Times New Roman" w:hAnsi="Times New Roman" w:cs="Times New Roman"/>
          <w:b/>
          <w:bCs/>
          <w:sz w:val="18"/>
          <w:szCs w:val="18"/>
          <w:lang w:val="en-IE" w:eastAsia="fr-FR"/>
        </w:rPr>
        <w:t xml:space="preserve"> Risk Analysis</w:t>
      </w:r>
    </w:p>
    <w:p w14:paraId="7EEEC8A5" w14:textId="77777777" w:rsidR="00D22598" w:rsidRPr="00D403F5" w:rsidRDefault="00D22598" w:rsidP="001041C6">
      <w:pPr>
        <w:spacing w:after="240" w:line="240" w:lineRule="auto"/>
        <w:ind w:left="993"/>
        <w:jc w:val="both"/>
        <w:rPr>
          <w:rFonts w:ascii="Times New Roman" w:hAnsi="Times New Roman" w:cs="Times New Roman"/>
          <w:sz w:val="18"/>
          <w:szCs w:val="18"/>
          <w:lang w:val="en-US"/>
        </w:rPr>
      </w:pPr>
      <w:r w:rsidRPr="00D403F5">
        <w:rPr>
          <w:rFonts w:ascii="Times New Roman" w:hAnsi="Times New Roman" w:cs="Times New Roman"/>
          <w:sz w:val="18"/>
          <w:szCs w:val="18"/>
          <w:lang w:val="en-IE" w:eastAsia="fr-FR"/>
        </w:rPr>
        <w:t xml:space="preserve">The Commission did not agree with a comment requesting that the matrix be included in Chapter 2.1. Import risk analysis, noting that the matrix was developed specifically for this chapter and that interpretation of risk estimates are specific for biosecurity for aquaculture establishments and are, therefore, only relevant to Chapter 4.X. In addition, the Commission confirmed that the principles of risk analysis described in Chapter 2.1. have been applied in this chapter. </w:t>
      </w:r>
    </w:p>
    <w:p w14:paraId="29945303" w14:textId="6CFFE81C" w:rsidR="00D22598" w:rsidRPr="00D403F5" w:rsidRDefault="00D22598" w:rsidP="001041C6">
      <w:pPr>
        <w:spacing w:after="240" w:line="240" w:lineRule="auto"/>
        <w:ind w:left="993"/>
        <w:jc w:val="both"/>
        <w:rPr>
          <w:rFonts w:ascii="Times New Roman" w:hAnsi="Times New Roman" w:cs="Times New Roman"/>
          <w:b/>
          <w:bCs/>
          <w:sz w:val="18"/>
          <w:szCs w:val="18"/>
          <w:u w:val="single"/>
          <w:lang w:val="en-IE" w:eastAsia="fr-FR"/>
        </w:rPr>
      </w:pPr>
      <w:r w:rsidRPr="00D403F5">
        <w:rPr>
          <w:rFonts w:ascii="Times New Roman" w:hAnsi="Times New Roman" w:cs="Times New Roman"/>
          <w:sz w:val="18"/>
          <w:szCs w:val="18"/>
          <w:lang w:val="en-IE" w:eastAsia="fr-FR"/>
        </w:rPr>
        <w:t xml:space="preserve">The Commission agreed with a comment to revise the descriptors for consequence (Table 2) and added </w:t>
      </w:r>
      <w:r w:rsidR="00650A0E" w:rsidRPr="00D403F5">
        <w:rPr>
          <w:rFonts w:ascii="Times New Roman" w:hAnsi="Times New Roman" w:cs="Times New Roman"/>
          <w:sz w:val="18"/>
          <w:szCs w:val="18"/>
          <w:lang w:val="en-IE" w:eastAsia="fr-FR"/>
        </w:rPr>
        <w:t xml:space="preserve">trade and economic </w:t>
      </w:r>
      <w:r w:rsidRPr="00D403F5">
        <w:rPr>
          <w:rFonts w:ascii="Times New Roman" w:hAnsi="Times New Roman" w:cs="Times New Roman"/>
          <w:sz w:val="18"/>
          <w:szCs w:val="18"/>
          <w:lang w:val="en-IE" w:eastAsia="fr-FR"/>
        </w:rPr>
        <w:t xml:space="preserve">impacts at the aquaculture establishment level throughout the table. </w:t>
      </w:r>
    </w:p>
    <w:bookmarkEnd w:id="13"/>
    <w:p w14:paraId="35A19081" w14:textId="77777777" w:rsidR="00F05D46" w:rsidRPr="00D403F5" w:rsidRDefault="00F05D46" w:rsidP="001041C6">
      <w:pPr>
        <w:spacing w:after="240" w:line="240" w:lineRule="auto"/>
        <w:ind w:left="993"/>
        <w:jc w:val="both"/>
        <w:rPr>
          <w:rFonts w:ascii="Times New Roman" w:hAnsi="Times New Roman" w:cs="Times New Roman"/>
          <w:b/>
          <w:bCs/>
          <w:sz w:val="18"/>
          <w:szCs w:val="18"/>
          <w:lang w:val="en-US" w:eastAsia="fr-FR"/>
        </w:rPr>
      </w:pPr>
      <w:r w:rsidRPr="00D403F5">
        <w:rPr>
          <w:rFonts w:ascii="Times New Roman" w:hAnsi="Times New Roman" w:cs="Times New Roman"/>
          <w:b/>
          <w:bCs/>
          <w:sz w:val="18"/>
          <w:szCs w:val="18"/>
          <w:lang w:val="en-IE" w:eastAsia="fr-FR"/>
        </w:rPr>
        <w:t>Article 4.X.</w:t>
      </w:r>
      <w:r w:rsidR="00E80F34" w:rsidRPr="00D403F5">
        <w:rPr>
          <w:rFonts w:ascii="Times New Roman" w:hAnsi="Times New Roman" w:cs="Times New Roman"/>
          <w:b/>
          <w:bCs/>
          <w:sz w:val="18"/>
          <w:szCs w:val="18"/>
          <w:lang w:val="en-IE" w:eastAsia="fr-FR"/>
        </w:rPr>
        <w:t>8</w:t>
      </w:r>
      <w:r w:rsidRPr="00D403F5">
        <w:rPr>
          <w:rFonts w:ascii="Times New Roman" w:hAnsi="Times New Roman" w:cs="Times New Roman"/>
          <w:b/>
          <w:bCs/>
          <w:sz w:val="18"/>
          <w:szCs w:val="18"/>
          <w:lang w:val="en-IE" w:eastAsia="fr-FR"/>
        </w:rPr>
        <w:t>.</w:t>
      </w:r>
      <w:r w:rsidR="00E80F34" w:rsidRPr="00D403F5">
        <w:rPr>
          <w:rFonts w:ascii="Times New Roman" w:hAnsi="Times New Roman" w:cs="Times New Roman"/>
          <w:b/>
          <w:bCs/>
          <w:sz w:val="18"/>
          <w:szCs w:val="18"/>
          <w:lang w:val="en-IE" w:eastAsia="fr-FR"/>
        </w:rPr>
        <w:t xml:space="preserve"> </w:t>
      </w:r>
      <w:r w:rsidR="00504F49" w:rsidRPr="00D403F5">
        <w:rPr>
          <w:rFonts w:ascii="Times New Roman" w:hAnsi="Times New Roman" w:cs="Times New Roman"/>
          <w:b/>
          <w:bCs/>
          <w:sz w:val="18"/>
          <w:szCs w:val="18"/>
          <w:lang w:val="en-IE" w:eastAsia="fr-FR"/>
        </w:rPr>
        <w:t>Biosecurity plan development</w:t>
      </w:r>
    </w:p>
    <w:p w14:paraId="123170B2" w14:textId="77777777" w:rsidR="00F05D46" w:rsidRPr="00D403F5" w:rsidRDefault="00F05D46"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For point 1 </w:t>
      </w:r>
      <w:r w:rsidR="00E80F34" w:rsidRPr="00D403F5">
        <w:rPr>
          <w:rFonts w:ascii="Times New Roman" w:hAnsi="Times New Roman" w:cs="Times New Roman"/>
          <w:sz w:val="18"/>
          <w:szCs w:val="18"/>
          <w:lang w:val="en-IE" w:eastAsia="fr-FR"/>
        </w:rPr>
        <w:t xml:space="preserve">regarding development of a biosecurity plan, </w:t>
      </w:r>
      <w:r w:rsidRPr="00D403F5">
        <w:rPr>
          <w:rFonts w:ascii="Times New Roman" w:hAnsi="Times New Roman" w:cs="Times New Roman"/>
          <w:sz w:val="18"/>
          <w:szCs w:val="18"/>
          <w:lang w:val="en-IE" w:eastAsia="fr-FR"/>
        </w:rPr>
        <w:t xml:space="preserve">the Commission agreed </w:t>
      </w:r>
      <w:r w:rsidR="0038372B" w:rsidRPr="00D403F5">
        <w:rPr>
          <w:rFonts w:ascii="Times New Roman" w:hAnsi="Times New Roman" w:cs="Times New Roman"/>
          <w:sz w:val="18"/>
          <w:szCs w:val="18"/>
          <w:lang w:val="en-IE" w:eastAsia="fr-FR"/>
        </w:rPr>
        <w:t xml:space="preserve">with a comment </w:t>
      </w:r>
      <w:r w:rsidRPr="00D403F5">
        <w:rPr>
          <w:rFonts w:ascii="Times New Roman" w:hAnsi="Times New Roman" w:cs="Times New Roman"/>
          <w:sz w:val="18"/>
          <w:szCs w:val="18"/>
          <w:lang w:val="en-IE" w:eastAsia="fr-FR"/>
        </w:rPr>
        <w:t xml:space="preserve">to add </w:t>
      </w:r>
      <w:r w:rsidR="0038372B" w:rsidRPr="00D403F5">
        <w:rPr>
          <w:rFonts w:ascii="Times New Roman" w:hAnsi="Times New Roman" w:cs="Times New Roman"/>
          <w:sz w:val="18"/>
          <w:szCs w:val="18"/>
          <w:lang w:val="en-IE" w:eastAsia="fr-FR"/>
        </w:rPr>
        <w:t>text</w:t>
      </w:r>
      <w:r w:rsidRPr="00D403F5">
        <w:rPr>
          <w:rFonts w:ascii="Times New Roman" w:hAnsi="Times New Roman" w:cs="Times New Roman"/>
          <w:sz w:val="18"/>
          <w:szCs w:val="18"/>
          <w:lang w:val="en-IE" w:eastAsia="fr-FR"/>
        </w:rPr>
        <w:t xml:space="preserve"> </w:t>
      </w:r>
      <w:r w:rsidR="00D96B10" w:rsidRPr="00D403F5">
        <w:rPr>
          <w:rFonts w:ascii="Times New Roman" w:hAnsi="Times New Roman" w:cs="Times New Roman"/>
          <w:sz w:val="18"/>
          <w:szCs w:val="18"/>
          <w:lang w:val="en-IE" w:eastAsia="fr-FR"/>
        </w:rPr>
        <w:t xml:space="preserve">in points </w:t>
      </w:r>
      <w:r w:rsidR="00F706C2" w:rsidRPr="00D403F5">
        <w:rPr>
          <w:rFonts w:ascii="Times New Roman" w:hAnsi="Times New Roman" w:cs="Times New Roman"/>
          <w:sz w:val="18"/>
          <w:szCs w:val="18"/>
          <w:lang w:val="en-IE" w:eastAsia="fr-FR"/>
        </w:rPr>
        <w:t>(</w:t>
      </w:r>
      <w:r w:rsidR="00D96B10" w:rsidRPr="00D403F5">
        <w:rPr>
          <w:rFonts w:ascii="Times New Roman" w:hAnsi="Times New Roman" w:cs="Times New Roman"/>
          <w:sz w:val="18"/>
          <w:szCs w:val="18"/>
          <w:lang w:val="en-IE" w:eastAsia="fr-FR"/>
        </w:rPr>
        <w:t xml:space="preserve">f) and </w:t>
      </w:r>
      <w:r w:rsidR="00F706C2" w:rsidRPr="00D403F5">
        <w:rPr>
          <w:rFonts w:ascii="Times New Roman" w:hAnsi="Times New Roman" w:cs="Times New Roman"/>
          <w:sz w:val="18"/>
          <w:szCs w:val="18"/>
          <w:lang w:val="en-IE" w:eastAsia="fr-FR"/>
        </w:rPr>
        <w:t>(</w:t>
      </w:r>
      <w:r w:rsidR="00D96B10" w:rsidRPr="00D403F5">
        <w:rPr>
          <w:rFonts w:ascii="Times New Roman" w:hAnsi="Times New Roman" w:cs="Times New Roman"/>
          <w:sz w:val="18"/>
          <w:szCs w:val="18"/>
          <w:lang w:val="en-IE" w:eastAsia="fr-FR"/>
        </w:rPr>
        <w:t xml:space="preserve">g) </w:t>
      </w:r>
      <w:r w:rsidRPr="00D403F5">
        <w:rPr>
          <w:rFonts w:ascii="Times New Roman" w:hAnsi="Times New Roman" w:cs="Times New Roman"/>
          <w:sz w:val="18"/>
          <w:szCs w:val="18"/>
          <w:lang w:val="en-IE" w:eastAsia="fr-FR"/>
        </w:rPr>
        <w:t xml:space="preserve">to </w:t>
      </w:r>
      <w:r w:rsidR="00E80F34" w:rsidRPr="00D403F5">
        <w:rPr>
          <w:rFonts w:ascii="Times New Roman" w:hAnsi="Times New Roman" w:cs="Times New Roman"/>
          <w:sz w:val="18"/>
          <w:szCs w:val="18"/>
          <w:lang w:val="en-IE" w:eastAsia="fr-FR"/>
        </w:rPr>
        <w:t>include</w:t>
      </w:r>
      <w:r w:rsidRPr="00D403F5">
        <w:rPr>
          <w:rFonts w:ascii="Times New Roman" w:hAnsi="Times New Roman" w:cs="Times New Roman"/>
          <w:sz w:val="18"/>
          <w:szCs w:val="18"/>
          <w:lang w:val="en-IE" w:eastAsia="fr-FR"/>
        </w:rPr>
        <w:t xml:space="preserve"> examples of emergency procedures in the event of a biosecurity failure and documentation of essential contact information. </w:t>
      </w:r>
    </w:p>
    <w:p w14:paraId="0DBD0940" w14:textId="0BFDACC8" w:rsidR="00F05D46" w:rsidRPr="00D403F5" w:rsidRDefault="00F05D46"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For point 2 </w:t>
      </w:r>
      <w:r w:rsidR="00D96B10" w:rsidRPr="00D403F5">
        <w:rPr>
          <w:rFonts w:ascii="Times New Roman" w:hAnsi="Times New Roman" w:cs="Times New Roman"/>
          <w:sz w:val="18"/>
          <w:szCs w:val="18"/>
          <w:lang w:val="en-IE" w:eastAsia="fr-FR"/>
        </w:rPr>
        <w:t xml:space="preserve">regarding key components of a biosecurity plan, </w:t>
      </w:r>
      <w:r w:rsidRPr="00D403F5">
        <w:rPr>
          <w:rFonts w:ascii="Times New Roman" w:hAnsi="Times New Roman" w:cs="Times New Roman"/>
          <w:sz w:val="18"/>
          <w:szCs w:val="18"/>
          <w:lang w:val="en-IE" w:eastAsia="fr-FR"/>
        </w:rPr>
        <w:t xml:space="preserve">the Commission </w:t>
      </w:r>
      <w:r w:rsidR="00D96B10" w:rsidRPr="00D403F5">
        <w:rPr>
          <w:rFonts w:ascii="Times New Roman" w:hAnsi="Times New Roman" w:cs="Times New Roman"/>
          <w:sz w:val="18"/>
          <w:szCs w:val="18"/>
          <w:lang w:val="en-IE" w:eastAsia="fr-FR"/>
        </w:rPr>
        <w:t xml:space="preserve">did not </w:t>
      </w:r>
      <w:r w:rsidR="0038372B" w:rsidRPr="00D403F5">
        <w:rPr>
          <w:rFonts w:ascii="Times New Roman" w:hAnsi="Times New Roman" w:cs="Times New Roman"/>
          <w:sz w:val="18"/>
          <w:szCs w:val="18"/>
          <w:lang w:val="en-IE" w:eastAsia="fr-FR"/>
        </w:rPr>
        <w:t xml:space="preserve">agree </w:t>
      </w:r>
      <w:r w:rsidRPr="00D403F5">
        <w:rPr>
          <w:rFonts w:ascii="Times New Roman" w:hAnsi="Times New Roman" w:cs="Times New Roman"/>
          <w:sz w:val="18"/>
          <w:szCs w:val="18"/>
          <w:lang w:val="en-IE" w:eastAsia="fr-FR"/>
        </w:rPr>
        <w:t xml:space="preserve">to clarify the term </w:t>
      </w:r>
      <w:r w:rsidR="00D9466B" w:rsidRPr="00D403F5">
        <w:rPr>
          <w:rFonts w:ascii="Times New Roman" w:hAnsi="Times New Roman" w:cs="Times New Roman"/>
          <w:sz w:val="18"/>
          <w:szCs w:val="18"/>
          <w:lang w:val="en-IE" w:eastAsia="fr-FR"/>
        </w:rPr>
        <w:t>’</w:t>
      </w:r>
      <w:r w:rsidRPr="00D403F5">
        <w:rPr>
          <w:rFonts w:ascii="Times New Roman" w:hAnsi="Times New Roman" w:cs="Times New Roman"/>
          <w:sz w:val="18"/>
          <w:szCs w:val="18"/>
          <w:lang w:val="en-IE" w:eastAsia="fr-FR"/>
        </w:rPr>
        <w:t>escapee</w:t>
      </w:r>
      <w:r w:rsidR="00D9466B" w:rsidRPr="00D403F5">
        <w:rPr>
          <w:rFonts w:ascii="Times New Roman" w:hAnsi="Times New Roman" w:cs="Times New Roman"/>
          <w:sz w:val="18"/>
          <w:szCs w:val="18"/>
          <w:lang w:val="en-IE" w:eastAsia="fr-FR"/>
        </w:rPr>
        <w:t>‘</w:t>
      </w:r>
      <w:r w:rsidR="003F6A96" w:rsidRPr="00D403F5">
        <w:rPr>
          <w:rFonts w:ascii="Times New Roman" w:hAnsi="Times New Roman" w:cs="Times New Roman"/>
          <w:sz w:val="18"/>
          <w:szCs w:val="18"/>
          <w:lang w:val="en-IE" w:eastAsia="fr-FR"/>
        </w:rPr>
        <w:t xml:space="preserve"> </w:t>
      </w:r>
      <w:r w:rsidRPr="00D403F5">
        <w:rPr>
          <w:rFonts w:ascii="Times New Roman" w:hAnsi="Times New Roman" w:cs="Times New Roman"/>
          <w:sz w:val="18"/>
          <w:szCs w:val="18"/>
          <w:lang w:val="en-IE" w:eastAsia="fr-FR"/>
        </w:rPr>
        <w:t xml:space="preserve">as they considered this term to be </w:t>
      </w:r>
      <w:r w:rsidR="00D22598" w:rsidRPr="00D403F5">
        <w:rPr>
          <w:rFonts w:ascii="Times New Roman" w:hAnsi="Times New Roman" w:cs="Times New Roman"/>
          <w:sz w:val="18"/>
          <w:szCs w:val="18"/>
          <w:lang w:val="en-IE" w:eastAsia="fr-FR"/>
        </w:rPr>
        <w:t xml:space="preserve">widely </w:t>
      </w:r>
      <w:r w:rsidRPr="00D403F5">
        <w:rPr>
          <w:rFonts w:ascii="Times New Roman" w:hAnsi="Times New Roman" w:cs="Times New Roman"/>
          <w:sz w:val="18"/>
          <w:szCs w:val="18"/>
          <w:lang w:val="en-IE" w:eastAsia="fr-FR"/>
        </w:rPr>
        <w:t>understood.</w:t>
      </w:r>
    </w:p>
    <w:p w14:paraId="281892A6" w14:textId="0D23D366" w:rsidR="00571C64" w:rsidRPr="00D403F5" w:rsidRDefault="00F05D46"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lang w:val="en-IE" w:eastAsia="fr-FR"/>
        </w:rPr>
        <w:t>The revised Chapter 4.X</w:t>
      </w:r>
      <w:r w:rsidR="00504F49" w:rsidRPr="00D403F5">
        <w:rPr>
          <w:rFonts w:ascii="Times New Roman" w:hAnsi="Times New Roman" w:cs="Times New Roman"/>
          <w:sz w:val="18"/>
          <w:szCs w:val="18"/>
          <w:lang w:val="en-IE" w:eastAsia="fr-FR"/>
        </w:rPr>
        <w:t>.</w:t>
      </w:r>
      <w:r w:rsidRPr="00D403F5">
        <w:rPr>
          <w:rFonts w:ascii="Times New Roman" w:hAnsi="Times New Roman" w:cs="Times New Roman"/>
          <w:sz w:val="18"/>
          <w:szCs w:val="18"/>
          <w:lang w:val="en-IE" w:eastAsia="fr-FR"/>
        </w:rPr>
        <w:t xml:space="preserve"> Biosecurity for Aquaculture Establishments is presented </w:t>
      </w:r>
      <w:r w:rsidR="009D3364" w:rsidRPr="00D403F5">
        <w:rPr>
          <w:rFonts w:ascii="Times New Roman" w:hAnsi="Times New Roman" w:cs="Times New Roman"/>
          <w:sz w:val="18"/>
          <w:szCs w:val="18"/>
          <w:lang w:val="en-IE" w:eastAsia="fr-FR"/>
        </w:rPr>
        <w:t xml:space="preserve">as </w:t>
      </w:r>
      <w:r w:rsidRPr="00D403F5">
        <w:rPr>
          <w:rFonts w:ascii="Times New Roman" w:hAnsi="Times New Roman" w:cs="Times New Roman"/>
          <w:sz w:val="18"/>
          <w:szCs w:val="18"/>
          <w:u w:val="single"/>
          <w:lang w:val="en-IE" w:eastAsia="fr-FR"/>
        </w:rPr>
        <w:t xml:space="preserve">Annex </w:t>
      </w:r>
      <w:r w:rsidR="00E230FF" w:rsidRPr="00D403F5">
        <w:rPr>
          <w:rFonts w:ascii="Times New Roman" w:hAnsi="Times New Roman" w:cs="Times New Roman"/>
          <w:sz w:val="18"/>
          <w:szCs w:val="18"/>
          <w:u w:val="single"/>
          <w:lang w:val="en-IE" w:eastAsia="fr-FR"/>
        </w:rPr>
        <w:t>3 A</w:t>
      </w:r>
      <w:r w:rsidR="00E230FF" w:rsidRPr="00D403F5">
        <w:rPr>
          <w:rFonts w:ascii="Times New Roman" w:hAnsi="Times New Roman" w:cs="Times New Roman"/>
          <w:sz w:val="18"/>
          <w:szCs w:val="18"/>
          <w:lang w:val="en-IE" w:eastAsia="fr-FR"/>
        </w:rPr>
        <w:t xml:space="preserve"> </w:t>
      </w:r>
      <w:r w:rsidR="006957B7" w:rsidRPr="00D403F5">
        <w:rPr>
          <w:rFonts w:ascii="Times New Roman" w:hAnsi="Times New Roman" w:cs="Times New Roman"/>
          <w:sz w:val="18"/>
          <w:szCs w:val="18"/>
        </w:rPr>
        <w:t>(clean</w:t>
      </w:r>
      <w:r w:rsidR="00571C64" w:rsidRPr="00D403F5">
        <w:rPr>
          <w:rFonts w:ascii="Times New Roman" w:hAnsi="Times New Roman" w:cs="Times New Roman"/>
          <w:sz w:val="18"/>
          <w:szCs w:val="18"/>
        </w:rPr>
        <w:t xml:space="preserve"> text</w:t>
      </w:r>
      <w:r w:rsidR="006957B7" w:rsidRPr="00D403F5">
        <w:rPr>
          <w:rFonts w:ascii="Times New Roman" w:hAnsi="Times New Roman" w:cs="Times New Roman"/>
          <w:sz w:val="18"/>
          <w:szCs w:val="18"/>
        </w:rPr>
        <w:t xml:space="preserve">) and </w:t>
      </w:r>
      <w:r w:rsidR="006957B7" w:rsidRPr="00D403F5">
        <w:rPr>
          <w:rFonts w:ascii="Times New Roman" w:hAnsi="Times New Roman" w:cs="Times New Roman"/>
          <w:sz w:val="18"/>
          <w:szCs w:val="18"/>
          <w:u w:val="single"/>
        </w:rPr>
        <w:t xml:space="preserve">Annex </w:t>
      </w:r>
      <w:r w:rsidR="00E230FF" w:rsidRPr="00D403F5">
        <w:rPr>
          <w:rFonts w:ascii="Times New Roman" w:hAnsi="Times New Roman" w:cs="Times New Roman"/>
          <w:sz w:val="18"/>
          <w:szCs w:val="18"/>
          <w:u w:val="single"/>
        </w:rPr>
        <w:t>3 B</w:t>
      </w:r>
      <w:r w:rsidR="00E230FF" w:rsidRPr="00D403F5">
        <w:rPr>
          <w:rFonts w:ascii="Times New Roman" w:hAnsi="Times New Roman" w:cs="Times New Roman"/>
          <w:sz w:val="18"/>
          <w:szCs w:val="18"/>
        </w:rPr>
        <w:t xml:space="preserve"> </w:t>
      </w:r>
      <w:r w:rsidR="006957B7" w:rsidRPr="00D403F5">
        <w:rPr>
          <w:rFonts w:ascii="Times New Roman" w:hAnsi="Times New Roman" w:cs="Times New Roman"/>
          <w:sz w:val="18"/>
          <w:szCs w:val="18"/>
        </w:rPr>
        <w:t>(track changes)</w:t>
      </w:r>
      <w:r w:rsidR="00444A59" w:rsidRPr="00D403F5">
        <w:rPr>
          <w:rFonts w:ascii="Times New Roman" w:hAnsi="Times New Roman" w:cs="Times New Roman"/>
          <w:sz w:val="18"/>
          <w:szCs w:val="18"/>
        </w:rPr>
        <w:t xml:space="preserve">, </w:t>
      </w:r>
      <w:r w:rsidR="00571C64" w:rsidRPr="00D403F5">
        <w:rPr>
          <w:rFonts w:ascii="Times New Roman" w:hAnsi="Times New Roman" w:cs="Times New Roman"/>
          <w:sz w:val="18"/>
          <w:szCs w:val="18"/>
        </w:rPr>
        <w:t xml:space="preserve">respectively for Member comments and </w:t>
      </w:r>
      <w:r w:rsidR="00FB4929" w:rsidRPr="00D403F5">
        <w:rPr>
          <w:rFonts w:ascii="Times New Roman" w:hAnsi="Times New Roman" w:cs="Times New Roman"/>
          <w:sz w:val="18"/>
          <w:szCs w:val="18"/>
        </w:rPr>
        <w:t>is intended to be</w:t>
      </w:r>
      <w:r w:rsidR="00571C64" w:rsidRPr="00D403F5">
        <w:rPr>
          <w:rFonts w:ascii="Times New Roman" w:hAnsi="Times New Roman" w:cs="Times New Roman"/>
          <w:sz w:val="18"/>
          <w:szCs w:val="18"/>
        </w:rPr>
        <w:t xml:space="preserve"> proposed for adoption at the 88th General Session in May 2020. </w:t>
      </w:r>
    </w:p>
    <w:p w14:paraId="26816B78" w14:textId="6B34ECE4" w:rsidR="00AC5582" w:rsidRPr="00D403F5" w:rsidRDefault="001865CC" w:rsidP="001041C6">
      <w:pPr>
        <w:spacing w:after="240" w:line="240" w:lineRule="auto"/>
        <w:ind w:left="993" w:hanging="567"/>
        <w:jc w:val="both"/>
        <w:rPr>
          <w:rFonts w:ascii="Times New Roman" w:hAnsi="Times New Roman" w:cs="Times New Roman"/>
          <w:b/>
          <w:bCs/>
          <w:sz w:val="18"/>
          <w:szCs w:val="18"/>
        </w:rPr>
      </w:pPr>
      <w:bookmarkStart w:id="14" w:name="_Hlk23161125"/>
      <w:r w:rsidRPr="00D403F5">
        <w:rPr>
          <w:rFonts w:ascii="Times New Roman" w:eastAsia="MS Mincho" w:hAnsi="Times New Roman" w:cs="Times New Roman"/>
          <w:b/>
          <w:bCs/>
          <w:sz w:val="18"/>
          <w:szCs w:val="18"/>
          <w:lang w:val="en-IE" w:eastAsia="ja-JP"/>
        </w:rPr>
        <w:t>6</w:t>
      </w:r>
      <w:r w:rsidR="006C62A1" w:rsidRPr="00D403F5">
        <w:rPr>
          <w:rFonts w:ascii="Times New Roman" w:eastAsia="MS Mincho" w:hAnsi="Times New Roman" w:cs="Times New Roman"/>
          <w:b/>
          <w:bCs/>
          <w:sz w:val="18"/>
          <w:szCs w:val="18"/>
          <w:lang w:val="en-IE" w:eastAsia="ja-JP"/>
        </w:rPr>
        <w:t>.2.</w:t>
      </w:r>
      <w:r w:rsidR="006C62A1" w:rsidRPr="00D403F5">
        <w:rPr>
          <w:rFonts w:ascii="Times New Roman" w:eastAsia="MS Mincho" w:hAnsi="Times New Roman" w:cs="Times New Roman"/>
          <w:b/>
          <w:bCs/>
          <w:sz w:val="18"/>
          <w:szCs w:val="18"/>
          <w:lang w:val="en-IE" w:eastAsia="ja-JP"/>
        </w:rPr>
        <w:tab/>
      </w:r>
      <w:r w:rsidR="00AC5582" w:rsidRPr="00D403F5">
        <w:rPr>
          <w:rFonts w:ascii="Times New Roman" w:eastAsia="MS Mincho" w:hAnsi="Times New Roman" w:cs="Times New Roman"/>
          <w:b/>
          <w:bCs/>
          <w:sz w:val="18"/>
          <w:szCs w:val="18"/>
          <w:lang w:val="en-IE" w:eastAsia="ja-JP"/>
        </w:rPr>
        <w:t xml:space="preserve">Revised Article 1.3.3. of Chapter 1.3. Diseases listed by the OIE </w:t>
      </w:r>
    </w:p>
    <w:p w14:paraId="04F64AF2" w14:textId="4ADB1801" w:rsidR="006C62A1" w:rsidRPr="00D403F5" w:rsidRDefault="00A06C09" w:rsidP="001041C6">
      <w:pPr>
        <w:spacing w:after="240" w:line="240" w:lineRule="auto"/>
        <w:ind w:left="993"/>
        <w:jc w:val="both"/>
        <w:rPr>
          <w:rFonts w:ascii="Times New Roman" w:eastAsia="MS Mincho" w:hAnsi="Times New Roman" w:cs="Times New Roman"/>
          <w:b/>
          <w:bCs/>
          <w:sz w:val="18"/>
          <w:szCs w:val="18"/>
          <w:lang w:val="en-IE" w:eastAsia="ja-JP"/>
        </w:rPr>
      </w:pPr>
      <w:r w:rsidRPr="00D403F5">
        <w:rPr>
          <w:rFonts w:ascii="Times New Roman" w:eastAsia="MS Mincho" w:hAnsi="Times New Roman" w:cs="Times New Roman"/>
          <w:b/>
          <w:bCs/>
          <w:sz w:val="18"/>
          <w:szCs w:val="18"/>
          <w:lang w:val="en-IE" w:eastAsia="ja-JP"/>
        </w:rPr>
        <w:t>A</w:t>
      </w:r>
      <w:r w:rsidR="006C62A1" w:rsidRPr="00D403F5">
        <w:rPr>
          <w:rFonts w:ascii="Times New Roman" w:eastAsia="MS Mincho" w:hAnsi="Times New Roman" w:cs="Times New Roman"/>
          <w:b/>
          <w:bCs/>
          <w:sz w:val="18"/>
          <w:szCs w:val="18"/>
          <w:lang w:val="en-IE" w:eastAsia="ja-JP"/>
        </w:rPr>
        <w:t xml:space="preserve">ssessment </w:t>
      </w:r>
      <w:r w:rsidRPr="00D403F5">
        <w:rPr>
          <w:rFonts w:ascii="Times New Roman" w:eastAsia="MS Mincho" w:hAnsi="Times New Roman" w:cs="Times New Roman"/>
          <w:b/>
          <w:bCs/>
          <w:sz w:val="18"/>
          <w:szCs w:val="18"/>
          <w:lang w:val="en-IE" w:eastAsia="ja-JP"/>
        </w:rPr>
        <w:t xml:space="preserve">of </w:t>
      </w:r>
      <w:r w:rsidR="00612AF2" w:rsidRPr="00D403F5">
        <w:rPr>
          <w:rFonts w:ascii="Times New Roman" w:eastAsia="MS Mincho" w:hAnsi="Times New Roman" w:cs="Times New Roman"/>
          <w:b/>
          <w:bCs/>
          <w:sz w:val="18"/>
          <w:szCs w:val="18"/>
          <w:lang w:val="en-IE" w:eastAsia="ja-JP"/>
        </w:rPr>
        <w:t>i</w:t>
      </w:r>
      <w:r w:rsidR="00612AF2" w:rsidRPr="00D403F5">
        <w:rPr>
          <w:rFonts w:ascii="Times New Roman" w:hAnsi="Times New Roman" w:cs="Times New Roman"/>
          <w:b/>
          <w:bCs/>
          <w:sz w:val="18"/>
          <w:szCs w:val="18"/>
          <w:lang w:val="en-US"/>
        </w:rPr>
        <w:t xml:space="preserve">nfection with Decapod iridescent virus-1 (DIV1) (previously named </w:t>
      </w:r>
      <w:r w:rsidRPr="00D403F5">
        <w:rPr>
          <w:rFonts w:ascii="Times New Roman" w:eastAsia="MS Mincho" w:hAnsi="Times New Roman" w:cs="Times New Roman"/>
          <w:b/>
          <w:bCs/>
          <w:sz w:val="18"/>
          <w:szCs w:val="18"/>
          <w:lang w:val="en-IE" w:eastAsia="ja-JP"/>
        </w:rPr>
        <w:t>infection with shrimp haemocyte iridescent virus</w:t>
      </w:r>
      <w:r w:rsidR="00612AF2" w:rsidRPr="00D403F5">
        <w:rPr>
          <w:rFonts w:ascii="Times New Roman" w:eastAsia="MS Mincho" w:hAnsi="Times New Roman" w:cs="Times New Roman"/>
          <w:b/>
          <w:bCs/>
          <w:sz w:val="18"/>
          <w:szCs w:val="18"/>
          <w:lang w:val="en-IE" w:eastAsia="ja-JP"/>
        </w:rPr>
        <w:t xml:space="preserve">) </w:t>
      </w:r>
    </w:p>
    <w:p w14:paraId="77A5CDB3" w14:textId="77777777" w:rsidR="003E791E" w:rsidRPr="00D403F5" w:rsidRDefault="003E791E"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Comments were received from Australia, Canada, China (People’s Rep. of), Chinese Taipei, New Zealand, Thailand and </w:t>
      </w:r>
      <w:r w:rsidR="00A06C09" w:rsidRPr="00D403F5">
        <w:rPr>
          <w:rFonts w:ascii="Times New Roman" w:hAnsi="Times New Roman" w:cs="Times New Roman"/>
          <w:sz w:val="18"/>
          <w:szCs w:val="18"/>
        </w:rPr>
        <w:t xml:space="preserve">the </w:t>
      </w:r>
      <w:r w:rsidRPr="00D403F5">
        <w:rPr>
          <w:rFonts w:ascii="Times New Roman" w:hAnsi="Times New Roman" w:cs="Times New Roman"/>
          <w:sz w:val="18"/>
          <w:szCs w:val="18"/>
        </w:rPr>
        <w:t>USA.</w:t>
      </w:r>
    </w:p>
    <w:p w14:paraId="2ED1372D" w14:textId="77777777" w:rsidR="00B63342" w:rsidRPr="00D403F5" w:rsidRDefault="00A06C09" w:rsidP="001041C6">
      <w:pPr>
        <w:spacing w:after="240" w:line="240" w:lineRule="auto"/>
        <w:ind w:left="993"/>
        <w:jc w:val="both"/>
        <w:rPr>
          <w:rFonts w:ascii="Times New Roman" w:hAnsi="Times New Roman" w:cs="Times New Roman"/>
          <w:sz w:val="18"/>
          <w:szCs w:val="18"/>
          <w:lang w:val="en-US"/>
        </w:rPr>
      </w:pPr>
      <w:r w:rsidRPr="00D403F5">
        <w:rPr>
          <w:rFonts w:ascii="Times New Roman" w:hAnsi="Times New Roman" w:cs="Times New Roman"/>
          <w:sz w:val="18"/>
          <w:szCs w:val="18"/>
          <w:lang w:val="en-US"/>
        </w:rPr>
        <w:t>T</w:t>
      </w:r>
      <w:r w:rsidR="00280BA3" w:rsidRPr="00D403F5">
        <w:rPr>
          <w:rFonts w:ascii="Times New Roman" w:hAnsi="Times New Roman" w:cs="Times New Roman"/>
          <w:sz w:val="18"/>
          <w:szCs w:val="18"/>
          <w:lang w:val="en-US"/>
        </w:rPr>
        <w:t>he Commission</w:t>
      </w:r>
      <w:r w:rsidRPr="00D403F5">
        <w:rPr>
          <w:rFonts w:ascii="Times New Roman" w:hAnsi="Times New Roman" w:cs="Times New Roman"/>
          <w:sz w:val="18"/>
          <w:szCs w:val="18"/>
          <w:lang w:val="en-US"/>
        </w:rPr>
        <w:t xml:space="preserve">, at its February 2019 meeting, </w:t>
      </w:r>
      <w:r w:rsidR="00280BA3" w:rsidRPr="00D403F5">
        <w:rPr>
          <w:rFonts w:ascii="Times New Roman" w:hAnsi="Times New Roman" w:cs="Times New Roman"/>
          <w:sz w:val="18"/>
          <w:szCs w:val="18"/>
          <w:lang w:val="en-US"/>
        </w:rPr>
        <w:t xml:space="preserve">assessed </w:t>
      </w:r>
      <w:r w:rsidRPr="00D403F5">
        <w:rPr>
          <w:rFonts w:ascii="Times New Roman" w:hAnsi="Times New Roman" w:cs="Times New Roman"/>
          <w:sz w:val="18"/>
          <w:szCs w:val="18"/>
          <w:lang w:val="en-US"/>
        </w:rPr>
        <w:t>infection with s</w:t>
      </w:r>
      <w:r w:rsidR="00280BA3" w:rsidRPr="00D403F5">
        <w:rPr>
          <w:rFonts w:ascii="Times New Roman" w:hAnsi="Times New Roman" w:cs="Times New Roman"/>
          <w:sz w:val="18"/>
          <w:szCs w:val="18"/>
          <w:lang w:val="en-US"/>
        </w:rPr>
        <w:t xml:space="preserve">hrimp haemocyte iridescent virus (SHIV) against the criteria for listing aquatic animal diseases in Article 1.2.2. and agreed that </w:t>
      </w:r>
      <w:r w:rsidR="000F3FA4" w:rsidRPr="00D403F5">
        <w:rPr>
          <w:rFonts w:ascii="Times New Roman" w:hAnsi="Times New Roman" w:cs="Times New Roman"/>
          <w:sz w:val="18"/>
          <w:szCs w:val="18"/>
          <w:lang w:val="en-US"/>
        </w:rPr>
        <w:t xml:space="preserve">infection with </w:t>
      </w:r>
      <w:r w:rsidR="00280BA3" w:rsidRPr="00D403F5">
        <w:rPr>
          <w:rFonts w:ascii="Times New Roman" w:hAnsi="Times New Roman" w:cs="Times New Roman"/>
          <w:sz w:val="18"/>
          <w:szCs w:val="18"/>
          <w:lang w:val="en-US"/>
        </w:rPr>
        <w:t>SHIV meets the OIE criteria for listing</w:t>
      </w:r>
      <w:r w:rsidR="00B63342" w:rsidRPr="00D403F5">
        <w:rPr>
          <w:rFonts w:ascii="Times New Roman" w:hAnsi="Times New Roman" w:cs="Times New Roman"/>
          <w:sz w:val="18"/>
          <w:szCs w:val="18"/>
          <w:lang w:val="en-US"/>
        </w:rPr>
        <w:t xml:space="preserve"> and should be added to Article 1.3.3</w:t>
      </w:r>
      <w:r w:rsidR="000F3FA4" w:rsidRPr="00D403F5">
        <w:rPr>
          <w:rFonts w:ascii="Times New Roman" w:hAnsi="Times New Roman" w:cs="Times New Roman"/>
          <w:sz w:val="18"/>
          <w:szCs w:val="18"/>
          <w:lang w:val="en-US"/>
        </w:rPr>
        <w:t>.</w:t>
      </w:r>
      <w:r w:rsidR="00B63342" w:rsidRPr="00D403F5">
        <w:rPr>
          <w:rFonts w:ascii="Times New Roman" w:hAnsi="Times New Roman" w:cs="Times New Roman"/>
          <w:sz w:val="18"/>
          <w:szCs w:val="18"/>
          <w:lang w:val="en-US"/>
        </w:rPr>
        <w:t xml:space="preserve"> diseases of crustaceans listed by the OIE.</w:t>
      </w:r>
    </w:p>
    <w:p w14:paraId="2B3E8999" w14:textId="77777777" w:rsidR="00280BA3" w:rsidRPr="00D403F5" w:rsidRDefault="00280BA3" w:rsidP="001041C6">
      <w:pPr>
        <w:spacing w:after="240" w:line="240" w:lineRule="auto"/>
        <w:ind w:left="993"/>
        <w:jc w:val="both"/>
        <w:rPr>
          <w:rFonts w:ascii="Times New Roman" w:hAnsi="Times New Roman" w:cs="Times New Roman"/>
          <w:sz w:val="18"/>
          <w:szCs w:val="18"/>
          <w:lang w:val="en-US"/>
        </w:rPr>
      </w:pPr>
      <w:r w:rsidRPr="00D403F5">
        <w:rPr>
          <w:rFonts w:ascii="Times New Roman" w:hAnsi="Times New Roman" w:cs="Times New Roman"/>
          <w:sz w:val="18"/>
          <w:szCs w:val="18"/>
          <w:lang w:val="en-US"/>
        </w:rPr>
        <w:t xml:space="preserve">The Commission reviewed Member comments </w:t>
      </w:r>
      <w:r w:rsidR="00B63342" w:rsidRPr="00D403F5">
        <w:rPr>
          <w:rFonts w:ascii="Times New Roman" w:hAnsi="Times New Roman" w:cs="Times New Roman"/>
          <w:sz w:val="18"/>
          <w:szCs w:val="18"/>
          <w:lang w:val="en-US"/>
        </w:rPr>
        <w:t xml:space="preserve">received </w:t>
      </w:r>
      <w:r w:rsidRPr="00D403F5">
        <w:rPr>
          <w:rFonts w:ascii="Times New Roman" w:hAnsi="Times New Roman" w:cs="Times New Roman"/>
          <w:sz w:val="18"/>
          <w:szCs w:val="18"/>
          <w:lang w:val="en-US"/>
        </w:rPr>
        <w:t>regarding the assessment.</w:t>
      </w:r>
    </w:p>
    <w:p w14:paraId="28B596FD" w14:textId="77777777" w:rsidR="00E670D6" w:rsidRPr="00D403F5" w:rsidRDefault="00F77100"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lang w:val="en-US"/>
        </w:rPr>
        <w:t xml:space="preserve">The Commission agreed </w:t>
      </w:r>
      <w:r w:rsidR="00D9466B" w:rsidRPr="00D403F5">
        <w:rPr>
          <w:rFonts w:ascii="Times New Roman" w:hAnsi="Times New Roman" w:cs="Times New Roman"/>
          <w:sz w:val="18"/>
          <w:szCs w:val="18"/>
          <w:lang w:val="en-US"/>
        </w:rPr>
        <w:t xml:space="preserve">with comments </w:t>
      </w:r>
      <w:r w:rsidR="00B63342" w:rsidRPr="00D403F5">
        <w:rPr>
          <w:rFonts w:ascii="Times New Roman" w:hAnsi="Times New Roman" w:cs="Times New Roman"/>
          <w:sz w:val="18"/>
          <w:szCs w:val="18"/>
          <w:lang w:val="en-US"/>
        </w:rPr>
        <w:t xml:space="preserve">that the </w:t>
      </w:r>
      <w:r w:rsidR="00602AAB" w:rsidRPr="00D403F5">
        <w:rPr>
          <w:rFonts w:ascii="Times New Roman" w:hAnsi="Times New Roman" w:cs="Times New Roman"/>
          <w:sz w:val="18"/>
          <w:szCs w:val="18"/>
          <w:lang w:val="en-US"/>
        </w:rPr>
        <w:t xml:space="preserve">name </w:t>
      </w:r>
      <w:r w:rsidR="00B63342" w:rsidRPr="00D403F5">
        <w:rPr>
          <w:rFonts w:ascii="Times New Roman" w:hAnsi="Times New Roman" w:cs="Times New Roman"/>
          <w:sz w:val="18"/>
          <w:szCs w:val="18"/>
          <w:lang w:val="en-US"/>
        </w:rPr>
        <w:t xml:space="preserve">of </w:t>
      </w:r>
      <w:r w:rsidR="00602AAB" w:rsidRPr="00D403F5">
        <w:rPr>
          <w:rFonts w:ascii="Times New Roman" w:hAnsi="Times New Roman" w:cs="Times New Roman"/>
          <w:sz w:val="18"/>
          <w:szCs w:val="18"/>
          <w:lang w:val="en-US"/>
        </w:rPr>
        <w:t>the disease</w:t>
      </w:r>
      <w:r w:rsidR="00B63342" w:rsidRPr="00D403F5">
        <w:rPr>
          <w:rFonts w:ascii="Times New Roman" w:hAnsi="Times New Roman" w:cs="Times New Roman"/>
          <w:sz w:val="18"/>
          <w:szCs w:val="18"/>
          <w:lang w:val="en-US"/>
        </w:rPr>
        <w:t xml:space="preserve"> should be changed to </w:t>
      </w:r>
      <w:r w:rsidR="00602AAB" w:rsidRPr="00D403F5">
        <w:rPr>
          <w:rFonts w:ascii="Times New Roman" w:hAnsi="Times New Roman" w:cs="Times New Roman"/>
          <w:sz w:val="18"/>
          <w:szCs w:val="18"/>
          <w:lang w:val="en-US"/>
        </w:rPr>
        <w:t>‘</w:t>
      </w:r>
      <w:r w:rsidR="000671DF" w:rsidRPr="00D403F5">
        <w:rPr>
          <w:rFonts w:ascii="Times New Roman" w:hAnsi="Times New Roman" w:cs="Times New Roman"/>
          <w:sz w:val="18"/>
          <w:szCs w:val="18"/>
          <w:lang w:val="en-US"/>
        </w:rPr>
        <w:t>I</w:t>
      </w:r>
      <w:r w:rsidR="00602AAB" w:rsidRPr="00D403F5">
        <w:rPr>
          <w:rFonts w:ascii="Times New Roman" w:hAnsi="Times New Roman" w:cs="Times New Roman"/>
          <w:sz w:val="18"/>
          <w:szCs w:val="18"/>
          <w:lang w:val="en-US"/>
        </w:rPr>
        <w:t>nfection with Decapod iridescent virus-1 (DIV1)</w:t>
      </w:r>
      <w:r w:rsidR="000671DF" w:rsidRPr="00D403F5">
        <w:rPr>
          <w:rFonts w:ascii="Times New Roman" w:hAnsi="Times New Roman" w:cs="Times New Roman"/>
          <w:sz w:val="18"/>
          <w:szCs w:val="18"/>
          <w:lang w:val="en-US"/>
        </w:rPr>
        <w:t>’</w:t>
      </w:r>
      <w:r w:rsidR="00602AAB" w:rsidRPr="00D403F5">
        <w:rPr>
          <w:rFonts w:ascii="Times New Roman" w:hAnsi="Times New Roman" w:cs="Times New Roman"/>
          <w:sz w:val="18"/>
          <w:szCs w:val="18"/>
          <w:lang w:val="en-US"/>
        </w:rPr>
        <w:t xml:space="preserve"> in accordance with the classification </w:t>
      </w:r>
      <w:r w:rsidR="00B63342" w:rsidRPr="00D403F5">
        <w:rPr>
          <w:rFonts w:ascii="Times New Roman" w:hAnsi="Times New Roman" w:cs="Times New Roman"/>
          <w:sz w:val="18"/>
          <w:szCs w:val="18"/>
          <w:lang w:val="en-US"/>
        </w:rPr>
        <w:t xml:space="preserve">of the pathogenic agent </w:t>
      </w:r>
      <w:r w:rsidR="00602AAB" w:rsidRPr="00D403F5">
        <w:rPr>
          <w:rFonts w:ascii="Times New Roman" w:hAnsi="Times New Roman" w:cs="Times New Roman"/>
          <w:sz w:val="18"/>
          <w:szCs w:val="18"/>
          <w:lang w:val="en-US"/>
        </w:rPr>
        <w:t xml:space="preserve">in the database of the International Committee of Taxonomy of Viruses (ICTV) </w:t>
      </w:r>
      <w:r w:rsidR="00223EA8" w:rsidRPr="00D403F5">
        <w:rPr>
          <w:rFonts w:ascii="Times New Roman" w:hAnsi="Times New Roman" w:cs="Times New Roman"/>
          <w:sz w:val="18"/>
          <w:szCs w:val="18"/>
          <w:lang w:val="en-US"/>
        </w:rPr>
        <w:t>(</w:t>
      </w:r>
      <w:hyperlink r:id="rId12" w:history="1">
        <w:r w:rsidR="00F25A8B" w:rsidRPr="00D403F5">
          <w:rPr>
            <w:rStyle w:val="aa"/>
            <w:rFonts w:ascii="Times New Roman" w:hAnsi="Times New Roman" w:cs="Times New Roman"/>
            <w:sz w:val="18"/>
            <w:szCs w:val="18"/>
          </w:rPr>
          <w:t>https://talk.ictvonline.org/taxonomy/</w:t>
        </w:r>
      </w:hyperlink>
      <w:r w:rsidR="00223EA8" w:rsidRPr="00D403F5">
        <w:rPr>
          <w:rFonts w:ascii="Times New Roman" w:hAnsi="Times New Roman" w:cs="Times New Roman"/>
          <w:sz w:val="18"/>
          <w:szCs w:val="18"/>
        </w:rPr>
        <w:t>)</w:t>
      </w:r>
      <w:r w:rsidR="00602AAB" w:rsidRPr="00D403F5">
        <w:rPr>
          <w:rFonts w:ascii="Times New Roman" w:hAnsi="Times New Roman" w:cs="Times New Roman"/>
          <w:sz w:val="18"/>
          <w:szCs w:val="18"/>
        </w:rPr>
        <w:t>.</w:t>
      </w:r>
    </w:p>
    <w:p w14:paraId="6393ADEC" w14:textId="10FB612B" w:rsidR="005F18B2" w:rsidRPr="00D403F5" w:rsidRDefault="00E670D6" w:rsidP="001041C6">
      <w:pPr>
        <w:spacing w:after="240" w:line="240" w:lineRule="auto"/>
        <w:ind w:left="993"/>
        <w:jc w:val="both"/>
        <w:rPr>
          <w:rFonts w:ascii="Times New Roman" w:hAnsi="Times New Roman" w:cs="Times New Roman"/>
          <w:sz w:val="18"/>
          <w:szCs w:val="18"/>
          <w:lang w:val="en-US"/>
        </w:rPr>
      </w:pPr>
      <w:r w:rsidRPr="00D403F5">
        <w:rPr>
          <w:rFonts w:ascii="Times New Roman" w:hAnsi="Times New Roman" w:cs="Times New Roman"/>
          <w:sz w:val="18"/>
          <w:szCs w:val="18"/>
          <w:lang w:val="en-US"/>
        </w:rPr>
        <w:t xml:space="preserve">Regarding </w:t>
      </w:r>
      <w:bookmarkStart w:id="15" w:name="_Hlk23160919"/>
      <w:r w:rsidR="005F18B2" w:rsidRPr="00D403F5">
        <w:rPr>
          <w:rFonts w:ascii="Times New Roman" w:hAnsi="Times New Roman" w:cs="Times New Roman"/>
          <w:sz w:val="18"/>
          <w:szCs w:val="18"/>
          <w:u w:val="single"/>
        </w:rPr>
        <w:t>Criterion 2: ’At least one country may demonstrate country or zone freedom from the disease in susceptible aquatic animals:</w:t>
      </w:r>
      <w:r w:rsidR="005F18B2" w:rsidRPr="00D403F5">
        <w:rPr>
          <w:rFonts w:ascii="Times New Roman" w:hAnsi="Times New Roman" w:cs="Times New Roman"/>
          <w:sz w:val="18"/>
          <w:szCs w:val="18"/>
        </w:rPr>
        <w:t>  The Commission did not agree with a comment that the conclusion that this criterion was met was based on a lack of surveillance evidence. The Commission noted that the disease has been listed by the Regional Advisory Group on Aquatic Animal Health in the  ‘Quarterly Aquatic Animal Disease report’ (Asia and Pacific Region) (</w:t>
      </w:r>
      <w:hyperlink r:id="rId13" w:history="1">
        <w:r w:rsidR="005F18B2" w:rsidRPr="00D403F5">
          <w:rPr>
            <w:rStyle w:val="aa"/>
            <w:rFonts w:ascii="Times New Roman" w:hAnsi="Times New Roman" w:cs="Times New Roman"/>
            <w:sz w:val="18"/>
            <w:szCs w:val="18"/>
          </w:rPr>
          <w:t>https://enaca.org/?id=8</w:t>
        </w:r>
      </w:hyperlink>
      <w:r w:rsidR="005F18B2" w:rsidRPr="00D403F5">
        <w:rPr>
          <w:rFonts w:ascii="Times New Roman" w:hAnsi="Times New Roman" w:cs="Times New Roman"/>
          <w:sz w:val="18"/>
          <w:szCs w:val="18"/>
        </w:rPr>
        <w:t>) since 201</w:t>
      </w:r>
      <w:r w:rsidR="00235E0F" w:rsidRPr="00D403F5">
        <w:rPr>
          <w:rFonts w:ascii="Times New Roman" w:hAnsi="Times New Roman" w:cs="Times New Roman"/>
          <w:sz w:val="18"/>
          <w:szCs w:val="18"/>
        </w:rPr>
        <w:t>7</w:t>
      </w:r>
      <w:r w:rsidR="005F18B2" w:rsidRPr="00D403F5">
        <w:rPr>
          <w:rFonts w:ascii="Times New Roman" w:hAnsi="Times New Roman" w:cs="Times New Roman"/>
          <w:sz w:val="18"/>
          <w:szCs w:val="18"/>
        </w:rPr>
        <w:t>. </w:t>
      </w:r>
      <w:r w:rsidR="000F1548" w:rsidRPr="00D403F5">
        <w:rPr>
          <w:rFonts w:ascii="Times New Roman" w:hAnsi="Times New Roman" w:cs="Times New Roman"/>
          <w:sz w:val="18"/>
          <w:szCs w:val="18"/>
          <w:lang w:val="en-US"/>
        </w:rPr>
        <w:t>The Commission also noted that if the disease had spread widely, it would be likely to have resulted in clinical disease that would lead to reporting.</w:t>
      </w:r>
      <w:r w:rsidR="001323BE" w:rsidRPr="00D403F5">
        <w:rPr>
          <w:rFonts w:ascii="Times New Roman" w:hAnsi="Times New Roman" w:cs="Times New Roman"/>
          <w:sz w:val="18"/>
          <w:szCs w:val="18"/>
          <w:lang w:val="en-US"/>
        </w:rPr>
        <w:t xml:space="preserve"> </w:t>
      </w:r>
      <w:r w:rsidR="005F18B2" w:rsidRPr="00D403F5">
        <w:rPr>
          <w:rFonts w:ascii="Times New Roman" w:hAnsi="Times New Roman" w:cs="Times New Roman"/>
          <w:sz w:val="18"/>
          <w:szCs w:val="18"/>
        </w:rPr>
        <w:t xml:space="preserve">The disease has still only been reported in China (People’s Rep. of). </w:t>
      </w:r>
    </w:p>
    <w:p w14:paraId="7BCB8195" w14:textId="2684BAD9" w:rsidR="00691978" w:rsidRPr="00D403F5" w:rsidRDefault="00012625" w:rsidP="001041C6">
      <w:pPr>
        <w:spacing w:after="240" w:line="240" w:lineRule="auto"/>
        <w:ind w:left="993"/>
        <w:jc w:val="both"/>
        <w:rPr>
          <w:rFonts w:ascii="Times New Roman" w:hAnsi="Times New Roman" w:cs="Times New Roman"/>
          <w:sz w:val="18"/>
          <w:szCs w:val="18"/>
          <w:lang w:val="en-US"/>
        </w:rPr>
      </w:pPr>
      <w:bookmarkStart w:id="16" w:name="_Hlk23160928"/>
      <w:bookmarkEnd w:id="15"/>
      <w:r w:rsidRPr="00D403F5">
        <w:rPr>
          <w:rFonts w:ascii="Times New Roman" w:hAnsi="Times New Roman" w:cs="Times New Roman"/>
          <w:sz w:val="18"/>
          <w:szCs w:val="18"/>
          <w:lang w:val="en-US"/>
        </w:rPr>
        <w:t xml:space="preserve">The Commission </w:t>
      </w:r>
      <w:r w:rsidR="00AE39A7" w:rsidRPr="00D403F5">
        <w:rPr>
          <w:rFonts w:ascii="Times New Roman" w:hAnsi="Times New Roman" w:cs="Times New Roman"/>
          <w:sz w:val="18"/>
          <w:szCs w:val="18"/>
          <w:lang w:val="en-US"/>
        </w:rPr>
        <w:t>maintained</w:t>
      </w:r>
      <w:r w:rsidR="00691978" w:rsidRPr="00D403F5">
        <w:rPr>
          <w:rFonts w:ascii="Times New Roman" w:hAnsi="Times New Roman" w:cs="Times New Roman"/>
          <w:sz w:val="18"/>
          <w:szCs w:val="18"/>
          <w:lang w:val="en-US"/>
        </w:rPr>
        <w:t xml:space="preserve"> its conclusion </w:t>
      </w:r>
      <w:r w:rsidR="00AE39A7" w:rsidRPr="00D403F5">
        <w:rPr>
          <w:rFonts w:ascii="Times New Roman" w:hAnsi="Times New Roman" w:cs="Times New Roman"/>
          <w:sz w:val="18"/>
          <w:szCs w:val="18"/>
          <w:lang w:val="en-US"/>
        </w:rPr>
        <w:t xml:space="preserve">from </w:t>
      </w:r>
      <w:r w:rsidR="00691978" w:rsidRPr="00D403F5">
        <w:rPr>
          <w:rFonts w:ascii="Times New Roman" w:hAnsi="Times New Roman" w:cs="Times New Roman"/>
          <w:sz w:val="18"/>
          <w:szCs w:val="18"/>
          <w:lang w:val="en-US"/>
        </w:rPr>
        <w:t xml:space="preserve">February 2019 </w:t>
      </w:r>
      <w:r w:rsidR="00AE39A7" w:rsidRPr="00D403F5">
        <w:rPr>
          <w:rFonts w:ascii="Times New Roman" w:hAnsi="Times New Roman" w:cs="Times New Roman"/>
          <w:sz w:val="18"/>
          <w:szCs w:val="18"/>
          <w:lang w:val="en-US"/>
        </w:rPr>
        <w:t>that criterion 2 is met</w:t>
      </w:r>
      <w:r w:rsidR="000F1548" w:rsidRPr="00D403F5">
        <w:rPr>
          <w:rFonts w:ascii="Times New Roman" w:hAnsi="Times New Roman" w:cs="Times New Roman"/>
          <w:sz w:val="18"/>
          <w:szCs w:val="18"/>
          <w:lang w:val="en-US"/>
        </w:rPr>
        <w:t xml:space="preserve">. </w:t>
      </w:r>
    </w:p>
    <w:bookmarkEnd w:id="16"/>
    <w:p w14:paraId="210109F7" w14:textId="77777777" w:rsidR="001041C6" w:rsidRDefault="001041C6" w:rsidP="001041C6">
      <w:pPr>
        <w:spacing w:after="240" w:line="240" w:lineRule="auto"/>
        <w:ind w:left="993"/>
        <w:jc w:val="both"/>
        <w:rPr>
          <w:rFonts w:ascii="Times New Roman" w:hAnsi="Times New Roman" w:cs="Times New Roman"/>
          <w:sz w:val="18"/>
          <w:szCs w:val="18"/>
          <w:u w:val="single"/>
          <w:lang w:val="en-US"/>
        </w:rPr>
      </w:pPr>
      <w:r>
        <w:rPr>
          <w:rFonts w:ascii="Times New Roman" w:hAnsi="Times New Roman" w:cs="Times New Roman"/>
          <w:sz w:val="18"/>
          <w:szCs w:val="18"/>
          <w:u w:val="single"/>
          <w:lang w:val="en-US"/>
        </w:rPr>
        <w:br w:type="page"/>
      </w:r>
    </w:p>
    <w:p w14:paraId="493719A7" w14:textId="3C3038D5" w:rsidR="00280BA3" w:rsidRPr="00D403F5" w:rsidRDefault="00E670D6" w:rsidP="001041C6">
      <w:pPr>
        <w:spacing w:after="240" w:line="240" w:lineRule="auto"/>
        <w:ind w:left="993"/>
        <w:jc w:val="both"/>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 xml:space="preserve">Regarding </w:t>
      </w:r>
      <w:r w:rsidR="00280BA3" w:rsidRPr="00D403F5">
        <w:rPr>
          <w:rFonts w:ascii="Times New Roman" w:hAnsi="Times New Roman" w:cs="Times New Roman"/>
          <w:sz w:val="18"/>
          <w:szCs w:val="18"/>
          <w:u w:val="single"/>
          <w:lang w:val="en-US"/>
        </w:rPr>
        <w:t>Criterion 4</w:t>
      </w:r>
      <w:r w:rsidR="00355AF2" w:rsidRPr="00D403F5">
        <w:rPr>
          <w:rFonts w:ascii="Times New Roman" w:hAnsi="Times New Roman" w:cs="Times New Roman"/>
          <w:sz w:val="18"/>
          <w:szCs w:val="18"/>
          <w:u w:val="single"/>
          <w:lang w:val="en-US"/>
        </w:rPr>
        <w:t>(</w:t>
      </w:r>
      <w:r w:rsidR="00280BA3" w:rsidRPr="00D403F5">
        <w:rPr>
          <w:rFonts w:ascii="Times New Roman" w:hAnsi="Times New Roman" w:cs="Times New Roman"/>
          <w:sz w:val="18"/>
          <w:szCs w:val="18"/>
          <w:u w:val="single"/>
          <w:lang w:val="en-US"/>
        </w:rPr>
        <w:t>b</w:t>
      </w:r>
      <w:r w:rsidR="00355AF2" w:rsidRPr="00D403F5">
        <w:rPr>
          <w:rFonts w:ascii="Times New Roman" w:hAnsi="Times New Roman" w:cs="Times New Roman"/>
          <w:sz w:val="18"/>
          <w:szCs w:val="18"/>
          <w:u w:val="single"/>
          <w:lang w:val="en-US"/>
        </w:rPr>
        <w:t>)</w:t>
      </w:r>
      <w:r w:rsidR="00280BA3" w:rsidRPr="00D403F5">
        <w:rPr>
          <w:rFonts w:ascii="Times New Roman" w:hAnsi="Times New Roman" w:cs="Times New Roman"/>
          <w:sz w:val="18"/>
          <w:szCs w:val="18"/>
          <w:u w:val="single"/>
          <w:lang w:val="en-US"/>
        </w:rPr>
        <w:t xml:space="preserve">: </w:t>
      </w:r>
      <w:r w:rsidR="00FA5260" w:rsidRPr="00D403F5">
        <w:rPr>
          <w:rFonts w:ascii="Times New Roman" w:hAnsi="Times New Roman" w:cs="Times New Roman"/>
          <w:sz w:val="18"/>
          <w:szCs w:val="18"/>
          <w:u w:val="single"/>
          <w:lang w:val="en-US"/>
        </w:rPr>
        <w:t>‘</w:t>
      </w:r>
      <w:r w:rsidR="00280BA3" w:rsidRPr="00D403F5">
        <w:rPr>
          <w:rFonts w:ascii="Times New Roman" w:hAnsi="Times New Roman" w:cs="Times New Roman"/>
          <w:sz w:val="18"/>
          <w:szCs w:val="18"/>
          <w:u w:val="single"/>
          <w:lang w:val="en-US"/>
        </w:rPr>
        <w:t>The disease has been shown to affect the health of cultured aquatic animals at the level of a country or a zone resulting in significant consequences</w:t>
      </w:r>
      <w:r w:rsidR="00850464" w:rsidRPr="00D403F5">
        <w:rPr>
          <w:rFonts w:ascii="Times New Roman" w:hAnsi="Times New Roman" w:cs="Times New Roman"/>
          <w:sz w:val="18"/>
          <w:szCs w:val="18"/>
          <w:u w:val="single"/>
          <w:lang w:val="en-US"/>
        </w:rPr>
        <w:t>,</w:t>
      </w:r>
      <w:r w:rsidR="00280BA3" w:rsidRPr="00D403F5">
        <w:rPr>
          <w:rFonts w:ascii="Times New Roman" w:hAnsi="Times New Roman" w:cs="Times New Roman"/>
          <w:sz w:val="18"/>
          <w:szCs w:val="18"/>
          <w:u w:val="single"/>
          <w:lang w:val="en-US"/>
        </w:rPr>
        <w:t xml:space="preserve"> e.g. production losses, morbidity or mortality at a zone or country level</w:t>
      </w:r>
      <w:r w:rsidR="00FA5260" w:rsidRPr="00D403F5">
        <w:rPr>
          <w:rFonts w:ascii="Times New Roman" w:hAnsi="Times New Roman" w:cs="Times New Roman"/>
          <w:sz w:val="18"/>
          <w:szCs w:val="18"/>
          <w:u w:val="single"/>
          <w:lang w:val="en-US"/>
        </w:rPr>
        <w:t>’</w:t>
      </w:r>
      <w:r w:rsidR="00355AF2" w:rsidRPr="00D403F5">
        <w:rPr>
          <w:rFonts w:ascii="Times New Roman" w:hAnsi="Times New Roman" w:cs="Times New Roman"/>
          <w:sz w:val="18"/>
          <w:szCs w:val="18"/>
          <w:lang w:val="en-US"/>
        </w:rPr>
        <w:t>:</w:t>
      </w:r>
      <w:r w:rsidR="00280BA3" w:rsidRPr="00D403F5">
        <w:rPr>
          <w:rFonts w:ascii="Times New Roman" w:hAnsi="Times New Roman" w:cs="Times New Roman"/>
          <w:sz w:val="18"/>
          <w:szCs w:val="18"/>
          <w:lang w:val="en-US"/>
        </w:rPr>
        <w:t xml:space="preserve"> </w:t>
      </w:r>
      <w:r w:rsidRPr="00D403F5">
        <w:rPr>
          <w:rFonts w:ascii="Times New Roman" w:hAnsi="Times New Roman" w:cs="Times New Roman"/>
          <w:sz w:val="18"/>
          <w:szCs w:val="18"/>
          <w:lang w:val="en-US"/>
        </w:rPr>
        <w:t>t</w:t>
      </w:r>
      <w:r w:rsidR="00280BA3" w:rsidRPr="00D403F5">
        <w:rPr>
          <w:rFonts w:ascii="Times New Roman" w:hAnsi="Times New Roman" w:cs="Times New Roman"/>
          <w:sz w:val="18"/>
          <w:szCs w:val="18"/>
          <w:lang w:val="en-US"/>
        </w:rPr>
        <w:t>he Commission did not agree with a comment that the disease does not meet this criterion</w:t>
      </w:r>
      <w:r w:rsidR="00191F08" w:rsidRPr="00D403F5">
        <w:rPr>
          <w:rFonts w:ascii="Times New Roman" w:hAnsi="Times New Roman" w:cs="Times New Roman"/>
          <w:sz w:val="18"/>
          <w:szCs w:val="18"/>
          <w:lang w:val="en-US"/>
        </w:rPr>
        <w:t xml:space="preserve"> </w:t>
      </w:r>
      <w:r w:rsidR="00FB4929" w:rsidRPr="00D403F5">
        <w:rPr>
          <w:rFonts w:ascii="Times New Roman" w:hAnsi="Times New Roman" w:cs="Times New Roman"/>
          <w:sz w:val="18"/>
          <w:szCs w:val="18"/>
          <w:lang w:val="en-US"/>
        </w:rPr>
        <w:t xml:space="preserve">as </w:t>
      </w:r>
      <w:r w:rsidR="00191F08" w:rsidRPr="00D403F5">
        <w:rPr>
          <w:rFonts w:ascii="Times New Roman" w:hAnsi="Times New Roman" w:cs="Times New Roman"/>
          <w:sz w:val="18"/>
          <w:szCs w:val="18"/>
          <w:lang w:val="en-US"/>
        </w:rPr>
        <w:t>the disease ha</w:t>
      </w:r>
      <w:r w:rsidRPr="00D403F5">
        <w:rPr>
          <w:rFonts w:ascii="Times New Roman" w:hAnsi="Times New Roman" w:cs="Times New Roman"/>
          <w:sz w:val="18"/>
          <w:szCs w:val="18"/>
          <w:lang w:val="en-US"/>
        </w:rPr>
        <w:t>s</w:t>
      </w:r>
      <w:r w:rsidR="00191F08" w:rsidRPr="00D403F5">
        <w:rPr>
          <w:rFonts w:ascii="Times New Roman" w:hAnsi="Times New Roman" w:cs="Times New Roman"/>
          <w:sz w:val="18"/>
          <w:szCs w:val="18"/>
          <w:lang w:val="en-US"/>
        </w:rPr>
        <w:t xml:space="preserve"> been reported to cause severe </w:t>
      </w:r>
      <w:r w:rsidR="00640B0E" w:rsidRPr="00D403F5">
        <w:rPr>
          <w:rFonts w:ascii="Times New Roman" w:hAnsi="Times New Roman" w:cs="Times New Roman"/>
          <w:sz w:val="18"/>
          <w:szCs w:val="18"/>
          <w:lang w:val="en-US"/>
        </w:rPr>
        <w:t xml:space="preserve">mortalities </w:t>
      </w:r>
      <w:r w:rsidR="00191F08" w:rsidRPr="00D403F5">
        <w:rPr>
          <w:rFonts w:ascii="Times New Roman" w:hAnsi="Times New Roman" w:cs="Times New Roman"/>
          <w:sz w:val="18"/>
          <w:szCs w:val="18"/>
          <w:lang w:val="en-US"/>
        </w:rPr>
        <w:t xml:space="preserve">in shrimp farms in China (People’s Rep. of). </w:t>
      </w:r>
      <w:r w:rsidR="00280BA3" w:rsidRPr="00D403F5">
        <w:rPr>
          <w:rFonts w:ascii="Times New Roman" w:hAnsi="Times New Roman" w:cs="Times New Roman"/>
          <w:sz w:val="18"/>
          <w:szCs w:val="18"/>
          <w:lang w:val="en-US"/>
        </w:rPr>
        <w:t xml:space="preserve"> </w:t>
      </w:r>
    </w:p>
    <w:p w14:paraId="599D7EB8" w14:textId="77777777" w:rsidR="00E670D6" w:rsidRPr="00D403F5" w:rsidRDefault="00E670D6" w:rsidP="001041C6">
      <w:pPr>
        <w:spacing w:after="240" w:line="240" w:lineRule="auto"/>
        <w:ind w:left="993"/>
        <w:rPr>
          <w:rFonts w:ascii="Times New Roman" w:hAnsi="Times New Roman" w:cs="Times New Roman"/>
          <w:sz w:val="18"/>
          <w:szCs w:val="18"/>
          <w:lang w:val="en-US"/>
        </w:rPr>
      </w:pPr>
      <w:r w:rsidRPr="00D403F5">
        <w:rPr>
          <w:rFonts w:ascii="Times New Roman" w:hAnsi="Times New Roman" w:cs="Times New Roman"/>
          <w:sz w:val="18"/>
          <w:szCs w:val="18"/>
          <w:lang w:val="en-US"/>
        </w:rPr>
        <w:t>The Commission</w:t>
      </w:r>
      <w:r w:rsidRPr="00D403F5">
        <w:rPr>
          <w:rFonts w:ascii="Times New Roman" w:hAnsi="Times New Roman" w:cs="Times New Roman"/>
          <w:sz w:val="18"/>
          <w:szCs w:val="18"/>
        </w:rPr>
        <w:t xml:space="preserve"> </w:t>
      </w:r>
      <w:r w:rsidRPr="00D403F5">
        <w:rPr>
          <w:rFonts w:ascii="Times New Roman" w:hAnsi="Times New Roman" w:cs="Times New Roman"/>
          <w:sz w:val="18"/>
          <w:szCs w:val="18"/>
          <w:lang w:val="en-US"/>
        </w:rPr>
        <w:t xml:space="preserve">reiterated its proposal to list infection with DIV1 in Article 1.3.3. of Chapter 1.3. Diseases listed by the OIE. </w:t>
      </w:r>
    </w:p>
    <w:p w14:paraId="61E0047E" w14:textId="7C40A9C2" w:rsidR="00280BA3" w:rsidRPr="00D403F5" w:rsidRDefault="00FA5260" w:rsidP="001041C6">
      <w:pPr>
        <w:spacing w:after="240" w:line="240" w:lineRule="auto"/>
        <w:ind w:left="993"/>
        <w:jc w:val="both"/>
        <w:rPr>
          <w:rFonts w:ascii="Times New Roman" w:hAnsi="Times New Roman" w:cs="Times New Roman"/>
          <w:sz w:val="18"/>
          <w:szCs w:val="18"/>
          <w:lang w:val="en-US"/>
        </w:rPr>
      </w:pPr>
      <w:r w:rsidRPr="00D403F5">
        <w:rPr>
          <w:rFonts w:ascii="Times New Roman" w:hAnsi="Times New Roman" w:cs="Times New Roman"/>
          <w:sz w:val="18"/>
          <w:szCs w:val="18"/>
          <w:lang w:val="en-US"/>
        </w:rPr>
        <w:t>T</w:t>
      </w:r>
      <w:r w:rsidR="00280BA3" w:rsidRPr="00D403F5">
        <w:rPr>
          <w:rFonts w:ascii="Times New Roman" w:hAnsi="Times New Roman" w:cs="Times New Roman"/>
          <w:sz w:val="18"/>
          <w:szCs w:val="18"/>
          <w:lang w:val="en-US"/>
        </w:rPr>
        <w:t>he Commission encouraged Member</w:t>
      </w:r>
      <w:r w:rsidR="00686BC9" w:rsidRPr="00D403F5">
        <w:rPr>
          <w:rFonts w:ascii="Times New Roman" w:hAnsi="Times New Roman" w:cs="Times New Roman"/>
          <w:sz w:val="18"/>
          <w:szCs w:val="18"/>
          <w:lang w:val="en-US"/>
        </w:rPr>
        <w:t xml:space="preserve">s </w:t>
      </w:r>
      <w:r w:rsidR="00280BA3" w:rsidRPr="00D403F5">
        <w:rPr>
          <w:rFonts w:ascii="Times New Roman" w:hAnsi="Times New Roman" w:cs="Times New Roman"/>
          <w:sz w:val="18"/>
          <w:szCs w:val="18"/>
          <w:lang w:val="en-US"/>
        </w:rPr>
        <w:t xml:space="preserve">to investigate </w:t>
      </w:r>
      <w:r w:rsidRPr="00D403F5">
        <w:rPr>
          <w:rFonts w:ascii="Times New Roman" w:hAnsi="Times New Roman" w:cs="Times New Roman"/>
          <w:sz w:val="18"/>
          <w:szCs w:val="18"/>
          <w:lang w:val="en-US"/>
        </w:rPr>
        <w:t xml:space="preserve">significant </w:t>
      </w:r>
      <w:r w:rsidR="00280BA3" w:rsidRPr="00D403F5">
        <w:rPr>
          <w:rFonts w:ascii="Times New Roman" w:hAnsi="Times New Roman" w:cs="Times New Roman"/>
          <w:sz w:val="18"/>
          <w:szCs w:val="18"/>
          <w:lang w:val="en-US"/>
        </w:rPr>
        <w:t xml:space="preserve">mortality and morbidity events in crustaceans and </w:t>
      </w:r>
      <w:r w:rsidRPr="00D403F5">
        <w:rPr>
          <w:rFonts w:ascii="Times New Roman" w:hAnsi="Times New Roman" w:cs="Times New Roman"/>
          <w:sz w:val="18"/>
          <w:szCs w:val="18"/>
          <w:lang w:val="en-US"/>
        </w:rPr>
        <w:t xml:space="preserve">should infection with DIV1 be </w:t>
      </w:r>
      <w:r w:rsidR="00575C8F" w:rsidRPr="00D403F5">
        <w:rPr>
          <w:rFonts w:ascii="Times New Roman" w:hAnsi="Times New Roman" w:cs="Times New Roman"/>
          <w:sz w:val="18"/>
          <w:szCs w:val="18"/>
          <w:lang w:val="en-US"/>
        </w:rPr>
        <w:t>detected</w:t>
      </w:r>
      <w:r w:rsidRPr="00D403F5">
        <w:rPr>
          <w:rFonts w:ascii="Times New Roman" w:hAnsi="Times New Roman" w:cs="Times New Roman"/>
          <w:sz w:val="18"/>
          <w:szCs w:val="18"/>
          <w:lang w:val="en-US"/>
        </w:rPr>
        <w:t xml:space="preserve">, </w:t>
      </w:r>
      <w:r w:rsidR="00280BA3" w:rsidRPr="00D403F5">
        <w:rPr>
          <w:rFonts w:ascii="Times New Roman" w:hAnsi="Times New Roman" w:cs="Times New Roman"/>
          <w:sz w:val="18"/>
          <w:szCs w:val="18"/>
          <w:lang w:val="en-US"/>
        </w:rPr>
        <w:t xml:space="preserve">to report </w:t>
      </w:r>
      <w:r w:rsidRPr="00D403F5">
        <w:rPr>
          <w:rFonts w:ascii="Times New Roman" w:hAnsi="Times New Roman" w:cs="Times New Roman"/>
          <w:sz w:val="18"/>
          <w:szCs w:val="18"/>
          <w:lang w:val="en-US"/>
        </w:rPr>
        <w:t xml:space="preserve">this </w:t>
      </w:r>
      <w:r w:rsidR="00280BA3" w:rsidRPr="00D403F5">
        <w:rPr>
          <w:rFonts w:ascii="Times New Roman" w:hAnsi="Times New Roman" w:cs="Times New Roman"/>
          <w:sz w:val="18"/>
          <w:szCs w:val="18"/>
          <w:lang w:val="en-US"/>
        </w:rPr>
        <w:t xml:space="preserve">as an emerging disease in accordance with Article 1.1.4. of the </w:t>
      </w:r>
      <w:r w:rsidR="00280BA3" w:rsidRPr="00D403F5">
        <w:rPr>
          <w:rFonts w:ascii="Times New Roman" w:hAnsi="Times New Roman" w:cs="Times New Roman"/>
          <w:i/>
          <w:iCs/>
          <w:sz w:val="18"/>
          <w:szCs w:val="18"/>
          <w:lang w:val="en-US"/>
        </w:rPr>
        <w:t>Aquatic Code</w:t>
      </w:r>
      <w:r w:rsidR="00280BA3" w:rsidRPr="00D403F5">
        <w:rPr>
          <w:rFonts w:ascii="Times New Roman" w:hAnsi="Times New Roman" w:cs="Times New Roman"/>
          <w:sz w:val="18"/>
          <w:szCs w:val="18"/>
          <w:lang w:val="en-US"/>
        </w:rPr>
        <w:t xml:space="preserve">. </w:t>
      </w:r>
    </w:p>
    <w:p w14:paraId="6A193408" w14:textId="34E3B04E" w:rsidR="00FA5260" w:rsidRPr="00D403F5" w:rsidRDefault="00FA5260" w:rsidP="001041C6">
      <w:pPr>
        <w:spacing w:after="240" w:line="240" w:lineRule="auto"/>
        <w:ind w:left="993"/>
        <w:jc w:val="both"/>
        <w:rPr>
          <w:rFonts w:ascii="Times New Roman" w:hAnsi="Times New Roman" w:cs="Times New Roman"/>
          <w:sz w:val="18"/>
          <w:szCs w:val="18"/>
          <w:lang w:val="en-US"/>
        </w:rPr>
      </w:pPr>
      <w:r w:rsidRPr="00D403F5">
        <w:rPr>
          <w:rFonts w:ascii="Times New Roman" w:hAnsi="Times New Roman" w:cs="Times New Roman"/>
          <w:sz w:val="18"/>
          <w:szCs w:val="18"/>
          <w:lang w:val="en-US"/>
        </w:rPr>
        <w:t xml:space="preserve">Given the impact of this new emerging disease and the need to provide information about the diagnosis and control of this pathogenic agent, the Commission </w:t>
      </w:r>
      <w:r w:rsidR="00FB4929" w:rsidRPr="00D403F5">
        <w:rPr>
          <w:rFonts w:ascii="Times New Roman" w:hAnsi="Times New Roman" w:cs="Times New Roman"/>
          <w:sz w:val="18"/>
          <w:szCs w:val="18"/>
          <w:lang w:val="en-US"/>
        </w:rPr>
        <w:t xml:space="preserve">has </w:t>
      </w:r>
      <w:r w:rsidRPr="00D403F5">
        <w:rPr>
          <w:rFonts w:ascii="Times New Roman" w:hAnsi="Times New Roman" w:cs="Times New Roman"/>
          <w:sz w:val="18"/>
          <w:szCs w:val="18"/>
          <w:lang w:val="en-US"/>
        </w:rPr>
        <w:t xml:space="preserve">developed a technical disease card for infection </w:t>
      </w:r>
      <w:r w:rsidR="00191F08" w:rsidRPr="00D403F5">
        <w:rPr>
          <w:rFonts w:ascii="Times New Roman" w:hAnsi="Times New Roman" w:cs="Times New Roman"/>
          <w:sz w:val="18"/>
          <w:szCs w:val="18"/>
          <w:lang w:val="en-US"/>
        </w:rPr>
        <w:t>DIV1</w:t>
      </w:r>
      <w:r w:rsidRPr="00D403F5">
        <w:rPr>
          <w:rFonts w:ascii="Times New Roman" w:hAnsi="Times New Roman" w:cs="Times New Roman"/>
          <w:sz w:val="18"/>
          <w:szCs w:val="18"/>
          <w:lang w:val="en-US"/>
        </w:rPr>
        <w:t>, which will be uploaded onto the OIE official website</w:t>
      </w:r>
      <w:r w:rsidR="00191F08" w:rsidRPr="00D403F5">
        <w:rPr>
          <w:rFonts w:ascii="Times New Roman" w:hAnsi="Times New Roman" w:cs="Times New Roman"/>
          <w:sz w:val="18"/>
          <w:szCs w:val="18"/>
          <w:lang w:val="en-US"/>
        </w:rPr>
        <w:t xml:space="preserve"> </w:t>
      </w:r>
      <w:r w:rsidR="00E670D6" w:rsidRPr="00D403F5">
        <w:rPr>
          <w:rFonts w:ascii="Times New Roman" w:hAnsi="Times New Roman" w:cs="Times New Roman"/>
          <w:sz w:val="18"/>
          <w:szCs w:val="18"/>
          <w:lang w:val="en-US"/>
        </w:rPr>
        <w:t>by the end of November 2019</w:t>
      </w:r>
      <w:r w:rsidR="00191F08" w:rsidRPr="00D403F5">
        <w:rPr>
          <w:rFonts w:ascii="Times New Roman" w:hAnsi="Times New Roman" w:cs="Times New Roman"/>
          <w:sz w:val="18"/>
          <w:szCs w:val="18"/>
          <w:lang w:val="en-US"/>
        </w:rPr>
        <w:t xml:space="preserve">. </w:t>
      </w:r>
      <w:r w:rsidRPr="00D403F5">
        <w:rPr>
          <w:rFonts w:ascii="Times New Roman" w:hAnsi="Times New Roman" w:cs="Times New Roman"/>
          <w:sz w:val="18"/>
          <w:szCs w:val="18"/>
          <w:lang w:val="en-US"/>
        </w:rPr>
        <w:t xml:space="preserve"> </w:t>
      </w:r>
    </w:p>
    <w:p w14:paraId="3D1F3FB1" w14:textId="59B24FE5" w:rsidR="00C35532" w:rsidRPr="00D403F5" w:rsidRDefault="009F65FD" w:rsidP="001041C6">
      <w:pPr>
        <w:spacing w:after="240" w:line="240" w:lineRule="auto"/>
        <w:ind w:left="993"/>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w:t>
      </w:r>
      <w:r w:rsidR="00080C5D" w:rsidRPr="00D403F5">
        <w:rPr>
          <w:rFonts w:ascii="Times New Roman" w:hAnsi="Times New Roman" w:cs="Times New Roman"/>
          <w:sz w:val="18"/>
          <w:szCs w:val="18"/>
          <w:lang w:val="en-IE" w:eastAsia="fr-FR"/>
        </w:rPr>
        <w:t xml:space="preserve">revised </w:t>
      </w:r>
      <w:r w:rsidRPr="00D403F5">
        <w:rPr>
          <w:rFonts w:ascii="Times New Roman" w:hAnsi="Times New Roman" w:cs="Times New Roman"/>
          <w:sz w:val="18"/>
          <w:szCs w:val="18"/>
          <w:lang w:val="en-IE" w:eastAsia="fr-FR"/>
        </w:rPr>
        <w:t xml:space="preserve">assessment </w:t>
      </w:r>
      <w:r w:rsidR="000F724D" w:rsidRPr="00D403F5">
        <w:rPr>
          <w:rFonts w:ascii="Times New Roman" w:hAnsi="Times New Roman" w:cs="Times New Roman"/>
          <w:sz w:val="18"/>
          <w:szCs w:val="18"/>
          <w:lang w:val="en-IE" w:eastAsia="fr-FR"/>
        </w:rPr>
        <w:t xml:space="preserve">for </w:t>
      </w:r>
      <w:r w:rsidR="000F724D" w:rsidRPr="00D403F5">
        <w:rPr>
          <w:rFonts w:ascii="Times New Roman" w:hAnsi="Times New Roman" w:cs="Times New Roman"/>
          <w:sz w:val="18"/>
          <w:szCs w:val="18"/>
          <w:lang w:val="en-US"/>
        </w:rPr>
        <w:t xml:space="preserve">infection with DIV1 </w:t>
      </w:r>
      <w:r w:rsidR="00C35532" w:rsidRPr="00D403F5">
        <w:rPr>
          <w:rFonts w:ascii="Times New Roman" w:hAnsi="Times New Roman" w:cs="Times New Roman"/>
          <w:sz w:val="18"/>
          <w:szCs w:val="18"/>
          <w:lang w:val="en-IE" w:eastAsia="fr-FR"/>
        </w:rPr>
        <w:t xml:space="preserve">is presented as </w:t>
      </w:r>
      <w:r w:rsidR="00C35532" w:rsidRPr="00D403F5">
        <w:rPr>
          <w:rFonts w:ascii="Times New Roman" w:hAnsi="Times New Roman" w:cs="Times New Roman"/>
          <w:sz w:val="18"/>
          <w:szCs w:val="18"/>
          <w:u w:val="single"/>
          <w:lang w:val="en-IE" w:eastAsia="fr-FR"/>
        </w:rPr>
        <w:t xml:space="preserve">Annex </w:t>
      </w:r>
      <w:r w:rsidR="00E230FF" w:rsidRPr="00D403F5">
        <w:rPr>
          <w:rFonts w:ascii="Times New Roman" w:hAnsi="Times New Roman" w:cs="Times New Roman"/>
          <w:sz w:val="18"/>
          <w:szCs w:val="18"/>
          <w:u w:val="single"/>
          <w:lang w:val="en-IE" w:eastAsia="fr-FR"/>
        </w:rPr>
        <w:t>14</w:t>
      </w:r>
      <w:r w:rsidR="00E230FF" w:rsidRPr="00D403F5">
        <w:rPr>
          <w:rFonts w:ascii="Times New Roman" w:hAnsi="Times New Roman" w:cs="Times New Roman"/>
          <w:sz w:val="18"/>
          <w:szCs w:val="18"/>
          <w:lang w:val="en-IE" w:eastAsia="fr-FR"/>
        </w:rPr>
        <w:t xml:space="preserve"> </w:t>
      </w:r>
      <w:r w:rsidR="00C35532" w:rsidRPr="00D403F5">
        <w:rPr>
          <w:rFonts w:ascii="Times New Roman" w:hAnsi="Times New Roman" w:cs="Times New Roman"/>
          <w:sz w:val="18"/>
          <w:szCs w:val="18"/>
          <w:lang w:val="en-IE" w:eastAsia="fr-FR"/>
        </w:rPr>
        <w:t xml:space="preserve">for Member </w:t>
      </w:r>
      <w:r w:rsidR="000F724D" w:rsidRPr="00D403F5">
        <w:rPr>
          <w:rFonts w:ascii="Times New Roman" w:hAnsi="Times New Roman" w:cs="Times New Roman"/>
          <w:sz w:val="18"/>
          <w:szCs w:val="18"/>
          <w:lang w:val="en-IE" w:eastAsia="fr-FR"/>
        </w:rPr>
        <w:t xml:space="preserve">information </w:t>
      </w:r>
      <w:r w:rsidR="008E096B" w:rsidRPr="00D403F5">
        <w:rPr>
          <w:rFonts w:ascii="Times New Roman" w:hAnsi="Times New Roman" w:cs="Times New Roman"/>
          <w:sz w:val="18"/>
          <w:szCs w:val="18"/>
          <w:lang w:val="en-IE" w:eastAsia="fr-FR"/>
        </w:rPr>
        <w:t>in</w:t>
      </w:r>
      <w:r w:rsidR="000F724D" w:rsidRPr="00D403F5">
        <w:rPr>
          <w:rFonts w:ascii="Times New Roman" w:hAnsi="Times New Roman" w:cs="Times New Roman"/>
          <w:sz w:val="18"/>
          <w:szCs w:val="18"/>
          <w:lang w:val="en-IE" w:eastAsia="fr-FR"/>
        </w:rPr>
        <w:t xml:space="preserve"> support of the proposed listing.</w:t>
      </w:r>
      <w:r w:rsidR="00017B2B" w:rsidRPr="00D403F5">
        <w:rPr>
          <w:rFonts w:ascii="Times New Roman" w:hAnsi="Times New Roman" w:cs="Times New Roman"/>
          <w:sz w:val="18"/>
          <w:szCs w:val="18"/>
          <w:lang w:val="en-IE" w:eastAsia="fr-FR"/>
        </w:rPr>
        <w:t xml:space="preserve"> </w:t>
      </w:r>
    </w:p>
    <w:p w14:paraId="72DB4DA1" w14:textId="7E97E28E" w:rsidR="00080C5D" w:rsidRPr="00D403F5" w:rsidRDefault="000F724D"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rPr>
        <w:t xml:space="preserve">The revised Article 1.3.3. is presented as </w:t>
      </w:r>
      <w:r w:rsidRPr="00D403F5">
        <w:rPr>
          <w:rFonts w:ascii="Times New Roman" w:hAnsi="Times New Roman" w:cs="Times New Roman"/>
          <w:sz w:val="18"/>
          <w:szCs w:val="18"/>
          <w:u w:val="single"/>
        </w:rPr>
        <w:t xml:space="preserve">Annex </w:t>
      </w:r>
      <w:r w:rsidR="00E230FF" w:rsidRPr="00D403F5">
        <w:rPr>
          <w:rFonts w:ascii="Times New Roman" w:hAnsi="Times New Roman" w:cs="Times New Roman"/>
          <w:sz w:val="18"/>
          <w:szCs w:val="18"/>
          <w:u w:val="single"/>
        </w:rPr>
        <w:t>4</w:t>
      </w:r>
      <w:r w:rsidR="00E230FF" w:rsidRPr="00D403F5">
        <w:rPr>
          <w:rFonts w:ascii="Times New Roman" w:hAnsi="Times New Roman" w:cs="Times New Roman"/>
          <w:sz w:val="18"/>
          <w:szCs w:val="18"/>
        </w:rPr>
        <w:t xml:space="preserve"> </w:t>
      </w:r>
      <w:r w:rsidRPr="00D403F5">
        <w:rPr>
          <w:rFonts w:ascii="Times New Roman" w:hAnsi="Times New Roman" w:cs="Times New Roman"/>
          <w:sz w:val="18"/>
          <w:szCs w:val="18"/>
        </w:rPr>
        <w:t xml:space="preserve">for Member comments </w:t>
      </w:r>
      <w:bookmarkStart w:id="17" w:name="_Hlk21700834"/>
      <w:r w:rsidRPr="00D403F5">
        <w:rPr>
          <w:rFonts w:ascii="Times New Roman" w:hAnsi="Times New Roman" w:cs="Times New Roman"/>
          <w:sz w:val="18"/>
          <w:szCs w:val="18"/>
        </w:rPr>
        <w:t xml:space="preserve">and </w:t>
      </w:r>
      <w:r w:rsidR="00575C8F" w:rsidRPr="00D403F5">
        <w:rPr>
          <w:rFonts w:ascii="Times New Roman" w:hAnsi="Times New Roman" w:cs="Times New Roman"/>
          <w:sz w:val="18"/>
          <w:szCs w:val="18"/>
        </w:rPr>
        <w:t>intended to be</w:t>
      </w:r>
      <w:r w:rsidRPr="00D403F5">
        <w:rPr>
          <w:rFonts w:ascii="Times New Roman" w:hAnsi="Times New Roman" w:cs="Times New Roman"/>
          <w:sz w:val="18"/>
          <w:szCs w:val="18"/>
        </w:rPr>
        <w:t xml:space="preserve"> proposed for adoption at the 88th General Session in May 2020. </w:t>
      </w:r>
    </w:p>
    <w:bookmarkEnd w:id="14"/>
    <w:bookmarkEnd w:id="17"/>
    <w:p w14:paraId="1CAA8462" w14:textId="22115BB3" w:rsidR="006E0A68" w:rsidRPr="00D403F5" w:rsidRDefault="001865CC" w:rsidP="001041C6">
      <w:pPr>
        <w:spacing w:after="240" w:line="240" w:lineRule="auto"/>
        <w:ind w:left="993" w:hanging="567"/>
        <w:jc w:val="both"/>
        <w:rPr>
          <w:rFonts w:ascii="Times New Roman" w:hAnsi="Times New Roman" w:cs="Times New Roman"/>
          <w:b/>
          <w:sz w:val="18"/>
          <w:szCs w:val="18"/>
          <w:lang w:val="en"/>
        </w:rPr>
      </w:pPr>
      <w:r w:rsidRPr="00D403F5">
        <w:rPr>
          <w:rFonts w:ascii="Times New Roman" w:eastAsia="MS Mincho" w:hAnsi="Times New Roman" w:cs="Times New Roman"/>
          <w:b/>
          <w:bCs/>
          <w:sz w:val="18"/>
          <w:szCs w:val="18"/>
          <w:lang w:val="en-IE" w:eastAsia="ja-JP"/>
        </w:rPr>
        <w:t>6</w:t>
      </w:r>
      <w:r w:rsidR="00FE7404" w:rsidRPr="00D403F5">
        <w:rPr>
          <w:rFonts w:ascii="Times New Roman" w:eastAsia="MS Mincho" w:hAnsi="Times New Roman" w:cs="Times New Roman"/>
          <w:b/>
          <w:bCs/>
          <w:sz w:val="18"/>
          <w:szCs w:val="18"/>
          <w:lang w:val="en-IE" w:eastAsia="ja-JP"/>
        </w:rPr>
        <w:t>.3.</w:t>
      </w:r>
      <w:r w:rsidR="00FE7404" w:rsidRPr="00D403F5">
        <w:rPr>
          <w:rFonts w:ascii="Times New Roman" w:eastAsia="MS Mincho" w:hAnsi="Times New Roman" w:cs="Times New Roman"/>
          <w:b/>
          <w:bCs/>
          <w:sz w:val="18"/>
          <w:szCs w:val="18"/>
          <w:lang w:val="en-IE" w:eastAsia="ja-JP"/>
        </w:rPr>
        <w:tab/>
      </w:r>
      <w:bookmarkStart w:id="18" w:name="_Hlk20383513"/>
      <w:r w:rsidR="00FE7404" w:rsidRPr="00D403F5">
        <w:rPr>
          <w:rFonts w:ascii="Times New Roman" w:hAnsi="Times New Roman" w:cs="Times New Roman"/>
          <w:b/>
          <w:bCs/>
          <w:sz w:val="18"/>
          <w:szCs w:val="18"/>
          <w:lang w:val="en-IE" w:eastAsia="fr-FR"/>
        </w:rPr>
        <w:t>Model Article 10.X.13.</w:t>
      </w:r>
      <w:r w:rsidR="006E0A68" w:rsidRPr="00D403F5">
        <w:rPr>
          <w:rFonts w:ascii="Times New Roman" w:hAnsi="Times New Roman" w:cs="Times New Roman"/>
          <w:b/>
          <w:bCs/>
          <w:sz w:val="18"/>
          <w:szCs w:val="18"/>
          <w:lang w:val="en-IE" w:eastAsia="fr-FR"/>
        </w:rPr>
        <w:t xml:space="preserve"> </w:t>
      </w:r>
      <w:r w:rsidR="006E0A68" w:rsidRPr="00D403F5">
        <w:rPr>
          <w:rFonts w:ascii="Times New Roman" w:hAnsi="Times New Roman" w:cs="Times New Roman"/>
          <w:b/>
          <w:sz w:val="18"/>
          <w:szCs w:val="18"/>
          <w:lang w:val="en"/>
        </w:rPr>
        <w:t>Importation of disinfected eggs for aquaculture from a country, zone or compartment not declared free from infection with pathogenic agent X</w:t>
      </w:r>
    </w:p>
    <w:p w14:paraId="54A56F0E" w14:textId="1955F7B7" w:rsidR="00FE7404" w:rsidRPr="00D403F5" w:rsidRDefault="00FE7404"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Comments were received from Canada, </w:t>
      </w:r>
      <w:r w:rsidR="000F724D" w:rsidRPr="00D403F5">
        <w:rPr>
          <w:rFonts w:ascii="Times New Roman" w:hAnsi="Times New Roman" w:cs="Times New Roman"/>
          <w:sz w:val="18"/>
          <w:szCs w:val="18"/>
          <w:lang w:val="en-IE" w:eastAsia="fr-FR"/>
        </w:rPr>
        <w:t xml:space="preserve">the </w:t>
      </w:r>
      <w:r w:rsidR="0001719A" w:rsidRPr="00D403F5">
        <w:rPr>
          <w:rFonts w:ascii="Times New Roman" w:hAnsi="Times New Roman" w:cs="Times New Roman"/>
          <w:sz w:val="18"/>
          <w:szCs w:val="18"/>
          <w:lang w:val="en-IE" w:eastAsia="fr-FR"/>
        </w:rPr>
        <w:t xml:space="preserve">USA and </w:t>
      </w:r>
      <w:r w:rsidR="000F724D" w:rsidRPr="00D403F5">
        <w:rPr>
          <w:rFonts w:ascii="Times New Roman" w:hAnsi="Times New Roman" w:cs="Times New Roman"/>
          <w:sz w:val="18"/>
          <w:szCs w:val="18"/>
          <w:lang w:val="en-IE" w:eastAsia="fr-FR"/>
        </w:rPr>
        <w:t xml:space="preserve">the </w:t>
      </w:r>
      <w:r w:rsidR="0001719A" w:rsidRPr="00D403F5">
        <w:rPr>
          <w:rFonts w:ascii="Times New Roman" w:hAnsi="Times New Roman" w:cs="Times New Roman"/>
          <w:sz w:val="18"/>
          <w:szCs w:val="18"/>
          <w:lang w:val="en-IE" w:eastAsia="fr-FR"/>
        </w:rPr>
        <w:t>EU</w:t>
      </w:r>
      <w:r w:rsidRPr="00D403F5">
        <w:rPr>
          <w:rFonts w:ascii="Times New Roman" w:hAnsi="Times New Roman" w:cs="Times New Roman"/>
          <w:sz w:val="18"/>
          <w:szCs w:val="18"/>
          <w:lang w:val="en-IE" w:eastAsia="fr-FR"/>
        </w:rPr>
        <w:t>.</w:t>
      </w:r>
    </w:p>
    <w:p w14:paraId="3B73AFF4" w14:textId="17B50081" w:rsidR="00575C8F" w:rsidRPr="00D403F5" w:rsidRDefault="00575C8F"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In response to a comment, the Commission amended point 1(b) by adding ‘including testing of’ before ‘ovarian fluid and milt’ to clarify </w:t>
      </w:r>
      <w:r w:rsidR="00FB4929" w:rsidRPr="00D403F5">
        <w:rPr>
          <w:rFonts w:ascii="Times New Roman" w:hAnsi="Times New Roman" w:cs="Times New Roman"/>
          <w:sz w:val="18"/>
          <w:szCs w:val="18"/>
          <w:lang w:val="en-IE" w:eastAsia="fr-FR"/>
        </w:rPr>
        <w:t xml:space="preserve">that </w:t>
      </w:r>
      <w:r w:rsidRPr="00D403F5">
        <w:rPr>
          <w:rFonts w:ascii="Times New Roman" w:hAnsi="Times New Roman" w:cs="Times New Roman"/>
          <w:sz w:val="18"/>
          <w:szCs w:val="18"/>
          <w:lang w:val="en-IE" w:eastAsia="fr-FR"/>
        </w:rPr>
        <w:t xml:space="preserve">in this context material for diagnostic testing is not restricted to ovarian fluid and milt but </w:t>
      </w:r>
      <w:r w:rsidR="00FB4929" w:rsidRPr="00D403F5">
        <w:rPr>
          <w:rFonts w:ascii="Times New Roman" w:hAnsi="Times New Roman" w:cs="Times New Roman"/>
          <w:sz w:val="18"/>
          <w:szCs w:val="18"/>
          <w:lang w:val="en-IE" w:eastAsia="fr-FR"/>
        </w:rPr>
        <w:t xml:space="preserve">may </w:t>
      </w:r>
      <w:r w:rsidRPr="00D403F5">
        <w:rPr>
          <w:rFonts w:ascii="Times New Roman" w:hAnsi="Times New Roman" w:cs="Times New Roman"/>
          <w:sz w:val="18"/>
          <w:szCs w:val="18"/>
          <w:lang w:val="en-IE" w:eastAsia="fr-FR"/>
        </w:rPr>
        <w:t xml:space="preserve">also include tissues from the broodstock. </w:t>
      </w:r>
    </w:p>
    <w:p w14:paraId="6031F10A" w14:textId="77777777" w:rsidR="00575C8F" w:rsidRPr="00D403F5" w:rsidRDefault="00575C8F"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The Commission agreed to amend text in point 2(a) to clarify that the Competent Authority of the importing country should only request risk mitigation measures which are outlined in Chapter 4.4.</w:t>
      </w:r>
      <w:r w:rsidRPr="00D403F5">
        <w:rPr>
          <w:rFonts w:ascii="Times New Roman" w:hAnsi="Times New Roman" w:cs="Times New Roman"/>
          <w:sz w:val="18"/>
          <w:szCs w:val="18"/>
        </w:rPr>
        <w:t xml:space="preserve"> (</w:t>
      </w:r>
      <w:r w:rsidRPr="00D403F5">
        <w:rPr>
          <w:rFonts w:ascii="Times New Roman" w:hAnsi="Times New Roman" w:cs="Times New Roman"/>
          <w:sz w:val="18"/>
          <w:szCs w:val="18"/>
          <w:lang w:val="en-IE" w:eastAsia="fr-FR"/>
        </w:rPr>
        <w:t>Recommendations for surface disinfection of salmonid eggs).</w:t>
      </w:r>
    </w:p>
    <w:bookmarkEnd w:id="18"/>
    <w:p w14:paraId="7E4FCFDF" w14:textId="52CBEF2A" w:rsidR="004617BD" w:rsidRPr="00D403F5" w:rsidRDefault="005E744B"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The r</w:t>
      </w:r>
      <w:r w:rsidR="006E0A68" w:rsidRPr="00D403F5">
        <w:rPr>
          <w:rFonts w:ascii="Times New Roman" w:hAnsi="Times New Roman" w:cs="Times New Roman"/>
          <w:sz w:val="18"/>
          <w:szCs w:val="18"/>
          <w:lang w:val="en-IE" w:eastAsia="fr-FR"/>
        </w:rPr>
        <w:t>evised Model Article 10.X.13.</w:t>
      </w:r>
      <w:r w:rsidR="004617BD" w:rsidRPr="00D403F5">
        <w:rPr>
          <w:rFonts w:ascii="Times New Roman" w:hAnsi="Times New Roman" w:cs="Times New Roman"/>
          <w:sz w:val="18"/>
          <w:szCs w:val="18"/>
          <w:lang w:val="en-IE" w:eastAsia="fr-FR"/>
        </w:rPr>
        <w:t xml:space="preserve"> and Article 10.4.17. for Chapter 10.4. Infection with infectious salmon anaemia virus</w:t>
      </w:r>
      <w:r w:rsidR="006E0A68" w:rsidRPr="00D403F5">
        <w:rPr>
          <w:rFonts w:ascii="Times New Roman" w:hAnsi="Times New Roman" w:cs="Times New Roman"/>
          <w:sz w:val="18"/>
          <w:szCs w:val="18"/>
          <w:lang w:val="en-IE" w:eastAsia="fr-FR"/>
        </w:rPr>
        <w:t xml:space="preserve"> </w:t>
      </w:r>
      <w:r w:rsidR="004617BD" w:rsidRPr="00D403F5">
        <w:rPr>
          <w:rFonts w:ascii="Times New Roman" w:hAnsi="Times New Roman" w:cs="Times New Roman"/>
          <w:sz w:val="18"/>
          <w:szCs w:val="18"/>
          <w:lang w:val="en-IE" w:eastAsia="fr-FR"/>
        </w:rPr>
        <w:t xml:space="preserve">are </w:t>
      </w:r>
      <w:r w:rsidR="006E0A68" w:rsidRPr="00D403F5">
        <w:rPr>
          <w:rFonts w:ascii="Times New Roman" w:hAnsi="Times New Roman" w:cs="Times New Roman"/>
          <w:sz w:val="18"/>
          <w:szCs w:val="18"/>
          <w:lang w:val="en-IE" w:eastAsia="fr-FR"/>
        </w:rPr>
        <w:t xml:space="preserve">presented </w:t>
      </w:r>
      <w:r w:rsidR="009D3364" w:rsidRPr="00D403F5">
        <w:rPr>
          <w:rFonts w:ascii="Times New Roman" w:hAnsi="Times New Roman" w:cs="Times New Roman"/>
          <w:sz w:val="18"/>
          <w:szCs w:val="18"/>
          <w:lang w:val="en-IE" w:eastAsia="fr-FR"/>
        </w:rPr>
        <w:t xml:space="preserve">as </w:t>
      </w:r>
      <w:r w:rsidR="006E0A68" w:rsidRPr="00D403F5">
        <w:rPr>
          <w:rFonts w:ascii="Times New Roman" w:hAnsi="Times New Roman" w:cs="Times New Roman"/>
          <w:sz w:val="18"/>
          <w:szCs w:val="18"/>
          <w:u w:val="single"/>
          <w:lang w:val="en-IE" w:eastAsia="fr-FR"/>
        </w:rPr>
        <w:t xml:space="preserve">Annex </w:t>
      </w:r>
      <w:r w:rsidR="00E230FF" w:rsidRPr="00D403F5">
        <w:rPr>
          <w:rFonts w:ascii="Times New Roman" w:hAnsi="Times New Roman" w:cs="Times New Roman"/>
          <w:sz w:val="18"/>
          <w:szCs w:val="18"/>
          <w:u w:val="single"/>
          <w:lang w:val="en-IE" w:eastAsia="fr-FR"/>
        </w:rPr>
        <w:t>5</w:t>
      </w:r>
      <w:r w:rsidR="00E230FF" w:rsidRPr="00D403F5">
        <w:rPr>
          <w:rFonts w:ascii="Times New Roman" w:hAnsi="Times New Roman" w:cs="Times New Roman"/>
          <w:sz w:val="18"/>
          <w:szCs w:val="18"/>
          <w:lang w:val="en-IE" w:eastAsia="fr-FR"/>
        </w:rPr>
        <w:t xml:space="preserve"> </w:t>
      </w:r>
      <w:r w:rsidR="006E0A68" w:rsidRPr="00D403F5">
        <w:rPr>
          <w:rFonts w:ascii="Times New Roman" w:hAnsi="Times New Roman" w:cs="Times New Roman"/>
          <w:sz w:val="18"/>
          <w:szCs w:val="18"/>
          <w:lang w:val="en-IE" w:eastAsia="fr-FR"/>
        </w:rPr>
        <w:t>for Member comment</w:t>
      </w:r>
      <w:r w:rsidR="004A3A30" w:rsidRPr="00D403F5">
        <w:rPr>
          <w:rFonts w:ascii="Times New Roman" w:hAnsi="Times New Roman" w:cs="Times New Roman"/>
          <w:sz w:val="18"/>
          <w:szCs w:val="18"/>
          <w:lang w:val="en-IE" w:eastAsia="fr-FR"/>
        </w:rPr>
        <w:t>s</w:t>
      </w:r>
      <w:r w:rsidR="004617BD" w:rsidRPr="00D403F5">
        <w:rPr>
          <w:rFonts w:ascii="Times New Roman" w:hAnsi="Times New Roman" w:cs="Times New Roman"/>
          <w:sz w:val="18"/>
          <w:szCs w:val="18"/>
          <w:lang w:val="en-IE" w:eastAsia="fr-FR"/>
        </w:rPr>
        <w:t xml:space="preserve"> </w:t>
      </w:r>
      <w:bookmarkStart w:id="19" w:name="_Hlk21958177"/>
      <w:r w:rsidR="004617BD" w:rsidRPr="00D403F5">
        <w:rPr>
          <w:rFonts w:ascii="Times New Roman" w:hAnsi="Times New Roman" w:cs="Times New Roman"/>
          <w:sz w:val="18"/>
          <w:szCs w:val="18"/>
        </w:rPr>
        <w:t xml:space="preserve">and </w:t>
      </w:r>
      <w:r w:rsidR="00FB4929" w:rsidRPr="00D403F5">
        <w:rPr>
          <w:rFonts w:ascii="Times New Roman" w:hAnsi="Times New Roman" w:cs="Times New Roman"/>
          <w:sz w:val="18"/>
          <w:szCs w:val="18"/>
        </w:rPr>
        <w:t xml:space="preserve">are intended to </w:t>
      </w:r>
      <w:r w:rsidR="004617BD" w:rsidRPr="00D403F5">
        <w:rPr>
          <w:rFonts w:ascii="Times New Roman" w:hAnsi="Times New Roman" w:cs="Times New Roman"/>
          <w:sz w:val="18"/>
          <w:szCs w:val="18"/>
        </w:rPr>
        <w:t xml:space="preserve">be proposed for adoption at the 88th General Session in May 2020. </w:t>
      </w:r>
    </w:p>
    <w:bookmarkEnd w:id="19"/>
    <w:p w14:paraId="056615AF" w14:textId="500BEF89" w:rsidR="006C62A1" w:rsidRPr="00D403F5" w:rsidRDefault="001865CC" w:rsidP="001041C6">
      <w:pPr>
        <w:spacing w:after="240" w:line="240" w:lineRule="auto"/>
        <w:ind w:left="993" w:hanging="567"/>
        <w:jc w:val="both"/>
        <w:rPr>
          <w:rFonts w:ascii="Times New Roman" w:hAnsi="Times New Roman" w:cs="Times New Roman"/>
          <w:b/>
          <w:bCs/>
          <w:sz w:val="18"/>
          <w:szCs w:val="18"/>
          <w:lang w:val="en-IE"/>
        </w:rPr>
      </w:pPr>
      <w:r w:rsidRPr="00D403F5">
        <w:rPr>
          <w:rFonts w:ascii="Times New Roman" w:hAnsi="Times New Roman" w:cs="Times New Roman"/>
          <w:b/>
          <w:bCs/>
          <w:sz w:val="18"/>
          <w:szCs w:val="18"/>
          <w:lang w:val="en-IE"/>
        </w:rPr>
        <w:t>6.4.</w:t>
      </w:r>
      <w:r w:rsidR="006C62A1" w:rsidRPr="00D403F5">
        <w:rPr>
          <w:rFonts w:ascii="Times New Roman" w:hAnsi="Times New Roman" w:cs="Times New Roman"/>
          <w:b/>
          <w:bCs/>
          <w:sz w:val="18"/>
          <w:szCs w:val="18"/>
          <w:lang w:val="en-IE"/>
        </w:rPr>
        <w:tab/>
      </w:r>
      <w:r w:rsidR="006C62A1" w:rsidRPr="00D403F5">
        <w:rPr>
          <w:rFonts w:ascii="Times New Roman" w:hAnsi="Times New Roman" w:cs="Times New Roman"/>
          <w:b/>
          <w:sz w:val="18"/>
          <w:szCs w:val="18"/>
          <w:lang w:val="en"/>
        </w:rPr>
        <w:t>Article</w:t>
      </w:r>
      <w:r w:rsidR="006C62A1" w:rsidRPr="00D403F5">
        <w:rPr>
          <w:rFonts w:ascii="Times New Roman" w:hAnsi="Times New Roman" w:cs="Times New Roman"/>
          <w:b/>
          <w:bCs/>
          <w:sz w:val="18"/>
          <w:szCs w:val="18"/>
          <w:lang w:val="en-IE"/>
        </w:rPr>
        <w:t xml:space="preserve"> 10.10.2. </w:t>
      </w:r>
      <w:r w:rsidR="00680B1A" w:rsidRPr="00D403F5">
        <w:rPr>
          <w:rFonts w:ascii="Times New Roman" w:hAnsi="Times New Roman" w:cs="Times New Roman"/>
          <w:b/>
          <w:bCs/>
          <w:sz w:val="18"/>
          <w:szCs w:val="18"/>
          <w:lang w:val="en-IE"/>
        </w:rPr>
        <w:t xml:space="preserve">of </w:t>
      </w:r>
      <w:r w:rsidR="00DC6005" w:rsidRPr="00D403F5">
        <w:rPr>
          <w:rFonts w:ascii="Times New Roman" w:hAnsi="Times New Roman" w:cs="Times New Roman"/>
          <w:b/>
          <w:bCs/>
          <w:sz w:val="18"/>
          <w:szCs w:val="18"/>
          <w:lang w:val="en-IE"/>
        </w:rPr>
        <w:t>Chapter 10.10. I</w:t>
      </w:r>
      <w:r w:rsidR="006C62A1" w:rsidRPr="00D403F5">
        <w:rPr>
          <w:rFonts w:ascii="Times New Roman" w:hAnsi="Times New Roman" w:cs="Times New Roman"/>
          <w:b/>
          <w:bCs/>
          <w:sz w:val="18"/>
          <w:szCs w:val="18"/>
          <w:lang w:val="en-IE"/>
        </w:rPr>
        <w:t>nfection with viral haemorrhagic septicaemia virus</w:t>
      </w:r>
      <w:r w:rsidR="002A4991" w:rsidRPr="00D403F5">
        <w:rPr>
          <w:rFonts w:ascii="Times New Roman" w:hAnsi="Times New Roman" w:cs="Times New Roman"/>
          <w:b/>
          <w:bCs/>
          <w:sz w:val="18"/>
          <w:szCs w:val="18"/>
          <w:lang w:val="en-IE"/>
        </w:rPr>
        <w:t xml:space="preserve"> </w:t>
      </w:r>
    </w:p>
    <w:p w14:paraId="385A9D30" w14:textId="40B36F96" w:rsidR="00872C69" w:rsidRPr="00D403F5" w:rsidRDefault="00872C69" w:rsidP="001041C6">
      <w:pPr>
        <w:widowControl w:val="0"/>
        <w:suppressAutoHyphens/>
        <w:spacing w:after="240" w:line="240" w:lineRule="auto"/>
        <w:ind w:left="993"/>
        <w:jc w:val="both"/>
        <w:rPr>
          <w:rFonts w:ascii="Times New Roman" w:hAnsi="Times New Roman" w:cs="Times New Roman"/>
          <w:bCs/>
          <w:color w:val="000000" w:themeColor="text1"/>
          <w:sz w:val="18"/>
          <w:szCs w:val="18"/>
          <w:lang w:val="en-IE"/>
        </w:rPr>
      </w:pPr>
      <w:r w:rsidRPr="00D403F5">
        <w:rPr>
          <w:rFonts w:ascii="Times New Roman" w:hAnsi="Times New Roman" w:cs="Times New Roman"/>
          <w:color w:val="000000" w:themeColor="text1"/>
          <w:sz w:val="18"/>
          <w:szCs w:val="18"/>
          <w:lang w:val="en-IE"/>
        </w:rPr>
        <w:t xml:space="preserve">The Aquatic Animals Commission reviewed the report of the </w:t>
      </w:r>
      <w:r w:rsidRPr="00D403F5">
        <w:rPr>
          <w:rFonts w:ascii="Times New Roman" w:hAnsi="Times New Roman" w:cs="Times New Roman"/>
          <w:i/>
          <w:iCs/>
          <w:color w:val="000000" w:themeColor="text1"/>
          <w:sz w:val="18"/>
          <w:szCs w:val="18"/>
          <w:lang w:val="en-IE"/>
        </w:rPr>
        <w:t>ad hoc</w:t>
      </w:r>
      <w:r w:rsidRPr="00D403F5">
        <w:rPr>
          <w:rFonts w:ascii="Times New Roman" w:hAnsi="Times New Roman" w:cs="Times New Roman"/>
          <w:color w:val="000000" w:themeColor="text1"/>
          <w:sz w:val="18"/>
          <w:szCs w:val="18"/>
          <w:lang w:val="en-IE"/>
        </w:rPr>
        <w:t xml:space="preserve"> Group on </w:t>
      </w:r>
      <w:r w:rsidRPr="00D403F5">
        <w:rPr>
          <w:rFonts w:ascii="Times New Roman" w:eastAsia="Arial Unicode MS" w:hAnsi="Times New Roman" w:cs="Times New Roman"/>
          <w:bCs/>
          <w:color w:val="000000" w:themeColor="text1"/>
          <w:sz w:val="18"/>
          <w:szCs w:val="18"/>
          <w:u w:color="000000"/>
          <w:bdr w:val="nil"/>
          <w:lang w:val="en-IE" w:eastAsia="en-GB"/>
        </w:rPr>
        <w:t xml:space="preserve">Susceptibility of fish species to infection with OIE listed diseases </w:t>
      </w:r>
      <w:r w:rsidRPr="00D403F5">
        <w:rPr>
          <w:rFonts w:ascii="Times New Roman" w:eastAsia="Arial Unicode MS" w:hAnsi="Times New Roman" w:cs="Times New Roman"/>
          <w:bCs/>
          <w:color w:val="000000"/>
          <w:sz w:val="18"/>
          <w:szCs w:val="18"/>
          <w:u w:color="000000"/>
          <w:bdr w:val="nil"/>
          <w:lang w:val="en-US" w:eastAsia="en-GB"/>
        </w:rPr>
        <w:t>which had applied the criteria for listing species as susceptible to infection with a specific pathogen</w:t>
      </w:r>
      <w:r w:rsidR="00DC6005" w:rsidRPr="00D403F5">
        <w:rPr>
          <w:rFonts w:ascii="Times New Roman" w:eastAsia="Arial Unicode MS" w:hAnsi="Times New Roman" w:cs="Times New Roman"/>
          <w:bCs/>
          <w:color w:val="000000"/>
          <w:sz w:val="18"/>
          <w:szCs w:val="18"/>
          <w:u w:color="000000"/>
          <w:bdr w:val="nil"/>
          <w:lang w:val="en-US" w:eastAsia="en-GB"/>
        </w:rPr>
        <w:t>ic agent</w:t>
      </w:r>
      <w:r w:rsidRPr="00D403F5">
        <w:rPr>
          <w:rFonts w:ascii="Times New Roman" w:eastAsia="Arial Unicode MS" w:hAnsi="Times New Roman" w:cs="Times New Roman"/>
          <w:bCs/>
          <w:color w:val="000000"/>
          <w:sz w:val="18"/>
          <w:szCs w:val="18"/>
          <w:u w:color="000000"/>
          <w:bdr w:val="nil"/>
          <w:lang w:val="en-US" w:eastAsia="en-GB"/>
        </w:rPr>
        <w:t xml:space="preserve"> </w:t>
      </w:r>
      <w:r w:rsidR="006D69D9" w:rsidRPr="00D403F5">
        <w:rPr>
          <w:rFonts w:ascii="Times New Roman" w:eastAsia="Arial Unicode MS" w:hAnsi="Times New Roman" w:cs="Times New Roman"/>
          <w:bCs/>
          <w:color w:val="000000"/>
          <w:sz w:val="18"/>
          <w:szCs w:val="18"/>
          <w:u w:color="000000"/>
          <w:bdr w:val="nil"/>
          <w:lang w:val="en-US" w:eastAsia="en-GB"/>
        </w:rPr>
        <w:t xml:space="preserve">in </w:t>
      </w:r>
      <w:r w:rsidRPr="00D403F5">
        <w:rPr>
          <w:rFonts w:ascii="Times New Roman" w:eastAsia="Arial Unicode MS" w:hAnsi="Times New Roman" w:cs="Times New Roman"/>
          <w:bCs/>
          <w:color w:val="000000"/>
          <w:sz w:val="18"/>
          <w:szCs w:val="18"/>
          <w:u w:color="000000"/>
          <w:bdr w:val="nil"/>
          <w:lang w:val="en-US" w:eastAsia="en-GB"/>
        </w:rPr>
        <w:t>accord</w:t>
      </w:r>
      <w:r w:rsidR="006D69D9" w:rsidRPr="00D403F5">
        <w:rPr>
          <w:rFonts w:ascii="Times New Roman" w:eastAsia="Arial Unicode MS" w:hAnsi="Times New Roman" w:cs="Times New Roman"/>
          <w:bCs/>
          <w:color w:val="000000"/>
          <w:sz w:val="18"/>
          <w:szCs w:val="18"/>
          <w:u w:color="000000"/>
          <w:bdr w:val="nil"/>
          <w:lang w:val="en-US" w:eastAsia="en-GB"/>
        </w:rPr>
        <w:t>ance with</w:t>
      </w:r>
      <w:r w:rsidRPr="00D403F5">
        <w:rPr>
          <w:rFonts w:ascii="Times New Roman" w:eastAsia="Arial Unicode MS" w:hAnsi="Times New Roman" w:cs="Times New Roman"/>
          <w:bCs/>
          <w:color w:val="000000"/>
          <w:sz w:val="18"/>
          <w:szCs w:val="18"/>
          <w:u w:color="000000"/>
          <w:bdr w:val="nil"/>
          <w:lang w:val="en-US" w:eastAsia="en-GB"/>
        </w:rPr>
        <w:t xml:space="preserve"> Chapter 1.5</w:t>
      </w:r>
      <w:r w:rsidRPr="00D403F5">
        <w:rPr>
          <w:rFonts w:ascii="Times New Roman" w:eastAsia="Calibri" w:hAnsi="Times New Roman" w:cs="Times New Roman"/>
          <w:bCs/>
          <w:color w:val="000000"/>
          <w:sz w:val="18"/>
          <w:szCs w:val="18"/>
          <w:u w:color="0070C0"/>
          <w:bdr w:val="nil"/>
          <w:lang w:val="en-US" w:eastAsia="en-GB"/>
        </w:rPr>
        <w:t xml:space="preserve">. </w:t>
      </w:r>
      <w:r w:rsidRPr="00D403F5">
        <w:rPr>
          <w:rFonts w:ascii="Times New Roman" w:eastAsia="Arial Unicode MS" w:hAnsi="Times New Roman" w:cs="Times New Roman"/>
          <w:bCs/>
          <w:color w:val="000000" w:themeColor="text1"/>
          <w:sz w:val="18"/>
          <w:szCs w:val="18"/>
          <w:u w:color="000000"/>
          <w:bdr w:val="nil"/>
          <w:lang w:val="en-IE" w:eastAsia="en-GB"/>
        </w:rPr>
        <w:t xml:space="preserve">of the </w:t>
      </w:r>
      <w:r w:rsidRPr="00D403F5">
        <w:rPr>
          <w:rFonts w:ascii="Times New Roman" w:eastAsia="Arial Unicode MS" w:hAnsi="Times New Roman" w:cs="Times New Roman"/>
          <w:bCs/>
          <w:i/>
          <w:color w:val="000000" w:themeColor="text1"/>
          <w:sz w:val="18"/>
          <w:szCs w:val="18"/>
          <w:u w:color="000000"/>
          <w:bdr w:val="nil"/>
          <w:lang w:val="en-IE" w:eastAsia="en-GB"/>
        </w:rPr>
        <w:t>Aquatic Code</w:t>
      </w:r>
      <w:r w:rsidRPr="00D403F5">
        <w:rPr>
          <w:rFonts w:ascii="Times New Roman" w:eastAsia="Arial Unicode MS" w:hAnsi="Times New Roman" w:cs="Times New Roman"/>
          <w:i/>
          <w:color w:val="000000" w:themeColor="text1"/>
          <w:sz w:val="18"/>
          <w:szCs w:val="18"/>
          <w:u w:color="000000"/>
          <w:bdr w:val="nil"/>
          <w:lang w:val="en-IE" w:eastAsia="en-GB"/>
        </w:rPr>
        <w:t xml:space="preserve"> </w:t>
      </w:r>
      <w:r w:rsidRPr="00D403F5">
        <w:rPr>
          <w:rFonts w:ascii="Times New Roman" w:eastAsia="Arial Unicode MS" w:hAnsi="Times New Roman" w:cs="Times New Roman"/>
          <w:color w:val="000000" w:themeColor="text1"/>
          <w:sz w:val="18"/>
          <w:szCs w:val="18"/>
          <w:u w:color="000000"/>
          <w:bdr w:val="nil"/>
          <w:lang w:val="en-IE" w:eastAsia="en-GB"/>
        </w:rPr>
        <w:t>for</w:t>
      </w:r>
      <w:r w:rsidRPr="00D403F5">
        <w:rPr>
          <w:rFonts w:ascii="Times New Roman" w:eastAsia="Arial Unicode MS" w:hAnsi="Times New Roman" w:cs="Times New Roman"/>
          <w:bCs/>
          <w:color w:val="000000" w:themeColor="text1"/>
          <w:sz w:val="18"/>
          <w:szCs w:val="18"/>
          <w:u w:color="000000"/>
          <w:bdr w:val="nil"/>
          <w:lang w:val="en-IE" w:eastAsia="en-GB"/>
        </w:rPr>
        <w:t xml:space="preserve"> infection with viral haemorrhagic septicaemia virus (VHSV)</w:t>
      </w:r>
      <w:r w:rsidR="007B0BC7" w:rsidRPr="00D403F5">
        <w:rPr>
          <w:rFonts w:ascii="Times New Roman" w:eastAsia="Arial Unicode MS" w:hAnsi="Times New Roman" w:cs="Times New Roman"/>
          <w:bCs/>
          <w:color w:val="000000" w:themeColor="text1"/>
          <w:sz w:val="18"/>
          <w:szCs w:val="18"/>
          <w:u w:color="000000"/>
          <w:bdr w:val="nil"/>
          <w:lang w:val="en-IE" w:eastAsia="en-GB"/>
        </w:rPr>
        <w:t xml:space="preserve"> (see also </w:t>
      </w:r>
      <w:r w:rsidR="00E230FF" w:rsidRPr="00D403F5">
        <w:rPr>
          <w:rFonts w:ascii="Times New Roman" w:eastAsia="Arial Unicode MS" w:hAnsi="Times New Roman" w:cs="Times New Roman"/>
          <w:bCs/>
          <w:color w:val="000000" w:themeColor="text1"/>
          <w:sz w:val="18"/>
          <w:szCs w:val="18"/>
          <w:u w:val="single" w:color="000000"/>
          <w:bdr w:val="nil"/>
          <w:lang w:val="en-IE" w:eastAsia="en-GB"/>
        </w:rPr>
        <w:t>Annex 15</w:t>
      </w:r>
      <w:r w:rsidR="007B0BC7" w:rsidRPr="00D403F5">
        <w:rPr>
          <w:rFonts w:ascii="Times New Roman" w:eastAsia="Arial Unicode MS" w:hAnsi="Times New Roman" w:cs="Times New Roman"/>
          <w:bCs/>
          <w:color w:val="000000" w:themeColor="text1"/>
          <w:sz w:val="18"/>
          <w:szCs w:val="18"/>
          <w:u w:color="000000"/>
          <w:bdr w:val="nil"/>
          <w:lang w:val="en-IE" w:eastAsia="en-GB"/>
        </w:rPr>
        <w:t>)</w:t>
      </w:r>
      <w:r w:rsidRPr="00D403F5">
        <w:rPr>
          <w:rFonts w:ascii="Times New Roman" w:eastAsia="Arial Unicode MS" w:hAnsi="Times New Roman" w:cs="Times New Roman"/>
          <w:bCs/>
          <w:color w:val="000000"/>
          <w:sz w:val="18"/>
          <w:szCs w:val="18"/>
          <w:u w:color="000000"/>
          <w:bdr w:val="nil"/>
          <w:lang w:val="en-US" w:eastAsia="en-GB"/>
        </w:rPr>
        <w:t xml:space="preserve">. </w:t>
      </w:r>
    </w:p>
    <w:p w14:paraId="074D0046" w14:textId="54DFDB92" w:rsidR="00872C69" w:rsidRPr="00D403F5" w:rsidRDefault="00872C69" w:rsidP="001041C6">
      <w:pPr>
        <w:pStyle w:val="para2"/>
        <w:suppressAutoHyphens/>
        <w:ind w:left="993" w:firstLine="0"/>
        <w:rPr>
          <w:rFonts w:ascii="Times New Roman" w:hAnsi="Times New Roman" w:cs="Times New Roman"/>
          <w:b w:val="0"/>
          <w:color w:val="000000" w:themeColor="text1"/>
          <w:lang w:val="en-IE"/>
        </w:rPr>
      </w:pPr>
      <w:r w:rsidRPr="00D403F5">
        <w:rPr>
          <w:rFonts w:ascii="Times New Roman" w:eastAsiaTheme="minorHAnsi" w:hAnsi="Times New Roman" w:cs="Times New Roman"/>
          <w:b w:val="0"/>
          <w:color w:val="000000" w:themeColor="text1"/>
          <w:bdr w:val="none" w:sz="0" w:space="0" w:color="auto"/>
          <w:lang w:val="en-IE" w:eastAsia="en-US"/>
        </w:rPr>
        <w:t>The Commission reviewed the individual species assessments</w:t>
      </w:r>
      <w:r w:rsidR="004554D2" w:rsidRPr="00D403F5">
        <w:rPr>
          <w:rFonts w:ascii="Times New Roman" w:eastAsiaTheme="minorHAnsi" w:hAnsi="Times New Roman" w:cs="Times New Roman"/>
          <w:b w:val="0"/>
          <w:color w:val="000000" w:themeColor="text1"/>
          <w:bdr w:val="none" w:sz="0" w:space="0" w:color="auto"/>
          <w:lang w:val="en-IE" w:eastAsia="en-US"/>
        </w:rPr>
        <w:t xml:space="preserve"> </w:t>
      </w:r>
      <w:r w:rsidRPr="00D403F5">
        <w:rPr>
          <w:rFonts w:ascii="Times New Roman" w:eastAsiaTheme="minorHAnsi" w:hAnsi="Times New Roman" w:cs="Times New Roman"/>
          <w:b w:val="0"/>
          <w:color w:val="000000" w:themeColor="text1"/>
          <w:bdr w:val="none" w:sz="0" w:space="0" w:color="auto"/>
          <w:lang w:val="en-IE" w:eastAsia="en-US"/>
        </w:rPr>
        <w:t xml:space="preserve">and considered whether Article 1.5.9. </w:t>
      </w:r>
      <w:r w:rsidR="006D69D9" w:rsidRPr="00D403F5">
        <w:rPr>
          <w:rFonts w:ascii="Times New Roman" w:eastAsiaTheme="minorHAnsi" w:hAnsi="Times New Roman" w:cs="Times New Roman"/>
          <w:b w:val="0"/>
          <w:color w:val="000000" w:themeColor="text1"/>
          <w:bdr w:val="none" w:sz="0" w:space="0" w:color="auto"/>
          <w:lang w:val="en-IE" w:eastAsia="en-US"/>
        </w:rPr>
        <w:t>‘</w:t>
      </w:r>
      <w:r w:rsidRPr="00D403F5">
        <w:rPr>
          <w:rFonts w:ascii="Times New Roman" w:eastAsiaTheme="minorHAnsi" w:hAnsi="Times New Roman" w:cs="Times New Roman"/>
          <w:b w:val="0"/>
          <w:color w:val="000000" w:themeColor="text1"/>
          <w:bdr w:val="none" w:sz="0" w:space="0" w:color="auto"/>
          <w:lang w:val="en-IE" w:eastAsia="en-US"/>
        </w:rPr>
        <w:t>Listing susceptible species at a taxonomic ranking of Genus or higher</w:t>
      </w:r>
      <w:r w:rsidR="006D69D9" w:rsidRPr="00D403F5">
        <w:rPr>
          <w:rFonts w:ascii="Times New Roman" w:eastAsiaTheme="minorHAnsi" w:hAnsi="Times New Roman" w:cs="Times New Roman"/>
          <w:b w:val="0"/>
          <w:color w:val="000000" w:themeColor="text1"/>
          <w:bdr w:val="none" w:sz="0" w:space="0" w:color="auto"/>
          <w:lang w:val="en-IE" w:eastAsia="en-US"/>
        </w:rPr>
        <w:t>’</w:t>
      </w:r>
      <w:r w:rsidRPr="00D403F5">
        <w:rPr>
          <w:rFonts w:ascii="Times New Roman" w:eastAsiaTheme="minorHAnsi" w:hAnsi="Times New Roman" w:cs="Times New Roman"/>
          <w:b w:val="0"/>
          <w:color w:val="000000" w:themeColor="text1"/>
          <w:bdr w:val="none" w:sz="0" w:space="0" w:color="auto"/>
          <w:lang w:val="en-IE" w:eastAsia="en-US"/>
        </w:rPr>
        <w:t xml:space="preserve"> </w:t>
      </w:r>
      <w:r w:rsidR="00240100" w:rsidRPr="00D403F5">
        <w:rPr>
          <w:rFonts w:ascii="Times New Roman" w:eastAsiaTheme="minorHAnsi" w:hAnsi="Times New Roman" w:cs="Times New Roman"/>
          <w:b w:val="0"/>
          <w:color w:val="000000" w:themeColor="text1"/>
          <w:bdr w:val="none" w:sz="0" w:space="0" w:color="auto"/>
          <w:lang w:val="en-IE" w:eastAsia="en-US"/>
        </w:rPr>
        <w:t>should be applied</w:t>
      </w:r>
      <w:r w:rsidRPr="00D403F5">
        <w:rPr>
          <w:rFonts w:ascii="Times New Roman" w:eastAsiaTheme="minorHAnsi" w:hAnsi="Times New Roman" w:cs="Times New Roman"/>
          <w:b w:val="0"/>
          <w:color w:val="000000" w:themeColor="text1"/>
          <w:bdr w:val="none" w:sz="0" w:space="0" w:color="auto"/>
          <w:lang w:val="en-IE" w:eastAsia="en-US"/>
        </w:rPr>
        <w:t xml:space="preserve"> to infection with VHSV. </w:t>
      </w:r>
      <w:r w:rsidR="007F2550" w:rsidRPr="00D403F5">
        <w:rPr>
          <w:rFonts w:ascii="Times New Roman" w:hAnsi="Times New Roman" w:cs="Times New Roman"/>
          <w:b w:val="0"/>
          <w:bCs w:val="0"/>
          <w:color w:val="000000" w:themeColor="text1"/>
          <w:lang w:val="en-IE"/>
        </w:rPr>
        <w:t xml:space="preserve">It was </w:t>
      </w:r>
      <w:r w:rsidR="0024286A" w:rsidRPr="00D403F5">
        <w:rPr>
          <w:rFonts w:ascii="Times New Roman" w:hAnsi="Times New Roman" w:cs="Times New Roman"/>
          <w:b w:val="0"/>
          <w:bCs w:val="0"/>
          <w:color w:val="000000" w:themeColor="text1"/>
          <w:lang w:val="en-IE"/>
        </w:rPr>
        <w:t>noted that there are numerous susceptible species within many taxonomic groups</w:t>
      </w:r>
      <w:r w:rsidR="000413B1" w:rsidRPr="00D403F5">
        <w:rPr>
          <w:rFonts w:ascii="Times New Roman" w:hAnsi="Times New Roman" w:cs="Times New Roman"/>
          <w:b w:val="0"/>
          <w:bCs w:val="0"/>
          <w:color w:val="000000" w:themeColor="text1"/>
          <w:lang w:val="en-IE"/>
        </w:rPr>
        <w:t xml:space="preserve">, including </w:t>
      </w:r>
      <w:r w:rsidR="00240100" w:rsidRPr="00D403F5">
        <w:rPr>
          <w:rFonts w:ascii="Times New Roman" w:hAnsi="Times New Roman" w:cs="Times New Roman"/>
          <w:b w:val="0"/>
          <w:bCs w:val="0"/>
          <w:color w:val="000000" w:themeColor="text1"/>
          <w:lang w:val="en-IE"/>
        </w:rPr>
        <w:t>some diverse taxonomic groups with few species found susceptible to VHSV</w:t>
      </w:r>
      <w:r w:rsidR="0024286A" w:rsidRPr="00D403F5">
        <w:rPr>
          <w:rFonts w:ascii="Times New Roman" w:hAnsi="Times New Roman" w:cs="Times New Roman"/>
          <w:b w:val="0"/>
          <w:bCs w:val="0"/>
          <w:color w:val="000000" w:themeColor="text1"/>
          <w:lang w:val="en-IE"/>
        </w:rPr>
        <w:t xml:space="preserve">. </w:t>
      </w:r>
      <w:r w:rsidR="000413B1" w:rsidRPr="00D403F5">
        <w:rPr>
          <w:rFonts w:ascii="Times New Roman" w:hAnsi="Times New Roman" w:cs="Times New Roman"/>
          <w:b w:val="0"/>
          <w:color w:val="000000" w:themeColor="text1"/>
          <w:lang w:val="en-IE"/>
        </w:rPr>
        <w:t xml:space="preserve">The </w:t>
      </w:r>
      <w:r w:rsidR="00575C8F" w:rsidRPr="00D403F5">
        <w:rPr>
          <w:rFonts w:ascii="Times New Roman" w:hAnsi="Times New Roman" w:cs="Times New Roman"/>
          <w:b w:val="0"/>
          <w:color w:val="000000" w:themeColor="text1"/>
          <w:lang w:val="en-IE"/>
        </w:rPr>
        <w:t xml:space="preserve">Commission acknowledged that the geographic distribution of </w:t>
      </w:r>
      <w:r w:rsidR="00BC1CA3" w:rsidRPr="00D403F5">
        <w:rPr>
          <w:rFonts w:ascii="Times New Roman" w:hAnsi="Times New Roman" w:cs="Times New Roman"/>
          <w:b w:val="0"/>
          <w:color w:val="000000" w:themeColor="text1"/>
          <w:lang w:val="en-IE"/>
        </w:rPr>
        <w:t xml:space="preserve">multiple </w:t>
      </w:r>
      <w:r w:rsidR="00575C8F" w:rsidRPr="00D403F5">
        <w:rPr>
          <w:rFonts w:ascii="Times New Roman" w:hAnsi="Times New Roman" w:cs="Times New Roman"/>
          <w:b w:val="0"/>
          <w:color w:val="000000" w:themeColor="text1"/>
          <w:lang w:val="en-IE"/>
        </w:rPr>
        <w:t xml:space="preserve">VHSV genotypes </w:t>
      </w:r>
      <w:r w:rsidR="00BC1CA3" w:rsidRPr="00D403F5">
        <w:rPr>
          <w:rFonts w:ascii="Times New Roman" w:hAnsi="Times New Roman" w:cs="Times New Roman"/>
          <w:b w:val="0"/>
          <w:color w:val="000000" w:themeColor="text1"/>
          <w:lang w:val="en-IE"/>
        </w:rPr>
        <w:t xml:space="preserve">combined with </w:t>
      </w:r>
      <w:r w:rsidR="00240100" w:rsidRPr="00D403F5">
        <w:rPr>
          <w:rFonts w:ascii="Times New Roman" w:hAnsi="Times New Roman" w:cs="Times New Roman"/>
          <w:b w:val="0"/>
          <w:color w:val="000000" w:themeColor="text1"/>
          <w:lang w:val="en-IE"/>
        </w:rPr>
        <w:t xml:space="preserve">the diversity of </w:t>
      </w:r>
      <w:r w:rsidR="00575C8F" w:rsidRPr="00D403F5">
        <w:rPr>
          <w:rFonts w:ascii="Times New Roman" w:hAnsi="Times New Roman" w:cs="Times New Roman"/>
          <w:b w:val="0"/>
          <w:color w:val="000000" w:themeColor="text1"/>
          <w:lang w:val="en-IE"/>
        </w:rPr>
        <w:t xml:space="preserve">susceptible host species </w:t>
      </w:r>
      <w:r w:rsidR="00240100" w:rsidRPr="00D403F5">
        <w:rPr>
          <w:rFonts w:ascii="Times New Roman" w:hAnsi="Times New Roman" w:cs="Times New Roman"/>
          <w:b w:val="0"/>
          <w:color w:val="000000" w:themeColor="text1"/>
          <w:lang w:val="en-IE"/>
        </w:rPr>
        <w:t xml:space="preserve">across disparate </w:t>
      </w:r>
      <w:r w:rsidR="00240100" w:rsidRPr="00D403F5">
        <w:rPr>
          <w:rFonts w:ascii="Times New Roman" w:hAnsi="Times New Roman" w:cs="Times New Roman"/>
          <w:b w:val="0"/>
          <w:bCs w:val="0"/>
          <w:color w:val="000000" w:themeColor="text1"/>
          <w:lang w:val="en-IE"/>
        </w:rPr>
        <w:t>taxonomic groups (including representatives of several classes of</w:t>
      </w:r>
      <w:r w:rsidR="00BC1CA3" w:rsidRPr="00D403F5">
        <w:rPr>
          <w:rFonts w:ascii="Times New Roman" w:hAnsi="Times New Roman" w:cs="Times New Roman"/>
          <w:b w:val="0"/>
          <w:bCs w:val="0"/>
          <w:color w:val="000000" w:themeColor="text1"/>
          <w:lang w:val="en-IE"/>
        </w:rPr>
        <w:t xml:space="preserve"> fishes</w:t>
      </w:r>
      <w:r w:rsidR="00240100" w:rsidRPr="00D403F5">
        <w:rPr>
          <w:rFonts w:ascii="Times New Roman" w:hAnsi="Times New Roman" w:cs="Times New Roman"/>
          <w:b w:val="0"/>
          <w:bCs w:val="0"/>
          <w:color w:val="000000" w:themeColor="text1"/>
          <w:lang w:val="en-IE"/>
        </w:rPr>
        <w:t xml:space="preserve">) </w:t>
      </w:r>
      <w:r w:rsidR="00026F65" w:rsidRPr="00D403F5">
        <w:rPr>
          <w:rFonts w:ascii="Times New Roman" w:hAnsi="Times New Roman" w:cs="Times New Roman"/>
          <w:b w:val="0"/>
          <w:color w:val="000000" w:themeColor="text1"/>
          <w:lang w:val="en-IE"/>
        </w:rPr>
        <w:t>contributed</w:t>
      </w:r>
      <w:r w:rsidR="00BC1CA3" w:rsidRPr="00D403F5">
        <w:rPr>
          <w:rFonts w:ascii="Times New Roman" w:hAnsi="Times New Roman" w:cs="Times New Roman"/>
          <w:b w:val="0"/>
          <w:color w:val="000000" w:themeColor="text1"/>
          <w:lang w:val="en-IE"/>
        </w:rPr>
        <w:t xml:space="preserve"> significant </w:t>
      </w:r>
      <w:r w:rsidR="00575C8F" w:rsidRPr="00D403F5">
        <w:rPr>
          <w:rFonts w:ascii="Times New Roman" w:hAnsi="Times New Roman" w:cs="Times New Roman"/>
          <w:b w:val="0"/>
          <w:color w:val="000000" w:themeColor="text1"/>
          <w:lang w:val="en-IE"/>
        </w:rPr>
        <w:t>complex</w:t>
      </w:r>
      <w:r w:rsidR="00BC1CA3" w:rsidRPr="00D403F5">
        <w:rPr>
          <w:rFonts w:ascii="Times New Roman" w:hAnsi="Times New Roman" w:cs="Times New Roman"/>
          <w:b w:val="0"/>
          <w:color w:val="000000" w:themeColor="text1"/>
          <w:lang w:val="en-IE"/>
        </w:rPr>
        <w:t>ity</w:t>
      </w:r>
      <w:r w:rsidR="00575C8F" w:rsidRPr="00D403F5">
        <w:rPr>
          <w:rFonts w:ascii="Times New Roman" w:hAnsi="Times New Roman" w:cs="Times New Roman"/>
          <w:b w:val="0"/>
          <w:color w:val="000000" w:themeColor="text1"/>
          <w:lang w:val="en-IE"/>
        </w:rPr>
        <w:t xml:space="preserve">. </w:t>
      </w:r>
      <w:r w:rsidR="00FD6E92" w:rsidRPr="00D403F5">
        <w:rPr>
          <w:rFonts w:ascii="Times New Roman" w:hAnsi="Times New Roman" w:cs="Times New Roman"/>
          <w:b w:val="0"/>
          <w:color w:val="000000" w:themeColor="text1"/>
          <w:lang w:val="en-IE"/>
        </w:rPr>
        <w:t>I</w:t>
      </w:r>
      <w:r w:rsidR="009441B0" w:rsidRPr="00D403F5">
        <w:rPr>
          <w:rFonts w:ascii="Times New Roman" w:hAnsi="Times New Roman" w:cs="Times New Roman"/>
          <w:b w:val="0"/>
          <w:bCs w:val="0"/>
          <w:color w:val="000000" w:themeColor="text1"/>
          <w:lang w:val="en-IE"/>
        </w:rPr>
        <w:t xml:space="preserve">n consideration of these issues, the Commission agreed that it </w:t>
      </w:r>
      <w:r w:rsidR="00026F65" w:rsidRPr="00D403F5">
        <w:rPr>
          <w:rFonts w:ascii="Times New Roman" w:hAnsi="Times New Roman" w:cs="Times New Roman"/>
          <w:b w:val="0"/>
          <w:bCs w:val="0"/>
          <w:color w:val="000000" w:themeColor="text1"/>
          <w:lang w:val="en-IE"/>
        </w:rPr>
        <w:t xml:space="preserve">would </w:t>
      </w:r>
      <w:r w:rsidR="009441B0" w:rsidRPr="00D403F5">
        <w:rPr>
          <w:rFonts w:ascii="Times New Roman" w:hAnsi="Times New Roman" w:cs="Times New Roman"/>
          <w:b w:val="0"/>
          <w:bCs w:val="0"/>
          <w:color w:val="000000" w:themeColor="text1"/>
          <w:lang w:val="en-IE"/>
        </w:rPr>
        <w:t xml:space="preserve">not </w:t>
      </w:r>
      <w:r w:rsidR="00026F65" w:rsidRPr="00D403F5">
        <w:rPr>
          <w:rFonts w:ascii="Times New Roman" w:hAnsi="Times New Roman" w:cs="Times New Roman"/>
          <w:b w:val="0"/>
          <w:bCs w:val="0"/>
          <w:color w:val="000000" w:themeColor="text1"/>
          <w:lang w:val="en-IE"/>
        </w:rPr>
        <w:t xml:space="preserve">be </w:t>
      </w:r>
      <w:r w:rsidR="009441B0" w:rsidRPr="00D403F5">
        <w:rPr>
          <w:rFonts w:ascii="Times New Roman" w:hAnsi="Times New Roman" w:cs="Times New Roman"/>
          <w:b w:val="0"/>
          <w:bCs w:val="0"/>
          <w:color w:val="000000" w:themeColor="text1"/>
          <w:lang w:val="en-IE"/>
        </w:rPr>
        <w:t xml:space="preserve">appropriate </w:t>
      </w:r>
      <w:r w:rsidR="004554D2" w:rsidRPr="00D403F5">
        <w:rPr>
          <w:rFonts w:ascii="Times New Roman" w:hAnsi="Times New Roman" w:cs="Times New Roman"/>
          <w:b w:val="0"/>
          <w:bCs w:val="0"/>
          <w:color w:val="000000" w:themeColor="text1"/>
          <w:lang w:val="en-IE"/>
        </w:rPr>
        <w:t>to apply the criteria in Article 1.5.9.</w:t>
      </w:r>
      <w:r w:rsidR="009441B0" w:rsidRPr="00D403F5">
        <w:rPr>
          <w:rFonts w:ascii="Times New Roman" w:hAnsi="Times New Roman" w:cs="Times New Roman"/>
          <w:b w:val="0"/>
          <w:bCs w:val="0"/>
          <w:color w:val="000000" w:themeColor="text1"/>
          <w:lang w:val="en-IE"/>
        </w:rPr>
        <w:t xml:space="preserve"> </w:t>
      </w:r>
      <w:r w:rsidR="006D69D9" w:rsidRPr="00D403F5">
        <w:rPr>
          <w:rFonts w:ascii="Times New Roman" w:hAnsi="Times New Roman" w:cs="Times New Roman"/>
          <w:b w:val="0"/>
          <w:bCs w:val="0"/>
          <w:color w:val="000000" w:themeColor="text1"/>
          <w:lang w:val="en-IE"/>
        </w:rPr>
        <w:t>‘</w:t>
      </w:r>
      <w:r w:rsidR="00FD6E92" w:rsidRPr="00D403F5">
        <w:rPr>
          <w:rFonts w:ascii="Times New Roman" w:hAnsi="Times New Roman" w:cs="Times New Roman"/>
          <w:b w:val="0"/>
          <w:bCs w:val="0"/>
          <w:color w:val="000000" w:themeColor="text1"/>
          <w:lang w:val="en-IE"/>
        </w:rPr>
        <w:t>Listing susceptible species at a taxonomic ranking of Genus or higher</w:t>
      </w:r>
      <w:r w:rsidR="006D69D9" w:rsidRPr="00D403F5">
        <w:rPr>
          <w:rFonts w:ascii="Times New Roman" w:hAnsi="Times New Roman" w:cs="Times New Roman"/>
          <w:b w:val="0"/>
          <w:bCs w:val="0"/>
          <w:color w:val="000000" w:themeColor="text1"/>
          <w:lang w:val="en-IE"/>
        </w:rPr>
        <w:t>’</w:t>
      </w:r>
      <w:r w:rsidR="00FD6E92" w:rsidRPr="00D403F5">
        <w:rPr>
          <w:rFonts w:ascii="Times New Roman" w:hAnsi="Times New Roman" w:cs="Times New Roman"/>
          <w:b w:val="0"/>
          <w:bCs w:val="0"/>
          <w:color w:val="000000" w:themeColor="text1"/>
          <w:lang w:val="en-IE"/>
        </w:rPr>
        <w:t xml:space="preserve"> </w:t>
      </w:r>
      <w:r w:rsidR="009441B0" w:rsidRPr="00D403F5">
        <w:rPr>
          <w:rFonts w:ascii="Times New Roman" w:hAnsi="Times New Roman" w:cs="Times New Roman"/>
          <w:b w:val="0"/>
          <w:bCs w:val="0"/>
          <w:color w:val="000000" w:themeColor="text1"/>
          <w:lang w:val="en-IE"/>
        </w:rPr>
        <w:t xml:space="preserve">to </w:t>
      </w:r>
      <w:r w:rsidR="007F2550" w:rsidRPr="00D403F5">
        <w:rPr>
          <w:rFonts w:ascii="Times New Roman" w:hAnsi="Times New Roman" w:cs="Times New Roman"/>
          <w:b w:val="0"/>
          <w:bCs w:val="0"/>
          <w:color w:val="000000" w:themeColor="text1"/>
          <w:lang w:val="en-IE"/>
        </w:rPr>
        <w:t xml:space="preserve">infection with </w:t>
      </w:r>
      <w:r w:rsidR="009441B0" w:rsidRPr="00D403F5">
        <w:rPr>
          <w:rFonts w:ascii="Times New Roman" w:hAnsi="Times New Roman" w:cs="Times New Roman"/>
          <w:b w:val="0"/>
          <w:bCs w:val="0"/>
          <w:color w:val="000000" w:themeColor="text1"/>
          <w:lang w:val="en-IE"/>
        </w:rPr>
        <w:t>VHSV.</w:t>
      </w:r>
      <w:r w:rsidR="004554D2" w:rsidRPr="00D403F5">
        <w:rPr>
          <w:rFonts w:ascii="Times New Roman" w:hAnsi="Times New Roman" w:cs="Times New Roman"/>
          <w:b w:val="0"/>
          <w:bCs w:val="0"/>
          <w:color w:val="000000" w:themeColor="text1"/>
          <w:lang w:val="en-IE"/>
        </w:rPr>
        <w:t xml:space="preserve"> </w:t>
      </w:r>
    </w:p>
    <w:p w14:paraId="30103BFF" w14:textId="298DBA58" w:rsidR="006D69D9" w:rsidRPr="00D403F5" w:rsidRDefault="00872C69" w:rsidP="001041C6">
      <w:pPr>
        <w:pStyle w:val="para2"/>
        <w:suppressAutoHyphens/>
        <w:ind w:left="993" w:firstLine="0"/>
        <w:rPr>
          <w:rFonts w:ascii="Times New Roman" w:hAnsi="Times New Roman" w:cs="Times New Roman"/>
          <w:b w:val="0"/>
        </w:rPr>
      </w:pPr>
      <w:r w:rsidRPr="00D403F5">
        <w:rPr>
          <w:rFonts w:ascii="Times New Roman" w:hAnsi="Times New Roman" w:cs="Times New Roman"/>
          <w:b w:val="0"/>
        </w:rPr>
        <w:t xml:space="preserve">The Commission agreed to amend the </w:t>
      </w:r>
      <w:r w:rsidRPr="00D403F5">
        <w:rPr>
          <w:rFonts w:ascii="Times New Roman" w:hAnsi="Times New Roman" w:cs="Times New Roman"/>
          <w:b w:val="0"/>
          <w:u w:color="0070C0"/>
        </w:rPr>
        <w:t xml:space="preserve">list of susceptible species in Article 10.10.2. </w:t>
      </w:r>
      <w:r w:rsidRPr="00D403F5">
        <w:rPr>
          <w:rFonts w:ascii="Times New Roman" w:hAnsi="Times New Roman" w:cs="Times New Roman"/>
          <w:b w:val="0"/>
          <w:lang w:val="en-IE"/>
        </w:rPr>
        <w:t xml:space="preserve">in line with recommendations made by the </w:t>
      </w:r>
      <w:r w:rsidRPr="00D403F5">
        <w:rPr>
          <w:rFonts w:ascii="Times New Roman" w:hAnsi="Times New Roman" w:cs="Times New Roman"/>
          <w:b w:val="0"/>
          <w:i/>
        </w:rPr>
        <w:t>ad hoc</w:t>
      </w:r>
      <w:r w:rsidRPr="00D403F5">
        <w:rPr>
          <w:rFonts w:ascii="Times New Roman" w:hAnsi="Times New Roman" w:cs="Times New Roman"/>
          <w:b w:val="0"/>
        </w:rPr>
        <w:t xml:space="preserve"> Group. </w:t>
      </w:r>
      <w:r w:rsidR="004554D2" w:rsidRPr="00D403F5">
        <w:rPr>
          <w:rFonts w:ascii="Times New Roman" w:hAnsi="Times New Roman" w:cs="Times New Roman"/>
          <w:b w:val="0"/>
        </w:rPr>
        <w:t xml:space="preserve">It noted that of the </w:t>
      </w:r>
      <w:r w:rsidR="00741F33" w:rsidRPr="00D403F5">
        <w:rPr>
          <w:rFonts w:ascii="Times New Roman" w:hAnsi="Times New Roman" w:cs="Times New Roman"/>
          <w:b w:val="0"/>
        </w:rPr>
        <w:t xml:space="preserve">12 </w:t>
      </w:r>
      <w:r w:rsidRPr="00D403F5">
        <w:rPr>
          <w:rFonts w:ascii="Times New Roman" w:hAnsi="Times New Roman" w:cs="Times New Roman"/>
          <w:b w:val="0"/>
        </w:rPr>
        <w:t xml:space="preserve">species currently listed in Article 10.10.2. </w:t>
      </w:r>
      <w:r w:rsidR="004554D2" w:rsidRPr="00D403F5">
        <w:rPr>
          <w:rFonts w:ascii="Times New Roman" w:hAnsi="Times New Roman" w:cs="Times New Roman"/>
          <w:b w:val="0"/>
        </w:rPr>
        <w:t xml:space="preserve">as susceptible to infection with VHSV, </w:t>
      </w:r>
      <w:r w:rsidR="00741F33" w:rsidRPr="00D403F5">
        <w:rPr>
          <w:rFonts w:ascii="Times New Roman" w:hAnsi="Times New Roman" w:cs="Times New Roman"/>
          <w:b w:val="0"/>
        </w:rPr>
        <w:t>two specie</w:t>
      </w:r>
      <w:r w:rsidR="00FF5A86" w:rsidRPr="00D403F5">
        <w:rPr>
          <w:rFonts w:ascii="Times New Roman" w:hAnsi="Times New Roman" w:cs="Times New Roman"/>
          <w:b w:val="0"/>
        </w:rPr>
        <w:t>s</w:t>
      </w:r>
      <w:r w:rsidR="00741F33" w:rsidRPr="00D403F5">
        <w:rPr>
          <w:rFonts w:ascii="Times New Roman" w:hAnsi="Times New Roman" w:cs="Times New Roman"/>
          <w:b w:val="0"/>
        </w:rPr>
        <w:t xml:space="preserve">, </w:t>
      </w:r>
      <w:r w:rsidR="009E3149" w:rsidRPr="00D403F5">
        <w:rPr>
          <w:rFonts w:ascii="Times New Roman" w:hAnsi="Times New Roman" w:cs="Times New Roman"/>
          <w:b w:val="0"/>
        </w:rPr>
        <w:t>h</w:t>
      </w:r>
      <w:r w:rsidRPr="00D403F5">
        <w:rPr>
          <w:rFonts w:ascii="Times New Roman" w:hAnsi="Times New Roman" w:cs="Times New Roman"/>
          <w:b w:val="0"/>
        </w:rPr>
        <w:t>addock (</w:t>
      </w:r>
      <w:r w:rsidRPr="00D403F5">
        <w:rPr>
          <w:rFonts w:ascii="Times New Roman" w:hAnsi="Times New Roman" w:cs="Times New Roman"/>
          <w:b w:val="0"/>
          <w:i/>
          <w:iCs/>
        </w:rPr>
        <w:t>Gadus aeglefinus</w:t>
      </w:r>
      <w:r w:rsidRPr="00D403F5">
        <w:rPr>
          <w:rFonts w:ascii="Times New Roman" w:hAnsi="Times New Roman" w:cs="Times New Roman"/>
          <w:b w:val="0"/>
        </w:rPr>
        <w:t>) and rockling (</w:t>
      </w:r>
      <w:r w:rsidRPr="00D403F5">
        <w:rPr>
          <w:rFonts w:ascii="Times New Roman" w:hAnsi="Times New Roman" w:cs="Times New Roman"/>
          <w:b w:val="0"/>
          <w:i/>
          <w:iCs/>
        </w:rPr>
        <w:t>Onos mustelus</w:t>
      </w:r>
      <w:r w:rsidRPr="00D403F5">
        <w:rPr>
          <w:rFonts w:ascii="Times New Roman" w:hAnsi="Times New Roman" w:cs="Times New Roman"/>
          <w:b w:val="0"/>
        </w:rPr>
        <w:t>)</w:t>
      </w:r>
      <w:r w:rsidR="00FF5A86" w:rsidRPr="00D403F5">
        <w:rPr>
          <w:rFonts w:ascii="Times New Roman" w:hAnsi="Times New Roman" w:cs="Times New Roman"/>
          <w:b w:val="0"/>
        </w:rPr>
        <w:t>,</w:t>
      </w:r>
      <w:r w:rsidRPr="00D403F5">
        <w:rPr>
          <w:rFonts w:ascii="Times New Roman" w:hAnsi="Times New Roman" w:cs="Times New Roman"/>
          <w:b w:val="0"/>
        </w:rPr>
        <w:t xml:space="preserve"> did not meet the criteria for listing as a susceptible species </w:t>
      </w:r>
      <w:r w:rsidR="004554D2" w:rsidRPr="00D403F5">
        <w:rPr>
          <w:rFonts w:ascii="Times New Roman" w:hAnsi="Times New Roman" w:cs="Times New Roman"/>
          <w:b w:val="0"/>
        </w:rPr>
        <w:t xml:space="preserve">and </w:t>
      </w:r>
      <w:r w:rsidRPr="00D403F5">
        <w:rPr>
          <w:rFonts w:ascii="Times New Roman" w:hAnsi="Times New Roman" w:cs="Times New Roman"/>
          <w:b w:val="0"/>
        </w:rPr>
        <w:t xml:space="preserve">would be deleted from Article 10.10.2. </w:t>
      </w:r>
      <w:r w:rsidR="00CB5896" w:rsidRPr="00D403F5">
        <w:rPr>
          <w:rFonts w:ascii="Times New Roman" w:hAnsi="Times New Roman" w:cs="Times New Roman"/>
          <w:b w:val="0"/>
        </w:rPr>
        <w:t xml:space="preserve">In addition, </w:t>
      </w:r>
      <w:r w:rsidR="004268AF" w:rsidRPr="00D403F5">
        <w:rPr>
          <w:rFonts w:ascii="Times New Roman" w:hAnsi="Times New Roman" w:cs="Times New Roman"/>
          <w:b w:val="0"/>
        </w:rPr>
        <w:t xml:space="preserve">61 </w:t>
      </w:r>
      <w:r w:rsidR="00CB5896" w:rsidRPr="00D403F5">
        <w:rPr>
          <w:rFonts w:ascii="Times New Roman" w:hAnsi="Times New Roman" w:cs="Times New Roman"/>
          <w:b w:val="0"/>
        </w:rPr>
        <w:t>new susceptible species met the criteria for listing as a susceptible species and would be added to Article 10.10.2.</w:t>
      </w:r>
    </w:p>
    <w:p w14:paraId="6A6151BB" w14:textId="4B14B44C" w:rsidR="00575C8F" w:rsidRPr="00D403F5" w:rsidRDefault="00575C8F" w:rsidP="001041C6">
      <w:pPr>
        <w:pStyle w:val="para2"/>
        <w:suppressAutoHyphens/>
        <w:ind w:left="993" w:firstLine="0"/>
        <w:rPr>
          <w:rFonts w:ascii="Times New Roman" w:hAnsi="Times New Roman" w:cs="Times New Roman"/>
          <w:b w:val="0"/>
          <w:lang w:val="en-GB"/>
        </w:rPr>
      </w:pPr>
      <w:r w:rsidRPr="00D403F5">
        <w:rPr>
          <w:rFonts w:ascii="Times New Roman" w:hAnsi="Times New Roman" w:cs="Times New Roman"/>
          <w:b w:val="0"/>
          <w:lang w:val="en-GB"/>
        </w:rPr>
        <w:t xml:space="preserve">The Commission recognised that systematic analysis of the available scientific literature using the criteria in Chapter 1 .5. for </w:t>
      </w:r>
      <w:r w:rsidR="00BF14CE" w:rsidRPr="00D403F5">
        <w:rPr>
          <w:rFonts w:ascii="Times New Roman" w:hAnsi="Times New Roman" w:cs="Times New Roman"/>
          <w:b w:val="0"/>
          <w:lang w:val="en-GB"/>
        </w:rPr>
        <w:t xml:space="preserve">infection with </w:t>
      </w:r>
      <w:r w:rsidRPr="00D403F5">
        <w:rPr>
          <w:rFonts w:ascii="Times New Roman" w:hAnsi="Times New Roman" w:cs="Times New Roman"/>
          <w:b w:val="0"/>
          <w:lang w:val="en-GB"/>
        </w:rPr>
        <w:t>VHSV has resulted in a significant expansion of the number of susceptible species from 12 to 71. The Commission considered this demonstrat</w:t>
      </w:r>
      <w:r w:rsidR="0005091E" w:rsidRPr="00D403F5">
        <w:rPr>
          <w:rFonts w:ascii="Times New Roman" w:hAnsi="Times New Roman" w:cs="Times New Roman"/>
          <w:b w:val="0"/>
          <w:lang w:val="en-GB"/>
        </w:rPr>
        <w:t>ed</w:t>
      </w:r>
      <w:r w:rsidRPr="00D403F5">
        <w:rPr>
          <w:rFonts w:ascii="Times New Roman" w:hAnsi="Times New Roman" w:cs="Times New Roman"/>
          <w:b w:val="0"/>
          <w:lang w:val="en-GB"/>
        </w:rPr>
        <w:t xml:space="preserve"> the importance of applying these criteria to ensure </w:t>
      </w:r>
      <w:r w:rsidR="0005091E" w:rsidRPr="00D403F5">
        <w:rPr>
          <w:rFonts w:ascii="Times New Roman" w:hAnsi="Times New Roman" w:cs="Times New Roman"/>
          <w:b w:val="0"/>
          <w:lang w:val="en-GB"/>
        </w:rPr>
        <w:t xml:space="preserve">an </w:t>
      </w:r>
      <w:r w:rsidRPr="00D403F5">
        <w:rPr>
          <w:rFonts w:ascii="Times New Roman" w:hAnsi="Times New Roman" w:cs="Times New Roman"/>
          <w:b w:val="0"/>
          <w:lang w:val="en-GB"/>
        </w:rPr>
        <w:t xml:space="preserve">appropriate </w:t>
      </w:r>
      <w:r w:rsidR="0005091E" w:rsidRPr="00D403F5">
        <w:rPr>
          <w:rFonts w:ascii="Times New Roman" w:hAnsi="Times New Roman" w:cs="Times New Roman"/>
          <w:b w:val="0"/>
          <w:lang w:val="en-GB"/>
        </w:rPr>
        <w:t xml:space="preserve">scope of </w:t>
      </w:r>
      <w:r w:rsidRPr="00D403F5">
        <w:rPr>
          <w:rFonts w:ascii="Times New Roman" w:hAnsi="Times New Roman" w:cs="Times New Roman"/>
          <w:b w:val="0"/>
          <w:lang w:val="en-GB"/>
        </w:rPr>
        <w:t xml:space="preserve">application of sanitary standards in the </w:t>
      </w:r>
      <w:r w:rsidRPr="00D403F5">
        <w:rPr>
          <w:rFonts w:ascii="Times New Roman" w:hAnsi="Times New Roman" w:cs="Times New Roman"/>
          <w:b w:val="0"/>
          <w:i/>
          <w:lang w:val="en-GB"/>
        </w:rPr>
        <w:t>Aquatic Code</w:t>
      </w:r>
      <w:r w:rsidRPr="00D403F5">
        <w:rPr>
          <w:rFonts w:ascii="Times New Roman" w:hAnsi="Times New Roman" w:cs="Times New Roman"/>
          <w:b w:val="0"/>
          <w:lang w:val="en-GB"/>
        </w:rPr>
        <w:t>.</w:t>
      </w:r>
    </w:p>
    <w:p w14:paraId="4C7372D9" w14:textId="3D328C86" w:rsidR="00AE4864" w:rsidRPr="00D403F5" w:rsidRDefault="00AE4864" w:rsidP="001041C6">
      <w:pPr>
        <w:pStyle w:val="para2"/>
        <w:suppressAutoHyphens/>
        <w:ind w:left="993" w:firstLine="0"/>
        <w:rPr>
          <w:rFonts w:ascii="Times New Roman" w:hAnsi="Times New Roman" w:cs="Times New Roman"/>
          <w:b w:val="0"/>
        </w:rPr>
      </w:pPr>
      <w:r w:rsidRPr="00D403F5">
        <w:rPr>
          <w:rFonts w:ascii="Times New Roman" w:hAnsi="Times New Roman" w:cs="Times New Roman"/>
          <w:b w:val="0"/>
        </w:rPr>
        <w:t xml:space="preserve">The Commission noted that the considerable inconsistency in the lists of susceptible species </w:t>
      </w:r>
      <w:r w:rsidR="007F2550" w:rsidRPr="00D403F5">
        <w:rPr>
          <w:rFonts w:ascii="Times New Roman" w:hAnsi="Times New Roman" w:cs="Times New Roman"/>
          <w:b w:val="0"/>
        </w:rPr>
        <w:t xml:space="preserve">for infection with VHSV </w:t>
      </w:r>
      <w:r w:rsidRPr="00D403F5">
        <w:rPr>
          <w:rFonts w:ascii="Times New Roman" w:hAnsi="Times New Roman" w:cs="Times New Roman"/>
          <w:b w:val="0"/>
        </w:rPr>
        <w:t xml:space="preserve">between the </w:t>
      </w:r>
      <w:r w:rsidR="006D69D9" w:rsidRPr="00D403F5">
        <w:rPr>
          <w:rFonts w:ascii="Times New Roman" w:hAnsi="Times New Roman" w:cs="Times New Roman"/>
          <w:b w:val="0"/>
        </w:rPr>
        <w:t>C</w:t>
      </w:r>
      <w:r w:rsidR="00AE439D" w:rsidRPr="00D403F5">
        <w:rPr>
          <w:rFonts w:ascii="Times New Roman" w:hAnsi="Times New Roman" w:cs="Times New Roman"/>
          <w:b w:val="0"/>
        </w:rPr>
        <w:t>h</w:t>
      </w:r>
      <w:r w:rsidRPr="00D403F5">
        <w:rPr>
          <w:rFonts w:ascii="Times New Roman" w:hAnsi="Times New Roman" w:cs="Times New Roman"/>
          <w:b w:val="0"/>
        </w:rPr>
        <w:t>apter</w:t>
      </w:r>
      <w:r w:rsidR="006D69D9" w:rsidRPr="00D403F5">
        <w:rPr>
          <w:rFonts w:ascii="Times New Roman" w:hAnsi="Times New Roman" w:cs="Times New Roman"/>
          <w:b w:val="0"/>
        </w:rPr>
        <w:t xml:space="preserve"> 10.10</w:t>
      </w:r>
      <w:r w:rsidR="00F706C2" w:rsidRPr="00D403F5">
        <w:rPr>
          <w:rFonts w:ascii="Times New Roman" w:hAnsi="Times New Roman" w:cs="Times New Roman"/>
          <w:b w:val="0"/>
        </w:rPr>
        <w:t>.</w:t>
      </w:r>
      <w:r w:rsidR="006D69D9" w:rsidRPr="00D403F5">
        <w:rPr>
          <w:rFonts w:ascii="Times New Roman" w:hAnsi="Times New Roman" w:cs="Times New Roman"/>
          <w:b w:val="0"/>
        </w:rPr>
        <w:t xml:space="preserve"> of </w:t>
      </w:r>
      <w:r w:rsidRPr="00D403F5">
        <w:rPr>
          <w:rFonts w:ascii="Times New Roman" w:hAnsi="Times New Roman" w:cs="Times New Roman"/>
          <w:b w:val="0"/>
        </w:rPr>
        <w:t xml:space="preserve">the </w:t>
      </w:r>
      <w:r w:rsidRPr="00D403F5">
        <w:rPr>
          <w:rFonts w:ascii="Times New Roman" w:hAnsi="Times New Roman" w:cs="Times New Roman"/>
          <w:b w:val="0"/>
          <w:i/>
          <w:iCs/>
        </w:rPr>
        <w:t>Aquatic Code</w:t>
      </w:r>
      <w:r w:rsidRPr="00D403F5">
        <w:rPr>
          <w:rFonts w:ascii="Times New Roman" w:hAnsi="Times New Roman" w:cs="Times New Roman"/>
          <w:b w:val="0"/>
        </w:rPr>
        <w:t xml:space="preserve"> and</w:t>
      </w:r>
      <w:r w:rsidR="006D69D9" w:rsidRPr="00D403F5">
        <w:rPr>
          <w:rFonts w:ascii="Times New Roman" w:hAnsi="Times New Roman" w:cs="Times New Roman"/>
          <w:b w:val="0"/>
        </w:rPr>
        <w:t xml:space="preserve"> Chapter </w:t>
      </w:r>
      <w:r w:rsidR="0071712D" w:rsidRPr="00D403F5">
        <w:rPr>
          <w:rFonts w:ascii="Times New Roman" w:hAnsi="Times New Roman" w:cs="Times New Roman"/>
          <w:b w:val="0"/>
        </w:rPr>
        <w:t>2.3.10</w:t>
      </w:r>
      <w:r w:rsidR="004268AF" w:rsidRPr="00D403F5">
        <w:rPr>
          <w:rFonts w:ascii="Times New Roman" w:hAnsi="Times New Roman" w:cs="Times New Roman"/>
          <w:b w:val="0"/>
        </w:rPr>
        <w:t>.</w:t>
      </w:r>
      <w:r w:rsidR="0071712D" w:rsidRPr="00D403F5">
        <w:rPr>
          <w:rFonts w:ascii="Times New Roman" w:hAnsi="Times New Roman" w:cs="Times New Roman"/>
          <w:b w:val="0"/>
        </w:rPr>
        <w:t xml:space="preserve"> </w:t>
      </w:r>
      <w:r w:rsidR="006D69D9" w:rsidRPr="00D403F5">
        <w:rPr>
          <w:rFonts w:ascii="Times New Roman" w:hAnsi="Times New Roman" w:cs="Times New Roman"/>
          <w:b w:val="0"/>
        </w:rPr>
        <w:t xml:space="preserve">of the </w:t>
      </w:r>
      <w:r w:rsidR="006D69D9" w:rsidRPr="00D403F5">
        <w:rPr>
          <w:rFonts w:ascii="Times New Roman" w:hAnsi="Times New Roman" w:cs="Times New Roman"/>
          <w:b w:val="0"/>
          <w:i/>
        </w:rPr>
        <w:t>Aquatic</w:t>
      </w:r>
      <w:r w:rsidR="006D69D9" w:rsidRPr="00D403F5">
        <w:rPr>
          <w:rFonts w:ascii="Times New Roman" w:hAnsi="Times New Roman" w:cs="Times New Roman"/>
          <w:b w:val="0"/>
        </w:rPr>
        <w:t xml:space="preserve"> </w:t>
      </w:r>
      <w:r w:rsidRPr="00D403F5">
        <w:rPr>
          <w:rFonts w:ascii="Times New Roman" w:hAnsi="Times New Roman" w:cs="Times New Roman"/>
          <w:b w:val="0"/>
          <w:i/>
          <w:iCs/>
        </w:rPr>
        <w:t>Manual</w:t>
      </w:r>
      <w:r w:rsidR="00AE439D" w:rsidRPr="00D403F5">
        <w:rPr>
          <w:rFonts w:ascii="Times New Roman" w:hAnsi="Times New Roman" w:cs="Times New Roman"/>
          <w:b w:val="0"/>
          <w:i/>
          <w:iCs/>
        </w:rPr>
        <w:t xml:space="preserve"> </w:t>
      </w:r>
      <w:r w:rsidR="006D69D9" w:rsidRPr="00D403F5">
        <w:rPr>
          <w:rFonts w:ascii="Times New Roman" w:hAnsi="Times New Roman" w:cs="Times New Roman"/>
          <w:b w:val="0"/>
        </w:rPr>
        <w:t xml:space="preserve">will be addressed </w:t>
      </w:r>
      <w:r w:rsidR="00285EB3" w:rsidRPr="00D403F5">
        <w:rPr>
          <w:rFonts w:ascii="Times New Roman" w:hAnsi="Times New Roman" w:cs="Times New Roman"/>
          <w:b w:val="0"/>
        </w:rPr>
        <w:t>by</w:t>
      </w:r>
      <w:r w:rsidRPr="00D403F5">
        <w:rPr>
          <w:rFonts w:ascii="Times New Roman" w:hAnsi="Times New Roman" w:cs="Times New Roman"/>
          <w:b w:val="0"/>
        </w:rPr>
        <w:t xml:space="preserve"> the application of the recommendation</w:t>
      </w:r>
      <w:r w:rsidR="00285EB3" w:rsidRPr="00D403F5">
        <w:rPr>
          <w:rFonts w:ascii="Times New Roman" w:hAnsi="Times New Roman" w:cs="Times New Roman"/>
          <w:b w:val="0"/>
        </w:rPr>
        <w:t>s</w:t>
      </w:r>
      <w:r w:rsidRPr="00D403F5">
        <w:rPr>
          <w:rFonts w:ascii="Times New Roman" w:hAnsi="Times New Roman" w:cs="Times New Roman"/>
          <w:b w:val="0"/>
        </w:rPr>
        <w:t xml:space="preserve"> of the </w:t>
      </w:r>
      <w:r w:rsidR="008B24DB" w:rsidRPr="00D403F5">
        <w:rPr>
          <w:rFonts w:ascii="Times New Roman" w:hAnsi="Times New Roman" w:cs="Times New Roman"/>
          <w:b w:val="0"/>
          <w:i/>
          <w:iCs/>
        </w:rPr>
        <w:t xml:space="preserve">ad hoc </w:t>
      </w:r>
      <w:r w:rsidRPr="00D403F5">
        <w:rPr>
          <w:rFonts w:ascii="Times New Roman" w:hAnsi="Times New Roman" w:cs="Times New Roman"/>
          <w:b w:val="0"/>
        </w:rPr>
        <w:t>G</w:t>
      </w:r>
      <w:r w:rsidR="008B24DB" w:rsidRPr="00D403F5">
        <w:rPr>
          <w:rFonts w:ascii="Times New Roman" w:hAnsi="Times New Roman" w:cs="Times New Roman"/>
          <w:b w:val="0"/>
        </w:rPr>
        <w:t>roup</w:t>
      </w:r>
      <w:r w:rsidR="00285EB3" w:rsidRPr="00D403F5">
        <w:rPr>
          <w:rFonts w:ascii="Times New Roman" w:hAnsi="Times New Roman" w:cs="Times New Roman"/>
          <w:b w:val="0"/>
        </w:rPr>
        <w:t xml:space="preserve"> to the relevant articles of these two chapters</w:t>
      </w:r>
      <w:r w:rsidR="001E1550" w:rsidRPr="00D403F5">
        <w:rPr>
          <w:rFonts w:ascii="Times New Roman" w:hAnsi="Times New Roman" w:cs="Times New Roman"/>
          <w:b w:val="0"/>
        </w:rPr>
        <w:t xml:space="preserve"> </w:t>
      </w:r>
      <w:r w:rsidR="00AE439D" w:rsidRPr="00D403F5">
        <w:rPr>
          <w:rFonts w:ascii="Times New Roman" w:hAnsi="Times New Roman" w:cs="Times New Roman"/>
          <w:b w:val="0"/>
        </w:rPr>
        <w:t xml:space="preserve">(see also Item </w:t>
      </w:r>
      <w:r w:rsidR="00DA1AF8" w:rsidRPr="00D403F5">
        <w:rPr>
          <w:rFonts w:ascii="Times New Roman" w:hAnsi="Times New Roman" w:cs="Times New Roman"/>
          <w:b w:val="0"/>
        </w:rPr>
        <w:t>6.8.4.</w:t>
      </w:r>
      <w:r w:rsidR="00AE439D" w:rsidRPr="00D403F5">
        <w:rPr>
          <w:rFonts w:ascii="Times New Roman" w:hAnsi="Times New Roman" w:cs="Times New Roman"/>
          <w:b w:val="0"/>
        </w:rPr>
        <w:t>)</w:t>
      </w:r>
      <w:r w:rsidRPr="00D403F5">
        <w:rPr>
          <w:rFonts w:ascii="Times New Roman" w:hAnsi="Times New Roman" w:cs="Times New Roman"/>
          <w:b w:val="0"/>
        </w:rPr>
        <w:t>.</w:t>
      </w:r>
      <w:r w:rsidR="007F2550" w:rsidRPr="00D403F5">
        <w:rPr>
          <w:rFonts w:ascii="Times New Roman" w:hAnsi="Times New Roman" w:cs="Times New Roman"/>
          <w:b w:val="0"/>
        </w:rPr>
        <w:t xml:space="preserve"> </w:t>
      </w:r>
    </w:p>
    <w:p w14:paraId="0409CE38" w14:textId="29ED53B5" w:rsidR="00F06A8C" w:rsidRPr="00D403F5" w:rsidRDefault="00F06A8C" w:rsidP="001041C6">
      <w:pPr>
        <w:pStyle w:val="para2"/>
        <w:suppressAutoHyphens/>
        <w:ind w:left="993" w:firstLine="0"/>
        <w:rPr>
          <w:rFonts w:ascii="Times New Roman" w:hAnsi="Times New Roman" w:cs="Times New Roman"/>
          <w:b w:val="0"/>
          <w:bCs w:val="0"/>
        </w:rPr>
      </w:pPr>
      <w:r w:rsidRPr="00D403F5">
        <w:rPr>
          <w:rFonts w:ascii="Times New Roman" w:hAnsi="Times New Roman" w:cs="Times New Roman"/>
          <w:b w:val="0"/>
          <w:bCs w:val="0"/>
          <w:lang w:val="en-IE"/>
        </w:rPr>
        <w:t xml:space="preserve">The report of the </w:t>
      </w:r>
      <w:r w:rsidRPr="00D403F5">
        <w:rPr>
          <w:rFonts w:ascii="Times New Roman" w:hAnsi="Times New Roman" w:cs="Times New Roman"/>
          <w:b w:val="0"/>
          <w:bCs w:val="0"/>
          <w:i/>
          <w:lang w:val="en-IE"/>
        </w:rPr>
        <w:t>ad hoc</w:t>
      </w:r>
      <w:r w:rsidRPr="00D403F5">
        <w:rPr>
          <w:rFonts w:ascii="Times New Roman" w:hAnsi="Times New Roman" w:cs="Times New Roman"/>
          <w:b w:val="0"/>
          <w:bCs w:val="0"/>
          <w:lang w:val="en-IE"/>
        </w:rPr>
        <w:t xml:space="preserve"> Group on susceptibility of fish species to infection with OIE listed diseases</w:t>
      </w:r>
      <w:r w:rsidR="00190B91" w:rsidRPr="00D403F5">
        <w:rPr>
          <w:rFonts w:ascii="Times New Roman" w:hAnsi="Times New Roman" w:cs="Times New Roman"/>
          <w:b w:val="0"/>
          <w:bCs w:val="0"/>
          <w:lang w:val="en-IE"/>
        </w:rPr>
        <w:t xml:space="preserve"> (Infection with </w:t>
      </w:r>
      <w:r w:rsidRPr="00D403F5">
        <w:rPr>
          <w:rFonts w:ascii="Times New Roman" w:hAnsi="Times New Roman" w:cs="Times New Roman"/>
          <w:b w:val="0"/>
          <w:bCs w:val="0"/>
          <w:lang w:val="en-IE"/>
        </w:rPr>
        <w:t>VHSV</w:t>
      </w:r>
      <w:r w:rsidR="00190B91" w:rsidRPr="00D403F5">
        <w:rPr>
          <w:rFonts w:ascii="Times New Roman" w:hAnsi="Times New Roman" w:cs="Times New Roman"/>
          <w:b w:val="0"/>
          <w:bCs w:val="0"/>
          <w:lang w:val="en-IE"/>
        </w:rPr>
        <w:t>)</w:t>
      </w:r>
      <w:r w:rsidRPr="00D403F5">
        <w:rPr>
          <w:rFonts w:ascii="Times New Roman" w:hAnsi="Times New Roman" w:cs="Times New Roman"/>
          <w:b w:val="0"/>
          <w:bCs w:val="0"/>
          <w:lang w:val="en-IE"/>
        </w:rPr>
        <w:t xml:space="preserve"> is presented</w:t>
      </w:r>
      <w:r w:rsidR="004B5592" w:rsidRPr="00D403F5">
        <w:rPr>
          <w:rFonts w:ascii="Times New Roman" w:hAnsi="Times New Roman" w:cs="Times New Roman"/>
          <w:b w:val="0"/>
          <w:bCs w:val="0"/>
          <w:lang w:val="en-IE"/>
        </w:rPr>
        <w:t xml:space="preserve"> as </w:t>
      </w:r>
      <w:r w:rsidR="004B5592" w:rsidRPr="00D403F5">
        <w:rPr>
          <w:rFonts w:ascii="Times New Roman" w:hAnsi="Times New Roman" w:cs="Times New Roman"/>
          <w:b w:val="0"/>
          <w:bCs w:val="0"/>
          <w:u w:val="single"/>
          <w:lang w:val="en-IE"/>
        </w:rPr>
        <w:t xml:space="preserve">Annex </w:t>
      </w:r>
      <w:r w:rsidR="00DA1AF8" w:rsidRPr="00D403F5">
        <w:rPr>
          <w:rFonts w:ascii="Times New Roman" w:hAnsi="Times New Roman" w:cs="Times New Roman"/>
          <w:b w:val="0"/>
          <w:bCs w:val="0"/>
          <w:u w:val="single"/>
          <w:lang w:val="en-IE"/>
        </w:rPr>
        <w:t>15</w:t>
      </w:r>
      <w:r w:rsidR="00DA1AF8" w:rsidRPr="00D403F5">
        <w:rPr>
          <w:rFonts w:ascii="Times New Roman" w:hAnsi="Times New Roman" w:cs="Times New Roman"/>
          <w:b w:val="0"/>
          <w:bCs w:val="0"/>
          <w:lang w:val="en-IE"/>
        </w:rPr>
        <w:t xml:space="preserve"> </w:t>
      </w:r>
      <w:r w:rsidR="004B5592" w:rsidRPr="00D403F5">
        <w:rPr>
          <w:rFonts w:ascii="Times New Roman" w:hAnsi="Times New Roman" w:cs="Times New Roman"/>
          <w:b w:val="0"/>
          <w:bCs w:val="0"/>
          <w:lang w:val="en-IE"/>
        </w:rPr>
        <w:t xml:space="preserve">for </w:t>
      </w:r>
      <w:r w:rsidR="001E1550" w:rsidRPr="00D403F5">
        <w:rPr>
          <w:rFonts w:ascii="Times New Roman" w:hAnsi="Times New Roman" w:cs="Times New Roman"/>
          <w:b w:val="0"/>
          <w:bCs w:val="0"/>
          <w:lang w:val="en-IE"/>
        </w:rPr>
        <w:t xml:space="preserve">Member </w:t>
      </w:r>
      <w:r w:rsidR="004B5592" w:rsidRPr="00D403F5">
        <w:rPr>
          <w:rFonts w:ascii="Times New Roman" w:hAnsi="Times New Roman" w:cs="Times New Roman"/>
          <w:b w:val="0"/>
          <w:bCs w:val="0"/>
          <w:lang w:val="en-IE"/>
        </w:rPr>
        <w:t xml:space="preserve">information. </w:t>
      </w:r>
    </w:p>
    <w:p w14:paraId="0738F697" w14:textId="2AC38F7F" w:rsidR="00872C69" w:rsidRPr="00D403F5" w:rsidRDefault="00872C69"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bCs/>
          <w:sz w:val="18"/>
          <w:szCs w:val="18"/>
        </w:rPr>
        <w:t xml:space="preserve">The revised Article 10.10.2. </w:t>
      </w:r>
      <w:r w:rsidRPr="00D403F5">
        <w:rPr>
          <w:rFonts w:ascii="Times New Roman" w:hAnsi="Times New Roman" w:cs="Times New Roman"/>
          <w:bCs/>
          <w:sz w:val="18"/>
          <w:szCs w:val="18"/>
          <w:u w:color="0070C0"/>
        </w:rPr>
        <w:t xml:space="preserve">is presented </w:t>
      </w:r>
      <w:r w:rsidR="009D3364" w:rsidRPr="00D403F5">
        <w:rPr>
          <w:rFonts w:ascii="Times New Roman" w:hAnsi="Times New Roman" w:cs="Times New Roman"/>
          <w:bCs/>
          <w:sz w:val="18"/>
          <w:szCs w:val="18"/>
          <w:u w:color="0070C0"/>
        </w:rPr>
        <w:t xml:space="preserve">as </w:t>
      </w:r>
      <w:r w:rsidRPr="00D403F5">
        <w:rPr>
          <w:rFonts w:ascii="Times New Roman" w:hAnsi="Times New Roman" w:cs="Times New Roman"/>
          <w:bCs/>
          <w:sz w:val="18"/>
          <w:szCs w:val="18"/>
          <w:u w:val="single"/>
        </w:rPr>
        <w:t xml:space="preserve">Annex </w:t>
      </w:r>
      <w:r w:rsidR="00DA1AF8" w:rsidRPr="00D403F5">
        <w:rPr>
          <w:rFonts w:ascii="Times New Roman" w:hAnsi="Times New Roman" w:cs="Times New Roman"/>
          <w:bCs/>
          <w:sz w:val="18"/>
          <w:szCs w:val="18"/>
          <w:u w:val="single"/>
        </w:rPr>
        <w:t>6</w:t>
      </w:r>
      <w:r w:rsidR="00DA1AF8" w:rsidRPr="00D403F5">
        <w:rPr>
          <w:rFonts w:ascii="Times New Roman" w:hAnsi="Times New Roman" w:cs="Times New Roman"/>
          <w:bCs/>
          <w:sz w:val="18"/>
          <w:szCs w:val="18"/>
          <w:u w:color="0070C0"/>
        </w:rPr>
        <w:t xml:space="preserve"> </w:t>
      </w:r>
      <w:r w:rsidRPr="00D403F5">
        <w:rPr>
          <w:rFonts w:ascii="Times New Roman" w:hAnsi="Times New Roman" w:cs="Times New Roman"/>
          <w:bCs/>
          <w:sz w:val="18"/>
          <w:szCs w:val="18"/>
          <w:u w:color="0070C0"/>
        </w:rPr>
        <w:t>for Member comment</w:t>
      </w:r>
      <w:r w:rsidR="004A3A30" w:rsidRPr="00D403F5">
        <w:rPr>
          <w:rFonts w:ascii="Times New Roman" w:hAnsi="Times New Roman" w:cs="Times New Roman"/>
          <w:bCs/>
          <w:sz w:val="18"/>
          <w:szCs w:val="18"/>
          <w:u w:color="0070C0"/>
        </w:rPr>
        <w:t>s</w:t>
      </w:r>
      <w:r w:rsidR="00DA1AF8" w:rsidRPr="00D403F5">
        <w:rPr>
          <w:rFonts w:ascii="Times New Roman" w:hAnsi="Times New Roman" w:cs="Times New Roman"/>
          <w:b/>
          <w:sz w:val="18"/>
          <w:szCs w:val="18"/>
          <w:u w:color="0070C0"/>
        </w:rPr>
        <w:t xml:space="preserve"> </w:t>
      </w:r>
      <w:r w:rsidR="00DA1AF8" w:rsidRPr="00D403F5">
        <w:rPr>
          <w:rFonts w:ascii="Times New Roman" w:hAnsi="Times New Roman" w:cs="Times New Roman"/>
          <w:sz w:val="18"/>
          <w:szCs w:val="18"/>
        </w:rPr>
        <w:t xml:space="preserve">and is intended to be proposed for adoption at the 88th General Session in May 2020. </w:t>
      </w:r>
    </w:p>
    <w:p w14:paraId="15AD4BD2" w14:textId="188156B8" w:rsidR="001865CC" w:rsidRPr="00D403F5" w:rsidRDefault="001865CC" w:rsidP="001041C6">
      <w:pPr>
        <w:spacing w:after="240" w:line="240" w:lineRule="auto"/>
        <w:ind w:left="993" w:hanging="567"/>
        <w:jc w:val="both"/>
        <w:rPr>
          <w:rFonts w:ascii="Times New Roman" w:hAnsi="Times New Roman" w:cs="Times New Roman"/>
          <w:b/>
          <w:bCs/>
          <w:sz w:val="18"/>
          <w:szCs w:val="18"/>
          <w:lang w:val="en-IE"/>
        </w:rPr>
      </w:pPr>
      <w:r w:rsidRPr="00D403F5">
        <w:rPr>
          <w:rFonts w:ascii="Times New Roman" w:hAnsi="Times New Roman" w:cs="Times New Roman"/>
          <w:b/>
          <w:bCs/>
          <w:sz w:val="18"/>
          <w:szCs w:val="18"/>
          <w:lang w:val="en-IE"/>
        </w:rPr>
        <w:t>6.5.</w:t>
      </w:r>
      <w:r w:rsidRPr="00D403F5">
        <w:rPr>
          <w:rFonts w:ascii="Times New Roman" w:hAnsi="Times New Roman" w:cs="Times New Roman"/>
          <w:b/>
          <w:bCs/>
          <w:sz w:val="18"/>
          <w:szCs w:val="18"/>
          <w:lang w:val="en-IE"/>
        </w:rPr>
        <w:tab/>
      </w:r>
      <w:r w:rsidRPr="00D403F5">
        <w:rPr>
          <w:rFonts w:ascii="Times New Roman" w:hAnsi="Times New Roman" w:cs="Times New Roman"/>
          <w:b/>
          <w:sz w:val="18"/>
          <w:szCs w:val="18"/>
          <w:lang w:val="en-IE"/>
        </w:rPr>
        <w:t xml:space="preserve">Article 10.9.2. of Chapter 10.9. </w:t>
      </w:r>
      <w:r w:rsidRPr="00D403F5">
        <w:rPr>
          <w:rFonts w:ascii="Times New Roman" w:hAnsi="Times New Roman" w:cs="Times New Roman"/>
          <w:b/>
          <w:bCs/>
          <w:sz w:val="18"/>
          <w:szCs w:val="18"/>
          <w:lang w:val="en-IE"/>
        </w:rPr>
        <w:t xml:space="preserve">Infection with spring viraemia of carp virus </w:t>
      </w:r>
    </w:p>
    <w:p w14:paraId="344273E8" w14:textId="3F1F7FD4" w:rsidR="001865CC" w:rsidRPr="00D403F5" w:rsidRDefault="001865CC"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The Commission reminded Members that the updated list of susceptible species in Article 10.9.2. </w:t>
      </w:r>
      <w:r w:rsidR="00DB2AF1" w:rsidRPr="00D403F5">
        <w:rPr>
          <w:rFonts w:ascii="Times New Roman" w:hAnsi="Times New Roman" w:cs="Times New Roman"/>
          <w:sz w:val="18"/>
          <w:szCs w:val="18"/>
        </w:rPr>
        <w:t>I</w:t>
      </w:r>
      <w:r w:rsidRPr="00D403F5">
        <w:rPr>
          <w:rFonts w:ascii="Times New Roman" w:hAnsi="Times New Roman" w:cs="Times New Roman"/>
          <w:sz w:val="18"/>
          <w:szCs w:val="18"/>
        </w:rPr>
        <w:t xml:space="preserve">nfection with </w:t>
      </w:r>
      <w:r w:rsidRPr="00D403F5">
        <w:rPr>
          <w:rFonts w:ascii="Times New Roman" w:hAnsi="Times New Roman" w:cs="Times New Roman"/>
          <w:sz w:val="18"/>
          <w:szCs w:val="18"/>
          <w:lang w:val="en-IE"/>
        </w:rPr>
        <w:t>spring viraemia of carp virus (</w:t>
      </w:r>
      <w:r w:rsidRPr="00D403F5">
        <w:rPr>
          <w:rFonts w:ascii="Times New Roman" w:hAnsi="Times New Roman" w:cs="Times New Roman"/>
          <w:sz w:val="18"/>
          <w:szCs w:val="18"/>
        </w:rPr>
        <w:t>SVCV) was adopted at the 87</w:t>
      </w:r>
      <w:r w:rsidRPr="00D403F5">
        <w:rPr>
          <w:rFonts w:ascii="Times New Roman" w:hAnsi="Times New Roman" w:cs="Times New Roman"/>
          <w:sz w:val="18"/>
          <w:szCs w:val="18"/>
          <w:vertAlign w:val="superscript"/>
        </w:rPr>
        <w:t>th</w:t>
      </w:r>
      <w:r w:rsidRPr="00D403F5">
        <w:rPr>
          <w:rFonts w:ascii="Times New Roman" w:hAnsi="Times New Roman" w:cs="Times New Roman"/>
          <w:sz w:val="18"/>
          <w:szCs w:val="18"/>
        </w:rPr>
        <w:t xml:space="preserve"> General Session in May 2019. </w:t>
      </w:r>
    </w:p>
    <w:p w14:paraId="70978B6C" w14:textId="73D6E6BA" w:rsidR="001865CC" w:rsidRPr="00D403F5" w:rsidRDefault="001865CC"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Based on </w:t>
      </w:r>
      <w:r w:rsidR="0005091E" w:rsidRPr="00D403F5">
        <w:rPr>
          <w:rFonts w:ascii="Times New Roman" w:hAnsi="Times New Roman" w:cs="Times New Roman"/>
          <w:sz w:val="18"/>
          <w:szCs w:val="18"/>
        </w:rPr>
        <w:t xml:space="preserve">previous </w:t>
      </w:r>
      <w:r w:rsidRPr="00D403F5">
        <w:rPr>
          <w:rFonts w:ascii="Times New Roman" w:hAnsi="Times New Roman" w:cs="Times New Roman"/>
          <w:sz w:val="18"/>
          <w:szCs w:val="18"/>
        </w:rPr>
        <w:t xml:space="preserve">assessments undertaken by the </w:t>
      </w:r>
      <w:r w:rsidRPr="00D403F5">
        <w:rPr>
          <w:rFonts w:ascii="Times New Roman" w:hAnsi="Times New Roman" w:cs="Times New Roman"/>
          <w:i/>
          <w:iCs/>
          <w:color w:val="000000" w:themeColor="text1"/>
          <w:sz w:val="18"/>
          <w:szCs w:val="18"/>
          <w:lang w:val="en-IE"/>
        </w:rPr>
        <w:t>ad hoc</w:t>
      </w:r>
      <w:r w:rsidRPr="00D403F5">
        <w:rPr>
          <w:rFonts w:ascii="Times New Roman" w:hAnsi="Times New Roman" w:cs="Times New Roman"/>
          <w:color w:val="000000" w:themeColor="text1"/>
          <w:sz w:val="18"/>
          <w:szCs w:val="18"/>
          <w:lang w:val="en-IE"/>
        </w:rPr>
        <w:t xml:space="preserve"> Group on </w:t>
      </w:r>
      <w:r w:rsidRPr="00D403F5">
        <w:rPr>
          <w:rFonts w:ascii="Times New Roman" w:eastAsia="Arial Unicode MS" w:hAnsi="Times New Roman" w:cs="Times New Roman"/>
          <w:bCs/>
          <w:color w:val="000000" w:themeColor="text1"/>
          <w:sz w:val="18"/>
          <w:szCs w:val="18"/>
          <w:u w:color="000000"/>
          <w:bdr w:val="nil"/>
          <w:lang w:val="en-IE" w:eastAsia="en-GB"/>
        </w:rPr>
        <w:t>Susceptibility of fish species to infection with OIE listed diseases</w:t>
      </w:r>
      <w:r w:rsidR="0005091E" w:rsidRPr="00D403F5">
        <w:rPr>
          <w:rFonts w:ascii="Times New Roman" w:eastAsia="Arial Unicode MS" w:hAnsi="Times New Roman" w:cs="Times New Roman"/>
          <w:bCs/>
          <w:color w:val="000000" w:themeColor="text1"/>
          <w:sz w:val="18"/>
          <w:szCs w:val="18"/>
          <w:u w:color="000000"/>
          <w:bdr w:val="nil"/>
          <w:lang w:val="en-IE" w:eastAsia="en-GB"/>
        </w:rPr>
        <w:t>,</w:t>
      </w:r>
      <w:r w:rsidRPr="00D403F5">
        <w:rPr>
          <w:rFonts w:ascii="Times New Roman" w:eastAsia="Arial Unicode MS" w:hAnsi="Times New Roman" w:cs="Times New Roman"/>
          <w:bCs/>
          <w:color w:val="000000" w:themeColor="text1"/>
          <w:sz w:val="18"/>
          <w:szCs w:val="18"/>
          <w:u w:color="000000"/>
          <w:bdr w:val="nil"/>
          <w:lang w:val="en-IE" w:eastAsia="en-GB"/>
        </w:rPr>
        <w:t xml:space="preserve"> </w:t>
      </w:r>
      <w:r w:rsidRPr="00D403F5">
        <w:rPr>
          <w:rFonts w:ascii="Times New Roman" w:hAnsi="Times New Roman" w:cs="Times New Roman"/>
          <w:sz w:val="18"/>
          <w:szCs w:val="18"/>
        </w:rPr>
        <w:t>zebrafish (</w:t>
      </w:r>
      <w:r w:rsidRPr="00D403F5">
        <w:rPr>
          <w:rFonts w:ascii="Times New Roman" w:hAnsi="Times New Roman" w:cs="Times New Roman"/>
          <w:i/>
          <w:sz w:val="18"/>
          <w:szCs w:val="18"/>
        </w:rPr>
        <w:t>Danio rerio</w:t>
      </w:r>
      <w:r w:rsidRPr="00D403F5">
        <w:rPr>
          <w:rFonts w:ascii="Times New Roman" w:hAnsi="Times New Roman" w:cs="Times New Roman"/>
          <w:sz w:val="18"/>
          <w:szCs w:val="18"/>
        </w:rPr>
        <w:t>) did not meet the criteria for listing as susceptible species to infection with SVCV.</w:t>
      </w:r>
      <w:r w:rsidR="0005091E" w:rsidRPr="00D403F5">
        <w:rPr>
          <w:rFonts w:ascii="Times New Roman" w:hAnsi="Times New Roman" w:cs="Times New Roman"/>
          <w:sz w:val="18"/>
          <w:szCs w:val="18"/>
        </w:rPr>
        <w:t xml:space="preserve"> </w:t>
      </w:r>
      <w:r w:rsidRPr="00D403F5">
        <w:rPr>
          <w:rFonts w:ascii="Times New Roman" w:hAnsi="Times New Roman" w:cs="Times New Roman"/>
          <w:sz w:val="18"/>
          <w:szCs w:val="18"/>
        </w:rPr>
        <w:t xml:space="preserve">The rationale for this conclusion was that the conditions of experimental challenge did not meet the requirements of Article 1.5.7. concerning evidence of a route of transmission that is consistent with natural pathways for the infection. The </w:t>
      </w:r>
      <w:r w:rsidR="0005091E" w:rsidRPr="00D403F5">
        <w:rPr>
          <w:rFonts w:ascii="Times New Roman" w:hAnsi="Times New Roman" w:cs="Times New Roman"/>
          <w:sz w:val="18"/>
          <w:szCs w:val="18"/>
        </w:rPr>
        <w:t xml:space="preserve">relevant </w:t>
      </w:r>
      <w:r w:rsidRPr="00D403F5">
        <w:rPr>
          <w:rFonts w:ascii="Times New Roman" w:hAnsi="Times New Roman" w:cs="Times New Roman"/>
          <w:sz w:val="18"/>
          <w:szCs w:val="18"/>
        </w:rPr>
        <w:t xml:space="preserve">study (Sanders </w:t>
      </w:r>
      <w:r w:rsidRPr="00D403F5">
        <w:rPr>
          <w:rFonts w:ascii="Times New Roman" w:hAnsi="Times New Roman" w:cs="Times New Roman"/>
          <w:i/>
          <w:iCs/>
          <w:sz w:val="18"/>
          <w:szCs w:val="18"/>
        </w:rPr>
        <w:t>et al.,</w:t>
      </w:r>
      <w:r w:rsidRPr="00D403F5">
        <w:rPr>
          <w:rFonts w:ascii="Times New Roman" w:hAnsi="Times New Roman" w:cs="Times New Roman"/>
          <w:sz w:val="18"/>
          <w:szCs w:val="18"/>
        </w:rPr>
        <w:t xml:space="preserve"> 2003) had used temperatures outside of the natural range of zebrafish and the authors had acknowledged that this had likely resulted in immunosuppression. </w:t>
      </w:r>
    </w:p>
    <w:p w14:paraId="6C590DDA" w14:textId="3848FD86" w:rsidR="00575C8F" w:rsidRPr="00D403F5" w:rsidRDefault="00575C8F"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Since adoption of the revised Article 10.9.2, the Commission had become aware of other scientific publications which </w:t>
      </w:r>
      <w:r w:rsidR="00EA02A9" w:rsidRPr="00D403F5">
        <w:rPr>
          <w:rFonts w:ascii="Times New Roman" w:hAnsi="Times New Roman" w:cs="Times New Roman"/>
          <w:sz w:val="18"/>
          <w:szCs w:val="18"/>
        </w:rPr>
        <w:t xml:space="preserve">had </w:t>
      </w:r>
      <w:r w:rsidRPr="00D403F5">
        <w:rPr>
          <w:rFonts w:ascii="Times New Roman" w:hAnsi="Times New Roman" w:cs="Times New Roman"/>
          <w:sz w:val="18"/>
          <w:szCs w:val="18"/>
        </w:rPr>
        <w:t>report</w:t>
      </w:r>
      <w:r w:rsidR="00EA02A9" w:rsidRPr="00D403F5">
        <w:rPr>
          <w:rFonts w:ascii="Times New Roman" w:hAnsi="Times New Roman" w:cs="Times New Roman"/>
          <w:sz w:val="18"/>
          <w:szCs w:val="18"/>
        </w:rPr>
        <w:t>ed</w:t>
      </w:r>
      <w:r w:rsidRPr="00D403F5">
        <w:rPr>
          <w:rFonts w:ascii="Times New Roman" w:hAnsi="Times New Roman" w:cs="Times New Roman"/>
          <w:sz w:val="18"/>
          <w:szCs w:val="18"/>
        </w:rPr>
        <w:t xml:space="preserve"> </w:t>
      </w:r>
      <w:r w:rsidR="00EA02A9" w:rsidRPr="00D403F5">
        <w:rPr>
          <w:rFonts w:ascii="Times New Roman" w:hAnsi="Times New Roman" w:cs="Times New Roman"/>
          <w:sz w:val="18"/>
          <w:szCs w:val="18"/>
        </w:rPr>
        <w:t>on</w:t>
      </w:r>
      <w:r w:rsidRPr="00D403F5">
        <w:rPr>
          <w:rFonts w:ascii="Times New Roman" w:hAnsi="Times New Roman" w:cs="Times New Roman"/>
          <w:sz w:val="18"/>
          <w:szCs w:val="18"/>
        </w:rPr>
        <w:t xml:space="preserve"> the susceptibility of zebrafish to infection with SVCV (Lopez-Munoz </w:t>
      </w:r>
      <w:r w:rsidRPr="00D403F5">
        <w:rPr>
          <w:rFonts w:ascii="Times New Roman" w:hAnsi="Times New Roman" w:cs="Times New Roman"/>
          <w:i/>
          <w:iCs/>
          <w:sz w:val="18"/>
          <w:szCs w:val="18"/>
        </w:rPr>
        <w:t>et al.</w:t>
      </w:r>
      <w:r w:rsidRPr="00D403F5">
        <w:rPr>
          <w:rFonts w:ascii="Times New Roman" w:hAnsi="Times New Roman" w:cs="Times New Roman"/>
          <w:sz w:val="18"/>
          <w:szCs w:val="18"/>
        </w:rPr>
        <w:t xml:space="preserve">, 2010; </w:t>
      </w:r>
      <w:r w:rsidRPr="00D403F5">
        <w:rPr>
          <w:rFonts w:ascii="Times New Roman" w:hAnsi="Times New Roman" w:cs="Times New Roman"/>
          <w:color w:val="000000"/>
          <w:sz w:val="18"/>
          <w:szCs w:val="18"/>
        </w:rPr>
        <w:t xml:space="preserve">Martinez-Lopez </w:t>
      </w:r>
      <w:r w:rsidRPr="00D403F5">
        <w:rPr>
          <w:rFonts w:ascii="Times New Roman" w:hAnsi="Times New Roman" w:cs="Times New Roman"/>
          <w:i/>
          <w:iCs/>
          <w:color w:val="000000"/>
          <w:sz w:val="18"/>
          <w:szCs w:val="18"/>
        </w:rPr>
        <w:t>et al</w:t>
      </w:r>
      <w:r w:rsidRPr="00D403F5">
        <w:rPr>
          <w:rFonts w:ascii="Times New Roman" w:hAnsi="Times New Roman" w:cs="Times New Roman"/>
          <w:color w:val="000000"/>
          <w:sz w:val="18"/>
          <w:szCs w:val="18"/>
        </w:rPr>
        <w:t xml:space="preserve">., 2014; </w:t>
      </w:r>
      <w:r w:rsidRPr="00D403F5">
        <w:rPr>
          <w:rFonts w:ascii="Times New Roman" w:hAnsi="Times New Roman" w:cs="Times New Roman"/>
          <w:color w:val="000000"/>
          <w:sz w:val="18"/>
          <w:szCs w:val="18"/>
          <w:lang w:val="en-US"/>
        </w:rPr>
        <w:t xml:space="preserve">Medina-Gali </w:t>
      </w:r>
      <w:r w:rsidRPr="00D403F5">
        <w:rPr>
          <w:rFonts w:ascii="Times New Roman" w:hAnsi="Times New Roman" w:cs="Times New Roman"/>
          <w:i/>
          <w:iCs/>
          <w:color w:val="000000"/>
          <w:sz w:val="18"/>
          <w:szCs w:val="18"/>
          <w:lang w:val="en-US"/>
        </w:rPr>
        <w:t>et al</w:t>
      </w:r>
      <w:r w:rsidRPr="00D403F5">
        <w:rPr>
          <w:rFonts w:ascii="Times New Roman" w:hAnsi="Times New Roman" w:cs="Times New Roman"/>
          <w:color w:val="000000"/>
          <w:sz w:val="18"/>
          <w:szCs w:val="18"/>
          <w:lang w:val="en-US"/>
        </w:rPr>
        <w:t>., 2018</w:t>
      </w:r>
      <w:r w:rsidRPr="00D403F5">
        <w:rPr>
          <w:rFonts w:ascii="Times New Roman" w:hAnsi="Times New Roman" w:cs="Times New Roman"/>
          <w:color w:val="000000"/>
          <w:sz w:val="18"/>
          <w:szCs w:val="18"/>
        </w:rPr>
        <w:t xml:space="preserve">a; </w:t>
      </w:r>
      <w:r w:rsidRPr="00D403F5">
        <w:rPr>
          <w:rFonts w:ascii="Times New Roman" w:hAnsi="Times New Roman" w:cs="Times New Roman"/>
          <w:color w:val="000000"/>
          <w:sz w:val="18"/>
          <w:szCs w:val="18"/>
          <w:lang w:val="en-US"/>
        </w:rPr>
        <w:t xml:space="preserve">Medina-Gali </w:t>
      </w:r>
      <w:r w:rsidRPr="00D403F5">
        <w:rPr>
          <w:rFonts w:ascii="Times New Roman" w:hAnsi="Times New Roman" w:cs="Times New Roman"/>
          <w:i/>
          <w:iCs/>
          <w:color w:val="000000"/>
          <w:sz w:val="18"/>
          <w:szCs w:val="18"/>
          <w:lang w:val="en-US"/>
        </w:rPr>
        <w:t xml:space="preserve">et al., </w:t>
      </w:r>
      <w:r w:rsidRPr="00D403F5">
        <w:rPr>
          <w:rFonts w:ascii="Times New Roman" w:hAnsi="Times New Roman" w:cs="Times New Roman"/>
          <w:color w:val="000000"/>
          <w:sz w:val="18"/>
          <w:szCs w:val="18"/>
          <w:lang w:val="en-US"/>
        </w:rPr>
        <w:t xml:space="preserve"> 2018b; </w:t>
      </w:r>
      <w:r w:rsidRPr="00D403F5">
        <w:rPr>
          <w:rFonts w:ascii="Times New Roman" w:hAnsi="Times New Roman" w:cs="Times New Roman"/>
          <w:color w:val="000000"/>
          <w:sz w:val="18"/>
          <w:szCs w:val="18"/>
        </w:rPr>
        <w:t xml:space="preserve">Bello-Perez </w:t>
      </w:r>
      <w:r w:rsidRPr="00D403F5">
        <w:rPr>
          <w:rFonts w:ascii="Times New Roman" w:hAnsi="Times New Roman" w:cs="Times New Roman"/>
          <w:i/>
          <w:iCs/>
          <w:color w:val="000000"/>
          <w:sz w:val="18"/>
          <w:szCs w:val="18"/>
        </w:rPr>
        <w:t>et al</w:t>
      </w:r>
      <w:r w:rsidRPr="00D403F5">
        <w:rPr>
          <w:rFonts w:ascii="Times New Roman" w:hAnsi="Times New Roman" w:cs="Times New Roman"/>
          <w:color w:val="000000"/>
          <w:sz w:val="18"/>
          <w:szCs w:val="18"/>
        </w:rPr>
        <w:t>., 2019).</w:t>
      </w:r>
      <w:r w:rsidRPr="00D403F5">
        <w:rPr>
          <w:rFonts w:ascii="Times New Roman" w:hAnsi="Times New Roman" w:cs="Times New Roman"/>
          <w:sz w:val="18"/>
          <w:szCs w:val="18"/>
        </w:rPr>
        <w:t xml:space="preserve"> In light of this information, the Commission requested that the </w:t>
      </w:r>
      <w:r w:rsidRPr="00D403F5">
        <w:rPr>
          <w:rFonts w:ascii="Times New Roman" w:hAnsi="Times New Roman" w:cs="Times New Roman"/>
          <w:i/>
          <w:iCs/>
          <w:sz w:val="18"/>
          <w:szCs w:val="18"/>
        </w:rPr>
        <w:t>ad hoc</w:t>
      </w:r>
      <w:r w:rsidRPr="00D403F5">
        <w:rPr>
          <w:rFonts w:ascii="Times New Roman" w:hAnsi="Times New Roman" w:cs="Times New Roman"/>
          <w:sz w:val="18"/>
          <w:szCs w:val="18"/>
        </w:rPr>
        <w:t xml:space="preserve"> Group on Susceptibility of fish species to infection with OIE listed diseases review its previous assessments for zebrafish against the criteria in Chapter 1.5. taking into consideration these scientific studies. </w:t>
      </w:r>
    </w:p>
    <w:p w14:paraId="2F75429B" w14:textId="77777777" w:rsidR="00575C8F" w:rsidRPr="00D403F5" w:rsidRDefault="00575C8F"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The </w:t>
      </w:r>
      <w:r w:rsidRPr="00D403F5">
        <w:rPr>
          <w:rFonts w:ascii="Times New Roman" w:hAnsi="Times New Roman" w:cs="Times New Roman"/>
          <w:i/>
          <w:sz w:val="18"/>
          <w:szCs w:val="18"/>
        </w:rPr>
        <w:t>ad hoc</w:t>
      </w:r>
      <w:r w:rsidRPr="00D403F5">
        <w:rPr>
          <w:rFonts w:ascii="Times New Roman" w:hAnsi="Times New Roman" w:cs="Times New Roman"/>
          <w:sz w:val="18"/>
          <w:szCs w:val="18"/>
        </w:rPr>
        <w:t xml:space="preserve"> Group reviewed its previous assessments taking into account the additional publications and agreed that zebrafish did met the criteria for listing as a susceptible species and should be included in Article 10.9.2.</w:t>
      </w:r>
    </w:p>
    <w:p w14:paraId="497DE8CE" w14:textId="7414C68A" w:rsidR="001865CC" w:rsidRPr="00D403F5" w:rsidRDefault="001865CC"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The Commission reviewed the </w:t>
      </w:r>
      <w:r w:rsidRPr="00D403F5">
        <w:rPr>
          <w:rFonts w:ascii="Times New Roman" w:hAnsi="Times New Roman" w:cs="Times New Roman"/>
          <w:i/>
          <w:sz w:val="18"/>
          <w:szCs w:val="18"/>
        </w:rPr>
        <w:t>ad hoc</w:t>
      </w:r>
      <w:r w:rsidRPr="00D403F5">
        <w:rPr>
          <w:rFonts w:ascii="Times New Roman" w:hAnsi="Times New Roman" w:cs="Times New Roman"/>
          <w:sz w:val="18"/>
          <w:szCs w:val="18"/>
        </w:rPr>
        <w:t xml:space="preserve"> Group’s revised assessments and agreed with the </w:t>
      </w:r>
      <w:r w:rsidRPr="00D403F5">
        <w:rPr>
          <w:rFonts w:ascii="Times New Roman" w:hAnsi="Times New Roman" w:cs="Times New Roman"/>
          <w:i/>
          <w:sz w:val="18"/>
          <w:szCs w:val="18"/>
        </w:rPr>
        <w:t>ad hoc</w:t>
      </w:r>
      <w:r w:rsidRPr="00D403F5">
        <w:rPr>
          <w:rFonts w:ascii="Times New Roman" w:hAnsi="Times New Roman" w:cs="Times New Roman"/>
          <w:sz w:val="18"/>
          <w:szCs w:val="18"/>
        </w:rPr>
        <w:t xml:space="preserve"> Group’s revised assessment that zebra</w:t>
      </w:r>
      <w:r w:rsidR="00575C8F" w:rsidRPr="00D403F5">
        <w:rPr>
          <w:rFonts w:ascii="Times New Roman" w:hAnsi="Times New Roman" w:cs="Times New Roman"/>
          <w:sz w:val="18"/>
          <w:szCs w:val="18"/>
        </w:rPr>
        <w:t>fish</w:t>
      </w:r>
      <w:r w:rsidRPr="00D403F5">
        <w:rPr>
          <w:rFonts w:ascii="Times New Roman" w:hAnsi="Times New Roman" w:cs="Times New Roman"/>
          <w:sz w:val="18"/>
          <w:szCs w:val="18"/>
        </w:rPr>
        <w:t xml:space="preserve"> be proposed for inclusion in Article 10.9.2. of the </w:t>
      </w:r>
      <w:r w:rsidRPr="00D403F5">
        <w:rPr>
          <w:rFonts w:ascii="Times New Roman" w:hAnsi="Times New Roman" w:cs="Times New Roman"/>
          <w:i/>
          <w:iCs/>
          <w:sz w:val="18"/>
          <w:szCs w:val="18"/>
        </w:rPr>
        <w:t xml:space="preserve">Aquatic Code. </w:t>
      </w:r>
    </w:p>
    <w:p w14:paraId="7E590DC9" w14:textId="165E501B" w:rsidR="001865CC" w:rsidRPr="00D403F5" w:rsidRDefault="00F1259F" w:rsidP="001041C6">
      <w:pPr>
        <w:pStyle w:val="ae"/>
        <w:spacing w:after="240"/>
        <w:ind w:left="993"/>
        <w:rPr>
          <w:rFonts w:ascii="Times New Roman" w:hAnsi="Times New Roman" w:cs="Times New Roman"/>
          <w:color w:val="FF0000"/>
          <w:sz w:val="18"/>
          <w:szCs w:val="18"/>
        </w:rPr>
      </w:pPr>
      <w:r w:rsidRPr="00D403F5">
        <w:rPr>
          <w:rFonts w:ascii="Times New Roman" w:hAnsi="Times New Roman" w:cs="Times New Roman"/>
          <w:sz w:val="18"/>
          <w:szCs w:val="18"/>
        </w:rPr>
        <w:t xml:space="preserve">The </w:t>
      </w:r>
      <w:r w:rsidRPr="00D403F5">
        <w:rPr>
          <w:rFonts w:ascii="Times New Roman" w:hAnsi="Times New Roman" w:cs="Times New Roman"/>
          <w:i/>
          <w:sz w:val="18"/>
          <w:szCs w:val="18"/>
        </w:rPr>
        <w:t>ad hoc</w:t>
      </w:r>
      <w:r w:rsidRPr="00D403F5">
        <w:rPr>
          <w:rFonts w:ascii="Times New Roman" w:hAnsi="Times New Roman" w:cs="Times New Roman"/>
          <w:sz w:val="18"/>
          <w:szCs w:val="18"/>
        </w:rPr>
        <w:t xml:space="preserve"> Group’s revised assessments of zebrafish against the criteria in Chapter 1.5. is presented as </w:t>
      </w:r>
      <w:r w:rsidRPr="00D403F5">
        <w:rPr>
          <w:rFonts w:ascii="Times New Roman" w:hAnsi="Times New Roman" w:cs="Times New Roman"/>
          <w:sz w:val="18"/>
          <w:szCs w:val="18"/>
          <w:u w:val="single"/>
        </w:rPr>
        <w:t xml:space="preserve">Annex </w:t>
      </w:r>
      <w:r w:rsidR="007F6F85" w:rsidRPr="00D403F5">
        <w:rPr>
          <w:rFonts w:ascii="Times New Roman" w:hAnsi="Times New Roman" w:cs="Times New Roman"/>
          <w:sz w:val="18"/>
          <w:szCs w:val="18"/>
          <w:u w:val="single"/>
        </w:rPr>
        <w:t>16</w:t>
      </w:r>
      <w:r w:rsidRPr="00D403F5">
        <w:rPr>
          <w:rFonts w:ascii="Times New Roman" w:hAnsi="Times New Roman" w:cs="Times New Roman"/>
          <w:sz w:val="18"/>
          <w:szCs w:val="18"/>
        </w:rPr>
        <w:t xml:space="preserve">. </w:t>
      </w:r>
    </w:p>
    <w:p w14:paraId="3972C7E3" w14:textId="4CD4FE81" w:rsidR="001865CC" w:rsidRPr="00D403F5" w:rsidRDefault="001865CC" w:rsidP="001041C6">
      <w:pPr>
        <w:spacing w:after="240" w:line="240" w:lineRule="auto"/>
        <w:ind w:left="993"/>
        <w:jc w:val="both"/>
        <w:rPr>
          <w:rFonts w:ascii="Times New Roman" w:hAnsi="Times New Roman" w:cs="Times New Roman"/>
          <w:sz w:val="18"/>
          <w:szCs w:val="18"/>
          <w:lang w:val="en-IE"/>
        </w:rPr>
      </w:pPr>
      <w:r w:rsidRPr="00D403F5">
        <w:rPr>
          <w:rFonts w:ascii="Times New Roman" w:hAnsi="Times New Roman" w:cs="Times New Roman"/>
          <w:sz w:val="18"/>
          <w:szCs w:val="18"/>
          <w:lang w:val="en-IE"/>
        </w:rPr>
        <w:t xml:space="preserve">The revised Article 10.9.2. of Chapter 10.9. Infection with spring viraemia of carp virus is presented as </w:t>
      </w:r>
      <w:r w:rsidRPr="00D403F5">
        <w:rPr>
          <w:rFonts w:ascii="Times New Roman" w:hAnsi="Times New Roman" w:cs="Times New Roman"/>
          <w:sz w:val="18"/>
          <w:szCs w:val="18"/>
          <w:u w:val="single"/>
          <w:lang w:val="en-IE"/>
        </w:rPr>
        <w:t xml:space="preserve">Annex </w:t>
      </w:r>
      <w:r w:rsidR="007F6F85" w:rsidRPr="00D403F5">
        <w:rPr>
          <w:rFonts w:ascii="Times New Roman" w:hAnsi="Times New Roman" w:cs="Times New Roman"/>
          <w:sz w:val="18"/>
          <w:szCs w:val="18"/>
          <w:u w:val="single"/>
          <w:lang w:val="en-IE"/>
        </w:rPr>
        <w:t>7</w:t>
      </w:r>
      <w:r w:rsidR="007F6F85" w:rsidRPr="00D403F5">
        <w:rPr>
          <w:rFonts w:ascii="Times New Roman" w:hAnsi="Times New Roman" w:cs="Times New Roman"/>
          <w:sz w:val="18"/>
          <w:szCs w:val="18"/>
          <w:lang w:val="en-IE"/>
        </w:rPr>
        <w:t xml:space="preserve"> </w:t>
      </w:r>
      <w:r w:rsidRPr="00D403F5">
        <w:rPr>
          <w:rFonts w:ascii="Times New Roman" w:hAnsi="Times New Roman" w:cs="Times New Roman"/>
          <w:sz w:val="18"/>
          <w:szCs w:val="18"/>
          <w:lang w:val="en-IE"/>
        </w:rPr>
        <w:t xml:space="preserve">for Member comments </w:t>
      </w:r>
      <w:r w:rsidRPr="00D403F5">
        <w:rPr>
          <w:rFonts w:ascii="Times New Roman" w:hAnsi="Times New Roman" w:cs="Times New Roman"/>
          <w:sz w:val="18"/>
          <w:szCs w:val="18"/>
        </w:rPr>
        <w:t>and will be proposed for adoption at the 88th General Session in May 2020</w:t>
      </w:r>
      <w:r w:rsidRPr="00D403F5">
        <w:rPr>
          <w:rFonts w:ascii="Times New Roman" w:hAnsi="Times New Roman" w:cs="Times New Roman"/>
          <w:sz w:val="18"/>
          <w:szCs w:val="18"/>
          <w:lang w:val="en-IE"/>
        </w:rPr>
        <w:t>.</w:t>
      </w:r>
    </w:p>
    <w:p w14:paraId="036B30A7" w14:textId="77777777" w:rsidR="001865CC" w:rsidRPr="00D403F5" w:rsidRDefault="001865CC" w:rsidP="001041C6">
      <w:pPr>
        <w:spacing w:after="240" w:line="240" w:lineRule="auto"/>
        <w:ind w:left="993"/>
        <w:jc w:val="both"/>
        <w:rPr>
          <w:rFonts w:ascii="Times New Roman" w:hAnsi="Times New Roman" w:cs="Times New Roman"/>
          <w:sz w:val="18"/>
          <w:szCs w:val="18"/>
          <w:u w:val="single"/>
          <w:lang w:val="es-ES"/>
        </w:rPr>
      </w:pPr>
      <w:r w:rsidRPr="00D403F5">
        <w:rPr>
          <w:rFonts w:ascii="Times New Roman" w:hAnsi="Times New Roman" w:cs="Times New Roman"/>
          <w:sz w:val="18"/>
          <w:szCs w:val="18"/>
          <w:u w:val="single"/>
          <w:lang w:val="es-ES"/>
        </w:rPr>
        <w:t xml:space="preserve">References: </w:t>
      </w:r>
    </w:p>
    <w:p w14:paraId="42361A56" w14:textId="77777777" w:rsidR="001865CC" w:rsidRPr="00D403F5" w:rsidRDefault="001865CC" w:rsidP="001041C6">
      <w:pPr>
        <w:spacing w:after="240" w:line="240" w:lineRule="auto"/>
        <w:ind w:left="993"/>
        <w:rPr>
          <w:rFonts w:ascii="Times New Roman" w:eastAsia="Arial Unicode MS" w:hAnsi="Times New Roman" w:cs="Times New Roman"/>
          <w:kern w:val="1"/>
          <w:sz w:val="18"/>
          <w:szCs w:val="18"/>
          <w:bdr w:val="nil"/>
          <w:lang w:val="es-ES" w:eastAsia="ja-JP"/>
        </w:rPr>
      </w:pPr>
      <w:r w:rsidRPr="00D403F5">
        <w:rPr>
          <w:rFonts w:ascii="Times New Roman" w:eastAsia="Arial Unicode MS" w:hAnsi="Times New Roman" w:cs="Times New Roman"/>
          <w:kern w:val="1"/>
          <w:sz w:val="18"/>
          <w:szCs w:val="18"/>
          <w:bdr w:val="nil"/>
          <w:lang w:val="es-ES" w:eastAsia="ja-JP"/>
        </w:rPr>
        <w:t xml:space="preserve">BELLO-PEREZ, M., MEDINA-GALI, R., COLL, J. &amp; PEREZ, L. (2019). </w:t>
      </w:r>
      <w:r w:rsidRPr="00D403F5">
        <w:rPr>
          <w:rFonts w:ascii="Times New Roman" w:eastAsia="Arial Unicode MS" w:hAnsi="Times New Roman" w:cs="Times New Roman"/>
          <w:kern w:val="1"/>
          <w:sz w:val="18"/>
          <w:szCs w:val="18"/>
          <w:bdr w:val="nil"/>
          <w:lang w:eastAsia="ja-JP"/>
        </w:rPr>
        <w:t xml:space="preserve">Viral interference between infectious pancreatic necrosis virus and spring viremia of carp virus in zebrafish. </w:t>
      </w:r>
      <w:r w:rsidRPr="00D403F5">
        <w:rPr>
          <w:rFonts w:ascii="Times New Roman" w:eastAsia="Arial Unicode MS" w:hAnsi="Times New Roman" w:cs="Times New Roman"/>
          <w:i/>
          <w:iCs/>
          <w:kern w:val="1"/>
          <w:sz w:val="18"/>
          <w:szCs w:val="18"/>
          <w:bdr w:val="nil"/>
          <w:lang w:val="es-ES" w:eastAsia="ja-JP"/>
        </w:rPr>
        <w:t>Aquaculture</w:t>
      </w:r>
      <w:r w:rsidRPr="00D403F5">
        <w:rPr>
          <w:rFonts w:ascii="Times New Roman" w:eastAsia="Arial Unicode MS" w:hAnsi="Times New Roman" w:cs="Times New Roman"/>
          <w:kern w:val="1"/>
          <w:sz w:val="18"/>
          <w:szCs w:val="18"/>
          <w:bdr w:val="nil"/>
          <w:lang w:val="es-ES" w:eastAsia="ja-JP"/>
        </w:rPr>
        <w:t xml:space="preserve">, </w:t>
      </w:r>
      <w:r w:rsidRPr="00D403F5">
        <w:rPr>
          <w:rFonts w:ascii="Times New Roman" w:eastAsia="Arial Unicode MS" w:hAnsi="Times New Roman" w:cs="Times New Roman"/>
          <w:b/>
          <w:bCs/>
          <w:kern w:val="1"/>
          <w:sz w:val="18"/>
          <w:szCs w:val="18"/>
          <w:bdr w:val="nil"/>
          <w:lang w:val="es-ES" w:eastAsia="ja-JP"/>
        </w:rPr>
        <w:t>500</w:t>
      </w:r>
      <w:r w:rsidRPr="00D403F5">
        <w:rPr>
          <w:rFonts w:ascii="Times New Roman" w:eastAsia="Arial Unicode MS" w:hAnsi="Times New Roman" w:cs="Times New Roman"/>
          <w:kern w:val="1"/>
          <w:sz w:val="18"/>
          <w:szCs w:val="18"/>
          <w:bdr w:val="nil"/>
          <w:lang w:val="es-ES" w:eastAsia="ja-JP"/>
        </w:rPr>
        <w:t xml:space="preserve">, 370-377. </w:t>
      </w:r>
    </w:p>
    <w:p w14:paraId="309D1A67" w14:textId="77777777" w:rsidR="001865CC" w:rsidRPr="00D403F5" w:rsidRDefault="001865CC" w:rsidP="001041C6">
      <w:pPr>
        <w:spacing w:after="240" w:line="240" w:lineRule="auto"/>
        <w:ind w:left="993"/>
        <w:rPr>
          <w:rFonts w:ascii="Times New Roman" w:eastAsia="Arial Unicode MS" w:hAnsi="Times New Roman" w:cs="Times New Roman"/>
          <w:kern w:val="20"/>
          <w:sz w:val="18"/>
          <w:szCs w:val="18"/>
          <w:bdr w:val="nil"/>
          <w:lang w:eastAsia="ja-JP"/>
        </w:rPr>
      </w:pPr>
      <w:r w:rsidRPr="00D403F5">
        <w:rPr>
          <w:rFonts w:ascii="Times New Roman" w:eastAsia="Arial Unicode MS" w:hAnsi="Times New Roman" w:cs="Times New Roman"/>
          <w:caps/>
          <w:kern w:val="20"/>
          <w:sz w:val="18"/>
          <w:szCs w:val="18"/>
          <w:bdr w:val="nil"/>
          <w:lang w:val="es-ES" w:eastAsia="ja-JP"/>
        </w:rPr>
        <w:t xml:space="preserve">LÓpez-MuÑoz, a., Roca, f. j., SEPULCRE, m. p., Meseguer, j. &amp; Mulero, v. (2010). </w:t>
      </w:r>
      <w:r w:rsidRPr="00D403F5">
        <w:rPr>
          <w:rFonts w:ascii="Times New Roman" w:eastAsia="Arial Unicode MS" w:hAnsi="Times New Roman" w:cs="Times New Roman"/>
          <w:kern w:val="20"/>
          <w:sz w:val="18"/>
          <w:szCs w:val="18"/>
          <w:bdr w:val="nil"/>
          <w:lang w:eastAsia="ja-JP"/>
        </w:rPr>
        <w:t xml:space="preserve">Zebrafish larvae are unable to mount a protective antiviral response against waterborne infection by spring viremia of carp virus. </w:t>
      </w:r>
      <w:r w:rsidRPr="00D403F5">
        <w:rPr>
          <w:rFonts w:ascii="Times New Roman" w:eastAsia="Arial Unicode MS" w:hAnsi="Times New Roman" w:cs="Times New Roman"/>
          <w:i/>
          <w:iCs/>
          <w:kern w:val="20"/>
          <w:sz w:val="18"/>
          <w:szCs w:val="18"/>
          <w:bdr w:val="nil"/>
          <w:lang w:eastAsia="ja-JP"/>
        </w:rPr>
        <w:t>Developmental and Comparative Immunology</w:t>
      </w:r>
      <w:r w:rsidRPr="00D403F5">
        <w:rPr>
          <w:rFonts w:ascii="Times New Roman" w:eastAsia="Arial Unicode MS" w:hAnsi="Times New Roman" w:cs="Times New Roman"/>
          <w:kern w:val="20"/>
          <w:sz w:val="18"/>
          <w:szCs w:val="18"/>
          <w:bdr w:val="nil"/>
          <w:lang w:eastAsia="ja-JP"/>
        </w:rPr>
        <w:t xml:space="preserve">, </w:t>
      </w:r>
      <w:r w:rsidRPr="00D403F5">
        <w:rPr>
          <w:rFonts w:ascii="Times New Roman" w:eastAsia="Arial Unicode MS" w:hAnsi="Times New Roman" w:cs="Times New Roman"/>
          <w:b/>
          <w:bCs/>
          <w:kern w:val="20"/>
          <w:sz w:val="18"/>
          <w:szCs w:val="18"/>
          <w:bdr w:val="nil"/>
          <w:lang w:eastAsia="ja-JP"/>
        </w:rPr>
        <w:t>34</w:t>
      </w:r>
      <w:r w:rsidRPr="00D403F5">
        <w:rPr>
          <w:rFonts w:ascii="Times New Roman" w:eastAsia="Arial Unicode MS" w:hAnsi="Times New Roman" w:cs="Times New Roman"/>
          <w:kern w:val="20"/>
          <w:sz w:val="18"/>
          <w:szCs w:val="18"/>
          <w:bdr w:val="nil"/>
          <w:lang w:eastAsia="ja-JP"/>
        </w:rPr>
        <w:t xml:space="preserve">, 546-552. </w:t>
      </w:r>
    </w:p>
    <w:p w14:paraId="160AADFF" w14:textId="77777777" w:rsidR="001865CC" w:rsidRPr="00D403F5" w:rsidRDefault="001865CC" w:rsidP="001041C6">
      <w:pPr>
        <w:spacing w:after="240" w:line="240" w:lineRule="auto"/>
        <w:ind w:left="993"/>
        <w:rPr>
          <w:rFonts w:ascii="Times New Roman" w:eastAsia="Arial Unicode MS" w:hAnsi="Times New Roman" w:cs="Times New Roman"/>
          <w:kern w:val="20"/>
          <w:sz w:val="18"/>
          <w:szCs w:val="18"/>
          <w:bdr w:val="nil"/>
          <w:lang w:val="es-ES" w:eastAsia="ja-JP"/>
        </w:rPr>
      </w:pPr>
      <w:r w:rsidRPr="00D403F5">
        <w:rPr>
          <w:rFonts w:ascii="Times New Roman" w:eastAsia="Arial Unicode MS" w:hAnsi="Times New Roman" w:cs="Times New Roman"/>
          <w:kern w:val="20"/>
          <w:sz w:val="18"/>
          <w:szCs w:val="18"/>
          <w:bdr w:val="nil"/>
          <w:lang w:val="en-US" w:eastAsia="ja-JP"/>
        </w:rPr>
        <w:t xml:space="preserve">MARTINEZ-LOPEZ, A., GARCIA-VALTANEN, P., ORTEGA-VILLAIZAN, M., CHICO, V., GOMEZ-CASADO, E., COLL, J. M. &amp; ESTEPA, A. (2014). VHSV G glycoprotein major determinants implicated in triggering the host type I IFN antiviral response as DNA vaccine molecular adjuvants. </w:t>
      </w:r>
      <w:r w:rsidRPr="00D403F5">
        <w:rPr>
          <w:rFonts w:ascii="Times New Roman" w:eastAsia="Arial Unicode MS" w:hAnsi="Times New Roman" w:cs="Times New Roman"/>
          <w:i/>
          <w:iCs/>
          <w:kern w:val="20"/>
          <w:sz w:val="18"/>
          <w:szCs w:val="18"/>
          <w:bdr w:val="nil"/>
          <w:lang w:val="es-ES" w:eastAsia="ja-JP"/>
        </w:rPr>
        <w:t>Vaccine</w:t>
      </w:r>
      <w:r w:rsidRPr="00D403F5">
        <w:rPr>
          <w:rFonts w:ascii="Times New Roman" w:eastAsia="Arial Unicode MS" w:hAnsi="Times New Roman" w:cs="Times New Roman"/>
          <w:kern w:val="20"/>
          <w:sz w:val="18"/>
          <w:szCs w:val="18"/>
          <w:bdr w:val="nil"/>
          <w:lang w:val="es-ES" w:eastAsia="ja-JP"/>
        </w:rPr>
        <w:t xml:space="preserve">, </w:t>
      </w:r>
      <w:r w:rsidRPr="00D403F5">
        <w:rPr>
          <w:rFonts w:ascii="Times New Roman" w:eastAsia="Arial Unicode MS" w:hAnsi="Times New Roman" w:cs="Times New Roman"/>
          <w:b/>
          <w:bCs/>
          <w:kern w:val="20"/>
          <w:sz w:val="18"/>
          <w:szCs w:val="18"/>
          <w:bdr w:val="nil"/>
          <w:lang w:val="es-ES" w:eastAsia="ja-JP"/>
        </w:rPr>
        <w:t>32</w:t>
      </w:r>
      <w:r w:rsidRPr="00D403F5">
        <w:rPr>
          <w:rFonts w:ascii="Times New Roman" w:eastAsia="Arial Unicode MS" w:hAnsi="Times New Roman" w:cs="Times New Roman"/>
          <w:kern w:val="20"/>
          <w:sz w:val="18"/>
          <w:szCs w:val="18"/>
          <w:bdr w:val="nil"/>
          <w:lang w:val="es-ES" w:eastAsia="ja-JP"/>
        </w:rPr>
        <w:t>, 6012-6019.</w:t>
      </w:r>
    </w:p>
    <w:p w14:paraId="32C1DB8A" w14:textId="77777777" w:rsidR="001865CC" w:rsidRPr="00D403F5" w:rsidRDefault="001865CC" w:rsidP="001041C6">
      <w:pPr>
        <w:spacing w:after="240" w:line="240" w:lineRule="auto"/>
        <w:ind w:left="993"/>
        <w:jc w:val="both"/>
        <w:rPr>
          <w:rFonts w:ascii="Times New Roman" w:eastAsia="Arial Unicode MS" w:hAnsi="Times New Roman" w:cs="Times New Roman"/>
          <w:kern w:val="20"/>
          <w:sz w:val="18"/>
          <w:szCs w:val="18"/>
          <w:bdr w:val="nil"/>
          <w:lang w:val="es-ES" w:eastAsia="ja-JP"/>
        </w:rPr>
      </w:pPr>
      <w:r w:rsidRPr="00D403F5">
        <w:rPr>
          <w:rFonts w:ascii="Times New Roman" w:eastAsia="Arial Unicode MS" w:hAnsi="Times New Roman" w:cs="Times New Roman"/>
          <w:kern w:val="1"/>
          <w:sz w:val="18"/>
          <w:szCs w:val="18"/>
          <w:bdr w:val="nil"/>
          <w:lang w:val="es-ES" w:eastAsia="ja-JP"/>
        </w:rPr>
        <w:t xml:space="preserve">MEDINA-GALI, R. M., ORTEGA-VILLAIZAN, M., MERCADO, L., NOVOA, J. C. &amp; PEREZ, L. (2018a). </w:t>
      </w:r>
      <w:r w:rsidRPr="00D403F5">
        <w:rPr>
          <w:rFonts w:ascii="Times New Roman" w:eastAsia="Arial Unicode MS" w:hAnsi="Times New Roman" w:cs="Times New Roman"/>
          <w:kern w:val="1"/>
          <w:sz w:val="18"/>
          <w:szCs w:val="18"/>
          <w:bdr w:val="nil"/>
          <w:lang w:val="en-US" w:eastAsia="ja-JP"/>
        </w:rPr>
        <w:t xml:space="preserve">Beta-glucan enhances the response to SVCV infection in zebrafish. </w:t>
      </w:r>
      <w:r w:rsidRPr="00D403F5">
        <w:rPr>
          <w:rFonts w:ascii="Times New Roman" w:eastAsia="Arial Unicode MS" w:hAnsi="Times New Roman" w:cs="Times New Roman"/>
          <w:i/>
          <w:iCs/>
          <w:kern w:val="20"/>
          <w:sz w:val="18"/>
          <w:szCs w:val="18"/>
          <w:bdr w:val="nil"/>
          <w:lang w:val="es-ES" w:eastAsia="ja-JP"/>
        </w:rPr>
        <w:t>Developmental and Comparative Immunology</w:t>
      </w:r>
      <w:r w:rsidRPr="00D403F5">
        <w:rPr>
          <w:rFonts w:ascii="Times New Roman" w:eastAsia="Arial Unicode MS" w:hAnsi="Times New Roman" w:cs="Times New Roman"/>
          <w:kern w:val="20"/>
          <w:sz w:val="18"/>
          <w:szCs w:val="18"/>
          <w:bdr w:val="nil"/>
          <w:lang w:val="es-ES" w:eastAsia="ja-JP"/>
        </w:rPr>
        <w:t xml:space="preserve">, </w:t>
      </w:r>
      <w:r w:rsidRPr="00D403F5">
        <w:rPr>
          <w:rFonts w:ascii="Times New Roman" w:eastAsia="Arial Unicode MS" w:hAnsi="Times New Roman" w:cs="Times New Roman"/>
          <w:b/>
          <w:bCs/>
          <w:kern w:val="20"/>
          <w:sz w:val="18"/>
          <w:szCs w:val="18"/>
          <w:bdr w:val="nil"/>
          <w:lang w:val="es-ES" w:eastAsia="ja-JP"/>
        </w:rPr>
        <w:t>84</w:t>
      </w:r>
      <w:r w:rsidRPr="00D403F5">
        <w:rPr>
          <w:rFonts w:ascii="Times New Roman" w:eastAsia="Arial Unicode MS" w:hAnsi="Times New Roman" w:cs="Times New Roman"/>
          <w:kern w:val="20"/>
          <w:sz w:val="18"/>
          <w:szCs w:val="18"/>
          <w:bdr w:val="nil"/>
          <w:lang w:val="es-ES" w:eastAsia="ja-JP"/>
        </w:rPr>
        <w:t xml:space="preserve">, 307-314. </w:t>
      </w:r>
    </w:p>
    <w:p w14:paraId="5210170C" w14:textId="77777777" w:rsidR="001865CC" w:rsidRPr="00D403F5" w:rsidRDefault="001865CC" w:rsidP="001041C6">
      <w:pPr>
        <w:spacing w:after="240" w:line="240" w:lineRule="auto"/>
        <w:ind w:left="992"/>
        <w:jc w:val="both"/>
        <w:rPr>
          <w:rFonts w:ascii="Times New Roman" w:eastAsia="Arial Unicode MS" w:hAnsi="Times New Roman" w:cs="Times New Roman"/>
          <w:kern w:val="20"/>
          <w:sz w:val="18"/>
          <w:szCs w:val="18"/>
          <w:bdr w:val="nil"/>
          <w:lang w:val="en-US" w:eastAsia="ja-JP"/>
        </w:rPr>
      </w:pPr>
      <w:r w:rsidRPr="00D403F5">
        <w:rPr>
          <w:rFonts w:ascii="Times New Roman" w:eastAsia="Arial Unicode MS" w:hAnsi="Times New Roman" w:cs="Times New Roman"/>
          <w:kern w:val="1"/>
          <w:sz w:val="18"/>
          <w:szCs w:val="18"/>
          <w:bdr w:val="nil"/>
          <w:lang w:val="es-ES" w:eastAsia="ja-JP"/>
        </w:rPr>
        <w:t xml:space="preserve">MEDINA-GALI, R. M., </w:t>
      </w:r>
      <w:r w:rsidRPr="00D403F5">
        <w:rPr>
          <w:rFonts w:ascii="Times New Roman" w:eastAsia="Arial Unicode MS" w:hAnsi="Times New Roman" w:cs="Times New Roman"/>
          <w:caps/>
          <w:kern w:val="20"/>
          <w:sz w:val="18"/>
          <w:szCs w:val="18"/>
          <w:bdr w:val="nil"/>
          <w:lang w:val="es-ES" w:eastAsia="ja-JP"/>
        </w:rPr>
        <w:t>Belló-Péreza, M., Martínez-López, a., Falcó, a., Ortega-Villaizana, m. m., Encinara, j. a., Novoa, b., Coll, j. &amp; Perez, l. (2018</w:t>
      </w:r>
      <w:r w:rsidRPr="00D403F5">
        <w:rPr>
          <w:rFonts w:ascii="Times New Roman" w:eastAsia="Arial Unicode MS" w:hAnsi="Times New Roman" w:cs="Times New Roman"/>
          <w:kern w:val="20"/>
          <w:sz w:val="18"/>
          <w:szCs w:val="18"/>
          <w:bdr w:val="nil"/>
          <w:lang w:val="es-ES" w:eastAsia="ja-JP"/>
        </w:rPr>
        <w:t>b</w:t>
      </w:r>
      <w:r w:rsidRPr="00D403F5">
        <w:rPr>
          <w:rFonts w:ascii="Times New Roman" w:eastAsia="Arial Unicode MS" w:hAnsi="Times New Roman" w:cs="Times New Roman"/>
          <w:caps/>
          <w:kern w:val="20"/>
          <w:sz w:val="18"/>
          <w:szCs w:val="18"/>
          <w:bdr w:val="nil"/>
          <w:lang w:val="es-ES" w:eastAsia="ja-JP"/>
        </w:rPr>
        <w:t xml:space="preserve">). </w:t>
      </w:r>
      <w:r w:rsidRPr="00D403F5">
        <w:rPr>
          <w:rFonts w:ascii="Times New Roman" w:eastAsia="Arial Unicode MS" w:hAnsi="Times New Roman" w:cs="Times New Roman"/>
          <w:kern w:val="20"/>
          <w:sz w:val="18"/>
          <w:szCs w:val="18"/>
          <w:bdr w:val="nil"/>
          <w:lang w:val="en-US" w:eastAsia="ja-JP"/>
        </w:rPr>
        <w:t xml:space="preserve">Chromatin immunoprecipitation and high throughput sequencing of SVCV infected zebrafish reveals novel epigenetic histone methylation patterns involved in antiviral immune response. </w:t>
      </w:r>
      <w:r w:rsidRPr="00D403F5">
        <w:rPr>
          <w:rFonts w:ascii="Times New Roman" w:eastAsia="Arial Unicode MS" w:hAnsi="Times New Roman" w:cs="Times New Roman"/>
          <w:i/>
          <w:iCs/>
          <w:kern w:val="20"/>
          <w:sz w:val="18"/>
          <w:szCs w:val="18"/>
          <w:bdr w:val="nil"/>
          <w:lang w:val="en-US" w:eastAsia="ja-JP"/>
        </w:rPr>
        <w:t>Fish and Shellfish Immunology</w:t>
      </w:r>
      <w:r w:rsidRPr="00D403F5">
        <w:rPr>
          <w:rFonts w:ascii="Times New Roman" w:eastAsia="Arial Unicode MS" w:hAnsi="Times New Roman" w:cs="Times New Roman"/>
          <w:kern w:val="20"/>
          <w:sz w:val="18"/>
          <w:szCs w:val="18"/>
          <w:bdr w:val="nil"/>
          <w:lang w:val="en-US" w:eastAsia="ja-JP"/>
        </w:rPr>
        <w:t xml:space="preserve">, </w:t>
      </w:r>
      <w:r w:rsidRPr="00D403F5">
        <w:rPr>
          <w:rFonts w:ascii="Times New Roman" w:eastAsia="Arial Unicode MS" w:hAnsi="Times New Roman" w:cs="Times New Roman"/>
          <w:b/>
          <w:bCs/>
          <w:kern w:val="20"/>
          <w:sz w:val="18"/>
          <w:szCs w:val="18"/>
          <w:bdr w:val="nil"/>
          <w:lang w:val="en-US" w:eastAsia="ja-JP"/>
        </w:rPr>
        <w:t>82</w:t>
      </w:r>
      <w:r w:rsidRPr="00D403F5">
        <w:rPr>
          <w:rFonts w:ascii="Times New Roman" w:eastAsia="Arial Unicode MS" w:hAnsi="Times New Roman" w:cs="Times New Roman"/>
          <w:kern w:val="20"/>
          <w:sz w:val="18"/>
          <w:szCs w:val="18"/>
          <w:bdr w:val="nil"/>
          <w:lang w:val="en-US" w:eastAsia="ja-JP"/>
        </w:rPr>
        <w:t xml:space="preserve">, 514-521. </w:t>
      </w:r>
    </w:p>
    <w:p w14:paraId="4E510000" w14:textId="33B9E99C" w:rsidR="001865CC" w:rsidRPr="00D403F5" w:rsidRDefault="001865CC" w:rsidP="001041C6">
      <w:pPr>
        <w:spacing w:after="240" w:line="240" w:lineRule="auto"/>
        <w:ind w:left="992"/>
        <w:jc w:val="both"/>
        <w:rPr>
          <w:rFonts w:ascii="Times New Roman" w:eastAsia="Arial Unicode MS" w:hAnsi="Times New Roman" w:cs="Times New Roman"/>
          <w:kern w:val="1"/>
          <w:sz w:val="18"/>
          <w:szCs w:val="18"/>
          <w:bdr w:val="nil"/>
          <w:lang w:eastAsia="ja-JP"/>
        </w:rPr>
      </w:pPr>
      <w:r w:rsidRPr="00D403F5">
        <w:rPr>
          <w:rFonts w:ascii="Times New Roman" w:eastAsia="Arial Unicode MS" w:hAnsi="Times New Roman" w:cs="Times New Roman"/>
          <w:kern w:val="1"/>
          <w:sz w:val="18"/>
          <w:szCs w:val="18"/>
          <w:bdr w:val="nil"/>
          <w:lang w:eastAsia="ja-JP"/>
        </w:rPr>
        <w:t>S</w:t>
      </w:r>
      <w:r w:rsidRPr="00D403F5">
        <w:rPr>
          <w:rFonts w:ascii="Times New Roman" w:eastAsia="Arial Unicode MS" w:hAnsi="Times New Roman" w:cs="Times New Roman"/>
          <w:caps/>
          <w:kern w:val="20"/>
          <w:sz w:val="18"/>
          <w:szCs w:val="18"/>
          <w:bdr w:val="nil"/>
          <w:lang w:eastAsia="ja-JP"/>
        </w:rPr>
        <w:t>anders</w:t>
      </w:r>
      <w:r w:rsidRPr="00D403F5">
        <w:rPr>
          <w:rFonts w:ascii="Times New Roman" w:eastAsia="Arial Unicode MS" w:hAnsi="Times New Roman" w:cs="Times New Roman"/>
          <w:kern w:val="1"/>
          <w:sz w:val="18"/>
          <w:szCs w:val="18"/>
          <w:bdr w:val="nil"/>
          <w:lang w:eastAsia="ja-JP"/>
        </w:rPr>
        <w:t>, G. E., BATTS, W. N. &amp; WINTON, J. R. (2003). Susceptibility of Zebrafish (</w:t>
      </w:r>
      <w:r w:rsidRPr="00D403F5">
        <w:rPr>
          <w:rFonts w:ascii="Times New Roman" w:eastAsia="Arial Unicode MS" w:hAnsi="Times New Roman" w:cs="Times New Roman"/>
          <w:i/>
          <w:iCs/>
          <w:kern w:val="1"/>
          <w:sz w:val="18"/>
          <w:szCs w:val="18"/>
          <w:bdr w:val="nil"/>
          <w:lang w:eastAsia="ja-JP"/>
        </w:rPr>
        <w:t>Danio rerio</w:t>
      </w:r>
      <w:r w:rsidRPr="00D403F5">
        <w:rPr>
          <w:rFonts w:ascii="Times New Roman" w:eastAsia="Arial Unicode MS" w:hAnsi="Times New Roman" w:cs="Times New Roman"/>
          <w:kern w:val="1"/>
          <w:sz w:val="18"/>
          <w:szCs w:val="18"/>
          <w:bdr w:val="nil"/>
          <w:lang w:eastAsia="ja-JP"/>
        </w:rPr>
        <w:t xml:space="preserve">) to a Model Pathogen, Spring Viremia of Carp Virus. </w:t>
      </w:r>
      <w:r w:rsidRPr="00D403F5">
        <w:rPr>
          <w:rFonts w:ascii="Times New Roman" w:eastAsia="Arial Unicode MS" w:hAnsi="Times New Roman" w:cs="Times New Roman"/>
          <w:i/>
          <w:iCs/>
          <w:kern w:val="1"/>
          <w:sz w:val="18"/>
          <w:szCs w:val="18"/>
          <w:bdr w:val="nil"/>
          <w:lang w:eastAsia="ja-JP"/>
        </w:rPr>
        <w:t>Comparative Medicine</w:t>
      </w:r>
      <w:r w:rsidRPr="00D403F5">
        <w:rPr>
          <w:rFonts w:ascii="Times New Roman" w:eastAsia="Arial Unicode MS" w:hAnsi="Times New Roman" w:cs="Times New Roman"/>
          <w:kern w:val="1"/>
          <w:sz w:val="18"/>
          <w:szCs w:val="18"/>
          <w:bdr w:val="nil"/>
          <w:lang w:eastAsia="ja-JP"/>
        </w:rPr>
        <w:t xml:space="preserve">, </w:t>
      </w:r>
      <w:r w:rsidRPr="00D403F5">
        <w:rPr>
          <w:rFonts w:ascii="Times New Roman" w:eastAsia="Arial Unicode MS" w:hAnsi="Times New Roman" w:cs="Times New Roman"/>
          <w:b/>
          <w:bCs/>
          <w:kern w:val="1"/>
          <w:sz w:val="18"/>
          <w:szCs w:val="18"/>
          <w:bdr w:val="nil"/>
          <w:lang w:eastAsia="ja-JP"/>
        </w:rPr>
        <w:t>53(5)</w:t>
      </w:r>
      <w:r w:rsidRPr="00D403F5">
        <w:rPr>
          <w:rFonts w:ascii="Times New Roman" w:eastAsia="Arial Unicode MS" w:hAnsi="Times New Roman" w:cs="Times New Roman"/>
          <w:kern w:val="1"/>
          <w:sz w:val="18"/>
          <w:szCs w:val="18"/>
          <w:bdr w:val="nil"/>
          <w:lang w:eastAsia="ja-JP"/>
        </w:rPr>
        <w:t xml:space="preserve">, 514-521. </w:t>
      </w:r>
    </w:p>
    <w:p w14:paraId="52D8E946" w14:textId="13654BEC" w:rsidR="004268AF" w:rsidRPr="00D403F5" w:rsidRDefault="004268AF" w:rsidP="001041C6">
      <w:pPr>
        <w:spacing w:after="240" w:line="240" w:lineRule="auto"/>
        <w:ind w:left="992" w:hanging="567"/>
        <w:jc w:val="both"/>
        <w:rPr>
          <w:rFonts w:ascii="Times New Roman" w:hAnsi="Times New Roman" w:cs="Times New Roman"/>
          <w:b/>
          <w:bCs/>
          <w:sz w:val="18"/>
          <w:szCs w:val="18"/>
          <w:lang w:val="en-IE"/>
        </w:rPr>
      </w:pPr>
      <w:r w:rsidRPr="00D403F5">
        <w:rPr>
          <w:rFonts w:ascii="Times New Roman" w:hAnsi="Times New Roman" w:cs="Times New Roman"/>
          <w:b/>
          <w:bCs/>
          <w:sz w:val="18"/>
          <w:szCs w:val="18"/>
          <w:lang w:val="en-IE"/>
        </w:rPr>
        <w:t>6.6.</w:t>
      </w:r>
      <w:r w:rsidRPr="00D403F5">
        <w:rPr>
          <w:rFonts w:ascii="Times New Roman" w:hAnsi="Times New Roman" w:cs="Times New Roman"/>
          <w:b/>
          <w:bCs/>
          <w:sz w:val="18"/>
          <w:szCs w:val="18"/>
          <w:lang w:val="en-IE"/>
        </w:rPr>
        <w:tab/>
        <w:t xml:space="preserve">Discussion paper on </w:t>
      </w:r>
      <w:r w:rsidR="001323BE" w:rsidRPr="00D403F5">
        <w:rPr>
          <w:rFonts w:ascii="Times New Roman" w:hAnsi="Times New Roman" w:cs="Times New Roman"/>
          <w:b/>
          <w:bCs/>
          <w:sz w:val="18"/>
          <w:szCs w:val="18"/>
          <w:lang w:val="en-IE"/>
        </w:rPr>
        <w:t>a</w:t>
      </w:r>
      <w:r w:rsidRPr="00D403F5">
        <w:rPr>
          <w:rFonts w:ascii="Times New Roman" w:hAnsi="Times New Roman" w:cs="Times New Roman"/>
          <w:b/>
          <w:bCs/>
          <w:sz w:val="18"/>
          <w:szCs w:val="18"/>
          <w:lang w:val="en-IE"/>
        </w:rPr>
        <w:t xml:space="preserve">pproaches for determining periods required to demonstrate disease freedom </w:t>
      </w:r>
    </w:p>
    <w:p w14:paraId="667A0482" w14:textId="15B5DC44" w:rsidR="004268AF" w:rsidRPr="00D403F5" w:rsidRDefault="004268AF" w:rsidP="001041C6">
      <w:pPr>
        <w:spacing w:after="240" w:line="240" w:lineRule="auto"/>
        <w:ind w:left="992"/>
        <w:jc w:val="both"/>
        <w:rPr>
          <w:rFonts w:ascii="Times New Roman" w:hAnsi="Times New Roman" w:cs="Times New Roman"/>
          <w:sz w:val="18"/>
          <w:szCs w:val="18"/>
        </w:rPr>
      </w:pPr>
      <w:r w:rsidRPr="00D403F5">
        <w:rPr>
          <w:rFonts w:ascii="Times New Roman" w:hAnsi="Times New Roman" w:cs="Times New Roman"/>
          <w:sz w:val="18"/>
          <w:szCs w:val="18"/>
        </w:rPr>
        <w:t xml:space="preserve">A discussion paper on </w:t>
      </w:r>
      <w:r w:rsidR="001323BE" w:rsidRPr="00D403F5">
        <w:rPr>
          <w:rFonts w:ascii="Times New Roman" w:hAnsi="Times New Roman" w:cs="Times New Roman"/>
          <w:sz w:val="18"/>
          <w:szCs w:val="18"/>
        </w:rPr>
        <w:t>a</w:t>
      </w:r>
      <w:r w:rsidRPr="00D403F5">
        <w:rPr>
          <w:rFonts w:ascii="Times New Roman" w:hAnsi="Times New Roman" w:cs="Times New Roman"/>
          <w:sz w:val="18"/>
          <w:szCs w:val="18"/>
        </w:rPr>
        <w:t xml:space="preserve">pproaches for </w:t>
      </w:r>
      <w:r w:rsidRPr="00D403F5">
        <w:rPr>
          <w:rFonts w:ascii="Times New Roman" w:hAnsi="Times New Roman" w:cs="Times New Roman"/>
          <w:sz w:val="18"/>
          <w:szCs w:val="18"/>
          <w:lang w:val="en-IE"/>
        </w:rPr>
        <w:t xml:space="preserve">determining periods required to demonstrate disease freedom, developed by the Commission, had been </w:t>
      </w:r>
      <w:r w:rsidRPr="00D403F5">
        <w:rPr>
          <w:rFonts w:ascii="Times New Roman" w:hAnsi="Times New Roman" w:cs="Times New Roman"/>
          <w:sz w:val="18"/>
          <w:szCs w:val="18"/>
        </w:rPr>
        <w:t xml:space="preserve">circulated in the Commission’s September 2018 report for Member comments. </w:t>
      </w:r>
    </w:p>
    <w:p w14:paraId="720BE682" w14:textId="77777777" w:rsidR="004268AF" w:rsidRPr="00D403F5" w:rsidRDefault="004268AF" w:rsidP="001041C6">
      <w:pPr>
        <w:spacing w:after="240" w:line="240" w:lineRule="auto"/>
        <w:ind w:left="992"/>
        <w:jc w:val="both"/>
        <w:rPr>
          <w:rFonts w:ascii="Times New Roman" w:hAnsi="Times New Roman" w:cs="Times New Roman"/>
          <w:sz w:val="18"/>
          <w:szCs w:val="18"/>
        </w:rPr>
      </w:pPr>
      <w:r w:rsidRPr="00D403F5">
        <w:rPr>
          <w:rFonts w:ascii="Times New Roman" w:hAnsi="Times New Roman" w:cs="Times New Roman"/>
          <w:sz w:val="18"/>
          <w:szCs w:val="18"/>
        </w:rPr>
        <w:t xml:space="preserve">The Commission, at its February 2019 meeting acknowledged the extensive number of comments submitted by Members and appreciated the quality of comments and the high level of engagement on this topic. </w:t>
      </w:r>
    </w:p>
    <w:p w14:paraId="4D971006" w14:textId="77777777" w:rsidR="004268AF" w:rsidRPr="00D403F5" w:rsidRDefault="004268AF" w:rsidP="001041C6">
      <w:pPr>
        <w:spacing w:after="240" w:line="240" w:lineRule="auto"/>
        <w:ind w:left="992"/>
        <w:jc w:val="both"/>
        <w:rPr>
          <w:rFonts w:ascii="Times New Roman" w:hAnsi="Times New Roman" w:cs="Times New Roman"/>
          <w:sz w:val="18"/>
          <w:szCs w:val="18"/>
        </w:rPr>
      </w:pPr>
      <w:r w:rsidRPr="00D403F5">
        <w:rPr>
          <w:rFonts w:ascii="Times New Roman" w:hAnsi="Times New Roman" w:cs="Times New Roman"/>
          <w:sz w:val="18"/>
          <w:szCs w:val="18"/>
        </w:rPr>
        <w:t xml:space="preserve">Since February 2019, the Commission worked on the development of a revised paper, taking into account Member comments. Version 2 of the discussion paper includes summaries of the responses provided by Member Countries on Version 1, and revised recommendations throughout the paper. These recommendations form the basis of the proposed approach by the Aquatic Animals Commission to the revision of Aquatic Code articles relevant to declaration of freedom. </w:t>
      </w:r>
    </w:p>
    <w:p w14:paraId="374E8754" w14:textId="5F008568" w:rsidR="004268AF" w:rsidRPr="00D403F5" w:rsidRDefault="004268AF" w:rsidP="001041C6">
      <w:pPr>
        <w:spacing w:after="240" w:line="240" w:lineRule="auto"/>
        <w:ind w:left="992"/>
        <w:jc w:val="both"/>
        <w:rPr>
          <w:rFonts w:ascii="Times New Roman" w:hAnsi="Times New Roman" w:cs="Times New Roman"/>
          <w:sz w:val="18"/>
          <w:szCs w:val="18"/>
        </w:rPr>
      </w:pPr>
      <w:r w:rsidRPr="00D403F5">
        <w:rPr>
          <w:rFonts w:ascii="Times New Roman" w:hAnsi="Times New Roman" w:cs="Times New Roman"/>
          <w:sz w:val="18"/>
          <w:szCs w:val="18"/>
        </w:rPr>
        <w:t>Following this consultation with Member</w:t>
      </w:r>
      <w:r w:rsidR="001323BE" w:rsidRPr="00D403F5">
        <w:rPr>
          <w:rFonts w:ascii="Times New Roman" w:hAnsi="Times New Roman" w:cs="Times New Roman"/>
          <w:sz w:val="18"/>
          <w:szCs w:val="18"/>
        </w:rPr>
        <w:t>s</w:t>
      </w:r>
      <w:r w:rsidRPr="00D403F5">
        <w:rPr>
          <w:rFonts w:ascii="Times New Roman" w:hAnsi="Times New Roman" w:cs="Times New Roman"/>
          <w:sz w:val="18"/>
          <w:szCs w:val="18"/>
        </w:rPr>
        <w:t>, the Aquatic Animals Commission proposes to retain the broad framework of requirements in the Aquatic Code for declaration of freedom for reasons of simplicity and practicality and to provide confidence among Member</w:t>
      </w:r>
      <w:r w:rsidR="001323BE" w:rsidRPr="00D403F5">
        <w:rPr>
          <w:rFonts w:ascii="Times New Roman" w:hAnsi="Times New Roman" w:cs="Times New Roman"/>
          <w:sz w:val="18"/>
          <w:szCs w:val="18"/>
        </w:rPr>
        <w:t>s</w:t>
      </w:r>
      <w:r w:rsidRPr="00D403F5">
        <w:rPr>
          <w:rFonts w:ascii="Times New Roman" w:hAnsi="Times New Roman" w:cs="Times New Roman"/>
          <w:sz w:val="18"/>
          <w:szCs w:val="18"/>
        </w:rPr>
        <w:t xml:space="preserve"> in the strength of self-declarations of freedom. However, the revised approaches recommended in the discussion paper will also provide additional flexibility (e.g. to use secondary sources of data) and improve rigour in determining the required surveillance periods specified in disease-specific chapters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Chapter 1.4</w:t>
      </w:r>
      <w:r w:rsidR="007F6F85" w:rsidRPr="00D403F5">
        <w:rPr>
          <w:rFonts w:ascii="Times New Roman" w:hAnsi="Times New Roman" w:cs="Times New Roman"/>
          <w:sz w:val="18"/>
          <w:szCs w:val="18"/>
        </w:rPr>
        <w:t>.</w:t>
      </w:r>
      <w:r w:rsidRPr="00D403F5">
        <w:rPr>
          <w:rFonts w:ascii="Times New Roman" w:hAnsi="Times New Roman" w:cs="Times New Roman"/>
          <w:sz w:val="18"/>
          <w:szCs w:val="18"/>
        </w:rPr>
        <w:t xml:space="preserve"> Aquatic Animal Health Surveillance will be revised substantially to better support the approaches recommended in the discussion paper.</w:t>
      </w:r>
    </w:p>
    <w:p w14:paraId="5AAA707D" w14:textId="591C270A" w:rsidR="004268AF" w:rsidRPr="00D403F5" w:rsidRDefault="004268AF" w:rsidP="001041C6">
      <w:pPr>
        <w:spacing w:after="240" w:line="240" w:lineRule="auto"/>
        <w:ind w:left="992"/>
        <w:jc w:val="both"/>
        <w:rPr>
          <w:rFonts w:ascii="Times New Roman" w:hAnsi="Times New Roman" w:cs="Times New Roman"/>
          <w:sz w:val="18"/>
          <w:szCs w:val="18"/>
        </w:rPr>
      </w:pPr>
      <w:r w:rsidRPr="00D403F5">
        <w:rPr>
          <w:rFonts w:ascii="Times New Roman" w:hAnsi="Times New Roman" w:cs="Times New Roman"/>
          <w:sz w:val="18"/>
          <w:szCs w:val="18"/>
        </w:rPr>
        <w:t xml:space="preserve">For the convenience of </w:t>
      </w:r>
      <w:r w:rsidR="001323BE" w:rsidRPr="00D403F5">
        <w:rPr>
          <w:rFonts w:ascii="Times New Roman" w:hAnsi="Times New Roman" w:cs="Times New Roman"/>
          <w:sz w:val="18"/>
          <w:szCs w:val="18"/>
        </w:rPr>
        <w:t>M</w:t>
      </w:r>
      <w:r w:rsidRPr="00D403F5">
        <w:rPr>
          <w:rFonts w:ascii="Times New Roman" w:hAnsi="Times New Roman" w:cs="Times New Roman"/>
          <w:sz w:val="18"/>
          <w:szCs w:val="18"/>
        </w:rPr>
        <w:t xml:space="preserve">embers, the summary of the discussion paper highlights the key recommended approaches that are suggested throughout the paper. sound science and with a view of achieving consensus, in particular focusing on refining the recommended approaches and exploring improvements </w:t>
      </w:r>
      <w:r w:rsidR="007F6F85" w:rsidRPr="00D403F5">
        <w:rPr>
          <w:rFonts w:ascii="Times New Roman" w:hAnsi="Times New Roman" w:cs="Times New Roman"/>
          <w:sz w:val="18"/>
          <w:szCs w:val="18"/>
        </w:rPr>
        <w:t>in relevant</w:t>
      </w:r>
      <w:r w:rsidRPr="00D403F5">
        <w:rPr>
          <w:rFonts w:ascii="Times New Roman" w:hAnsi="Times New Roman" w:cs="Times New Roman"/>
          <w:sz w:val="18"/>
          <w:szCs w:val="18"/>
        </w:rPr>
        <w:t xml:space="preserve"> articles in the disease-specific chapters for demonstration of freedom. </w:t>
      </w:r>
    </w:p>
    <w:p w14:paraId="3CC49C2D" w14:textId="6B3F12EE" w:rsidR="004268AF" w:rsidRPr="00D403F5" w:rsidRDefault="004268AF" w:rsidP="001041C6">
      <w:pPr>
        <w:spacing w:after="240" w:line="240" w:lineRule="auto"/>
        <w:ind w:left="992"/>
        <w:jc w:val="both"/>
        <w:rPr>
          <w:rFonts w:ascii="Times New Roman" w:hAnsi="Times New Roman" w:cs="Times New Roman"/>
          <w:sz w:val="18"/>
          <w:szCs w:val="18"/>
          <w:lang w:eastAsia="fr-FR"/>
        </w:rPr>
      </w:pPr>
      <w:r w:rsidRPr="00D403F5">
        <w:rPr>
          <w:rFonts w:ascii="Times New Roman" w:hAnsi="Times New Roman" w:cs="Times New Roman"/>
          <w:sz w:val="18"/>
          <w:szCs w:val="18"/>
        </w:rPr>
        <w:t xml:space="preserve">The revised document ‘Approaches for determining periods required to demonstrate disease freedom’ is presented as </w:t>
      </w:r>
      <w:r w:rsidRPr="00D403F5">
        <w:rPr>
          <w:rFonts w:ascii="Times New Roman" w:hAnsi="Times New Roman" w:cs="Times New Roman"/>
          <w:sz w:val="18"/>
          <w:szCs w:val="18"/>
          <w:u w:val="single"/>
        </w:rPr>
        <w:t xml:space="preserve">Annex </w:t>
      </w:r>
      <w:r w:rsidR="007F6F85" w:rsidRPr="00D403F5">
        <w:rPr>
          <w:rFonts w:ascii="Times New Roman" w:hAnsi="Times New Roman" w:cs="Times New Roman"/>
          <w:sz w:val="18"/>
          <w:szCs w:val="18"/>
          <w:u w:val="single"/>
        </w:rPr>
        <w:t>8</w:t>
      </w:r>
      <w:r w:rsidR="007F6F85" w:rsidRPr="00D403F5">
        <w:rPr>
          <w:rFonts w:ascii="Times New Roman" w:hAnsi="Times New Roman" w:cs="Times New Roman"/>
          <w:sz w:val="18"/>
          <w:szCs w:val="18"/>
        </w:rPr>
        <w:t xml:space="preserve"> </w:t>
      </w:r>
      <w:r w:rsidRPr="00D403F5">
        <w:rPr>
          <w:rFonts w:ascii="Times New Roman" w:hAnsi="Times New Roman" w:cs="Times New Roman"/>
          <w:sz w:val="18"/>
          <w:szCs w:val="18"/>
        </w:rPr>
        <w:t xml:space="preserve">for </w:t>
      </w:r>
      <w:r w:rsidRPr="00D403F5">
        <w:rPr>
          <w:rFonts w:ascii="Times New Roman" w:hAnsi="Times New Roman" w:cs="Times New Roman"/>
          <w:sz w:val="18"/>
          <w:szCs w:val="18"/>
          <w:lang w:val="en-IE" w:eastAsia="fr-FR"/>
        </w:rPr>
        <w:t>Member comments</w:t>
      </w:r>
      <w:r w:rsidRPr="00D403F5">
        <w:rPr>
          <w:rFonts w:ascii="Times New Roman" w:hAnsi="Times New Roman" w:cs="Times New Roman"/>
          <w:sz w:val="18"/>
          <w:szCs w:val="18"/>
        </w:rPr>
        <w:t>.</w:t>
      </w:r>
      <w:r w:rsidRPr="00D403F5">
        <w:rPr>
          <w:rFonts w:ascii="Times New Roman" w:hAnsi="Times New Roman" w:cs="Times New Roman"/>
          <w:sz w:val="18"/>
          <w:szCs w:val="18"/>
          <w:lang w:eastAsia="fr-FR"/>
        </w:rPr>
        <w:t xml:space="preserve"> The Commission encouraged Members to review this document and provide comments, particularly on the recommended approaches that are provided in each section of the discussion paper.</w:t>
      </w:r>
    </w:p>
    <w:p w14:paraId="229C6F06" w14:textId="1D8ED95D" w:rsidR="004268AF" w:rsidRPr="00D403F5" w:rsidRDefault="004268AF" w:rsidP="001041C6">
      <w:pPr>
        <w:spacing w:after="240" w:line="240" w:lineRule="auto"/>
        <w:ind w:left="993" w:hanging="567"/>
        <w:rPr>
          <w:rFonts w:ascii="Times New Roman" w:hAnsi="Times New Roman" w:cs="Times New Roman"/>
          <w:b/>
          <w:bCs/>
          <w:sz w:val="18"/>
          <w:szCs w:val="18"/>
        </w:rPr>
      </w:pPr>
      <w:r w:rsidRPr="00D403F5">
        <w:rPr>
          <w:rFonts w:ascii="Times New Roman" w:hAnsi="Times New Roman" w:cs="Times New Roman"/>
          <w:b/>
          <w:bCs/>
          <w:sz w:val="18"/>
          <w:szCs w:val="18"/>
        </w:rPr>
        <w:t>6.7.</w:t>
      </w:r>
      <w:r w:rsidR="00DE4CE0" w:rsidRPr="00D403F5">
        <w:rPr>
          <w:rFonts w:ascii="Times New Roman" w:hAnsi="Times New Roman" w:cs="Times New Roman"/>
          <w:b/>
          <w:bCs/>
          <w:sz w:val="18"/>
          <w:szCs w:val="18"/>
        </w:rPr>
        <w:tab/>
      </w:r>
      <w:r w:rsidRPr="00D403F5">
        <w:rPr>
          <w:rFonts w:ascii="Times New Roman" w:hAnsi="Times New Roman" w:cs="Times New Roman"/>
          <w:b/>
          <w:bCs/>
          <w:sz w:val="18"/>
          <w:szCs w:val="18"/>
        </w:rPr>
        <w:t xml:space="preserve">Revised Glossary definition for ‘Aquatic animal waste’ </w:t>
      </w:r>
    </w:p>
    <w:p w14:paraId="665BF80B" w14:textId="638F612A" w:rsidR="004268AF" w:rsidRPr="00D403F5" w:rsidRDefault="004268AF"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In response to a comment and given that the term ‘aquatic animal waste’ is used extensively in the new draft chapter</w:t>
      </w:r>
      <w:r w:rsidRPr="00D403F5">
        <w:rPr>
          <w:rFonts w:ascii="Times New Roman" w:hAnsi="Times New Roman" w:cs="Times New Roman"/>
          <w:sz w:val="18"/>
          <w:szCs w:val="18"/>
        </w:rPr>
        <w:t xml:space="preserve"> </w:t>
      </w:r>
      <w:r w:rsidRPr="00D403F5">
        <w:rPr>
          <w:rFonts w:ascii="Times New Roman" w:hAnsi="Times New Roman" w:cs="Times New Roman"/>
          <w:sz w:val="18"/>
          <w:szCs w:val="18"/>
          <w:lang w:val="en-IE" w:eastAsia="fr-FR"/>
        </w:rPr>
        <w:t xml:space="preserve">on Biosecurity for Aquaculture Establishments (Chapter 4.X.) as well as in Chapter 4.7. Handling, disposal and treatment of aquatic animal waste, the Commission agreed to include a new definition for ‘aquatic animal waste’ in the Glossary (see also Item 6.1.). </w:t>
      </w:r>
    </w:p>
    <w:p w14:paraId="7147A70B" w14:textId="77777777" w:rsidR="004268AF" w:rsidRPr="00D403F5" w:rsidRDefault="004268AF"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Because of the inclusion of a new definition for ‘aquatic animal waste’ in the Glossary, the Commission also agreed that once the new definition is adopted, the current definition for ‘aquatic animal waste’ in Article 4.7.3. will be deleted. </w:t>
      </w:r>
    </w:p>
    <w:p w14:paraId="64E04429" w14:textId="30200ED2" w:rsidR="004268AF" w:rsidRPr="00D403F5" w:rsidRDefault="004268AF"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The revised Glossary definition for ‘aquatic animal waste’ is presented in </w:t>
      </w:r>
      <w:r w:rsidRPr="00D403F5">
        <w:rPr>
          <w:rFonts w:ascii="Times New Roman" w:hAnsi="Times New Roman" w:cs="Times New Roman"/>
          <w:sz w:val="18"/>
          <w:szCs w:val="18"/>
          <w:u w:val="single"/>
        </w:rPr>
        <w:t xml:space="preserve">Annex </w:t>
      </w:r>
      <w:r w:rsidR="007F6F85" w:rsidRPr="00D403F5">
        <w:rPr>
          <w:rFonts w:ascii="Times New Roman" w:hAnsi="Times New Roman" w:cs="Times New Roman"/>
          <w:sz w:val="18"/>
          <w:szCs w:val="18"/>
          <w:u w:val="single"/>
        </w:rPr>
        <w:t>9</w:t>
      </w:r>
      <w:r w:rsidR="007F6F85" w:rsidRPr="00D403F5">
        <w:rPr>
          <w:rFonts w:ascii="Times New Roman" w:hAnsi="Times New Roman" w:cs="Times New Roman"/>
          <w:sz w:val="18"/>
          <w:szCs w:val="18"/>
        </w:rPr>
        <w:t xml:space="preserve"> </w:t>
      </w:r>
      <w:r w:rsidRPr="00D403F5">
        <w:rPr>
          <w:rFonts w:ascii="Times New Roman" w:hAnsi="Times New Roman" w:cs="Times New Roman"/>
          <w:sz w:val="18"/>
          <w:szCs w:val="18"/>
        </w:rPr>
        <w:t xml:space="preserve">for Member comment. </w:t>
      </w:r>
    </w:p>
    <w:p w14:paraId="264E135B" w14:textId="6332DC9D" w:rsidR="00C26CFD" w:rsidRPr="00D403F5" w:rsidRDefault="00C26CFD" w:rsidP="001041C6">
      <w:pPr>
        <w:pStyle w:val="a4"/>
        <w:keepNext/>
        <w:spacing w:after="240" w:line="240" w:lineRule="auto"/>
        <w:ind w:left="0"/>
        <w:contextualSpacing w:val="0"/>
        <w:jc w:val="center"/>
        <w:rPr>
          <w:rFonts w:ascii="Times New Roman" w:eastAsia="MS Mincho" w:hAnsi="Times New Roman" w:cs="Times New Roman"/>
          <w:b/>
          <w:i/>
          <w:caps/>
          <w:sz w:val="18"/>
          <w:szCs w:val="18"/>
          <w:lang w:val="en-IE" w:eastAsia="ja-JP"/>
        </w:rPr>
      </w:pPr>
      <w:r w:rsidRPr="00D403F5">
        <w:rPr>
          <w:rFonts w:ascii="Times New Roman" w:eastAsia="MS Mincho" w:hAnsi="Times New Roman" w:cs="Times New Roman"/>
          <w:b/>
          <w:sz w:val="18"/>
          <w:szCs w:val="18"/>
          <w:lang w:val="en-IE" w:eastAsia="ja-JP"/>
        </w:rPr>
        <w:t xml:space="preserve">OIE </w:t>
      </w:r>
      <w:r w:rsidR="00EA02A9" w:rsidRPr="00D403F5">
        <w:rPr>
          <w:rFonts w:ascii="Times New Roman" w:eastAsia="MS Mincho" w:hAnsi="Times New Roman" w:cs="Times New Roman"/>
          <w:b/>
          <w:i/>
          <w:caps/>
          <w:sz w:val="18"/>
          <w:szCs w:val="18"/>
          <w:lang w:val="en-IE" w:eastAsia="ja-JP"/>
        </w:rPr>
        <w:t xml:space="preserve">MANUAL of diagnostics tests </w:t>
      </w:r>
      <w:r w:rsidR="002C6F16" w:rsidRPr="00D403F5">
        <w:rPr>
          <w:rFonts w:ascii="Times New Roman" w:eastAsia="MS Mincho" w:hAnsi="Times New Roman" w:cs="Times New Roman"/>
          <w:b/>
          <w:i/>
          <w:caps/>
          <w:sz w:val="18"/>
          <w:szCs w:val="18"/>
          <w:lang w:val="en-IE" w:eastAsia="ja-JP"/>
        </w:rPr>
        <w:t>for</w:t>
      </w:r>
      <w:r w:rsidR="00EA02A9" w:rsidRPr="00D403F5">
        <w:rPr>
          <w:rFonts w:ascii="Times New Roman" w:eastAsia="MS Mincho" w:hAnsi="Times New Roman" w:cs="Times New Roman"/>
          <w:b/>
          <w:i/>
          <w:caps/>
          <w:sz w:val="18"/>
          <w:szCs w:val="18"/>
          <w:lang w:val="en-IE" w:eastAsia="ja-JP"/>
        </w:rPr>
        <w:t xml:space="preserve"> </w:t>
      </w:r>
      <w:r w:rsidRPr="00D403F5">
        <w:rPr>
          <w:rFonts w:ascii="Times New Roman" w:eastAsia="MS Mincho" w:hAnsi="Times New Roman" w:cs="Times New Roman"/>
          <w:b/>
          <w:i/>
          <w:caps/>
          <w:sz w:val="18"/>
          <w:szCs w:val="18"/>
          <w:lang w:val="en-IE" w:eastAsia="ja-JP"/>
        </w:rPr>
        <w:t>AQUATIC ANIMAL</w:t>
      </w:r>
      <w:r w:rsidR="00EA02A9" w:rsidRPr="00D403F5">
        <w:rPr>
          <w:rFonts w:ascii="Times New Roman" w:eastAsia="MS Mincho" w:hAnsi="Times New Roman" w:cs="Times New Roman"/>
          <w:b/>
          <w:i/>
          <w:caps/>
          <w:sz w:val="18"/>
          <w:szCs w:val="18"/>
          <w:lang w:val="en-IE" w:eastAsia="ja-JP"/>
        </w:rPr>
        <w:t>s</w:t>
      </w:r>
    </w:p>
    <w:p w14:paraId="23EFF279" w14:textId="7B17FA95" w:rsidR="00C26CFD" w:rsidRPr="00D403F5" w:rsidRDefault="00E17EAD" w:rsidP="001041C6">
      <w:pPr>
        <w:keepNext/>
        <w:spacing w:after="240" w:line="240" w:lineRule="auto"/>
        <w:ind w:left="993" w:hanging="567"/>
        <w:rPr>
          <w:rFonts w:ascii="Times New Roman" w:hAnsi="Times New Roman" w:cs="Times New Roman"/>
          <w:b/>
          <w:sz w:val="18"/>
          <w:szCs w:val="18"/>
        </w:rPr>
      </w:pPr>
      <w:r w:rsidRPr="00D403F5">
        <w:rPr>
          <w:rFonts w:ascii="Times New Roman" w:hAnsi="Times New Roman" w:cs="Times New Roman"/>
          <w:b/>
          <w:sz w:val="18"/>
          <w:szCs w:val="18"/>
        </w:rPr>
        <w:t>6.8.</w:t>
      </w:r>
      <w:r w:rsidR="00C26CFD" w:rsidRPr="00D403F5">
        <w:rPr>
          <w:rFonts w:ascii="Times New Roman" w:hAnsi="Times New Roman" w:cs="Times New Roman"/>
          <w:b/>
          <w:sz w:val="18"/>
          <w:szCs w:val="18"/>
          <w:lang w:val="en-IE"/>
        </w:rPr>
        <w:t xml:space="preserve"> </w:t>
      </w:r>
      <w:r w:rsidR="00C26CFD" w:rsidRPr="00D403F5">
        <w:rPr>
          <w:rFonts w:ascii="Times New Roman" w:hAnsi="Times New Roman" w:cs="Times New Roman"/>
          <w:b/>
          <w:sz w:val="18"/>
          <w:szCs w:val="18"/>
          <w:lang w:val="en-IE"/>
        </w:rPr>
        <w:tab/>
        <w:t xml:space="preserve">Reformatting of </w:t>
      </w:r>
      <w:r w:rsidR="00C26CFD" w:rsidRPr="00D403F5">
        <w:rPr>
          <w:rFonts w:ascii="Times New Roman" w:hAnsi="Times New Roman" w:cs="Times New Roman"/>
          <w:b/>
          <w:i/>
          <w:sz w:val="18"/>
          <w:szCs w:val="18"/>
          <w:lang w:val="en-IE"/>
        </w:rPr>
        <w:t>Aquatic Manual</w:t>
      </w:r>
      <w:r w:rsidR="00C26CFD" w:rsidRPr="00D403F5">
        <w:rPr>
          <w:rFonts w:ascii="Times New Roman" w:hAnsi="Times New Roman" w:cs="Times New Roman"/>
          <w:b/>
          <w:sz w:val="18"/>
          <w:szCs w:val="18"/>
          <w:lang w:val="en-IE"/>
        </w:rPr>
        <w:t xml:space="preserve"> chapters into the new template</w:t>
      </w:r>
    </w:p>
    <w:p w14:paraId="4735C0EE" w14:textId="77777777" w:rsidR="00C26CFD" w:rsidRPr="00D403F5" w:rsidRDefault="00C26CFD" w:rsidP="001041C6">
      <w:pPr>
        <w:pStyle w:val="Web"/>
        <w:spacing w:before="0" w:beforeAutospacing="0" w:after="240" w:afterAutospacing="0"/>
        <w:ind w:left="993"/>
        <w:jc w:val="both"/>
        <w:rPr>
          <w:sz w:val="18"/>
          <w:szCs w:val="18"/>
          <w:lang w:val="en-IE"/>
        </w:rPr>
      </w:pPr>
      <w:r w:rsidRPr="00D403F5">
        <w:rPr>
          <w:sz w:val="18"/>
          <w:szCs w:val="18"/>
          <w:lang w:val="en-US"/>
        </w:rPr>
        <w:t xml:space="preserve">Comments were received from </w:t>
      </w:r>
      <w:r w:rsidRPr="00D403F5">
        <w:rPr>
          <w:sz w:val="18"/>
          <w:szCs w:val="18"/>
          <w:lang w:val="en-IE"/>
        </w:rPr>
        <w:t>Canada, China (People’s Rep. of), Japan, New Zealand, Singapore, Thailand and the EU.</w:t>
      </w:r>
    </w:p>
    <w:p w14:paraId="3F920995" w14:textId="77777777" w:rsidR="001041C6" w:rsidRDefault="001041C6" w:rsidP="001041C6">
      <w:pPr>
        <w:pStyle w:val="para11"/>
        <w:ind w:left="993"/>
        <w:rPr>
          <w:sz w:val="18"/>
          <w:szCs w:val="18"/>
          <w:lang w:val="en-IE"/>
        </w:rPr>
      </w:pPr>
      <w:r>
        <w:rPr>
          <w:sz w:val="18"/>
          <w:szCs w:val="18"/>
          <w:lang w:val="en-IE"/>
        </w:rPr>
        <w:br w:type="page"/>
      </w:r>
    </w:p>
    <w:p w14:paraId="74375468" w14:textId="425E87F1" w:rsidR="00C26CFD" w:rsidRPr="00D403F5" w:rsidRDefault="00C26CFD" w:rsidP="001041C6">
      <w:pPr>
        <w:pStyle w:val="para11"/>
        <w:ind w:left="993"/>
        <w:rPr>
          <w:sz w:val="18"/>
          <w:szCs w:val="18"/>
          <w:lang w:val="en-IE"/>
        </w:rPr>
      </w:pPr>
      <w:r w:rsidRPr="00D403F5">
        <w:rPr>
          <w:sz w:val="18"/>
          <w:szCs w:val="18"/>
          <w:lang w:val="en-IE"/>
        </w:rPr>
        <w:t xml:space="preserve">The Aquatic Animals Commission has commenced the process of progressively reformatting the disease-specific chapters of the </w:t>
      </w:r>
      <w:r w:rsidRPr="00D403F5">
        <w:rPr>
          <w:i/>
          <w:sz w:val="18"/>
          <w:szCs w:val="18"/>
          <w:lang w:val="en-IE"/>
        </w:rPr>
        <w:t>Aquatic Manual</w:t>
      </w:r>
      <w:r w:rsidRPr="00D403F5">
        <w:rPr>
          <w:sz w:val="18"/>
          <w:szCs w:val="18"/>
          <w:lang w:val="en-IE"/>
        </w:rPr>
        <w:t xml:space="preserve"> into a new template that had been developed by the </w:t>
      </w:r>
      <w:r w:rsidRPr="00D403F5">
        <w:rPr>
          <w:i/>
          <w:sz w:val="18"/>
          <w:szCs w:val="18"/>
          <w:lang w:val="en-IE"/>
        </w:rPr>
        <w:t>ad hoc</w:t>
      </w:r>
      <w:r w:rsidRPr="00D403F5">
        <w:rPr>
          <w:sz w:val="18"/>
          <w:szCs w:val="18"/>
          <w:lang w:val="en-IE"/>
        </w:rPr>
        <w:t xml:space="preserve"> Group on the </w:t>
      </w:r>
      <w:r w:rsidRPr="00D403F5">
        <w:rPr>
          <w:i/>
          <w:sz w:val="18"/>
          <w:szCs w:val="18"/>
          <w:lang w:val="en-IE"/>
        </w:rPr>
        <w:t>Aquatic Manual</w:t>
      </w:r>
      <w:r w:rsidRPr="00D403F5">
        <w:rPr>
          <w:sz w:val="18"/>
          <w:szCs w:val="18"/>
          <w:lang w:val="en-IE"/>
        </w:rPr>
        <w:t>. The template had been provided to Member</w:t>
      </w:r>
      <w:r w:rsidR="001323BE" w:rsidRPr="00D403F5">
        <w:rPr>
          <w:sz w:val="18"/>
          <w:szCs w:val="18"/>
          <w:lang w:val="en-IE"/>
        </w:rPr>
        <w:t>s</w:t>
      </w:r>
      <w:r w:rsidRPr="00D403F5">
        <w:rPr>
          <w:sz w:val="18"/>
          <w:szCs w:val="18"/>
          <w:lang w:val="en-IE"/>
        </w:rPr>
        <w:t xml:space="preserve"> previously in the February 2018 report of the Commission. </w:t>
      </w:r>
    </w:p>
    <w:p w14:paraId="09AE13D8" w14:textId="2FA1DD52" w:rsidR="00C26CFD" w:rsidRPr="00D403F5" w:rsidRDefault="00C26CFD" w:rsidP="001041C6">
      <w:pPr>
        <w:pStyle w:val="para11"/>
        <w:ind w:left="993"/>
        <w:rPr>
          <w:sz w:val="18"/>
          <w:szCs w:val="18"/>
          <w:lang w:val="en-IE"/>
        </w:rPr>
      </w:pPr>
      <w:r w:rsidRPr="00D403F5">
        <w:rPr>
          <w:sz w:val="18"/>
          <w:szCs w:val="18"/>
          <w:lang w:val="en-IE"/>
        </w:rPr>
        <w:t xml:space="preserve">Reformatting of </w:t>
      </w:r>
      <w:r w:rsidRPr="00D403F5">
        <w:rPr>
          <w:i/>
          <w:sz w:val="18"/>
          <w:szCs w:val="18"/>
          <w:lang w:val="en-IE"/>
        </w:rPr>
        <w:t>Aquatic Manual</w:t>
      </w:r>
      <w:r w:rsidRPr="00D403F5">
        <w:rPr>
          <w:sz w:val="18"/>
          <w:szCs w:val="18"/>
          <w:lang w:val="en-IE"/>
        </w:rPr>
        <w:t xml:space="preserve"> chapters into the new template – together with revisions to update the content – involves substantial changes to the currently adopted text. The Commission considered how best to indicate the changes proposed in the revised chapters compared with the currently adopted versions. The Commission agreed that revisions indicated in the usual style (i.e. strikethrough for deletions and double underline for additions) would be of limited use to Member</w:t>
      </w:r>
      <w:r w:rsidR="001323BE" w:rsidRPr="00D403F5">
        <w:rPr>
          <w:sz w:val="18"/>
          <w:szCs w:val="18"/>
          <w:lang w:val="en-IE"/>
        </w:rPr>
        <w:t>s</w:t>
      </w:r>
      <w:r w:rsidRPr="00D403F5">
        <w:rPr>
          <w:sz w:val="18"/>
          <w:szCs w:val="18"/>
          <w:lang w:val="en-IE"/>
        </w:rPr>
        <w:t xml:space="preserve"> due to the extensive nature of the changes. The Commission agreed that for these major revisions of </w:t>
      </w:r>
      <w:r w:rsidRPr="00D403F5">
        <w:rPr>
          <w:i/>
          <w:sz w:val="18"/>
          <w:szCs w:val="18"/>
          <w:lang w:val="en-IE"/>
        </w:rPr>
        <w:t>Aquatic Manual</w:t>
      </w:r>
      <w:r w:rsidRPr="00D403F5">
        <w:rPr>
          <w:sz w:val="18"/>
          <w:szCs w:val="18"/>
          <w:lang w:val="en-IE"/>
        </w:rPr>
        <w:t xml:space="preserve"> chapters (when reformatted into the new template) only clean versions of the chapters would be provided in the report of the Commission. Subsequent changes made to these initial revisions following Member comments would be indicated in the usual style and highlighted in </w:t>
      </w:r>
      <w:r w:rsidR="00524ED1" w:rsidRPr="00D403F5">
        <w:rPr>
          <w:sz w:val="18"/>
          <w:szCs w:val="18"/>
          <w:lang w:val="en-IE"/>
        </w:rPr>
        <w:t>yellow</w:t>
      </w:r>
      <w:r w:rsidRPr="00D403F5">
        <w:rPr>
          <w:sz w:val="18"/>
          <w:szCs w:val="18"/>
          <w:lang w:val="en-IE"/>
        </w:rPr>
        <w:t xml:space="preserve">. Each draft chapter will also include a note specifying that marked edits are indicated against the initial revision of the revised chapter rather than the currently adopted text. </w:t>
      </w:r>
    </w:p>
    <w:p w14:paraId="763BF4E5" w14:textId="0CDE03D5" w:rsidR="00C26CFD" w:rsidRPr="00D403F5" w:rsidRDefault="00C26CFD" w:rsidP="001041C6">
      <w:pPr>
        <w:pStyle w:val="para11"/>
        <w:ind w:left="993"/>
        <w:rPr>
          <w:sz w:val="18"/>
          <w:szCs w:val="18"/>
          <w:lang w:val="en-IE"/>
        </w:rPr>
      </w:pPr>
      <w:r w:rsidRPr="00D403F5">
        <w:rPr>
          <w:sz w:val="18"/>
          <w:szCs w:val="18"/>
          <w:lang w:val="en-IE"/>
        </w:rPr>
        <w:t>A software generated document that compares the adopted version of a chapter and the proposed new text will be created. This comparison document will not be included in the Commission’s report but will be available on request from the OIE Standards Dept (</w:t>
      </w:r>
      <w:hyperlink r:id="rId14" w:history="1">
        <w:r w:rsidRPr="00D403F5">
          <w:rPr>
            <w:color w:val="0000FF"/>
            <w:sz w:val="18"/>
            <w:szCs w:val="18"/>
            <w:u w:val="single"/>
            <w:lang w:eastAsia="en-GB"/>
          </w:rPr>
          <w:t>standards.dept@oie.int</w:t>
        </w:r>
      </w:hyperlink>
      <w:r w:rsidRPr="00D403F5">
        <w:rPr>
          <w:sz w:val="18"/>
          <w:szCs w:val="18"/>
          <w:lang w:eastAsia="en-GB"/>
        </w:rPr>
        <w:t>)</w:t>
      </w:r>
      <w:r w:rsidRPr="00D403F5">
        <w:rPr>
          <w:sz w:val="18"/>
          <w:szCs w:val="18"/>
          <w:lang w:val="en-IE"/>
        </w:rPr>
        <w:t xml:space="preserve">. The first two chapters to which the new template has been applied include Infection with spring viraemia of carp virus (revised chapter) and Infection with </w:t>
      </w:r>
      <w:r w:rsidRPr="00D403F5">
        <w:rPr>
          <w:i/>
          <w:sz w:val="18"/>
          <w:szCs w:val="18"/>
          <w:lang w:val="en-IE"/>
        </w:rPr>
        <w:t>Batrachochytrium salamandrivorans</w:t>
      </w:r>
      <w:r w:rsidRPr="00D403F5">
        <w:rPr>
          <w:sz w:val="18"/>
          <w:szCs w:val="18"/>
          <w:lang w:val="en-IE"/>
        </w:rPr>
        <w:t xml:space="preserve"> (new chapter). Both chapters were provided in the February 2019 report of the Commission for Member comments.</w:t>
      </w:r>
    </w:p>
    <w:p w14:paraId="752EF491" w14:textId="58E55FE3" w:rsidR="00C26CFD" w:rsidRPr="00D403F5" w:rsidRDefault="00C26CFD" w:rsidP="001041C6">
      <w:pPr>
        <w:pStyle w:val="Web"/>
        <w:spacing w:before="0" w:beforeAutospacing="0" w:after="240" w:afterAutospacing="0"/>
        <w:ind w:left="1560" w:hanging="567"/>
        <w:jc w:val="both"/>
        <w:rPr>
          <w:rFonts w:eastAsia="Arial"/>
          <w:b/>
          <w:sz w:val="18"/>
          <w:szCs w:val="18"/>
          <w:lang w:val="en-IE"/>
        </w:rPr>
      </w:pPr>
      <w:r w:rsidRPr="00D403F5">
        <w:rPr>
          <w:rFonts w:eastAsia="Arial"/>
          <w:b/>
          <w:sz w:val="18"/>
          <w:szCs w:val="18"/>
          <w:lang w:val="en-IE"/>
        </w:rPr>
        <w:t>6.</w:t>
      </w:r>
      <w:r w:rsidR="00E17EAD" w:rsidRPr="00D403F5">
        <w:rPr>
          <w:rFonts w:eastAsia="Arial"/>
          <w:b/>
          <w:sz w:val="18"/>
          <w:szCs w:val="18"/>
          <w:lang w:val="en-IE"/>
        </w:rPr>
        <w:t>8</w:t>
      </w:r>
      <w:r w:rsidRPr="00D403F5">
        <w:rPr>
          <w:rFonts w:eastAsia="Arial"/>
          <w:b/>
          <w:sz w:val="18"/>
          <w:szCs w:val="18"/>
          <w:lang w:val="en-IE"/>
        </w:rPr>
        <w:t>.1.</w:t>
      </w:r>
      <w:r w:rsidRPr="00D403F5">
        <w:rPr>
          <w:rFonts w:eastAsia="Arial"/>
          <w:b/>
          <w:sz w:val="18"/>
          <w:szCs w:val="18"/>
          <w:lang w:val="en-IE"/>
        </w:rPr>
        <w:tab/>
        <w:t>Infection with spring viraemia of carp virus (Chapter 2.3.9.)</w:t>
      </w:r>
    </w:p>
    <w:p w14:paraId="256956CA" w14:textId="77777777" w:rsidR="00C26CFD" w:rsidRPr="00D403F5" w:rsidRDefault="00C26CFD" w:rsidP="001041C6">
      <w:pPr>
        <w:pStyle w:val="para11"/>
        <w:ind w:left="1560"/>
        <w:rPr>
          <w:sz w:val="18"/>
          <w:szCs w:val="18"/>
          <w:lang w:val="en-IE"/>
        </w:rPr>
      </w:pPr>
      <w:r w:rsidRPr="00D403F5">
        <w:rPr>
          <w:sz w:val="18"/>
          <w:szCs w:val="18"/>
          <w:lang w:val="en-IE"/>
        </w:rPr>
        <w:t xml:space="preserve">Two versions of the chapter were annexed to the February 2019 report: Annex 21A (a version showing changes against the currently adopted version) and Annex 21B (a clean version of the chapter). As described above, the Commission took the decision to only annex the “clean” version of the chapter, and to show amended text (highlighted in grey) from this “clean” version that was sent for comment in February 2019. </w:t>
      </w:r>
    </w:p>
    <w:p w14:paraId="55333D74" w14:textId="77777777" w:rsidR="00C26CFD" w:rsidRPr="00D403F5" w:rsidRDefault="00C26CFD" w:rsidP="001041C6">
      <w:pPr>
        <w:pStyle w:val="para11"/>
        <w:ind w:left="1560"/>
        <w:rPr>
          <w:sz w:val="18"/>
          <w:szCs w:val="18"/>
          <w:lang w:val="en-IE"/>
        </w:rPr>
      </w:pPr>
      <w:r w:rsidRPr="00D403F5">
        <w:rPr>
          <w:sz w:val="18"/>
          <w:szCs w:val="18"/>
          <w:lang w:val="en-IE"/>
        </w:rPr>
        <w:t xml:space="preserve">In response to a comment proposing some terms for inclusion in the glossary, the Commission noted that there is currently no glossary in the </w:t>
      </w:r>
      <w:r w:rsidRPr="00D403F5">
        <w:rPr>
          <w:i/>
          <w:sz w:val="18"/>
          <w:szCs w:val="18"/>
          <w:lang w:val="en-IE"/>
        </w:rPr>
        <w:t>Aquatic Manual</w:t>
      </w:r>
      <w:r w:rsidRPr="00D403F5">
        <w:rPr>
          <w:sz w:val="18"/>
          <w:szCs w:val="18"/>
          <w:lang w:val="en-IE"/>
        </w:rPr>
        <w:t xml:space="preserve">. </w:t>
      </w:r>
    </w:p>
    <w:p w14:paraId="29C95C37" w14:textId="73312BCF" w:rsidR="00C26CFD" w:rsidRPr="00D403F5" w:rsidRDefault="00C26CFD" w:rsidP="001041C6">
      <w:pPr>
        <w:pStyle w:val="para11"/>
        <w:ind w:left="1560"/>
        <w:rPr>
          <w:sz w:val="18"/>
          <w:szCs w:val="18"/>
          <w:lang w:val="en-IE"/>
        </w:rPr>
      </w:pPr>
      <w:r w:rsidRPr="00D403F5">
        <w:rPr>
          <w:sz w:val="18"/>
          <w:szCs w:val="18"/>
          <w:lang w:val="en-IE"/>
        </w:rPr>
        <w:t>The Commission include</w:t>
      </w:r>
      <w:r w:rsidR="002C6F16" w:rsidRPr="00D403F5">
        <w:rPr>
          <w:sz w:val="18"/>
          <w:szCs w:val="18"/>
          <w:lang w:val="en-IE"/>
        </w:rPr>
        <w:t>d</w:t>
      </w:r>
      <w:r w:rsidRPr="00D403F5">
        <w:rPr>
          <w:sz w:val="18"/>
          <w:szCs w:val="18"/>
          <w:lang w:val="en-IE"/>
        </w:rPr>
        <w:t xml:space="preserve"> </w:t>
      </w:r>
      <w:r w:rsidRPr="00D403F5">
        <w:rPr>
          <w:sz w:val="18"/>
          <w:szCs w:val="18"/>
        </w:rPr>
        <w:t>zebrafish (</w:t>
      </w:r>
      <w:r w:rsidRPr="00D403F5">
        <w:rPr>
          <w:i/>
          <w:sz w:val="18"/>
          <w:szCs w:val="18"/>
        </w:rPr>
        <w:t>Danio rerio</w:t>
      </w:r>
      <w:r w:rsidRPr="00D403F5">
        <w:rPr>
          <w:sz w:val="18"/>
          <w:szCs w:val="18"/>
        </w:rPr>
        <w:t>) in</w:t>
      </w:r>
      <w:r w:rsidRPr="00D403F5">
        <w:rPr>
          <w:sz w:val="18"/>
          <w:szCs w:val="18"/>
          <w:lang w:val="en-IE"/>
        </w:rPr>
        <w:t xml:space="preserve"> Section 2.2.1</w:t>
      </w:r>
      <w:r w:rsidRPr="00D403F5">
        <w:rPr>
          <w:i/>
          <w:iCs/>
          <w:sz w:val="18"/>
          <w:szCs w:val="18"/>
          <w:lang w:val="en-IE"/>
        </w:rPr>
        <w:t>. Susceptible host species</w:t>
      </w:r>
      <w:r w:rsidR="002C6F16" w:rsidRPr="00D403F5">
        <w:rPr>
          <w:i/>
          <w:iCs/>
          <w:sz w:val="18"/>
          <w:szCs w:val="18"/>
          <w:lang w:val="en-IE"/>
        </w:rPr>
        <w:t>,</w:t>
      </w:r>
      <w:r w:rsidRPr="00D403F5">
        <w:rPr>
          <w:sz w:val="18"/>
          <w:szCs w:val="18"/>
          <w:lang w:val="en-IE"/>
        </w:rPr>
        <w:t xml:space="preserve"> </w:t>
      </w:r>
      <w:r w:rsidR="002C6F16" w:rsidRPr="00D403F5">
        <w:rPr>
          <w:sz w:val="18"/>
          <w:szCs w:val="18"/>
          <w:lang w:val="en-IE"/>
        </w:rPr>
        <w:t>consistent with</w:t>
      </w:r>
      <w:r w:rsidRPr="00D403F5">
        <w:rPr>
          <w:sz w:val="18"/>
          <w:szCs w:val="18"/>
          <w:lang w:val="en-IE"/>
        </w:rPr>
        <w:t xml:space="preserve"> its decision to include </w:t>
      </w:r>
      <w:r w:rsidR="002C6F16" w:rsidRPr="00D403F5">
        <w:rPr>
          <w:sz w:val="18"/>
          <w:szCs w:val="18"/>
          <w:lang w:val="en-IE"/>
        </w:rPr>
        <w:t xml:space="preserve">this </w:t>
      </w:r>
      <w:r w:rsidRPr="00D403F5">
        <w:rPr>
          <w:sz w:val="18"/>
          <w:szCs w:val="18"/>
          <w:lang w:val="en-IE"/>
        </w:rPr>
        <w:t xml:space="preserve">species in Article 10.9.2. of the </w:t>
      </w:r>
      <w:r w:rsidRPr="00D403F5">
        <w:rPr>
          <w:i/>
          <w:iCs/>
          <w:sz w:val="18"/>
          <w:szCs w:val="18"/>
          <w:lang w:val="en-IE"/>
        </w:rPr>
        <w:t>Aquatic Code</w:t>
      </w:r>
      <w:r w:rsidRPr="00D403F5">
        <w:rPr>
          <w:sz w:val="18"/>
          <w:szCs w:val="18"/>
          <w:lang w:val="en-IE"/>
        </w:rPr>
        <w:t xml:space="preserve"> (see Item 2.</w:t>
      </w:r>
      <w:r w:rsidR="0075280E" w:rsidRPr="00D403F5">
        <w:rPr>
          <w:sz w:val="18"/>
          <w:szCs w:val="18"/>
          <w:lang w:val="en-IE"/>
        </w:rPr>
        <w:t>7</w:t>
      </w:r>
      <w:r w:rsidRPr="00D403F5">
        <w:rPr>
          <w:sz w:val="18"/>
          <w:szCs w:val="18"/>
          <w:lang w:val="en-IE"/>
        </w:rPr>
        <w:t xml:space="preserve">.). As a result, the species was deleted from </w:t>
      </w:r>
      <w:r w:rsidRPr="00D403F5">
        <w:rPr>
          <w:bCs/>
          <w:sz w:val="18"/>
          <w:szCs w:val="18"/>
          <w:lang w:val="en-IE"/>
        </w:rPr>
        <w:t xml:space="preserve">Section 2.2.2. </w:t>
      </w:r>
      <w:r w:rsidRPr="00D403F5">
        <w:rPr>
          <w:iCs/>
          <w:sz w:val="18"/>
          <w:szCs w:val="18"/>
          <w:lang w:val="en-IE"/>
        </w:rPr>
        <w:t>Species with incomplete evidence for susceptibility</w:t>
      </w:r>
      <w:r w:rsidRPr="00D403F5">
        <w:rPr>
          <w:bCs/>
          <w:sz w:val="18"/>
          <w:szCs w:val="18"/>
          <w:lang w:val="en-IE" w:eastAsia="fr-FR"/>
        </w:rPr>
        <w:t xml:space="preserve">. </w:t>
      </w:r>
      <w:r w:rsidRPr="00D403F5">
        <w:rPr>
          <w:sz w:val="18"/>
          <w:szCs w:val="18"/>
          <w:lang w:val="en-IE"/>
        </w:rPr>
        <w:t xml:space="preserve"> </w:t>
      </w:r>
    </w:p>
    <w:p w14:paraId="2CE371FD" w14:textId="4D2A7692" w:rsidR="00C26CFD" w:rsidRPr="00D403F5" w:rsidRDefault="00C26CFD" w:rsidP="001041C6">
      <w:pPr>
        <w:pStyle w:val="para11"/>
        <w:ind w:left="1560"/>
        <w:rPr>
          <w:bCs/>
          <w:sz w:val="18"/>
          <w:szCs w:val="18"/>
          <w:lang w:val="en-IE"/>
        </w:rPr>
      </w:pPr>
      <w:r w:rsidRPr="00D403F5">
        <w:rPr>
          <w:sz w:val="18"/>
          <w:szCs w:val="18"/>
          <w:lang w:val="en-IE"/>
        </w:rPr>
        <w:t xml:space="preserve">When applying the new template to this chapter, the Commission agreed to add a new Section 2.2.3. </w:t>
      </w:r>
      <w:r w:rsidRPr="00D403F5">
        <w:rPr>
          <w:iCs/>
          <w:sz w:val="18"/>
          <w:szCs w:val="18"/>
          <w:lang w:val="en-IE"/>
        </w:rPr>
        <w:t>Non-susceptible species</w:t>
      </w:r>
      <w:r w:rsidRPr="00D403F5">
        <w:rPr>
          <w:sz w:val="18"/>
          <w:szCs w:val="18"/>
          <w:lang w:val="en-IE"/>
        </w:rPr>
        <w:t xml:space="preserve"> to the template as this was considered important information for Members. The Commission noted that the </w:t>
      </w:r>
      <w:r w:rsidRPr="00D403F5">
        <w:rPr>
          <w:bCs/>
          <w:i/>
          <w:iCs/>
          <w:sz w:val="18"/>
          <w:szCs w:val="18"/>
          <w:lang w:val="en-IE"/>
        </w:rPr>
        <w:t xml:space="preserve">ad hoc </w:t>
      </w:r>
      <w:r w:rsidRPr="00D403F5">
        <w:rPr>
          <w:bCs/>
          <w:sz w:val="18"/>
          <w:szCs w:val="18"/>
          <w:lang w:val="en-IE"/>
        </w:rPr>
        <w:t>Group had found largemouth bass (</w:t>
      </w:r>
      <w:r w:rsidRPr="00D403F5">
        <w:rPr>
          <w:bCs/>
          <w:i/>
          <w:iCs/>
          <w:sz w:val="18"/>
          <w:szCs w:val="18"/>
          <w:lang w:val="en-IE"/>
        </w:rPr>
        <w:t>Micropterus salmoides</w:t>
      </w:r>
      <w:r w:rsidRPr="00D403F5">
        <w:rPr>
          <w:bCs/>
          <w:sz w:val="18"/>
          <w:szCs w:val="18"/>
          <w:lang w:val="en-IE"/>
        </w:rPr>
        <w:t>), muskellunge (</w:t>
      </w:r>
      <w:r w:rsidRPr="00D403F5">
        <w:rPr>
          <w:bCs/>
          <w:i/>
          <w:iCs/>
          <w:sz w:val="18"/>
          <w:szCs w:val="18"/>
          <w:lang w:val="en-IE"/>
        </w:rPr>
        <w:t>Esox masquinongy</w:t>
      </w:r>
      <w:r w:rsidRPr="00D403F5">
        <w:rPr>
          <w:bCs/>
          <w:sz w:val="18"/>
          <w:szCs w:val="18"/>
          <w:lang w:val="en-IE"/>
        </w:rPr>
        <w:t>) and walleye (</w:t>
      </w:r>
      <w:r w:rsidRPr="00D403F5">
        <w:rPr>
          <w:bCs/>
          <w:i/>
          <w:iCs/>
          <w:sz w:val="18"/>
          <w:szCs w:val="18"/>
          <w:lang w:val="en-IE"/>
        </w:rPr>
        <w:t>Sander vitreus</w:t>
      </w:r>
      <w:r w:rsidRPr="00D403F5">
        <w:rPr>
          <w:bCs/>
          <w:sz w:val="18"/>
          <w:szCs w:val="18"/>
          <w:lang w:val="en-IE"/>
        </w:rPr>
        <w:t>) to be non-susceptible to infection with SVCV</w:t>
      </w:r>
      <w:r w:rsidRPr="00D403F5">
        <w:rPr>
          <w:sz w:val="18"/>
          <w:szCs w:val="18"/>
          <w:lang w:val="en-IE"/>
        </w:rPr>
        <w:t xml:space="preserve"> and decided include these species in the new Article 2.2.3.</w:t>
      </w:r>
      <w:r w:rsidRPr="00D403F5">
        <w:rPr>
          <w:bCs/>
          <w:sz w:val="18"/>
          <w:szCs w:val="18"/>
          <w:lang w:val="en-IE"/>
        </w:rPr>
        <w:t xml:space="preserve"> </w:t>
      </w:r>
    </w:p>
    <w:p w14:paraId="2C98BFBE" w14:textId="36AEBF8C" w:rsidR="00C26CFD" w:rsidRPr="00D403F5" w:rsidRDefault="00C26CFD" w:rsidP="001041C6">
      <w:pPr>
        <w:pStyle w:val="para11"/>
        <w:ind w:left="1559"/>
        <w:rPr>
          <w:bCs/>
          <w:sz w:val="18"/>
          <w:szCs w:val="18"/>
          <w:lang w:val="en-IE"/>
        </w:rPr>
      </w:pPr>
      <w:r w:rsidRPr="00D403F5">
        <w:rPr>
          <w:sz w:val="18"/>
          <w:szCs w:val="18"/>
          <w:lang w:val="en-IE"/>
        </w:rPr>
        <w:t xml:space="preserve">The Commission did not agree with comments proposing the inclusion of further species in Section 2.2.1. </w:t>
      </w:r>
      <w:r w:rsidRPr="00D403F5">
        <w:rPr>
          <w:iCs/>
          <w:sz w:val="18"/>
          <w:szCs w:val="18"/>
          <w:lang w:val="en-IE"/>
        </w:rPr>
        <w:t>Susceptible host species</w:t>
      </w:r>
      <w:r w:rsidRPr="00D403F5">
        <w:rPr>
          <w:sz w:val="18"/>
          <w:szCs w:val="18"/>
          <w:lang w:val="en-IE"/>
        </w:rPr>
        <w:t xml:space="preserve"> and </w:t>
      </w:r>
      <w:r w:rsidRPr="00D403F5">
        <w:rPr>
          <w:bCs/>
          <w:sz w:val="18"/>
          <w:szCs w:val="18"/>
          <w:lang w:val="en-IE"/>
        </w:rPr>
        <w:t xml:space="preserve">Section 2.2.2. </w:t>
      </w:r>
      <w:r w:rsidRPr="00D403F5">
        <w:rPr>
          <w:iCs/>
          <w:sz w:val="18"/>
          <w:szCs w:val="18"/>
          <w:lang w:val="en-IE"/>
        </w:rPr>
        <w:t>Species with incomplete evidence for susceptibility</w:t>
      </w:r>
      <w:r w:rsidRPr="00D403F5">
        <w:rPr>
          <w:bCs/>
          <w:sz w:val="18"/>
          <w:szCs w:val="18"/>
          <w:lang w:val="en-IE" w:eastAsia="fr-FR"/>
        </w:rPr>
        <w:t xml:space="preserve"> as these species had been found not to be susceptible to infection with SVCV by the</w:t>
      </w:r>
      <w:r w:rsidRPr="00D403F5">
        <w:rPr>
          <w:sz w:val="18"/>
          <w:szCs w:val="18"/>
          <w:lang w:val="en-IE"/>
        </w:rPr>
        <w:t xml:space="preserve"> </w:t>
      </w:r>
      <w:r w:rsidRPr="00D403F5">
        <w:rPr>
          <w:bCs/>
          <w:i/>
          <w:iCs/>
          <w:sz w:val="18"/>
          <w:szCs w:val="18"/>
          <w:lang w:val="en-IE"/>
        </w:rPr>
        <w:t xml:space="preserve">ad hoc </w:t>
      </w:r>
      <w:r w:rsidRPr="00D403F5">
        <w:rPr>
          <w:bCs/>
          <w:sz w:val="18"/>
          <w:szCs w:val="18"/>
          <w:lang w:val="en-IE"/>
        </w:rPr>
        <w:t>Group on susceptibility of fish species to infection with OIE listed diseases (</w:t>
      </w:r>
      <w:hyperlink r:id="rId15" w:history="1">
        <w:r w:rsidRPr="00D403F5">
          <w:rPr>
            <w:rStyle w:val="aa"/>
            <w:bCs/>
            <w:sz w:val="18"/>
            <w:szCs w:val="18"/>
            <w:lang w:val="en-IE"/>
          </w:rPr>
          <w:t>https://www.oie.int/en/standard-setting/specialists-commissions-working-ad-hoc-groups/ad-hoc-groups-reports/</w:t>
        </w:r>
      </w:hyperlink>
      <w:r w:rsidRPr="00D403F5">
        <w:rPr>
          <w:bCs/>
          <w:sz w:val="18"/>
          <w:szCs w:val="18"/>
          <w:lang w:val="en-IE"/>
        </w:rPr>
        <w:t xml:space="preserve">). </w:t>
      </w:r>
    </w:p>
    <w:p w14:paraId="7B00A4C7" w14:textId="406A9604" w:rsidR="00C26CFD" w:rsidRPr="00D403F5" w:rsidRDefault="00C26CFD" w:rsidP="001041C6">
      <w:pPr>
        <w:pStyle w:val="para11"/>
        <w:ind w:left="1559"/>
        <w:rPr>
          <w:rFonts w:eastAsia="SimSun"/>
          <w:sz w:val="18"/>
          <w:szCs w:val="18"/>
          <w:lang w:val="en-IE" w:eastAsia="fr-FR"/>
        </w:rPr>
      </w:pPr>
      <w:r w:rsidRPr="00D403F5">
        <w:rPr>
          <w:bCs/>
          <w:sz w:val="18"/>
          <w:szCs w:val="18"/>
          <w:lang w:val="en-IE"/>
        </w:rPr>
        <w:t xml:space="preserve">In response to comments, the </w:t>
      </w:r>
      <w:r w:rsidRPr="00D403F5">
        <w:rPr>
          <w:sz w:val="18"/>
          <w:szCs w:val="18"/>
          <w:lang w:val="en-IE"/>
        </w:rPr>
        <w:t xml:space="preserve">Commission </w:t>
      </w:r>
      <w:r w:rsidRPr="00D403F5">
        <w:rPr>
          <w:bCs/>
          <w:sz w:val="18"/>
          <w:szCs w:val="18"/>
          <w:lang w:val="en-IE"/>
        </w:rPr>
        <w:t xml:space="preserve">removed text on vertical and horizontal transmission from Section 2.2.4 </w:t>
      </w:r>
      <w:r w:rsidRPr="00D403F5">
        <w:rPr>
          <w:bCs/>
          <w:iCs/>
          <w:sz w:val="18"/>
          <w:szCs w:val="18"/>
          <w:lang w:val="en-IE" w:eastAsia="fr-FR"/>
        </w:rPr>
        <w:t xml:space="preserve">Distribution of the pathogen in the </w:t>
      </w:r>
      <w:r w:rsidR="00575C8F" w:rsidRPr="00D403F5">
        <w:rPr>
          <w:bCs/>
          <w:iCs/>
          <w:sz w:val="18"/>
          <w:szCs w:val="18"/>
          <w:lang w:val="en-IE" w:eastAsia="fr-FR"/>
        </w:rPr>
        <w:t>host</w:t>
      </w:r>
      <w:r w:rsidR="00575C8F" w:rsidRPr="00D403F5">
        <w:rPr>
          <w:bCs/>
          <w:sz w:val="18"/>
          <w:szCs w:val="18"/>
          <w:lang w:val="en-IE" w:eastAsia="fr-FR"/>
        </w:rPr>
        <w:t xml:space="preserve">, as the information </w:t>
      </w:r>
      <w:r w:rsidRPr="00D403F5">
        <w:rPr>
          <w:bCs/>
          <w:sz w:val="18"/>
          <w:szCs w:val="18"/>
          <w:lang w:val="en-IE" w:eastAsia="fr-FR"/>
        </w:rPr>
        <w:t xml:space="preserve">is already included in Section </w:t>
      </w:r>
      <w:r w:rsidRPr="00D403F5">
        <w:rPr>
          <w:rFonts w:eastAsia="SimSun"/>
          <w:sz w:val="18"/>
          <w:szCs w:val="18"/>
          <w:lang w:val="en-IE" w:eastAsia="fr-FR"/>
        </w:rPr>
        <w:t>2.3.4.</w:t>
      </w:r>
      <w:r w:rsidRPr="00D403F5">
        <w:rPr>
          <w:rFonts w:eastAsia="SimSun"/>
          <w:sz w:val="18"/>
          <w:szCs w:val="18"/>
          <w:lang w:val="en-IE" w:eastAsia="zh-CN"/>
        </w:rPr>
        <w:t xml:space="preserve"> </w:t>
      </w:r>
      <w:r w:rsidRPr="00D403F5">
        <w:rPr>
          <w:rFonts w:eastAsia="SimSun"/>
          <w:iCs/>
          <w:sz w:val="18"/>
          <w:szCs w:val="18"/>
          <w:lang w:val="en-IE" w:eastAsia="fr-FR"/>
        </w:rPr>
        <w:t>Modes of transmission and life cycle</w:t>
      </w:r>
      <w:r w:rsidRPr="00D403F5">
        <w:rPr>
          <w:rFonts w:eastAsia="SimSun"/>
          <w:sz w:val="18"/>
          <w:szCs w:val="18"/>
          <w:lang w:val="en-IE" w:eastAsia="fr-FR"/>
        </w:rPr>
        <w:t xml:space="preserve">. </w:t>
      </w:r>
    </w:p>
    <w:p w14:paraId="62BE4E71" w14:textId="0BA14878" w:rsidR="00C26CFD" w:rsidRPr="00D403F5" w:rsidRDefault="00C26CFD" w:rsidP="001041C6">
      <w:pPr>
        <w:pStyle w:val="para11"/>
        <w:ind w:left="1559"/>
        <w:rPr>
          <w:rFonts w:eastAsia="SimSun"/>
          <w:sz w:val="18"/>
          <w:szCs w:val="18"/>
          <w:lang w:val="en-IE" w:eastAsia="fr-FR"/>
        </w:rPr>
      </w:pPr>
      <w:r w:rsidRPr="00D403F5">
        <w:rPr>
          <w:rFonts w:eastAsia="SimSun"/>
          <w:sz w:val="18"/>
          <w:szCs w:val="18"/>
          <w:lang w:val="en-IE" w:eastAsia="fr-FR"/>
        </w:rPr>
        <w:t xml:space="preserve">For clarity on the information being sought, the </w:t>
      </w:r>
      <w:r w:rsidRPr="00D403F5">
        <w:rPr>
          <w:sz w:val="18"/>
          <w:szCs w:val="18"/>
          <w:lang w:val="en-IE"/>
        </w:rPr>
        <w:t xml:space="preserve">Commission </w:t>
      </w:r>
      <w:r w:rsidRPr="00D403F5">
        <w:rPr>
          <w:rFonts w:eastAsia="SimSun"/>
          <w:sz w:val="18"/>
          <w:szCs w:val="18"/>
          <w:lang w:val="en-IE" w:eastAsia="fr-FR"/>
        </w:rPr>
        <w:t xml:space="preserve">agreed to amend the title of Section 2.2.5 from </w:t>
      </w:r>
      <w:r w:rsidR="00B7670B" w:rsidRPr="00D403F5">
        <w:rPr>
          <w:rFonts w:eastAsia="SimSun"/>
          <w:sz w:val="18"/>
          <w:szCs w:val="18"/>
          <w:lang w:val="en-IE" w:eastAsia="fr-FR"/>
        </w:rPr>
        <w:t>“</w:t>
      </w:r>
      <w:r w:rsidRPr="00D403F5">
        <w:rPr>
          <w:rFonts w:eastAsia="SimSun"/>
          <w:iCs/>
          <w:sz w:val="18"/>
          <w:szCs w:val="18"/>
          <w:lang w:val="en-IE" w:eastAsia="fr-FR"/>
        </w:rPr>
        <w:t>Reservoirs of infection</w:t>
      </w:r>
      <w:r w:rsidR="00B7670B" w:rsidRPr="00D403F5">
        <w:rPr>
          <w:rFonts w:eastAsia="SimSun"/>
          <w:iCs/>
          <w:sz w:val="18"/>
          <w:szCs w:val="18"/>
          <w:lang w:val="en-IE" w:eastAsia="fr-FR"/>
        </w:rPr>
        <w:t>”</w:t>
      </w:r>
      <w:r w:rsidRPr="00D403F5">
        <w:rPr>
          <w:rFonts w:eastAsia="SimSun"/>
          <w:iCs/>
          <w:sz w:val="18"/>
          <w:szCs w:val="18"/>
          <w:lang w:val="en-IE" w:eastAsia="fr-FR"/>
        </w:rPr>
        <w:t xml:space="preserve"> to </w:t>
      </w:r>
      <w:r w:rsidR="00B7670B" w:rsidRPr="00D403F5">
        <w:rPr>
          <w:rFonts w:eastAsia="SimSun"/>
          <w:iCs/>
          <w:sz w:val="18"/>
          <w:szCs w:val="18"/>
          <w:lang w:val="en-IE" w:eastAsia="fr-FR"/>
        </w:rPr>
        <w:t>“</w:t>
      </w:r>
      <w:r w:rsidRPr="00D403F5">
        <w:rPr>
          <w:rFonts w:eastAsia="SimSun"/>
          <w:iCs/>
          <w:sz w:val="18"/>
          <w:szCs w:val="18"/>
          <w:lang w:val="en-IE" w:eastAsia="fr-FR"/>
        </w:rPr>
        <w:t>Aquatic animal reservoirs of infection</w:t>
      </w:r>
      <w:r w:rsidR="00B7670B" w:rsidRPr="00D403F5">
        <w:rPr>
          <w:rFonts w:eastAsia="SimSun"/>
          <w:iCs/>
          <w:sz w:val="18"/>
          <w:szCs w:val="18"/>
          <w:lang w:val="en-IE" w:eastAsia="fr-FR"/>
        </w:rPr>
        <w:t>”</w:t>
      </w:r>
      <w:r w:rsidRPr="00D403F5">
        <w:rPr>
          <w:rFonts w:eastAsia="SimSun"/>
          <w:sz w:val="18"/>
          <w:szCs w:val="18"/>
          <w:lang w:val="en-IE" w:eastAsia="fr-FR"/>
        </w:rPr>
        <w:t>. This change would be made to the chapter template.</w:t>
      </w:r>
    </w:p>
    <w:p w14:paraId="39D43179" w14:textId="1AD95F03" w:rsidR="00C26CFD" w:rsidRPr="00D403F5" w:rsidRDefault="00C26CFD" w:rsidP="001041C6">
      <w:pPr>
        <w:pStyle w:val="para11"/>
        <w:ind w:left="1559"/>
        <w:rPr>
          <w:bCs/>
          <w:sz w:val="18"/>
          <w:szCs w:val="18"/>
          <w:lang w:val="en-IE" w:eastAsia="fr-FR"/>
        </w:rPr>
      </w:pPr>
      <w:r w:rsidRPr="00D403F5">
        <w:rPr>
          <w:rFonts w:eastAsia="SimSun"/>
          <w:sz w:val="18"/>
          <w:szCs w:val="18"/>
          <w:lang w:val="en-IE" w:eastAsia="fr-FR"/>
        </w:rPr>
        <w:t xml:space="preserve">In Section </w:t>
      </w:r>
      <w:r w:rsidRPr="00D403F5">
        <w:rPr>
          <w:bCs/>
          <w:sz w:val="18"/>
          <w:szCs w:val="18"/>
          <w:lang w:val="en-IE" w:eastAsia="fr-FR"/>
        </w:rPr>
        <w:t xml:space="preserve">2.3.1. </w:t>
      </w:r>
      <w:r w:rsidRPr="00D403F5">
        <w:rPr>
          <w:bCs/>
          <w:iCs/>
          <w:sz w:val="18"/>
          <w:szCs w:val="18"/>
          <w:lang w:val="en-IE" w:eastAsia="fr-FR"/>
        </w:rPr>
        <w:t>Mortality, morbidity and prevalence</w:t>
      </w:r>
      <w:r w:rsidRPr="00D403F5">
        <w:rPr>
          <w:bCs/>
          <w:sz w:val="18"/>
          <w:szCs w:val="18"/>
          <w:lang w:val="en-IE" w:eastAsia="fr-FR"/>
        </w:rPr>
        <w:t xml:space="preserve">, the sentence “Co-infections with koi herpesvirus or carp oedema virus can increase levels of mortality” was deleted as </w:t>
      </w:r>
      <w:r w:rsidR="00B7670B" w:rsidRPr="00D403F5">
        <w:rPr>
          <w:bCs/>
          <w:sz w:val="18"/>
          <w:szCs w:val="18"/>
          <w:lang w:val="en-IE" w:eastAsia="fr-FR"/>
        </w:rPr>
        <w:t>the Commission is not aware of any</w:t>
      </w:r>
      <w:r w:rsidRPr="00D403F5">
        <w:rPr>
          <w:bCs/>
          <w:sz w:val="18"/>
          <w:szCs w:val="18"/>
          <w:lang w:val="en-IE" w:eastAsia="fr-FR"/>
        </w:rPr>
        <w:t xml:space="preserve"> published </w:t>
      </w:r>
      <w:r w:rsidR="00B7670B" w:rsidRPr="00D403F5">
        <w:rPr>
          <w:bCs/>
          <w:sz w:val="18"/>
          <w:szCs w:val="18"/>
          <w:lang w:val="en-IE" w:eastAsia="fr-FR"/>
        </w:rPr>
        <w:t xml:space="preserve">information </w:t>
      </w:r>
      <w:r w:rsidRPr="00D403F5">
        <w:rPr>
          <w:bCs/>
          <w:sz w:val="18"/>
          <w:szCs w:val="18"/>
          <w:lang w:val="en-IE" w:eastAsia="fr-FR"/>
        </w:rPr>
        <w:t>to substantiate the statement.</w:t>
      </w:r>
    </w:p>
    <w:p w14:paraId="1C7AC26E" w14:textId="4B00A8D7" w:rsidR="00C26CFD" w:rsidRPr="00D403F5" w:rsidRDefault="00C26CFD" w:rsidP="001041C6">
      <w:pPr>
        <w:pStyle w:val="para11"/>
        <w:ind w:left="1559"/>
        <w:rPr>
          <w:bCs/>
          <w:sz w:val="18"/>
          <w:szCs w:val="18"/>
        </w:rPr>
      </w:pPr>
      <w:r w:rsidRPr="00D403F5">
        <w:rPr>
          <w:bCs/>
          <w:sz w:val="18"/>
          <w:szCs w:val="18"/>
        </w:rPr>
        <w:t xml:space="preserve">The </w:t>
      </w:r>
      <w:r w:rsidRPr="00D403F5">
        <w:rPr>
          <w:sz w:val="18"/>
          <w:szCs w:val="18"/>
          <w:lang w:val="en-IE"/>
        </w:rPr>
        <w:t xml:space="preserve">Commission </w:t>
      </w:r>
      <w:r w:rsidRPr="00D403F5">
        <w:rPr>
          <w:bCs/>
          <w:sz w:val="18"/>
          <w:szCs w:val="18"/>
        </w:rPr>
        <w:t xml:space="preserve">agreed to include in Section </w:t>
      </w:r>
      <w:r w:rsidRPr="00D403F5">
        <w:rPr>
          <w:bCs/>
          <w:sz w:val="18"/>
          <w:szCs w:val="18"/>
          <w:lang w:val="en-IE" w:eastAsia="fr-FR"/>
        </w:rPr>
        <w:t xml:space="preserve">2.3.5. </w:t>
      </w:r>
      <w:r w:rsidRPr="00D403F5">
        <w:rPr>
          <w:bCs/>
          <w:iCs/>
          <w:sz w:val="18"/>
          <w:szCs w:val="18"/>
          <w:lang w:val="en-IE" w:eastAsia="fr-FR"/>
        </w:rPr>
        <w:t>Environmental and management factors</w:t>
      </w:r>
      <w:r w:rsidRPr="00D403F5">
        <w:rPr>
          <w:bCs/>
          <w:iCs/>
          <w:sz w:val="18"/>
          <w:szCs w:val="18"/>
        </w:rPr>
        <w:t>,</w:t>
      </w:r>
      <w:r w:rsidRPr="00D403F5">
        <w:rPr>
          <w:bCs/>
          <w:sz w:val="18"/>
          <w:szCs w:val="18"/>
        </w:rPr>
        <w:t xml:space="preserve"> a sentence clarifying that a combination of the stressors of temperature and confinement, in conjunction with spawning, are key factors </w:t>
      </w:r>
      <w:r w:rsidR="00575C8F" w:rsidRPr="00D403F5">
        <w:rPr>
          <w:bCs/>
          <w:sz w:val="18"/>
          <w:szCs w:val="18"/>
        </w:rPr>
        <w:t xml:space="preserve">resulting </w:t>
      </w:r>
      <w:r w:rsidRPr="00D403F5">
        <w:rPr>
          <w:bCs/>
          <w:sz w:val="18"/>
          <w:szCs w:val="18"/>
        </w:rPr>
        <w:t>in outbreak</w:t>
      </w:r>
      <w:r w:rsidR="00575C8F" w:rsidRPr="00D403F5">
        <w:rPr>
          <w:bCs/>
          <w:sz w:val="18"/>
          <w:szCs w:val="18"/>
        </w:rPr>
        <w:t>s</w:t>
      </w:r>
      <w:r w:rsidRPr="00D403F5">
        <w:rPr>
          <w:bCs/>
          <w:sz w:val="18"/>
          <w:szCs w:val="18"/>
        </w:rPr>
        <w:t xml:space="preserve"> of infection with SVCV.</w:t>
      </w:r>
    </w:p>
    <w:p w14:paraId="2C81B6C7" w14:textId="77777777" w:rsidR="00C26CFD" w:rsidRPr="00D403F5" w:rsidRDefault="00C26CFD" w:rsidP="001041C6">
      <w:pPr>
        <w:pStyle w:val="para11"/>
        <w:ind w:left="1559"/>
        <w:rPr>
          <w:sz w:val="18"/>
          <w:szCs w:val="18"/>
          <w:lang w:val="en-IE"/>
        </w:rPr>
      </w:pPr>
      <w:r w:rsidRPr="00D403F5">
        <w:rPr>
          <w:sz w:val="18"/>
          <w:szCs w:val="18"/>
          <w:lang w:val="en-IE"/>
        </w:rPr>
        <w:t xml:space="preserve">In Section 2.4.1. </w:t>
      </w:r>
      <w:r w:rsidRPr="00D403F5">
        <w:rPr>
          <w:i/>
          <w:sz w:val="18"/>
          <w:szCs w:val="18"/>
          <w:lang w:val="en-IE"/>
        </w:rPr>
        <w:t>Vaccination</w:t>
      </w:r>
      <w:r w:rsidRPr="00D403F5">
        <w:rPr>
          <w:sz w:val="18"/>
          <w:szCs w:val="18"/>
          <w:lang w:val="en-IE"/>
        </w:rPr>
        <w:t>, the text on DNA vaccines was amended to better reflect the current situation.</w:t>
      </w:r>
    </w:p>
    <w:p w14:paraId="05E142D2" w14:textId="6FB4668E" w:rsidR="00A60806" w:rsidRPr="00D403F5" w:rsidRDefault="00A60806" w:rsidP="001041C6">
      <w:pPr>
        <w:pStyle w:val="para11"/>
        <w:ind w:left="1559"/>
        <w:rPr>
          <w:sz w:val="18"/>
          <w:szCs w:val="18"/>
          <w:lang w:bidi="en-US"/>
        </w:rPr>
      </w:pPr>
      <w:r w:rsidRPr="00D403F5">
        <w:rPr>
          <w:sz w:val="18"/>
          <w:szCs w:val="18"/>
          <w:lang w:val="en-IE" w:bidi="en-US"/>
        </w:rPr>
        <w:t xml:space="preserve">In response to Member comments, the last paragraph in </w:t>
      </w:r>
      <w:r w:rsidRPr="00D403F5">
        <w:rPr>
          <w:sz w:val="18"/>
          <w:szCs w:val="18"/>
          <w:lang w:bidi="en-US"/>
        </w:rPr>
        <w:t xml:space="preserve">3.1. </w:t>
      </w:r>
      <w:r w:rsidRPr="00D403F5">
        <w:rPr>
          <w:iCs/>
          <w:sz w:val="18"/>
          <w:szCs w:val="18"/>
          <w:lang w:bidi="en-US"/>
        </w:rPr>
        <w:t>Selection of populations and individual specimens</w:t>
      </w:r>
      <w:r w:rsidRPr="00D403F5">
        <w:rPr>
          <w:sz w:val="18"/>
          <w:szCs w:val="18"/>
          <w:lang w:bidi="en-US"/>
        </w:rPr>
        <w:t xml:space="preserve"> was amended to clarify the use of the terms “group” and “lot”.</w:t>
      </w:r>
    </w:p>
    <w:p w14:paraId="493FE659" w14:textId="6EEF3151" w:rsidR="00C26CFD" w:rsidRPr="00D403F5" w:rsidRDefault="00C26CFD" w:rsidP="001041C6">
      <w:pPr>
        <w:pStyle w:val="para11"/>
        <w:ind w:left="1559"/>
        <w:rPr>
          <w:sz w:val="18"/>
          <w:szCs w:val="18"/>
          <w:lang w:bidi="en-US"/>
        </w:rPr>
      </w:pPr>
      <w:r w:rsidRPr="00D403F5">
        <w:rPr>
          <w:sz w:val="18"/>
          <w:szCs w:val="18"/>
          <w:lang w:bidi="en-US"/>
        </w:rPr>
        <w:t xml:space="preserve">In Section 3.2. </w:t>
      </w:r>
      <w:r w:rsidRPr="00D403F5">
        <w:rPr>
          <w:iCs/>
          <w:sz w:val="18"/>
          <w:szCs w:val="18"/>
          <w:lang w:bidi="en-US"/>
        </w:rPr>
        <w:t>Selection of organs or tissues,</w:t>
      </w:r>
      <w:r w:rsidRPr="00D403F5">
        <w:rPr>
          <w:sz w:val="18"/>
          <w:szCs w:val="18"/>
          <w:lang w:bidi="en-US"/>
        </w:rPr>
        <w:t xml:space="preserve"> the first sentence on which organs should be sampled </w:t>
      </w:r>
      <w:r w:rsidR="00A60806" w:rsidRPr="00D403F5">
        <w:rPr>
          <w:sz w:val="18"/>
          <w:szCs w:val="18"/>
          <w:lang w:bidi="en-US"/>
        </w:rPr>
        <w:t>from</w:t>
      </w:r>
      <w:r w:rsidR="00066135" w:rsidRPr="00D403F5">
        <w:rPr>
          <w:sz w:val="18"/>
          <w:szCs w:val="18"/>
          <w:lang w:bidi="en-US"/>
        </w:rPr>
        <w:t xml:space="preserve"> </w:t>
      </w:r>
      <w:r w:rsidRPr="00D403F5">
        <w:rPr>
          <w:sz w:val="18"/>
          <w:szCs w:val="18"/>
          <w:lang w:bidi="en-US"/>
        </w:rPr>
        <w:t xml:space="preserve">subclinically infected fish was reinstated, and the word “alevin” was replaced by the word “fry”. This latter amendment would be made </w:t>
      </w:r>
      <w:r w:rsidR="00B7670B" w:rsidRPr="00D403F5">
        <w:rPr>
          <w:sz w:val="18"/>
          <w:szCs w:val="18"/>
          <w:lang w:bidi="en-US"/>
        </w:rPr>
        <w:t xml:space="preserve">as appropriate </w:t>
      </w:r>
      <w:r w:rsidRPr="00D403F5">
        <w:rPr>
          <w:sz w:val="18"/>
          <w:szCs w:val="18"/>
          <w:lang w:bidi="en-US"/>
        </w:rPr>
        <w:t xml:space="preserve">in </w:t>
      </w:r>
      <w:r w:rsidR="00B7670B" w:rsidRPr="00D403F5">
        <w:rPr>
          <w:sz w:val="18"/>
          <w:szCs w:val="18"/>
          <w:lang w:bidi="en-US"/>
        </w:rPr>
        <w:t xml:space="preserve">other </w:t>
      </w:r>
      <w:r w:rsidRPr="00D403F5">
        <w:rPr>
          <w:sz w:val="18"/>
          <w:szCs w:val="18"/>
          <w:lang w:bidi="en-US"/>
        </w:rPr>
        <w:t>fish disease chapters as they are revised.</w:t>
      </w:r>
    </w:p>
    <w:p w14:paraId="3374CEE2" w14:textId="6E422DCF" w:rsidR="00C26CFD" w:rsidRPr="00D403F5" w:rsidRDefault="00C26CFD" w:rsidP="001041C6">
      <w:pPr>
        <w:pStyle w:val="para11"/>
        <w:ind w:left="1559"/>
        <w:rPr>
          <w:sz w:val="18"/>
          <w:szCs w:val="18"/>
          <w:lang w:bidi="en-US"/>
        </w:rPr>
      </w:pPr>
      <w:r w:rsidRPr="00D403F5">
        <w:rPr>
          <w:sz w:val="18"/>
          <w:szCs w:val="18"/>
          <w:lang w:val="en-IE"/>
        </w:rPr>
        <w:t xml:space="preserve">The Commission reworded the last paragraph in Section 3.3. </w:t>
      </w:r>
      <w:r w:rsidRPr="00D403F5">
        <w:rPr>
          <w:iCs/>
          <w:sz w:val="18"/>
          <w:szCs w:val="18"/>
          <w:lang w:bidi="en-US"/>
        </w:rPr>
        <w:t>Samples or tissues not suitable for pathogen detection</w:t>
      </w:r>
      <w:r w:rsidRPr="00D403F5">
        <w:rPr>
          <w:sz w:val="18"/>
          <w:szCs w:val="18"/>
          <w:lang w:bidi="en-US"/>
        </w:rPr>
        <w:t xml:space="preserve"> for clarity. It also agreed to replace the text in Section 3.6. </w:t>
      </w:r>
      <w:r w:rsidRPr="00D403F5">
        <w:rPr>
          <w:iCs/>
          <w:sz w:val="18"/>
          <w:szCs w:val="18"/>
          <w:lang w:bidi="en-US"/>
        </w:rPr>
        <w:t xml:space="preserve">Pooling of samples </w:t>
      </w:r>
      <w:r w:rsidRPr="00D403F5">
        <w:rPr>
          <w:sz w:val="18"/>
          <w:szCs w:val="18"/>
          <w:lang w:bidi="en-US"/>
        </w:rPr>
        <w:t xml:space="preserve">with the standard text from the template as there is no evidence warrant any alternative recommendation. </w:t>
      </w:r>
    </w:p>
    <w:p w14:paraId="233172D2" w14:textId="55BD55EE" w:rsidR="00C26CFD" w:rsidRPr="00D403F5" w:rsidRDefault="00C26CFD" w:rsidP="001041C6">
      <w:pPr>
        <w:pStyle w:val="para11"/>
        <w:ind w:left="1559"/>
        <w:rPr>
          <w:rFonts w:eastAsiaTheme="minorEastAsia"/>
          <w:sz w:val="18"/>
          <w:szCs w:val="18"/>
          <w:lang w:eastAsia="zh-CN"/>
        </w:rPr>
      </w:pPr>
      <w:r w:rsidRPr="00D403F5">
        <w:rPr>
          <w:sz w:val="18"/>
          <w:szCs w:val="18"/>
          <w:lang w:bidi="en-US"/>
        </w:rPr>
        <w:t xml:space="preserve">Following review of comments and discussion with the Reference Laboratory experts, the Commission revised some of the scores given in Table 4.1 </w:t>
      </w:r>
      <w:r w:rsidRPr="00D403F5">
        <w:rPr>
          <w:bCs/>
          <w:iCs/>
          <w:sz w:val="18"/>
          <w:szCs w:val="18"/>
          <w:lang w:val="en-IE" w:bidi="en-US"/>
        </w:rPr>
        <w:t>OIE recommended diagnostic methods and their level of validation for surveillance of healthy animals and investigation of clinically affected animals</w:t>
      </w:r>
      <w:r w:rsidRPr="00D403F5">
        <w:rPr>
          <w:bCs/>
          <w:i/>
          <w:sz w:val="18"/>
          <w:szCs w:val="18"/>
          <w:lang w:val="en-IE" w:bidi="en-US"/>
        </w:rPr>
        <w:t xml:space="preserve">. </w:t>
      </w:r>
      <w:r w:rsidRPr="00D403F5">
        <w:rPr>
          <w:bCs/>
          <w:sz w:val="18"/>
          <w:szCs w:val="18"/>
          <w:lang w:val="en-IE" w:bidi="en-US"/>
        </w:rPr>
        <w:t>The</w:t>
      </w:r>
      <w:r w:rsidRPr="00D403F5">
        <w:rPr>
          <w:bCs/>
          <w:i/>
          <w:sz w:val="18"/>
          <w:szCs w:val="18"/>
          <w:lang w:val="en-IE" w:bidi="en-US"/>
        </w:rPr>
        <w:t xml:space="preserve"> </w:t>
      </w:r>
      <w:r w:rsidRPr="00D403F5">
        <w:rPr>
          <w:bCs/>
          <w:sz w:val="18"/>
          <w:szCs w:val="18"/>
          <w:lang w:val="en-IE" w:bidi="en-US"/>
        </w:rPr>
        <w:t xml:space="preserve">scores and text of Section 4 </w:t>
      </w:r>
      <w:r w:rsidRPr="00D403F5">
        <w:rPr>
          <w:bCs/>
          <w:iCs/>
          <w:sz w:val="18"/>
          <w:szCs w:val="18"/>
          <w:lang w:val="en-IE" w:bidi="en-US"/>
        </w:rPr>
        <w:t xml:space="preserve">Diagnostic methods now corresponds with the recommendations given in Section 6 </w:t>
      </w:r>
      <w:r w:rsidRPr="00D403F5">
        <w:rPr>
          <w:iCs/>
          <w:sz w:val="18"/>
          <w:szCs w:val="18"/>
        </w:rPr>
        <w:t>Corroborative diagnostic criteria.</w:t>
      </w:r>
      <w:r w:rsidRPr="00D403F5">
        <w:rPr>
          <w:sz w:val="18"/>
          <w:szCs w:val="18"/>
        </w:rPr>
        <w:t xml:space="preserve"> The changes to Table 4.1 are: cell or culture and conventional PCR</w:t>
      </w:r>
      <w:r w:rsidRPr="00D403F5">
        <w:rPr>
          <w:rStyle w:val="af6"/>
          <w:sz w:val="18"/>
          <w:szCs w:val="18"/>
        </w:rPr>
        <w:footnoteReference w:id="1"/>
      </w:r>
      <w:r w:rsidRPr="00D403F5">
        <w:rPr>
          <w:sz w:val="18"/>
          <w:szCs w:val="18"/>
        </w:rPr>
        <w:t xml:space="preserve"> were given higher scores (“++”) in all three columns </w:t>
      </w:r>
      <w:r w:rsidRPr="00D403F5">
        <w:rPr>
          <w:rFonts w:eastAsiaTheme="minorEastAsia"/>
          <w:sz w:val="18"/>
          <w:szCs w:val="18"/>
          <w:lang w:eastAsia="zh-CN"/>
        </w:rPr>
        <w:t xml:space="preserve">as they are </w:t>
      </w:r>
      <w:r w:rsidR="00714677" w:rsidRPr="00D403F5">
        <w:rPr>
          <w:rFonts w:eastAsiaTheme="minorEastAsia"/>
          <w:sz w:val="18"/>
          <w:szCs w:val="18"/>
          <w:lang w:eastAsia="zh-CN"/>
        </w:rPr>
        <w:t>suitable methods but may require further validation</w:t>
      </w:r>
      <w:r w:rsidRPr="00D403F5">
        <w:rPr>
          <w:rFonts w:eastAsiaTheme="minorEastAsia"/>
          <w:sz w:val="18"/>
          <w:szCs w:val="18"/>
          <w:lang w:eastAsia="zh-CN"/>
        </w:rPr>
        <w:t xml:space="preserve">. </w:t>
      </w:r>
      <w:r w:rsidRPr="00D403F5">
        <w:rPr>
          <w:rFonts w:eastAsiaTheme="minorEastAsia"/>
          <w:i/>
          <w:sz w:val="18"/>
          <w:szCs w:val="18"/>
          <w:lang w:eastAsia="zh-CN"/>
        </w:rPr>
        <w:t>In-situ</w:t>
      </w:r>
      <w:r w:rsidRPr="00D403F5">
        <w:rPr>
          <w:rFonts w:eastAsiaTheme="minorEastAsia"/>
          <w:sz w:val="18"/>
          <w:szCs w:val="18"/>
          <w:lang w:eastAsia="zh-CN"/>
        </w:rPr>
        <w:t xml:space="preserve"> </w:t>
      </w:r>
      <w:r w:rsidRPr="00D403F5">
        <w:rPr>
          <w:rFonts w:eastAsiaTheme="minorEastAsia"/>
          <w:sz w:val="18"/>
          <w:szCs w:val="18"/>
          <w:lang w:val="en-IE" w:eastAsia="zh-CN"/>
        </w:rPr>
        <w:t>hybridisation</w:t>
      </w:r>
      <w:r w:rsidRPr="00D403F5">
        <w:rPr>
          <w:rFonts w:eastAsiaTheme="minorEastAsia"/>
          <w:sz w:val="18"/>
          <w:szCs w:val="18"/>
          <w:lang w:eastAsia="zh-CN"/>
        </w:rPr>
        <w:t xml:space="preserve"> and LAMP</w:t>
      </w:r>
      <w:r w:rsidRPr="00D403F5">
        <w:rPr>
          <w:rStyle w:val="af6"/>
          <w:rFonts w:eastAsiaTheme="minorEastAsia"/>
          <w:sz w:val="18"/>
          <w:szCs w:val="18"/>
          <w:lang w:eastAsia="zh-CN"/>
        </w:rPr>
        <w:footnoteReference w:id="2"/>
      </w:r>
      <w:r w:rsidRPr="00D403F5">
        <w:rPr>
          <w:rFonts w:eastAsiaTheme="minorEastAsia"/>
          <w:sz w:val="18"/>
          <w:szCs w:val="18"/>
          <w:lang w:eastAsia="zh-CN"/>
        </w:rPr>
        <w:t xml:space="preserve"> were deleted as they have not been well validated. IFAT</w:t>
      </w:r>
      <w:r w:rsidRPr="00D403F5">
        <w:rPr>
          <w:rStyle w:val="af6"/>
          <w:rFonts w:eastAsiaTheme="minorEastAsia"/>
          <w:sz w:val="18"/>
          <w:szCs w:val="18"/>
          <w:lang w:eastAsia="zh-CN"/>
        </w:rPr>
        <w:footnoteReference w:id="3"/>
      </w:r>
      <w:r w:rsidRPr="00D403F5">
        <w:rPr>
          <w:rFonts w:eastAsiaTheme="minorEastAsia"/>
          <w:sz w:val="18"/>
          <w:szCs w:val="18"/>
          <w:lang w:eastAsia="zh-CN"/>
        </w:rPr>
        <w:t xml:space="preserve"> and immunohistochemistry were added.</w:t>
      </w:r>
    </w:p>
    <w:p w14:paraId="3B0E970A" w14:textId="77777777" w:rsidR="00C26CFD" w:rsidRPr="00D403F5" w:rsidRDefault="00C26CFD" w:rsidP="001041C6">
      <w:pPr>
        <w:pStyle w:val="para11"/>
        <w:ind w:left="1559"/>
        <w:rPr>
          <w:rFonts w:eastAsiaTheme="minorEastAsia"/>
          <w:sz w:val="18"/>
          <w:szCs w:val="18"/>
          <w:lang w:eastAsia="zh-CN"/>
        </w:rPr>
      </w:pPr>
      <w:r w:rsidRPr="00D403F5">
        <w:rPr>
          <w:rFonts w:eastAsiaTheme="minorEastAsia"/>
          <w:sz w:val="18"/>
          <w:szCs w:val="18"/>
          <w:lang w:eastAsia="zh-CN"/>
        </w:rPr>
        <w:t xml:space="preserve">The Commission agreed to split Section 4.6 </w:t>
      </w:r>
      <w:r w:rsidRPr="00D403F5">
        <w:rPr>
          <w:sz w:val="18"/>
          <w:szCs w:val="18"/>
        </w:rPr>
        <w:t xml:space="preserve">In-situ </w:t>
      </w:r>
      <w:r w:rsidRPr="00D403F5">
        <w:rPr>
          <w:iCs/>
          <w:sz w:val="18"/>
          <w:szCs w:val="18"/>
        </w:rPr>
        <w:t>hybridisation (and histoimmunochemistry)</w:t>
      </w:r>
      <w:r w:rsidRPr="00D403F5">
        <w:rPr>
          <w:sz w:val="18"/>
          <w:szCs w:val="18"/>
        </w:rPr>
        <w:t xml:space="preserve"> into two sections: </w:t>
      </w:r>
      <w:r w:rsidRPr="00D403F5">
        <w:rPr>
          <w:rFonts w:eastAsiaTheme="minorEastAsia"/>
          <w:sz w:val="18"/>
          <w:szCs w:val="18"/>
          <w:lang w:eastAsia="zh-CN"/>
        </w:rPr>
        <w:t xml:space="preserve">Section 4.6. </w:t>
      </w:r>
      <w:r w:rsidRPr="00D403F5">
        <w:rPr>
          <w:iCs/>
          <w:sz w:val="18"/>
          <w:szCs w:val="18"/>
        </w:rPr>
        <w:t>In-situ</w:t>
      </w:r>
      <w:r w:rsidRPr="00D403F5">
        <w:rPr>
          <w:sz w:val="18"/>
          <w:szCs w:val="18"/>
        </w:rPr>
        <w:t xml:space="preserve"> hybridisation and Section 4.7. </w:t>
      </w:r>
      <w:r w:rsidRPr="00D403F5">
        <w:rPr>
          <w:iCs/>
          <w:sz w:val="18"/>
          <w:szCs w:val="18"/>
        </w:rPr>
        <w:t>Immunohistochemistry</w:t>
      </w:r>
      <w:r w:rsidRPr="00D403F5">
        <w:rPr>
          <w:i/>
          <w:sz w:val="18"/>
          <w:szCs w:val="18"/>
        </w:rPr>
        <w:t xml:space="preserve">. </w:t>
      </w:r>
      <w:r w:rsidRPr="00D403F5">
        <w:rPr>
          <w:rFonts w:eastAsia="SimSun"/>
          <w:sz w:val="18"/>
          <w:szCs w:val="18"/>
          <w:lang w:val="en-IE" w:eastAsia="fr-FR"/>
        </w:rPr>
        <w:t>This change would be made to the chapter template.</w:t>
      </w:r>
    </w:p>
    <w:p w14:paraId="39C52FAD" w14:textId="77777777" w:rsidR="00C26CFD" w:rsidRPr="00D403F5" w:rsidRDefault="00C26CFD" w:rsidP="001041C6">
      <w:pPr>
        <w:pStyle w:val="para11"/>
        <w:ind w:left="1560"/>
        <w:rPr>
          <w:sz w:val="18"/>
          <w:szCs w:val="18"/>
          <w:lang w:val="en-IE"/>
        </w:rPr>
      </w:pPr>
      <w:r w:rsidRPr="00D403F5">
        <w:rPr>
          <w:rFonts w:eastAsiaTheme="minorHAnsi"/>
          <w:sz w:val="18"/>
          <w:szCs w:val="18"/>
          <w:lang w:val="en-IE"/>
        </w:rPr>
        <w:t>Edits presented in the document</w:t>
      </w:r>
      <w:r w:rsidRPr="00D403F5">
        <w:rPr>
          <w:sz w:val="18"/>
          <w:szCs w:val="18"/>
          <w:lang w:val="en-IE"/>
        </w:rPr>
        <w:t xml:space="preserve"> are those made against the revised “clean” version” provided for comment in February 2019 and are highlighted in grey. A software generated comparison document between the proposed new text and the adopted version of the chapter is available on request from the OIE Standards Dept (</w:t>
      </w:r>
      <w:hyperlink r:id="rId16" w:history="1">
        <w:r w:rsidRPr="00D403F5">
          <w:rPr>
            <w:color w:val="0000FF"/>
            <w:sz w:val="18"/>
            <w:szCs w:val="18"/>
            <w:u w:val="single"/>
            <w:lang w:val="en-IE" w:eastAsia="en-GB"/>
          </w:rPr>
          <w:t>standards.dept@oie.int</w:t>
        </w:r>
      </w:hyperlink>
      <w:r w:rsidRPr="00D403F5">
        <w:rPr>
          <w:sz w:val="18"/>
          <w:szCs w:val="18"/>
          <w:lang w:val="en-IE" w:eastAsia="en-GB"/>
        </w:rPr>
        <w:t>)</w:t>
      </w:r>
      <w:r w:rsidRPr="00D403F5">
        <w:rPr>
          <w:sz w:val="18"/>
          <w:szCs w:val="18"/>
          <w:lang w:val="en-IE"/>
        </w:rPr>
        <w:t>.</w:t>
      </w:r>
    </w:p>
    <w:p w14:paraId="5CC2DFE7" w14:textId="45BB6A11" w:rsidR="00C26CFD" w:rsidRPr="00D403F5" w:rsidRDefault="00C26CFD" w:rsidP="001041C6">
      <w:pPr>
        <w:pStyle w:val="para11"/>
        <w:ind w:left="1560"/>
        <w:rPr>
          <w:rFonts w:eastAsiaTheme="minorHAnsi"/>
          <w:sz w:val="18"/>
          <w:szCs w:val="18"/>
          <w:lang w:val="en-IE"/>
        </w:rPr>
      </w:pPr>
      <w:r w:rsidRPr="00D403F5">
        <w:rPr>
          <w:rFonts w:eastAsiaTheme="minorHAnsi"/>
          <w:sz w:val="18"/>
          <w:szCs w:val="18"/>
          <w:lang w:val="en-IE"/>
        </w:rPr>
        <w:t xml:space="preserve">The revised </w:t>
      </w:r>
      <w:r w:rsidRPr="00D403F5">
        <w:rPr>
          <w:sz w:val="18"/>
          <w:szCs w:val="18"/>
          <w:lang w:val="en-IE"/>
        </w:rPr>
        <w:t xml:space="preserve">Chapter </w:t>
      </w:r>
      <w:r w:rsidRPr="00D403F5">
        <w:rPr>
          <w:rFonts w:eastAsiaTheme="minorHAnsi"/>
          <w:sz w:val="18"/>
          <w:szCs w:val="18"/>
          <w:lang w:val="en-IE"/>
        </w:rPr>
        <w:t xml:space="preserve">2.3.9. </w:t>
      </w:r>
      <w:r w:rsidRPr="00D403F5">
        <w:rPr>
          <w:rFonts w:eastAsia="Arial"/>
          <w:bCs/>
          <w:sz w:val="18"/>
          <w:szCs w:val="18"/>
          <w:lang w:val="en-IE"/>
        </w:rPr>
        <w:t>Infection with spring viraemia of carp virus</w:t>
      </w:r>
      <w:r w:rsidRPr="00D403F5">
        <w:rPr>
          <w:rFonts w:eastAsiaTheme="minorHAnsi"/>
          <w:sz w:val="18"/>
          <w:szCs w:val="18"/>
          <w:lang w:val="en-IE"/>
        </w:rPr>
        <w:t xml:space="preserve"> is </w:t>
      </w:r>
      <w:r w:rsidRPr="00D403F5">
        <w:rPr>
          <w:sz w:val="18"/>
          <w:szCs w:val="18"/>
          <w:lang w:val="en-IE" w:eastAsia="en-GB"/>
        </w:rPr>
        <w:t xml:space="preserve">presented </w:t>
      </w:r>
      <w:r w:rsidRPr="00D403F5">
        <w:rPr>
          <w:rFonts w:eastAsiaTheme="minorHAnsi"/>
          <w:sz w:val="18"/>
          <w:szCs w:val="18"/>
          <w:lang w:val="en-IE"/>
        </w:rPr>
        <w:t xml:space="preserve">as </w:t>
      </w:r>
      <w:r w:rsidRPr="00D403F5">
        <w:rPr>
          <w:rFonts w:eastAsiaTheme="minorHAnsi"/>
          <w:bCs/>
          <w:sz w:val="18"/>
          <w:szCs w:val="18"/>
          <w:u w:val="single"/>
          <w:lang w:val="en-IE"/>
        </w:rPr>
        <w:t>Annex</w:t>
      </w:r>
      <w:r w:rsidR="00240F70" w:rsidRPr="00D403F5">
        <w:rPr>
          <w:rFonts w:eastAsiaTheme="minorHAnsi"/>
          <w:bCs/>
          <w:sz w:val="18"/>
          <w:szCs w:val="18"/>
          <w:u w:val="single"/>
          <w:lang w:val="en-IE"/>
        </w:rPr>
        <w:t xml:space="preserve"> </w:t>
      </w:r>
      <w:r w:rsidR="0075280E" w:rsidRPr="00D403F5">
        <w:rPr>
          <w:rFonts w:eastAsiaTheme="minorHAnsi"/>
          <w:bCs/>
          <w:sz w:val="18"/>
          <w:szCs w:val="18"/>
          <w:u w:val="single"/>
          <w:lang w:val="en-IE"/>
        </w:rPr>
        <w:t>10</w:t>
      </w:r>
      <w:r w:rsidR="0075280E" w:rsidRPr="00D403F5">
        <w:rPr>
          <w:rFonts w:eastAsiaTheme="minorHAnsi"/>
          <w:b/>
          <w:sz w:val="18"/>
          <w:szCs w:val="18"/>
          <w:lang w:val="en-IE"/>
        </w:rPr>
        <w:t xml:space="preserve"> </w:t>
      </w:r>
      <w:r w:rsidRPr="00D403F5">
        <w:rPr>
          <w:rFonts w:eastAsiaTheme="minorHAnsi"/>
          <w:sz w:val="18"/>
          <w:szCs w:val="18"/>
          <w:lang w:val="en-IE"/>
        </w:rPr>
        <w:t>for Member comments</w:t>
      </w:r>
      <w:r w:rsidRPr="00D403F5">
        <w:rPr>
          <w:sz w:val="18"/>
          <w:szCs w:val="18"/>
        </w:rPr>
        <w:t xml:space="preserve"> </w:t>
      </w:r>
      <w:r w:rsidRPr="00D403F5">
        <w:rPr>
          <w:rFonts w:eastAsiaTheme="minorHAnsi"/>
          <w:sz w:val="18"/>
          <w:szCs w:val="18"/>
          <w:lang w:val="en-IE"/>
        </w:rPr>
        <w:t xml:space="preserve">and </w:t>
      </w:r>
      <w:r w:rsidR="00714677" w:rsidRPr="00D403F5">
        <w:rPr>
          <w:rFonts w:eastAsiaTheme="minorHAnsi"/>
          <w:sz w:val="18"/>
          <w:szCs w:val="18"/>
          <w:lang w:val="en-IE"/>
        </w:rPr>
        <w:t xml:space="preserve">is intended to </w:t>
      </w:r>
      <w:r w:rsidRPr="00D403F5">
        <w:rPr>
          <w:rFonts w:eastAsiaTheme="minorHAnsi"/>
          <w:sz w:val="18"/>
          <w:szCs w:val="18"/>
          <w:lang w:val="en-IE"/>
        </w:rPr>
        <w:t xml:space="preserve">be proposed for adoption at the 88th General Session in May 2020.  </w:t>
      </w:r>
    </w:p>
    <w:p w14:paraId="3B149BE0" w14:textId="5409EDFF" w:rsidR="00C26CFD" w:rsidRPr="00D403F5" w:rsidRDefault="00C26CFD" w:rsidP="001041C6">
      <w:pPr>
        <w:pStyle w:val="Web"/>
        <w:spacing w:before="0" w:beforeAutospacing="0" w:after="240" w:afterAutospacing="0"/>
        <w:ind w:left="1560" w:hanging="567"/>
        <w:jc w:val="both"/>
        <w:rPr>
          <w:rFonts w:eastAsia="Arial"/>
          <w:b/>
          <w:sz w:val="18"/>
          <w:szCs w:val="18"/>
          <w:lang w:val="en-IE"/>
        </w:rPr>
      </w:pPr>
      <w:r w:rsidRPr="00D403F5">
        <w:rPr>
          <w:rFonts w:eastAsia="Arial"/>
          <w:b/>
          <w:sz w:val="18"/>
          <w:szCs w:val="18"/>
          <w:lang w:val="en-IE"/>
        </w:rPr>
        <w:t>6.</w:t>
      </w:r>
      <w:r w:rsidR="00E17EAD" w:rsidRPr="00D403F5">
        <w:rPr>
          <w:rFonts w:eastAsia="Arial"/>
          <w:b/>
          <w:sz w:val="18"/>
          <w:szCs w:val="18"/>
          <w:lang w:val="en-IE"/>
        </w:rPr>
        <w:t>8</w:t>
      </w:r>
      <w:r w:rsidRPr="00D403F5">
        <w:rPr>
          <w:rFonts w:eastAsia="Arial"/>
          <w:b/>
          <w:sz w:val="18"/>
          <w:szCs w:val="18"/>
          <w:lang w:val="en-IE"/>
        </w:rPr>
        <w:t xml:space="preserve">.2. </w:t>
      </w:r>
      <w:r w:rsidRPr="00D403F5">
        <w:rPr>
          <w:rFonts w:eastAsia="Arial"/>
          <w:b/>
          <w:sz w:val="18"/>
          <w:szCs w:val="18"/>
          <w:lang w:val="en-IE"/>
        </w:rPr>
        <w:tab/>
        <w:t>Infection with Batrachochytrium salamandrivorans (Chapter 2.1.3.)</w:t>
      </w:r>
    </w:p>
    <w:p w14:paraId="20ACBCFD" w14:textId="1BFC219C" w:rsidR="00C26CFD" w:rsidRPr="00D403F5" w:rsidRDefault="00C26CFD" w:rsidP="001041C6">
      <w:pPr>
        <w:spacing w:after="240" w:line="240" w:lineRule="auto"/>
        <w:ind w:left="1560"/>
        <w:jc w:val="both"/>
        <w:rPr>
          <w:rFonts w:ascii="Times New Roman" w:hAnsi="Times New Roman" w:cs="Times New Roman"/>
          <w:i/>
          <w:sz w:val="18"/>
          <w:szCs w:val="18"/>
          <w:lang w:val="en-IE"/>
        </w:rPr>
      </w:pPr>
      <w:r w:rsidRPr="00D403F5">
        <w:rPr>
          <w:rFonts w:ascii="Times New Roman" w:hAnsi="Times New Roman" w:cs="Times New Roman"/>
          <w:sz w:val="18"/>
          <w:szCs w:val="18"/>
          <w:lang w:val="en-IE"/>
        </w:rPr>
        <w:t xml:space="preserve">In the absence of an OIE Reference Laboratory for </w:t>
      </w:r>
      <w:r w:rsidRPr="00D403F5">
        <w:rPr>
          <w:rFonts w:ascii="Times New Roman" w:hAnsi="Times New Roman" w:cs="Times New Roman"/>
          <w:i/>
          <w:sz w:val="18"/>
          <w:szCs w:val="18"/>
          <w:lang w:val="en-IE"/>
        </w:rPr>
        <w:t xml:space="preserve">Batrachochytrium salamandrivorans, </w:t>
      </w:r>
      <w:r w:rsidRPr="00D403F5">
        <w:rPr>
          <w:rFonts w:ascii="Times New Roman" w:hAnsi="Times New Roman" w:cs="Times New Roman"/>
          <w:sz w:val="18"/>
          <w:szCs w:val="18"/>
          <w:lang w:val="en-IE"/>
        </w:rPr>
        <w:t>the chapter had been drafted by</w:t>
      </w:r>
      <w:r w:rsidRPr="00D403F5">
        <w:rPr>
          <w:rFonts w:ascii="Times New Roman" w:hAnsi="Times New Roman" w:cs="Times New Roman"/>
          <w:i/>
          <w:sz w:val="18"/>
          <w:szCs w:val="18"/>
          <w:lang w:val="en-IE"/>
        </w:rPr>
        <w:t xml:space="preserve"> </w:t>
      </w:r>
      <w:r w:rsidRPr="00D403F5">
        <w:rPr>
          <w:rFonts w:ascii="Times New Roman" w:hAnsi="Times New Roman" w:cs="Times New Roman"/>
          <w:sz w:val="18"/>
          <w:szCs w:val="18"/>
          <w:lang w:val="en-IE"/>
        </w:rPr>
        <w:t xml:space="preserve">experts from a </w:t>
      </w:r>
      <w:r w:rsidR="000E2421" w:rsidRPr="00D403F5">
        <w:rPr>
          <w:rFonts w:ascii="Times New Roman" w:hAnsi="Times New Roman" w:cs="Times New Roman"/>
          <w:sz w:val="18"/>
          <w:szCs w:val="18"/>
          <w:lang w:val="en-IE"/>
        </w:rPr>
        <w:t>research institution</w:t>
      </w:r>
      <w:r w:rsidRPr="00D403F5">
        <w:rPr>
          <w:rFonts w:ascii="Times New Roman" w:hAnsi="Times New Roman" w:cs="Times New Roman"/>
          <w:sz w:val="18"/>
          <w:szCs w:val="18"/>
          <w:lang w:val="en-IE"/>
        </w:rPr>
        <w:t xml:space="preserve">. The Aquatic Animals Commission </w:t>
      </w:r>
      <w:r w:rsidR="000E2421" w:rsidRPr="00D403F5">
        <w:rPr>
          <w:rFonts w:ascii="Times New Roman" w:hAnsi="Times New Roman" w:cs="Times New Roman"/>
          <w:sz w:val="18"/>
          <w:szCs w:val="18"/>
          <w:lang w:val="en-IE"/>
        </w:rPr>
        <w:t xml:space="preserve">noted their appreciation for the contribution by the experts to draft the chapter. The Commission also </w:t>
      </w:r>
      <w:r w:rsidRPr="00D403F5">
        <w:rPr>
          <w:rFonts w:ascii="Times New Roman" w:hAnsi="Times New Roman" w:cs="Times New Roman"/>
          <w:sz w:val="18"/>
          <w:szCs w:val="18"/>
          <w:lang w:val="en-IE"/>
        </w:rPr>
        <w:t xml:space="preserve">reiterated that it would welcome applications from suitable laboratories to become a Reference Laboratory for </w:t>
      </w:r>
      <w:r w:rsidRPr="00D403F5">
        <w:rPr>
          <w:rFonts w:ascii="Times New Roman" w:hAnsi="Times New Roman" w:cs="Times New Roman"/>
          <w:i/>
          <w:sz w:val="18"/>
          <w:szCs w:val="18"/>
          <w:lang w:val="en-IE"/>
        </w:rPr>
        <w:t>B. salamandrivorans</w:t>
      </w:r>
      <w:r w:rsidR="00235E0F" w:rsidRPr="00D403F5">
        <w:rPr>
          <w:rFonts w:ascii="Times New Roman" w:hAnsi="Times New Roman" w:cs="Times New Roman"/>
          <w:i/>
          <w:sz w:val="18"/>
          <w:szCs w:val="18"/>
          <w:lang w:val="en-IE"/>
        </w:rPr>
        <w:t xml:space="preserve"> </w:t>
      </w:r>
      <w:r w:rsidR="00235E0F" w:rsidRPr="00D403F5">
        <w:rPr>
          <w:rFonts w:ascii="Times New Roman" w:hAnsi="Times New Roman" w:cs="Times New Roman"/>
          <w:iCs/>
          <w:sz w:val="18"/>
          <w:szCs w:val="18"/>
          <w:lang w:val="en-IE"/>
        </w:rPr>
        <w:t>(Bsal)</w:t>
      </w:r>
      <w:r w:rsidRPr="00D403F5">
        <w:rPr>
          <w:rFonts w:ascii="Times New Roman" w:hAnsi="Times New Roman" w:cs="Times New Roman"/>
          <w:i/>
          <w:sz w:val="18"/>
          <w:szCs w:val="18"/>
          <w:lang w:val="en-IE"/>
        </w:rPr>
        <w:t>.</w:t>
      </w:r>
    </w:p>
    <w:p w14:paraId="1DDAFCDF" w14:textId="1D430900" w:rsidR="00C26CFD" w:rsidRPr="00D403F5" w:rsidRDefault="000E2421" w:rsidP="001041C6">
      <w:pPr>
        <w:pStyle w:val="para11"/>
        <w:ind w:left="1559"/>
        <w:rPr>
          <w:sz w:val="18"/>
          <w:szCs w:val="18"/>
          <w:lang w:val="en-IE"/>
        </w:rPr>
      </w:pPr>
      <w:r w:rsidRPr="00D403F5">
        <w:rPr>
          <w:sz w:val="18"/>
          <w:szCs w:val="18"/>
          <w:lang w:val="en-IE"/>
        </w:rPr>
        <w:t xml:space="preserve">In response to </w:t>
      </w:r>
      <w:r w:rsidR="00C26CFD" w:rsidRPr="00D403F5">
        <w:rPr>
          <w:sz w:val="18"/>
          <w:szCs w:val="18"/>
          <w:lang w:val="en-IE"/>
        </w:rPr>
        <w:t xml:space="preserve">comments to </w:t>
      </w:r>
      <w:r w:rsidRPr="00D403F5">
        <w:rPr>
          <w:sz w:val="18"/>
          <w:szCs w:val="18"/>
          <w:lang w:val="en-IE"/>
        </w:rPr>
        <w:t xml:space="preserve">alter </w:t>
      </w:r>
      <w:r w:rsidR="00C26CFD" w:rsidRPr="00D403F5">
        <w:rPr>
          <w:sz w:val="18"/>
          <w:szCs w:val="18"/>
          <w:lang w:val="en-IE"/>
        </w:rPr>
        <w:t>the scope of the chapter</w:t>
      </w:r>
      <w:r w:rsidRPr="00D403F5">
        <w:rPr>
          <w:sz w:val="18"/>
          <w:szCs w:val="18"/>
          <w:lang w:val="en-IE"/>
        </w:rPr>
        <w:t>, t</w:t>
      </w:r>
      <w:r w:rsidR="00C26CFD" w:rsidRPr="00D403F5">
        <w:rPr>
          <w:sz w:val="18"/>
          <w:szCs w:val="18"/>
          <w:lang w:val="en-IE"/>
        </w:rPr>
        <w:t xml:space="preserve">he Commission reiterated that the scope of the chapter follows exactly that of the scope of the chapter in the </w:t>
      </w:r>
      <w:r w:rsidR="00C26CFD" w:rsidRPr="00D403F5">
        <w:rPr>
          <w:i/>
          <w:sz w:val="18"/>
          <w:szCs w:val="18"/>
          <w:lang w:val="en-IE"/>
        </w:rPr>
        <w:t>Aquatic Code</w:t>
      </w:r>
      <w:r w:rsidR="00C26CFD" w:rsidRPr="00D403F5">
        <w:rPr>
          <w:sz w:val="18"/>
          <w:szCs w:val="18"/>
          <w:lang w:val="en-IE"/>
        </w:rPr>
        <w:t xml:space="preserve">. The comments were taken into account in Section 2.1.1. </w:t>
      </w:r>
      <w:r w:rsidR="00C26CFD" w:rsidRPr="00D403F5">
        <w:rPr>
          <w:iCs/>
          <w:sz w:val="18"/>
          <w:szCs w:val="18"/>
        </w:rPr>
        <w:t>Aetiological agent.</w:t>
      </w:r>
      <w:r w:rsidR="00C26CFD" w:rsidRPr="00D403F5">
        <w:rPr>
          <w:sz w:val="18"/>
          <w:szCs w:val="18"/>
        </w:rPr>
        <w:t xml:space="preserve"> </w:t>
      </w:r>
    </w:p>
    <w:p w14:paraId="7523AB02" w14:textId="74AC184A" w:rsidR="00C26CFD" w:rsidRPr="00D403F5" w:rsidRDefault="00C26CFD" w:rsidP="001041C6">
      <w:pPr>
        <w:pStyle w:val="Web"/>
        <w:spacing w:before="0" w:beforeAutospacing="0" w:after="240" w:afterAutospacing="0"/>
        <w:ind w:left="1559"/>
        <w:jc w:val="both"/>
        <w:rPr>
          <w:rFonts w:eastAsiaTheme="minorHAnsi"/>
          <w:sz w:val="18"/>
          <w:szCs w:val="18"/>
          <w:lang w:val="en-IE"/>
        </w:rPr>
      </w:pPr>
      <w:r w:rsidRPr="00D403F5">
        <w:rPr>
          <w:rFonts w:eastAsiaTheme="minorHAnsi"/>
          <w:sz w:val="18"/>
          <w:szCs w:val="18"/>
          <w:lang w:val="en-IE"/>
        </w:rPr>
        <w:t>A proposal to include a sentence that desiccation is fatal to all Bsal life stages in Section</w:t>
      </w:r>
      <w:r w:rsidR="00413548" w:rsidRPr="00D403F5">
        <w:rPr>
          <w:rFonts w:eastAsiaTheme="minorHAnsi"/>
          <w:sz w:val="18"/>
          <w:szCs w:val="18"/>
          <w:lang w:val="en-IE"/>
        </w:rPr>
        <w:t> </w:t>
      </w:r>
      <w:r w:rsidRPr="00D403F5">
        <w:rPr>
          <w:rFonts w:eastAsiaTheme="minorHAnsi"/>
          <w:sz w:val="18"/>
          <w:szCs w:val="18"/>
          <w:lang w:val="en-IE"/>
        </w:rPr>
        <w:t xml:space="preserve">2.1.3. </w:t>
      </w:r>
      <w:r w:rsidRPr="00D403F5">
        <w:rPr>
          <w:rFonts w:eastAsiaTheme="minorHAnsi"/>
          <w:i/>
          <w:sz w:val="18"/>
          <w:szCs w:val="18"/>
          <w:lang w:val="en-IE"/>
        </w:rPr>
        <w:t>Survival and stability outside the host</w:t>
      </w:r>
      <w:r w:rsidRPr="00D403F5">
        <w:rPr>
          <w:rFonts w:eastAsiaTheme="minorHAnsi"/>
          <w:sz w:val="18"/>
          <w:szCs w:val="18"/>
          <w:lang w:val="en-IE"/>
        </w:rPr>
        <w:t xml:space="preserve"> was not accepted as the reference cited did not confirm such a statement.  </w:t>
      </w:r>
    </w:p>
    <w:p w14:paraId="74646E2D" w14:textId="2FBD0DC2" w:rsidR="00C26CFD" w:rsidRPr="00D403F5" w:rsidRDefault="00C26CFD" w:rsidP="001041C6">
      <w:pPr>
        <w:pStyle w:val="11"/>
        <w:ind w:left="1559" w:firstLine="0"/>
        <w:rPr>
          <w:b w:val="0"/>
          <w:sz w:val="18"/>
          <w:szCs w:val="18"/>
          <w:lang w:val="en-IE"/>
        </w:rPr>
      </w:pPr>
      <w:r w:rsidRPr="00D403F5">
        <w:rPr>
          <w:b w:val="0"/>
          <w:sz w:val="18"/>
          <w:szCs w:val="18"/>
          <w:lang w:val="en-IE"/>
        </w:rPr>
        <w:t xml:space="preserve">Comments on Section 2.2.1. </w:t>
      </w:r>
      <w:r w:rsidRPr="00D403F5">
        <w:rPr>
          <w:b w:val="0"/>
          <w:iCs/>
          <w:sz w:val="18"/>
          <w:szCs w:val="18"/>
          <w:lang w:val="en-IE"/>
        </w:rPr>
        <w:t>Susceptible host species</w:t>
      </w:r>
      <w:r w:rsidRPr="00D403F5">
        <w:rPr>
          <w:b w:val="0"/>
          <w:sz w:val="18"/>
          <w:szCs w:val="18"/>
          <w:lang w:val="en-IE"/>
        </w:rPr>
        <w:t xml:space="preserve"> will be addressed when the </w:t>
      </w:r>
      <w:r w:rsidRPr="00D403F5">
        <w:rPr>
          <w:b w:val="0"/>
          <w:i/>
          <w:sz w:val="18"/>
          <w:szCs w:val="18"/>
          <w:lang w:val="en-IE"/>
        </w:rPr>
        <w:t>ad hoc</w:t>
      </w:r>
      <w:r w:rsidRPr="00D403F5">
        <w:rPr>
          <w:b w:val="0"/>
          <w:sz w:val="18"/>
          <w:szCs w:val="18"/>
          <w:lang w:val="en-IE"/>
        </w:rPr>
        <w:t xml:space="preserve"> Group on susceptibility </w:t>
      </w:r>
      <w:r w:rsidRPr="00D403F5">
        <w:rPr>
          <w:b w:val="0"/>
          <w:bCs/>
          <w:sz w:val="18"/>
          <w:szCs w:val="18"/>
        </w:rPr>
        <w:t>of amphibian species to infection with OIE listed diseases is convened.</w:t>
      </w:r>
      <w:r w:rsidR="001D7CD4" w:rsidRPr="00D403F5">
        <w:rPr>
          <w:b w:val="0"/>
          <w:bCs/>
          <w:sz w:val="18"/>
          <w:szCs w:val="18"/>
        </w:rPr>
        <w:t xml:space="preserve"> Section 2.2.1</w:t>
      </w:r>
      <w:r w:rsidR="00BC2F28" w:rsidRPr="00D403F5">
        <w:rPr>
          <w:b w:val="0"/>
          <w:bCs/>
          <w:sz w:val="18"/>
          <w:szCs w:val="18"/>
        </w:rPr>
        <w:t>.</w:t>
      </w:r>
      <w:r w:rsidR="001D7CD4" w:rsidRPr="00D403F5">
        <w:rPr>
          <w:b w:val="0"/>
          <w:bCs/>
          <w:sz w:val="18"/>
          <w:szCs w:val="18"/>
        </w:rPr>
        <w:t xml:space="preserve"> will remain under study until the assessments can be completed. </w:t>
      </w:r>
    </w:p>
    <w:p w14:paraId="6A06D454" w14:textId="14345F93" w:rsidR="00A60806" w:rsidRPr="00D403F5" w:rsidRDefault="00A60806" w:rsidP="001041C6">
      <w:pPr>
        <w:pStyle w:val="11"/>
        <w:ind w:left="1559" w:firstLine="0"/>
        <w:rPr>
          <w:b w:val="0"/>
          <w:sz w:val="18"/>
          <w:szCs w:val="18"/>
          <w:lang w:val="en-IE"/>
        </w:rPr>
      </w:pPr>
      <w:r w:rsidRPr="00D403F5">
        <w:rPr>
          <w:b w:val="0"/>
          <w:sz w:val="18"/>
          <w:szCs w:val="18"/>
          <w:lang w:val="en-IE"/>
        </w:rPr>
        <w:t xml:space="preserve">The Commission did not agree to add a sentence on an Asian species of wild frog to Section </w:t>
      </w:r>
      <w:r w:rsidRPr="00D403F5">
        <w:rPr>
          <w:b w:val="0"/>
          <w:sz w:val="18"/>
          <w:szCs w:val="18"/>
        </w:rPr>
        <w:t xml:space="preserve">2.2.6. </w:t>
      </w:r>
      <w:r w:rsidRPr="00D403F5">
        <w:rPr>
          <w:b w:val="0"/>
          <w:i/>
          <w:sz w:val="18"/>
          <w:szCs w:val="18"/>
        </w:rPr>
        <w:t xml:space="preserve">Vectors </w:t>
      </w:r>
      <w:r w:rsidRPr="00D403F5">
        <w:rPr>
          <w:b w:val="0"/>
          <w:iCs/>
          <w:sz w:val="18"/>
          <w:szCs w:val="18"/>
        </w:rPr>
        <w:t>because</w:t>
      </w:r>
      <w:r w:rsidRPr="00D403F5">
        <w:rPr>
          <w:b w:val="0"/>
          <w:sz w:val="18"/>
          <w:szCs w:val="18"/>
        </w:rPr>
        <w:t xml:space="preserve"> the </w:t>
      </w:r>
      <w:r w:rsidRPr="00D403F5">
        <w:rPr>
          <w:b w:val="0"/>
          <w:sz w:val="18"/>
          <w:szCs w:val="18"/>
          <w:lang w:val="en-IE"/>
        </w:rPr>
        <w:t xml:space="preserve">wild frog species is likely to be susceptible species for </w:t>
      </w:r>
      <w:r w:rsidR="00066135" w:rsidRPr="00D403F5">
        <w:rPr>
          <w:b w:val="0"/>
          <w:sz w:val="18"/>
          <w:szCs w:val="18"/>
          <w:lang w:val="en-IE"/>
        </w:rPr>
        <w:t xml:space="preserve">infection with </w:t>
      </w:r>
      <w:r w:rsidRPr="00D403F5">
        <w:rPr>
          <w:b w:val="0"/>
          <w:sz w:val="18"/>
          <w:szCs w:val="18"/>
          <w:lang w:val="en-IE"/>
        </w:rPr>
        <w:t>Bsal, albeit one that does not necessarily show clinical signs</w:t>
      </w:r>
      <w:r w:rsidRPr="00D403F5">
        <w:rPr>
          <w:b w:val="0"/>
          <w:sz w:val="18"/>
          <w:szCs w:val="18"/>
        </w:rPr>
        <w:t>.</w:t>
      </w:r>
    </w:p>
    <w:p w14:paraId="75314967" w14:textId="6D4B1AF5" w:rsidR="00C26CFD" w:rsidRPr="00D403F5" w:rsidRDefault="00C26CFD" w:rsidP="001041C6">
      <w:pPr>
        <w:pStyle w:val="11"/>
        <w:ind w:left="1559" w:firstLine="0"/>
        <w:rPr>
          <w:b w:val="0"/>
          <w:sz w:val="18"/>
          <w:szCs w:val="18"/>
          <w:lang w:val="en-IE"/>
        </w:rPr>
      </w:pPr>
      <w:r w:rsidRPr="00D403F5">
        <w:rPr>
          <w:b w:val="0"/>
          <w:sz w:val="18"/>
          <w:szCs w:val="18"/>
          <w:lang w:val="en-IE"/>
        </w:rPr>
        <w:t xml:space="preserve">The Commission declined a request to add a </w:t>
      </w:r>
      <w:r w:rsidR="001D7CD4" w:rsidRPr="00D403F5">
        <w:rPr>
          <w:b w:val="0"/>
          <w:sz w:val="18"/>
          <w:szCs w:val="18"/>
          <w:lang w:val="en-IE"/>
        </w:rPr>
        <w:t xml:space="preserve">specific </w:t>
      </w:r>
      <w:r w:rsidRPr="00D403F5">
        <w:rPr>
          <w:b w:val="0"/>
          <w:sz w:val="18"/>
          <w:szCs w:val="18"/>
          <w:lang w:val="en-IE"/>
        </w:rPr>
        <w:t xml:space="preserve">reference to Section 2.3.1. </w:t>
      </w:r>
      <w:r w:rsidRPr="00D403F5">
        <w:rPr>
          <w:b w:val="0"/>
          <w:iCs/>
          <w:sz w:val="18"/>
          <w:szCs w:val="18"/>
          <w:lang w:val="en-IE"/>
        </w:rPr>
        <w:t>Mortality, morbidity and prevalence</w:t>
      </w:r>
      <w:r w:rsidRPr="00D403F5">
        <w:rPr>
          <w:b w:val="0"/>
          <w:i/>
          <w:sz w:val="18"/>
          <w:szCs w:val="18"/>
          <w:lang w:val="en-IE"/>
        </w:rPr>
        <w:t xml:space="preserve"> </w:t>
      </w:r>
      <w:r w:rsidRPr="00D403F5">
        <w:rPr>
          <w:b w:val="0"/>
          <w:sz w:val="18"/>
          <w:szCs w:val="18"/>
          <w:lang w:val="en-IE"/>
        </w:rPr>
        <w:t>as it</w:t>
      </w:r>
      <w:r w:rsidRPr="00D403F5">
        <w:rPr>
          <w:b w:val="0"/>
          <w:i/>
          <w:sz w:val="18"/>
          <w:szCs w:val="18"/>
          <w:lang w:val="en-IE"/>
        </w:rPr>
        <w:t xml:space="preserve"> </w:t>
      </w:r>
      <w:r w:rsidRPr="00D403F5">
        <w:rPr>
          <w:b w:val="0"/>
          <w:iCs/>
          <w:sz w:val="18"/>
          <w:szCs w:val="18"/>
          <w:lang w:val="en-IE"/>
        </w:rPr>
        <w:t xml:space="preserve">would not add any new information. </w:t>
      </w:r>
      <w:r w:rsidRPr="00D403F5">
        <w:rPr>
          <w:b w:val="0"/>
          <w:sz w:val="18"/>
          <w:szCs w:val="18"/>
          <w:lang w:val="en-IE"/>
        </w:rPr>
        <w:t xml:space="preserve">A proposal to mention heat treatment in the same section was also not accepted as this information is more appropriate in Section 2.4.7. </w:t>
      </w:r>
      <w:r w:rsidRPr="00D403F5">
        <w:rPr>
          <w:b w:val="0"/>
          <w:i/>
          <w:sz w:val="18"/>
          <w:szCs w:val="18"/>
          <w:lang w:val="en-IE"/>
        </w:rPr>
        <w:t>General husbandry</w:t>
      </w:r>
      <w:r w:rsidRPr="00D403F5">
        <w:rPr>
          <w:b w:val="0"/>
          <w:sz w:val="18"/>
          <w:szCs w:val="18"/>
          <w:lang w:val="en-IE"/>
        </w:rPr>
        <w:t xml:space="preserve">. </w:t>
      </w:r>
    </w:p>
    <w:p w14:paraId="7ED9F717" w14:textId="77777777" w:rsidR="00C26CFD" w:rsidRPr="00D403F5" w:rsidRDefault="00C26CFD" w:rsidP="001041C6">
      <w:pPr>
        <w:pStyle w:val="11"/>
        <w:ind w:left="1559" w:firstLine="0"/>
        <w:rPr>
          <w:b w:val="0"/>
          <w:sz w:val="18"/>
          <w:szCs w:val="18"/>
        </w:rPr>
      </w:pPr>
      <w:r w:rsidRPr="00D403F5">
        <w:rPr>
          <w:b w:val="0"/>
          <w:sz w:val="18"/>
          <w:szCs w:val="18"/>
          <w:lang w:val="en-IE"/>
        </w:rPr>
        <w:t xml:space="preserve">The Commission agreed to delete the sentence in Section 2.4.4. </w:t>
      </w:r>
      <w:r w:rsidRPr="00D403F5">
        <w:rPr>
          <w:b w:val="0"/>
          <w:i/>
          <w:sz w:val="18"/>
          <w:szCs w:val="18"/>
        </w:rPr>
        <w:t>Breeding resistant strains</w:t>
      </w:r>
      <w:r w:rsidRPr="00D403F5">
        <w:rPr>
          <w:b w:val="0"/>
          <w:sz w:val="18"/>
          <w:szCs w:val="18"/>
        </w:rPr>
        <w:t xml:space="preserve"> and replace with a statement that there is no information available.</w:t>
      </w:r>
    </w:p>
    <w:p w14:paraId="0AE9252B" w14:textId="77777777" w:rsidR="00C26CFD" w:rsidRPr="00D403F5" w:rsidRDefault="00C26CFD" w:rsidP="001041C6">
      <w:pPr>
        <w:pStyle w:val="para11"/>
        <w:ind w:left="1559"/>
        <w:rPr>
          <w:sz w:val="18"/>
          <w:szCs w:val="18"/>
          <w:lang w:bidi="en-US"/>
        </w:rPr>
      </w:pPr>
      <w:r w:rsidRPr="00D403F5">
        <w:rPr>
          <w:sz w:val="18"/>
          <w:szCs w:val="18"/>
          <w:lang w:val="en-IE"/>
        </w:rPr>
        <w:t xml:space="preserve">The Commission </w:t>
      </w:r>
      <w:r w:rsidRPr="00D403F5">
        <w:rPr>
          <w:sz w:val="18"/>
          <w:szCs w:val="18"/>
          <w:lang w:bidi="en-US"/>
        </w:rPr>
        <w:t xml:space="preserve">agreed to keep the text in Section 3.6. </w:t>
      </w:r>
      <w:r w:rsidRPr="00D403F5">
        <w:rPr>
          <w:i/>
          <w:sz w:val="18"/>
          <w:szCs w:val="18"/>
          <w:lang w:bidi="en-US"/>
        </w:rPr>
        <w:t xml:space="preserve">Pooling of samples </w:t>
      </w:r>
      <w:r w:rsidRPr="00D403F5">
        <w:rPr>
          <w:sz w:val="18"/>
          <w:szCs w:val="18"/>
          <w:lang w:bidi="en-US"/>
        </w:rPr>
        <w:t>noting that the information on pooling is confirmed by the cited reference.</w:t>
      </w:r>
    </w:p>
    <w:p w14:paraId="5D545330" w14:textId="023B3B7A" w:rsidR="00A60806" w:rsidRPr="00D403F5" w:rsidRDefault="00A60806" w:rsidP="001041C6">
      <w:pPr>
        <w:pStyle w:val="11"/>
        <w:ind w:left="1559" w:firstLine="0"/>
        <w:rPr>
          <w:b w:val="0"/>
          <w:bCs/>
          <w:sz w:val="18"/>
          <w:szCs w:val="18"/>
          <w:lang w:val="en-IE" w:bidi="en-US"/>
        </w:rPr>
      </w:pPr>
      <w:r w:rsidRPr="00D403F5">
        <w:rPr>
          <w:b w:val="0"/>
          <w:sz w:val="18"/>
          <w:szCs w:val="18"/>
          <w:lang w:bidi="en-US"/>
        </w:rPr>
        <w:t xml:space="preserve">In response to a comment and to be consistent with Section 6 </w:t>
      </w:r>
      <w:r w:rsidRPr="00D403F5">
        <w:rPr>
          <w:b w:val="0"/>
          <w:i/>
          <w:sz w:val="18"/>
          <w:szCs w:val="18"/>
        </w:rPr>
        <w:t>Corroborative diagnostic criteria</w:t>
      </w:r>
      <w:r w:rsidRPr="00D403F5">
        <w:rPr>
          <w:b w:val="0"/>
          <w:sz w:val="18"/>
          <w:szCs w:val="18"/>
          <w:lang w:bidi="en-US"/>
        </w:rPr>
        <w:t xml:space="preserve">, the </w:t>
      </w:r>
      <w:r w:rsidRPr="00D403F5">
        <w:rPr>
          <w:b w:val="0"/>
          <w:sz w:val="18"/>
          <w:szCs w:val="18"/>
          <w:lang w:val="en-IE"/>
        </w:rPr>
        <w:t xml:space="preserve">Commission </w:t>
      </w:r>
      <w:r w:rsidR="005865CE" w:rsidRPr="00D403F5">
        <w:rPr>
          <w:b w:val="0"/>
          <w:sz w:val="18"/>
          <w:szCs w:val="18"/>
          <w:lang w:bidi="en-US"/>
        </w:rPr>
        <w:t xml:space="preserve">considered that </w:t>
      </w:r>
      <w:r w:rsidRPr="00D403F5">
        <w:rPr>
          <w:b w:val="0"/>
          <w:sz w:val="18"/>
          <w:szCs w:val="18"/>
          <w:lang w:bidi="en-US"/>
        </w:rPr>
        <w:t xml:space="preserve">conventional PCR, amplicon sequencing, </w:t>
      </w:r>
      <w:r w:rsidRPr="00D403F5">
        <w:rPr>
          <w:b w:val="0"/>
          <w:i/>
          <w:sz w:val="18"/>
          <w:szCs w:val="18"/>
          <w:lang w:bidi="en-US"/>
        </w:rPr>
        <w:t>in-situ</w:t>
      </w:r>
      <w:r w:rsidRPr="00D403F5">
        <w:rPr>
          <w:b w:val="0"/>
          <w:sz w:val="18"/>
          <w:szCs w:val="18"/>
          <w:lang w:bidi="en-US"/>
        </w:rPr>
        <w:t xml:space="preserve"> hybridisation, LAMP and immunohistochemistry </w:t>
      </w:r>
      <w:r w:rsidR="005865CE" w:rsidRPr="00D403F5">
        <w:rPr>
          <w:b w:val="0"/>
          <w:sz w:val="18"/>
          <w:szCs w:val="18"/>
          <w:lang w:bidi="en-US"/>
        </w:rPr>
        <w:t xml:space="preserve">should not be included in </w:t>
      </w:r>
      <w:r w:rsidRPr="00D403F5">
        <w:rPr>
          <w:b w:val="0"/>
          <w:sz w:val="18"/>
          <w:szCs w:val="18"/>
          <w:lang w:bidi="en-US"/>
        </w:rPr>
        <w:t xml:space="preserve">Table 4.1 </w:t>
      </w:r>
      <w:r w:rsidRPr="00D403F5">
        <w:rPr>
          <w:b w:val="0"/>
          <w:bCs/>
          <w:i/>
          <w:sz w:val="18"/>
          <w:szCs w:val="18"/>
          <w:lang w:val="en-IE" w:bidi="en-US"/>
        </w:rPr>
        <w:t xml:space="preserve">OIE recommended diagnostic methods and their level of validation for surveillance of healthy animals and investigation of clinically affected animals </w:t>
      </w:r>
      <w:r w:rsidR="0066583B" w:rsidRPr="00D403F5">
        <w:rPr>
          <w:b w:val="0"/>
          <w:sz w:val="18"/>
          <w:szCs w:val="18"/>
          <w:lang w:val="en-GB"/>
        </w:rPr>
        <w:t>due to insufficient information on their suitability</w:t>
      </w:r>
      <w:r w:rsidRPr="00D403F5">
        <w:rPr>
          <w:b w:val="0"/>
          <w:bCs/>
          <w:i/>
          <w:sz w:val="18"/>
          <w:szCs w:val="18"/>
          <w:lang w:val="en-IE" w:bidi="en-US"/>
        </w:rPr>
        <w:t>.</w:t>
      </w:r>
      <w:r w:rsidR="0066583B" w:rsidRPr="00D403F5">
        <w:rPr>
          <w:b w:val="0"/>
          <w:bCs/>
          <w:i/>
          <w:sz w:val="18"/>
          <w:szCs w:val="18"/>
          <w:lang w:val="en-IE" w:bidi="en-US"/>
        </w:rPr>
        <w:t xml:space="preserve"> </w:t>
      </w:r>
      <w:r w:rsidR="0066583B" w:rsidRPr="00D403F5">
        <w:rPr>
          <w:b w:val="0"/>
          <w:bCs/>
          <w:sz w:val="18"/>
          <w:szCs w:val="18"/>
          <w:lang w:val="en-IE" w:bidi="en-US"/>
        </w:rPr>
        <w:t>Recommendations for</w:t>
      </w:r>
      <w:r w:rsidR="0066583B" w:rsidRPr="00D403F5">
        <w:rPr>
          <w:b w:val="0"/>
          <w:bCs/>
          <w:i/>
          <w:sz w:val="18"/>
          <w:szCs w:val="18"/>
          <w:lang w:val="en-IE" w:bidi="en-US"/>
        </w:rPr>
        <w:t xml:space="preserve"> </w:t>
      </w:r>
      <w:r w:rsidR="0066583B" w:rsidRPr="00D403F5">
        <w:rPr>
          <w:b w:val="0"/>
          <w:bCs/>
          <w:sz w:val="18"/>
          <w:szCs w:val="18"/>
          <w:lang w:val="en-IE" w:bidi="en-US"/>
        </w:rPr>
        <w:t>w</w:t>
      </w:r>
      <w:r w:rsidRPr="00D403F5">
        <w:rPr>
          <w:b w:val="0"/>
          <w:bCs/>
          <w:sz w:val="18"/>
          <w:szCs w:val="18"/>
          <w:lang w:val="en-IE" w:bidi="en-US"/>
        </w:rPr>
        <w:t xml:space="preserve">et mounts, histopathology and lateral flow assay were </w:t>
      </w:r>
      <w:r w:rsidR="0066583B" w:rsidRPr="00D403F5">
        <w:rPr>
          <w:b w:val="0"/>
          <w:bCs/>
          <w:sz w:val="18"/>
          <w:szCs w:val="18"/>
          <w:lang w:val="en-IE" w:bidi="en-US"/>
        </w:rPr>
        <w:t>removed</w:t>
      </w:r>
      <w:r w:rsidRPr="00D403F5">
        <w:rPr>
          <w:b w:val="0"/>
          <w:bCs/>
          <w:sz w:val="18"/>
          <w:szCs w:val="18"/>
          <w:lang w:val="en-IE" w:bidi="en-US"/>
        </w:rPr>
        <w:t xml:space="preserve"> from column C: </w:t>
      </w:r>
      <w:r w:rsidRPr="00D403F5">
        <w:rPr>
          <w:b w:val="0"/>
          <w:i/>
          <w:sz w:val="18"/>
          <w:szCs w:val="18"/>
          <w:lang w:val="en-GB"/>
        </w:rPr>
        <w:t>Confirmatory diagnosis of a suspect result from surveillance or presumptive diagnosis</w:t>
      </w:r>
      <w:r w:rsidRPr="00D403F5">
        <w:rPr>
          <w:b w:val="0"/>
          <w:iCs/>
          <w:sz w:val="18"/>
          <w:szCs w:val="18"/>
          <w:lang w:val="en-GB"/>
        </w:rPr>
        <w:t xml:space="preserve"> as the text does not support their use for this purpose</w:t>
      </w:r>
      <w:r w:rsidRPr="00D403F5">
        <w:rPr>
          <w:b w:val="0"/>
          <w:bCs/>
          <w:sz w:val="18"/>
          <w:szCs w:val="18"/>
          <w:lang w:val="en-IE" w:bidi="en-US"/>
        </w:rPr>
        <w:t>. Section 6 was amended accordingly.</w:t>
      </w:r>
    </w:p>
    <w:p w14:paraId="070843F7" w14:textId="77777777" w:rsidR="00A60806" w:rsidRPr="00D403F5" w:rsidRDefault="00A60806" w:rsidP="001041C6">
      <w:pPr>
        <w:pStyle w:val="11"/>
        <w:ind w:left="1559" w:firstLine="0"/>
        <w:rPr>
          <w:b w:val="0"/>
          <w:sz w:val="18"/>
          <w:szCs w:val="18"/>
          <w:lang w:val="en-GB"/>
        </w:rPr>
      </w:pPr>
      <w:r w:rsidRPr="00D403F5">
        <w:rPr>
          <w:b w:val="0"/>
          <w:sz w:val="18"/>
          <w:szCs w:val="18"/>
          <w:lang w:val="en-GB"/>
        </w:rPr>
        <w:t xml:space="preserve">The Commission did not agree with a request to add </w:t>
      </w:r>
      <w:r w:rsidRPr="00D403F5">
        <w:rPr>
          <w:b w:val="0"/>
          <w:sz w:val="18"/>
          <w:szCs w:val="18"/>
        </w:rPr>
        <w:t>a sentence to the description of the real-time PCR stating that sensitivity of the test is lower for trade or field purposes, because the cited reference did not support this conclusion.</w:t>
      </w:r>
    </w:p>
    <w:p w14:paraId="76132A92" w14:textId="10121687" w:rsidR="00C26CFD" w:rsidRPr="00D403F5" w:rsidRDefault="00C26CFD" w:rsidP="001041C6">
      <w:pPr>
        <w:pStyle w:val="11"/>
        <w:ind w:left="1559" w:firstLine="0"/>
        <w:rPr>
          <w:b w:val="0"/>
          <w:sz w:val="18"/>
          <w:szCs w:val="18"/>
          <w:lang w:val="en-IE"/>
        </w:rPr>
      </w:pPr>
      <w:r w:rsidRPr="00D403F5">
        <w:rPr>
          <w:b w:val="0"/>
          <w:sz w:val="18"/>
          <w:szCs w:val="18"/>
          <w:lang w:val="en-IE"/>
        </w:rPr>
        <w:t xml:space="preserve">The </w:t>
      </w:r>
      <w:r w:rsidRPr="00D403F5">
        <w:rPr>
          <w:b w:val="0"/>
          <w:sz w:val="18"/>
          <w:szCs w:val="18"/>
          <w:lang w:val="en-GB"/>
        </w:rPr>
        <w:t xml:space="preserve">Commission </w:t>
      </w:r>
      <w:r w:rsidRPr="00D403F5">
        <w:rPr>
          <w:b w:val="0"/>
          <w:sz w:val="18"/>
          <w:szCs w:val="18"/>
          <w:lang w:val="en-IE"/>
        </w:rPr>
        <w:t xml:space="preserve">acknowledged </w:t>
      </w:r>
      <w:r w:rsidR="0066583B" w:rsidRPr="00D403F5">
        <w:rPr>
          <w:b w:val="0"/>
          <w:sz w:val="18"/>
          <w:szCs w:val="18"/>
          <w:lang w:val="en-IE"/>
        </w:rPr>
        <w:t xml:space="preserve">a </w:t>
      </w:r>
      <w:r w:rsidRPr="00D403F5">
        <w:rPr>
          <w:b w:val="0"/>
          <w:sz w:val="18"/>
          <w:szCs w:val="18"/>
          <w:lang w:val="en-IE"/>
        </w:rPr>
        <w:t xml:space="preserve">comment that the chapter includes a number of references to </w:t>
      </w:r>
      <w:r w:rsidRPr="00D403F5">
        <w:rPr>
          <w:b w:val="0"/>
          <w:sz w:val="18"/>
          <w:szCs w:val="18"/>
        </w:rPr>
        <w:t xml:space="preserve">trademarked reagents and commercially available laboratory kits. The Commisson will include in the instructions to </w:t>
      </w:r>
      <w:r w:rsidR="00A60806" w:rsidRPr="00D403F5">
        <w:rPr>
          <w:b w:val="0"/>
          <w:sz w:val="18"/>
          <w:szCs w:val="18"/>
        </w:rPr>
        <w:t xml:space="preserve">experts </w:t>
      </w:r>
      <w:r w:rsidR="0066583B" w:rsidRPr="00D403F5">
        <w:rPr>
          <w:b w:val="0"/>
          <w:sz w:val="18"/>
          <w:szCs w:val="18"/>
        </w:rPr>
        <w:t xml:space="preserve">a </w:t>
      </w:r>
      <w:r w:rsidRPr="00D403F5">
        <w:rPr>
          <w:b w:val="0"/>
          <w:sz w:val="18"/>
          <w:szCs w:val="18"/>
        </w:rPr>
        <w:t xml:space="preserve">request to avoid </w:t>
      </w:r>
      <w:r w:rsidRPr="00D403F5">
        <w:rPr>
          <w:b w:val="0"/>
          <w:sz w:val="18"/>
          <w:szCs w:val="18"/>
          <w:lang w:val="en-IE"/>
        </w:rPr>
        <w:t>registered or trademarked proprietary names.</w:t>
      </w:r>
    </w:p>
    <w:p w14:paraId="58552051" w14:textId="4D108BFC" w:rsidR="00C26CFD" w:rsidRPr="00D403F5" w:rsidRDefault="00C26CFD" w:rsidP="001041C6">
      <w:pPr>
        <w:pStyle w:val="para11"/>
        <w:ind w:left="1559"/>
        <w:rPr>
          <w:rFonts w:eastAsiaTheme="minorHAnsi"/>
          <w:sz w:val="18"/>
          <w:szCs w:val="18"/>
          <w:lang w:val="en-IE"/>
        </w:rPr>
      </w:pPr>
      <w:r w:rsidRPr="00D403F5">
        <w:rPr>
          <w:rFonts w:eastAsiaTheme="minorHAnsi"/>
          <w:sz w:val="18"/>
          <w:szCs w:val="18"/>
          <w:lang w:val="en-IE"/>
        </w:rPr>
        <w:t xml:space="preserve">Edits presented in </w:t>
      </w:r>
      <w:r w:rsidRPr="00D403F5">
        <w:rPr>
          <w:rFonts w:eastAsiaTheme="minorHAnsi"/>
          <w:sz w:val="18"/>
          <w:szCs w:val="18"/>
          <w:u w:val="single"/>
          <w:lang w:val="en-IE"/>
        </w:rPr>
        <w:t xml:space="preserve">Annex </w:t>
      </w:r>
      <w:r w:rsidR="0075280E" w:rsidRPr="00D403F5">
        <w:rPr>
          <w:rFonts w:eastAsiaTheme="minorHAnsi"/>
          <w:sz w:val="18"/>
          <w:szCs w:val="18"/>
          <w:u w:val="single"/>
          <w:lang w:val="en-IE"/>
        </w:rPr>
        <w:t>11</w:t>
      </w:r>
      <w:r w:rsidR="0075280E" w:rsidRPr="00D403F5">
        <w:rPr>
          <w:sz w:val="18"/>
          <w:szCs w:val="18"/>
          <w:lang w:val="en-IE"/>
        </w:rPr>
        <w:t xml:space="preserve"> </w:t>
      </w:r>
      <w:r w:rsidRPr="00D403F5">
        <w:rPr>
          <w:sz w:val="18"/>
          <w:szCs w:val="18"/>
          <w:lang w:val="en-IE"/>
        </w:rPr>
        <w:t xml:space="preserve">are those made against the draft version of this new chapter provided for comment in February 2019. </w:t>
      </w:r>
    </w:p>
    <w:p w14:paraId="54C5B83D" w14:textId="1229EB8F" w:rsidR="00C26CFD" w:rsidRPr="00D403F5" w:rsidRDefault="00C26CFD" w:rsidP="001041C6">
      <w:pPr>
        <w:pStyle w:val="para11"/>
        <w:ind w:left="1559"/>
        <w:rPr>
          <w:rFonts w:eastAsiaTheme="minorHAnsi"/>
          <w:sz w:val="18"/>
          <w:szCs w:val="18"/>
          <w:lang w:val="en-IE"/>
        </w:rPr>
      </w:pPr>
      <w:r w:rsidRPr="00D403F5">
        <w:rPr>
          <w:rFonts w:eastAsiaTheme="minorHAnsi"/>
          <w:sz w:val="18"/>
          <w:szCs w:val="18"/>
          <w:lang w:val="en-IE"/>
        </w:rPr>
        <w:t xml:space="preserve">The revised new </w:t>
      </w:r>
      <w:r w:rsidRPr="00D403F5">
        <w:rPr>
          <w:sz w:val="18"/>
          <w:szCs w:val="18"/>
          <w:lang w:val="en-IE"/>
        </w:rPr>
        <w:t xml:space="preserve">Chapter </w:t>
      </w:r>
      <w:r w:rsidRPr="00D403F5">
        <w:rPr>
          <w:rFonts w:eastAsiaTheme="minorHAnsi"/>
          <w:sz w:val="18"/>
          <w:szCs w:val="18"/>
          <w:lang w:val="en-IE"/>
        </w:rPr>
        <w:t xml:space="preserve">2.1.3 </w:t>
      </w:r>
      <w:r w:rsidRPr="00D403F5">
        <w:rPr>
          <w:rFonts w:eastAsia="Arial"/>
          <w:bCs/>
          <w:sz w:val="18"/>
          <w:szCs w:val="18"/>
          <w:lang w:val="en-IE"/>
        </w:rPr>
        <w:t xml:space="preserve">Infection with </w:t>
      </w:r>
      <w:r w:rsidRPr="00D403F5">
        <w:rPr>
          <w:rFonts w:eastAsia="Arial Unicode MS"/>
          <w:bCs/>
          <w:i/>
          <w:color w:val="000000"/>
          <w:sz w:val="18"/>
          <w:szCs w:val="18"/>
          <w:u w:color="000000"/>
          <w:bdr w:val="nil"/>
          <w:lang w:val="en-IE" w:eastAsia="en-GB"/>
        </w:rPr>
        <w:t>Batrachochytrium salamandrivorans</w:t>
      </w:r>
      <w:r w:rsidRPr="00D403F5">
        <w:rPr>
          <w:rFonts w:eastAsiaTheme="minorHAnsi"/>
          <w:sz w:val="18"/>
          <w:szCs w:val="18"/>
          <w:lang w:val="en-IE"/>
        </w:rPr>
        <w:t xml:space="preserve"> is </w:t>
      </w:r>
      <w:r w:rsidRPr="00D403F5">
        <w:rPr>
          <w:sz w:val="18"/>
          <w:szCs w:val="18"/>
          <w:lang w:val="en-IE" w:eastAsia="en-GB"/>
        </w:rPr>
        <w:t xml:space="preserve">presented </w:t>
      </w:r>
      <w:r w:rsidRPr="00D403F5">
        <w:rPr>
          <w:rFonts w:eastAsiaTheme="minorHAnsi"/>
          <w:sz w:val="18"/>
          <w:szCs w:val="18"/>
          <w:lang w:val="en-IE"/>
        </w:rPr>
        <w:t xml:space="preserve">as </w:t>
      </w:r>
      <w:r w:rsidRPr="00D403F5">
        <w:rPr>
          <w:rFonts w:eastAsiaTheme="minorHAnsi"/>
          <w:bCs/>
          <w:sz w:val="18"/>
          <w:szCs w:val="18"/>
          <w:u w:val="single"/>
          <w:lang w:val="en-IE"/>
        </w:rPr>
        <w:t>Annex </w:t>
      </w:r>
      <w:r w:rsidR="0075280E" w:rsidRPr="00D403F5">
        <w:rPr>
          <w:rFonts w:eastAsiaTheme="minorHAnsi"/>
          <w:bCs/>
          <w:sz w:val="18"/>
          <w:szCs w:val="18"/>
          <w:u w:val="single"/>
          <w:lang w:val="en-IE"/>
        </w:rPr>
        <w:t>11</w:t>
      </w:r>
      <w:r w:rsidR="0075280E" w:rsidRPr="00D403F5">
        <w:rPr>
          <w:rFonts w:eastAsiaTheme="minorHAnsi"/>
          <w:sz w:val="18"/>
          <w:szCs w:val="18"/>
          <w:lang w:val="en-IE"/>
        </w:rPr>
        <w:t xml:space="preserve"> </w:t>
      </w:r>
      <w:r w:rsidRPr="00D403F5">
        <w:rPr>
          <w:rFonts w:eastAsiaTheme="minorHAnsi"/>
          <w:sz w:val="18"/>
          <w:szCs w:val="18"/>
          <w:lang w:val="en-IE"/>
        </w:rPr>
        <w:t xml:space="preserve">for Member comments and </w:t>
      </w:r>
      <w:r w:rsidR="0066583B" w:rsidRPr="00D403F5">
        <w:rPr>
          <w:rFonts w:eastAsiaTheme="minorHAnsi"/>
          <w:sz w:val="18"/>
          <w:szCs w:val="18"/>
          <w:lang w:val="en-IE"/>
        </w:rPr>
        <w:t xml:space="preserve">is intended to </w:t>
      </w:r>
      <w:r w:rsidRPr="00D403F5">
        <w:rPr>
          <w:rFonts w:eastAsiaTheme="minorHAnsi"/>
          <w:sz w:val="18"/>
          <w:szCs w:val="18"/>
          <w:lang w:val="en-IE"/>
        </w:rPr>
        <w:t>be proposed for adoption at the 88</w:t>
      </w:r>
      <w:r w:rsidRPr="00D403F5">
        <w:rPr>
          <w:rFonts w:eastAsiaTheme="minorHAnsi"/>
          <w:sz w:val="18"/>
          <w:szCs w:val="18"/>
          <w:vertAlign w:val="superscript"/>
          <w:lang w:val="en-IE"/>
        </w:rPr>
        <w:t>th</w:t>
      </w:r>
      <w:r w:rsidR="004F0DF6" w:rsidRPr="00D403F5">
        <w:rPr>
          <w:rFonts w:eastAsiaTheme="minorHAnsi"/>
          <w:sz w:val="18"/>
          <w:szCs w:val="18"/>
          <w:lang w:val="en-IE"/>
        </w:rPr>
        <w:t xml:space="preserve"> </w:t>
      </w:r>
      <w:r w:rsidRPr="00D403F5">
        <w:rPr>
          <w:rFonts w:eastAsiaTheme="minorHAnsi"/>
          <w:sz w:val="18"/>
          <w:szCs w:val="18"/>
          <w:lang w:val="en-IE"/>
        </w:rPr>
        <w:t xml:space="preserve">General Session in May 2020.  </w:t>
      </w:r>
    </w:p>
    <w:p w14:paraId="7639A137" w14:textId="6D1B66A6" w:rsidR="006A01BB" w:rsidRPr="00D403F5" w:rsidRDefault="00E17EAD" w:rsidP="001041C6">
      <w:pPr>
        <w:pStyle w:val="Web"/>
        <w:spacing w:before="0" w:beforeAutospacing="0" w:after="240" w:afterAutospacing="0"/>
        <w:ind w:left="1559" w:hanging="567"/>
        <w:jc w:val="both"/>
        <w:rPr>
          <w:rFonts w:eastAsia="Arial"/>
          <w:b/>
          <w:sz w:val="18"/>
          <w:szCs w:val="18"/>
          <w:lang w:val="en-IE"/>
        </w:rPr>
      </w:pPr>
      <w:r w:rsidRPr="00D403F5">
        <w:rPr>
          <w:rFonts w:eastAsia="Arial"/>
          <w:b/>
          <w:sz w:val="18"/>
          <w:szCs w:val="18"/>
          <w:lang w:val="en-IE"/>
        </w:rPr>
        <w:t>6.8.3.</w:t>
      </w:r>
      <w:r w:rsidR="006A01BB" w:rsidRPr="00D403F5">
        <w:rPr>
          <w:rFonts w:eastAsia="Arial"/>
          <w:b/>
          <w:sz w:val="18"/>
          <w:szCs w:val="18"/>
          <w:lang w:val="en-IE"/>
        </w:rPr>
        <w:tab/>
        <w:t>Chapter 2.3.4. Infection with infectious haematopoietic necrosis virus</w:t>
      </w:r>
    </w:p>
    <w:p w14:paraId="1BEAA5AE" w14:textId="77777777" w:rsidR="006A01BB" w:rsidRPr="00D403F5" w:rsidRDefault="006A01BB" w:rsidP="001041C6">
      <w:pPr>
        <w:pStyle w:val="para11"/>
        <w:ind w:left="1560"/>
        <w:rPr>
          <w:rFonts w:eastAsia="Arial"/>
          <w:sz w:val="18"/>
          <w:szCs w:val="18"/>
        </w:rPr>
      </w:pPr>
      <w:r w:rsidRPr="00D403F5">
        <w:rPr>
          <w:sz w:val="18"/>
          <w:szCs w:val="18"/>
        </w:rPr>
        <w:t xml:space="preserve">The Commission reviewed Chapter 2.3.4. </w:t>
      </w:r>
      <w:r w:rsidRPr="00D403F5">
        <w:rPr>
          <w:rFonts w:eastAsia="Arial"/>
          <w:i/>
          <w:sz w:val="18"/>
          <w:szCs w:val="18"/>
        </w:rPr>
        <w:t xml:space="preserve">Infection with </w:t>
      </w:r>
      <w:r w:rsidRPr="00D403F5">
        <w:rPr>
          <w:rFonts w:eastAsia="Arial"/>
          <w:i/>
          <w:sz w:val="18"/>
          <w:szCs w:val="18"/>
          <w:lang w:val="en-IE"/>
        </w:rPr>
        <w:t>infectious haematopoietic necrosis</w:t>
      </w:r>
      <w:r w:rsidRPr="00D403F5">
        <w:rPr>
          <w:rFonts w:eastAsia="Arial"/>
          <w:sz w:val="18"/>
          <w:szCs w:val="18"/>
        </w:rPr>
        <w:t xml:space="preserve">, which had been updated </w:t>
      </w:r>
      <w:r w:rsidRPr="00D403F5">
        <w:rPr>
          <w:sz w:val="18"/>
          <w:szCs w:val="18"/>
          <w:lang w:val="en-IE"/>
        </w:rPr>
        <w:t xml:space="preserve">by the OIE Reference Laboratory experts </w:t>
      </w:r>
      <w:r w:rsidRPr="00D403F5">
        <w:rPr>
          <w:rFonts w:eastAsia="Arial"/>
          <w:sz w:val="18"/>
          <w:szCs w:val="18"/>
        </w:rPr>
        <w:t xml:space="preserve">and reformatted using the new disease chapter template. The main amendments include updated lists of susceptible host species and species with incomplete evidence for susceptibility in accordance with the findings of the </w:t>
      </w:r>
      <w:r w:rsidRPr="00D403F5">
        <w:rPr>
          <w:bCs/>
          <w:i/>
          <w:iCs/>
          <w:sz w:val="18"/>
          <w:szCs w:val="18"/>
          <w:lang w:val="en-IE"/>
        </w:rPr>
        <w:t xml:space="preserve">ad hoc </w:t>
      </w:r>
      <w:r w:rsidRPr="00D403F5">
        <w:rPr>
          <w:bCs/>
          <w:sz w:val="18"/>
          <w:szCs w:val="18"/>
          <w:lang w:val="en-IE"/>
        </w:rPr>
        <w:t>Group on susceptibility of fish species to infection with OIE listed diseases (</w:t>
      </w:r>
      <w:hyperlink r:id="rId17" w:history="1">
        <w:r w:rsidRPr="00D403F5">
          <w:rPr>
            <w:rStyle w:val="aa"/>
            <w:bCs/>
            <w:sz w:val="18"/>
            <w:szCs w:val="18"/>
            <w:lang w:val="en-IE"/>
          </w:rPr>
          <w:t>https://www.oie.int/en/standard-setting/specialists-commissions-working-ad-hoc-groups/ad-hoc-groups-reports/</w:t>
        </w:r>
      </w:hyperlink>
      <w:r w:rsidRPr="00D403F5">
        <w:rPr>
          <w:bCs/>
          <w:sz w:val="18"/>
          <w:szCs w:val="18"/>
          <w:lang w:val="en-IE"/>
        </w:rPr>
        <w:t xml:space="preserve">); updated protocols for the real-time and conventional PCR; and revised definitions of suspect and confirmed case in apparently healthy and clinically affected animals. </w:t>
      </w:r>
    </w:p>
    <w:p w14:paraId="13E2D0DE" w14:textId="12C46233" w:rsidR="006A01BB" w:rsidRPr="00D403F5" w:rsidRDefault="006A01BB" w:rsidP="001041C6">
      <w:pPr>
        <w:spacing w:after="240" w:line="240" w:lineRule="auto"/>
        <w:ind w:left="1560"/>
        <w:jc w:val="both"/>
        <w:rPr>
          <w:rFonts w:ascii="Times New Roman" w:hAnsi="Times New Roman" w:cs="Times New Roman"/>
          <w:sz w:val="18"/>
          <w:szCs w:val="18"/>
          <w:lang w:val="en-IE"/>
        </w:rPr>
      </w:pPr>
      <w:r w:rsidRPr="00D403F5">
        <w:rPr>
          <w:rFonts w:ascii="Times New Roman" w:hAnsi="Times New Roman" w:cs="Times New Roman"/>
          <w:sz w:val="18"/>
          <w:szCs w:val="18"/>
          <w:lang w:val="en-IE"/>
        </w:rPr>
        <w:t>As described above</w:t>
      </w:r>
      <w:r w:rsidR="000B185E" w:rsidRPr="00D403F5">
        <w:rPr>
          <w:rFonts w:ascii="Times New Roman" w:hAnsi="Times New Roman" w:cs="Times New Roman"/>
          <w:sz w:val="18"/>
          <w:szCs w:val="18"/>
          <w:lang w:val="en-IE"/>
        </w:rPr>
        <w:t xml:space="preserve"> at item 6.</w:t>
      </w:r>
      <w:r w:rsidR="00BC2F28" w:rsidRPr="00D403F5">
        <w:rPr>
          <w:rFonts w:ascii="Times New Roman" w:hAnsi="Times New Roman" w:cs="Times New Roman"/>
          <w:sz w:val="18"/>
          <w:szCs w:val="18"/>
          <w:lang w:val="en-IE"/>
        </w:rPr>
        <w:t>8</w:t>
      </w:r>
      <w:r w:rsidRPr="00D403F5">
        <w:rPr>
          <w:rFonts w:ascii="Times New Roman" w:hAnsi="Times New Roman" w:cs="Times New Roman"/>
          <w:sz w:val="18"/>
          <w:szCs w:val="18"/>
          <w:lang w:val="en-IE"/>
        </w:rPr>
        <w:t xml:space="preserve">, the </w:t>
      </w:r>
      <w:r w:rsidRPr="00D403F5">
        <w:rPr>
          <w:rFonts w:ascii="Times New Roman" w:hAnsi="Times New Roman" w:cs="Times New Roman"/>
          <w:sz w:val="18"/>
          <w:szCs w:val="18"/>
        </w:rPr>
        <w:t xml:space="preserve">Commission </w:t>
      </w:r>
      <w:r w:rsidRPr="00D403F5">
        <w:rPr>
          <w:rFonts w:ascii="Times New Roman" w:hAnsi="Times New Roman" w:cs="Times New Roman"/>
          <w:sz w:val="18"/>
          <w:szCs w:val="18"/>
          <w:lang w:val="en-IE"/>
        </w:rPr>
        <w:t>took the decision to only annex a clean version of the chapter. A software generated comparison document between the proposed new text and the adopted version of the chapter is available on request from the OIE Standards Dept (</w:t>
      </w:r>
      <w:hyperlink r:id="rId18" w:history="1">
        <w:r w:rsidRPr="00D403F5">
          <w:rPr>
            <w:rFonts w:ascii="Times New Roman" w:hAnsi="Times New Roman" w:cs="Times New Roman"/>
            <w:color w:val="0000FF"/>
            <w:sz w:val="18"/>
            <w:szCs w:val="18"/>
            <w:u w:val="single"/>
            <w:lang w:val="en-IE" w:eastAsia="en-GB"/>
          </w:rPr>
          <w:t>standards.dept@oie.int</w:t>
        </w:r>
      </w:hyperlink>
      <w:r w:rsidRPr="00D403F5">
        <w:rPr>
          <w:rFonts w:ascii="Times New Roman" w:hAnsi="Times New Roman" w:cs="Times New Roman"/>
          <w:sz w:val="18"/>
          <w:szCs w:val="18"/>
          <w:lang w:val="en-IE" w:eastAsia="en-GB"/>
        </w:rPr>
        <w:t>)</w:t>
      </w:r>
      <w:r w:rsidRPr="00D403F5">
        <w:rPr>
          <w:rFonts w:ascii="Times New Roman" w:hAnsi="Times New Roman" w:cs="Times New Roman"/>
          <w:sz w:val="18"/>
          <w:szCs w:val="18"/>
          <w:lang w:val="en-IE"/>
        </w:rPr>
        <w:t>.</w:t>
      </w:r>
    </w:p>
    <w:p w14:paraId="7F738127" w14:textId="508B216B" w:rsidR="006A01BB" w:rsidRPr="00D403F5" w:rsidRDefault="006A01BB" w:rsidP="001041C6">
      <w:pPr>
        <w:pStyle w:val="para11"/>
        <w:ind w:left="1560"/>
        <w:rPr>
          <w:rFonts w:eastAsia="Arial"/>
          <w:sz w:val="18"/>
          <w:szCs w:val="18"/>
          <w:lang w:val="en-IE"/>
        </w:rPr>
      </w:pPr>
      <w:r w:rsidRPr="00D403F5">
        <w:rPr>
          <w:rFonts w:eastAsiaTheme="minorHAnsi"/>
          <w:sz w:val="18"/>
          <w:szCs w:val="18"/>
        </w:rPr>
        <w:t xml:space="preserve">The revised </w:t>
      </w:r>
      <w:r w:rsidRPr="00D403F5">
        <w:rPr>
          <w:sz w:val="18"/>
          <w:szCs w:val="18"/>
        </w:rPr>
        <w:t xml:space="preserve">Chapter </w:t>
      </w:r>
      <w:r w:rsidRPr="00D403F5">
        <w:rPr>
          <w:rFonts w:eastAsia="Arial"/>
          <w:sz w:val="18"/>
          <w:szCs w:val="18"/>
          <w:lang w:val="en-IE"/>
        </w:rPr>
        <w:t>2.3.4. Infection with infectious haematopoietic necrosis virus</w:t>
      </w:r>
      <w:r w:rsidRPr="00D403F5">
        <w:rPr>
          <w:rFonts w:eastAsiaTheme="minorHAnsi"/>
          <w:sz w:val="18"/>
          <w:szCs w:val="18"/>
        </w:rPr>
        <w:t xml:space="preserve"> is </w:t>
      </w:r>
      <w:r w:rsidRPr="00D403F5">
        <w:rPr>
          <w:sz w:val="18"/>
          <w:szCs w:val="18"/>
          <w:lang w:eastAsia="en-GB"/>
        </w:rPr>
        <w:t xml:space="preserve">presented as </w:t>
      </w:r>
      <w:r w:rsidRPr="00D403F5">
        <w:rPr>
          <w:rFonts w:eastAsiaTheme="minorHAnsi"/>
          <w:bCs/>
          <w:sz w:val="18"/>
          <w:szCs w:val="18"/>
          <w:u w:val="single"/>
        </w:rPr>
        <w:t>Annex </w:t>
      </w:r>
      <w:r w:rsidR="0075280E" w:rsidRPr="00D403F5">
        <w:rPr>
          <w:rFonts w:eastAsiaTheme="minorHAnsi"/>
          <w:bCs/>
          <w:sz w:val="18"/>
          <w:szCs w:val="18"/>
          <w:u w:val="single"/>
        </w:rPr>
        <w:t>12</w:t>
      </w:r>
      <w:r w:rsidR="0075280E" w:rsidRPr="00D403F5">
        <w:rPr>
          <w:rFonts w:eastAsiaTheme="minorHAnsi"/>
          <w:b/>
          <w:sz w:val="18"/>
          <w:szCs w:val="18"/>
        </w:rPr>
        <w:t xml:space="preserve"> </w:t>
      </w:r>
      <w:r w:rsidRPr="00D403F5">
        <w:rPr>
          <w:rFonts w:eastAsiaTheme="minorHAnsi"/>
          <w:sz w:val="18"/>
          <w:szCs w:val="18"/>
        </w:rPr>
        <w:t>for Member comments.</w:t>
      </w:r>
    </w:p>
    <w:p w14:paraId="0AEF7B06" w14:textId="77777777" w:rsidR="001041C6" w:rsidRDefault="001041C6" w:rsidP="001041C6">
      <w:pPr>
        <w:pStyle w:val="Web"/>
        <w:spacing w:before="0" w:beforeAutospacing="0" w:after="240" w:afterAutospacing="0"/>
        <w:ind w:left="1559" w:hanging="567"/>
        <w:jc w:val="both"/>
        <w:rPr>
          <w:rFonts w:eastAsia="Arial"/>
          <w:b/>
          <w:sz w:val="18"/>
          <w:szCs w:val="18"/>
          <w:lang w:val="en-IE"/>
        </w:rPr>
      </w:pPr>
      <w:r>
        <w:rPr>
          <w:rFonts w:eastAsia="Arial"/>
          <w:b/>
          <w:sz w:val="18"/>
          <w:szCs w:val="18"/>
          <w:lang w:val="en-IE"/>
        </w:rPr>
        <w:br w:type="page"/>
      </w:r>
    </w:p>
    <w:p w14:paraId="0D2EB154" w14:textId="223FF6E5" w:rsidR="006A01BB" w:rsidRPr="00D403F5" w:rsidRDefault="00E17EAD" w:rsidP="001041C6">
      <w:pPr>
        <w:pStyle w:val="Web"/>
        <w:spacing w:before="0" w:beforeAutospacing="0" w:after="240" w:afterAutospacing="0"/>
        <w:ind w:left="1559" w:hanging="567"/>
        <w:jc w:val="both"/>
        <w:rPr>
          <w:rFonts w:eastAsia="Arial"/>
          <w:b/>
          <w:sz w:val="18"/>
          <w:szCs w:val="18"/>
          <w:lang w:val="en-IE"/>
        </w:rPr>
      </w:pPr>
      <w:r w:rsidRPr="00D403F5">
        <w:rPr>
          <w:rFonts w:eastAsia="Arial"/>
          <w:b/>
          <w:sz w:val="18"/>
          <w:szCs w:val="18"/>
          <w:lang w:val="en-IE"/>
        </w:rPr>
        <w:t>6.8.4.</w:t>
      </w:r>
      <w:r w:rsidR="006A01BB" w:rsidRPr="00D403F5">
        <w:rPr>
          <w:rFonts w:eastAsia="Arial"/>
          <w:b/>
          <w:sz w:val="18"/>
          <w:szCs w:val="18"/>
          <w:lang w:val="en-IE"/>
        </w:rPr>
        <w:tab/>
        <w:t>Chapter 2.3.10. Infection with viral haemorrhagic septicaemia virus</w:t>
      </w:r>
    </w:p>
    <w:p w14:paraId="5355963E" w14:textId="20F6E926" w:rsidR="006A01BB" w:rsidRPr="00D403F5" w:rsidRDefault="006A01BB" w:rsidP="001041C6">
      <w:pPr>
        <w:pStyle w:val="Web"/>
        <w:spacing w:before="0" w:beforeAutospacing="0" w:after="240" w:afterAutospacing="0"/>
        <w:ind w:left="1560"/>
        <w:jc w:val="both"/>
        <w:rPr>
          <w:sz w:val="18"/>
          <w:szCs w:val="18"/>
          <w:lang w:val="en-IE"/>
        </w:rPr>
      </w:pPr>
      <w:r w:rsidRPr="00D403F5">
        <w:rPr>
          <w:sz w:val="18"/>
          <w:szCs w:val="18"/>
          <w:lang w:val="en-IE"/>
        </w:rPr>
        <w:t xml:space="preserve">The Commission reviewed a </w:t>
      </w:r>
      <w:r w:rsidR="00E81E4D" w:rsidRPr="00D403F5">
        <w:rPr>
          <w:sz w:val="18"/>
          <w:szCs w:val="18"/>
          <w:lang w:val="en-IE"/>
        </w:rPr>
        <w:t xml:space="preserve">revised </w:t>
      </w:r>
      <w:r w:rsidRPr="00D403F5">
        <w:rPr>
          <w:sz w:val="18"/>
          <w:szCs w:val="18"/>
          <w:lang w:val="en-IE"/>
        </w:rPr>
        <w:t xml:space="preserve">draft Chapter 2.3.10. </w:t>
      </w:r>
      <w:r w:rsidRPr="00D403F5">
        <w:rPr>
          <w:rFonts w:eastAsia="Arial"/>
          <w:i/>
          <w:sz w:val="18"/>
          <w:szCs w:val="18"/>
          <w:lang w:val="en-IE"/>
        </w:rPr>
        <w:t>Infection with viral haemorrhagic septicaemia virus</w:t>
      </w:r>
      <w:r w:rsidRPr="00D403F5">
        <w:rPr>
          <w:sz w:val="18"/>
          <w:szCs w:val="18"/>
          <w:lang w:val="en-IE"/>
        </w:rPr>
        <w:t xml:space="preserve">, </w:t>
      </w:r>
      <w:r w:rsidRPr="00D403F5">
        <w:rPr>
          <w:rFonts w:eastAsia="Arial"/>
          <w:sz w:val="18"/>
          <w:szCs w:val="18"/>
          <w:lang w:val="en-IE"/>
        </w:rPr>
        <w:t xml:space="preserve">which had been updated </w:t>
      </w:r>
      <w:r w:rsidRPr="00D403F5">
        <w:rPr>
          <w:sz w:val="18"/>
          <w:szCs w:val="18"/>
          <w:lang w:val="en-IE"/>
        </w:rPr>
        <w:t xml:space="preserve">by the OIE Reference Laboratory experts </w:t>
      </w:r>
      <w:r w:rsidRPr="00D403F5">
        <w:rPr>
          <w:rFonts w:eastAsia="Arial"/>
          <w:sz w:val="18"/>
          <w:szCs w:val="18"/>
          <w:lang w:val="en-IE"/>
        </w:rPr>
        <w:t>and reformatted using the new disease chapter template.</w:t>
      </w:r>
      <w:r w:rsidRPr="00D403F5">
        <w:rPr>
          <w:sz w:val="18"/>
          <w:szCs w:val="18"/>
          <w:lang w:val="en-IE"/>
        </w:rPr>
        <w:t xml:space="preserve"> </w:t>
      </w:r>
      <w:r w:rsidRPr="00D403F5">
        <w:rPr>
          <w:rFonts w:eastAsia="Arial"/>
          <w:sz w:val="18"/>
          <w:szCs w:val="18"/>
          <w:lang w:val="en-IE"/>
        </w:rPr>
        <w:t xml:space="preserve">The main amendments include an updated description of the genotypes; updated lists of susceptible host species and species with incomplete evidence for susceptibility in accordance with the findings of the </w:t>
      </w:r>
      <w:r w:rsidRPr="00D403F5">
        <w:rPr>
          <w:bCs/>
          <w:i/>
          <w:iCs/>
          <w:sz w:val="18"/>
          <w:szCs w:val="18"/>
          <w:lang w:val="en-IE"/>
        </w:rPr>
        <w:t xml:space="preserve">ad hoc </w:t>
      </w:r>
      <w:r w:rsidRPr="00D403F5">
        <w:rPr>
          <w:bCs/>
          <w:sz w:val="18"/>
          <w:szCs w:val="18"/>
          <w:lang w:val="en-IE"/>
        </w:rPr>
        <w:t>Group on susceptibility of fish species to infection with OIE listed diseases; revised description of cell culture for virus isolation, and the protocols for the real-time reverse-transcription and conventional PCR; and the definitions of suspect and confirmed case in apparently healthy and clinically affected animals.</w:t>
      </w:r>
    </w:p>
    <w:p w14:paraId="1571A13E" w14:textId="03EF0EAE" w:rsidR="006A01BB" w:rsidRPr="00D403F5" w:rsidRDefault="00E81E4D" w:rsidP="001041C6">
      <w:pPr>
        <w:pStyle w:val="Web"/>
        <w:spacing w:before="0" w:beforeAutospacing="0" w:after="240" w:afterAutospacing="0"/>
        <w:ind w:left="1560"/>
        <w:jc w:val="both"/>
        <w:rPr>
          <w:rFonts w:eastAsia="Arial"/>
          <w:sz w:val="18"/>
          <w:szCs w:val="18"/>
          <w:lang w:val="en-IE"/>
        </w:rPr>
      </w:pPr>
      <w:r w:rsidRPr="00D403F5">
        <w:rPr>
          <w:sz w:val="18"/>
          <w:szCs w:val="18"/>
          <w:lang w:val="en-IE"/>
        </w:rPr>
        <w:t>As described above at item 6.</w:t>
      </w:r>
      <w:r w:rsidR="00BC2F28" w:rsidRPr="00D403F5">
        <w:rPr>
          <w:sz w:val="18"/>
          <w:szCs w:val="18"/>
          <w:lang w:val="en-IE"/>
        </w:rPr>
        <w:t>8</w:t>
      </w:r>
      <w:r w:rsidR="006A01BB" w:rsidRPr="00D403F5">
        <w:rPr>
          <w:sz w:val="18"/>
          <w:szCs w:val="18"/>
          <w:lang w:val="en-IE"/>
        </w:rPr>
        <w:t>, the AAC took the decision to only annex a clean version of the chapter. A software generated comparison document between the proposed new text and the adopted version of the chapter is available on request from the OIE Standards Dept (</w:t>
      </w:r>
      <w:hyperlink r:id="rId19" w:history="1">
        <w:r w:rsidR="006A01BB" w:rsidRPr="00D403F5">
          <w:rPr>
            <w:color w:val="0000FF"/>
            <w:sz w:val="18"/>
            <w:szCs w:val="18"/>
            <w:u w:val="single"/>
            <w:lang w:val="en-IE" w:eastAsia="en-GB"/>
          </w:rPr>
          <w:t>standards.dept@oie.int</w:t>
        </w:r>
      </w:hyperlink>
      <w:r w:rsidR="006A01BB" w:rsidRPr="00D403F5">
        <w:rPr>
          <w:sz w:val="18"/>
          <w:szCs w:val="18"/>
          <w:lang w:val="en-IE" w:eastAsia="en-GB"/>
        </w:rPr>
        <w:t>)</w:t>
      </w:r>
      <w:r w:rsidR="006A01BB" w:rsidRPr="00D403F5">
        <w:rPr>
          <w:rFonts w:eastAsia="Arial"/>
          <w:sz w:val="18"/>
          <w:szCs w:val="18"/>
          <w:lang w:val="en-IE"/>
        </w:rPr>
        <w:t>.</w:t>
      </w:r>
    </w:p>
    <w:p w14:paraId="43437D66" w14:textId="5344A9D9" w:rsidR="006A01BB" w:rsidRPr="00D403F5" w:rsidRDefault="006A01BB" w:rsidP="001041C6">
      <w:pPr>
        <w:pStyle w:val="Web"/>
        <w:spacing w:before="0" w:beforeAutospacing="0" w:after="240" w:afterAutospacing="0"/>
        <w:ind w:left="1560"/>
        <w:jc w:val="both"/>
        <w:rPr>
          <w:rFonts w:eastAsiaTheme="minorHAnsi"/>
          <w:sz w:val="18"/>
          <w:szCs w:val="18"/>
          <w:lang w:val="en-GB"/>
        </w:rPr>
      </w:pPr>
      <w:r w:rsidRPr="00D403F5">
        <w:rPr>
          <w:rFonts w:eastAsiaTheme="minorHAnsi"/>
          <w:sz w:val="18"/>
          <w:szCs w:val="18"/>
          <w:lang w:val="en-GB"/>
        </w:rPr>
        <w:t xml:space="preserve">The revised </w:t>
      </w:r>
      <w:r w:rsidRPr="00D403F5">
        <w:rPr>
          <w:sz w:val="18"/>
          <w:szCs w:val="18"/>
          <w:lang w:val="en-IE"/>
        </w:rPr>
        <w:t xml:space="preserve">Chapter 2.3.10. </w:t>
      </w:r>
      <w:r w:rsidRPr="00D403F5">
        <w:rPr>
          <w:rFonts w:eastAsia="Arial"/>
          <w:sz w:val="18"/>
          <w:szCs w:val="18"/>
          <w:lang w:val="en-IE"/>
        </w:rPr>
        <w:t>Infection with viral haemorrhagic septicaemia virus</w:t>
      </w:r>
      <w:r w:rsidRPr="00D403F5">
        <w:rPr>
          <w:rFonts w:eastAsiaTheme="minorHAnsi"/>
          <w:sz w:val="18"/>
          <w:szCs w:val="18"/>
          <w:lang w:val="en-GB"/>
        </w:rPr>
        <w:t xml:space="preserve"> is </w:t>
      </w:r>
      <w:r w:rsidRPr="00D403F5">
        <w:rPr>
          <w:sz w:val="18"/>
          <w:szCs w:val="18"/>
          <w:lang w:val="en-GB" w:eastAsia="en-GB"/>
        </w:rPr>
        <w:t xml:space="preserve">presented as </w:t>
      </w:r>
      <w:r w:rsidRPr="00D403F5">
        <w:rPr>
          <w:rFonts w:eastAsiaTheme="minorHAnsi"/>
          <w:bCs/>
          <w:sz w:val="18"/>
          <w:szCs w:val="18"/>
          <w:u w:val="single"/>
          <w:lang w:val="en-GB"/>
        </w:rPr>
        <w:t>Annex </w:t>
      </w:r>
      <w:r w:rsidR="0075280E" w:rsidRPr="00D403F5">
        <w:rPr>
          <w:rFonts w:eastAsiaTheme="minorHAnsi"/>
          <w:bCs/>
          <w:sz w:val="18"/>
          <w:szCs w:val="18"/>
          <w:u w:val="single"/>
          <w:lang w:val="en-GB"/>
        </w:rPr>
        <w:t>13</w:t>
      </w:r>
      <w:r w:rsidR="0075280E" w:rsidRPr="00D403F5">
        <w:rPr>
          <w:rFonts w:eastAsiaTheme="minorHAnsi"/>
          <w:b/>
          <w:sz w:val="18"/>
          <w:szCs w:val="18"/>
          <w:lang w:val="en-GB"/>
        </w:rPr>
        <w:t xml:space="preserve"> </w:t>
      </w:r>
      <w:r w:rsidRPr="00D403F5">
        <w:rPr>
          <w:rFonts w:eastAsiaTheme="minorHAnsi"/>
          <w:sz w:val="18"/>
          <w:szCs w:val="18"/>
          <w:lang w:val="en-GB"/>
        </w:rPr>
        <w:t>for Member comment.</w:t>
      </w:r>
    </w:p>
    <w:p w14:paraId="56EB2150" w14:textId="02031DE3" w:rsidR="006E0A68" w:rsidRPr="00D403F5" w:rsidRDefault="00413548" w:rsidP="001041C6">
      <w:pPr>
        <w:pStyle w:val="Web"/>
        <w:spacing w:before="0" w:beforeAutospacing="0" w:after="240" w:afterAutospacing="0"/>
        <w:ind w:left="426" w:hanging="426"/>
        <w:jc w:val="both"/>
        <w:rPr>
          <w:b/>
          <w:bCs/>
          <w:sz w:val="18"/>
          <w:szCs w:val="18"/>
          <w:lang w:val="en-IE"/>
        </w:rPr>
      </w:pPr>
      <w:r w:rsidRPr="00D403F5">
        <w:rPr>
          <w:b/>
          <w:bCs/>
          <w:sz w:val="18"/>
          <w:szCs w:val="18"/>
          <w:lang w:val="en-IE"/>
        </w:rPr>
        <w:t xml:space="preserve">7. </w:t>
      </w:r>
      <w:r w:rsidRPr="00D403F5">
        <w:rPr>
          <w:b/>
          <w:bCs/>
          <w:sz w:val="18"/>
          <w:szCs w:val="18"/>
          <w:lang w:val="en-IE"/>
        </w:rPr>
        <w:tab/>
        <w:t xml:space="preserve">ITEMS FOR MEMBER INFORMATION </w:t>
      </w:r>
    </w:p>
    <w:p w14:paraId="50DEC348" w14:textId="223EF757" w:rsidR="006A01BB" w:rsidRPr="00D403F5" w:rsidRDefault="006A01BB" w:rsidP="001041C6">
      <w:pPr>
        <w:pStyle w:val="a4"/>
        <w:spacing w:after="240" w:line="240" w:lineRule="auto"/>
        <w:ind w:left="0"/>
        <w:contextualSpacing w:val="0"/>
        <w:jc w:val="center"/>
        <w:rPr>
          <w:rFonts w:ascii="Times New Roman" w:eastAsia="MS Mincho" w:hAnsi="Times New Roman" w:cs="Times New Roman"/>
          <w:b/>
          <w:i/>
          <w:sz w:val="18"/>
          <w:szCs w:val="18"/>
          <w:lang w:val="en-IE" w:eastAsia="ja-JP"/>
        </w:rPr>
      </w:pPr>
      <w:r w:rsidRPr="00D403F5">
        <w:rPr>
          <w:rFonts w:ascii="Times New Roman" w:eastAsia="MS Mincho" w:hAnsi="Times New Roman" w:cs="Times New Roman"/>
          <w:b/>
          <w:sz w:val="18"/>
          <w:szCs w:val="18"/>
          <w:lang w:val="en-IE" w:eastAsia="ja-JP"/>
        </w:rPr>
        <w:t xml:space="preserve">OIE </w:t>
      </w:r>
      <w:r w:rsidRPr="00D403F5">
        <w:rPr>
          <w:rFonts w:ascii="Times New Roman" w:eastAsia="MS Mincho" w:hAnsi="Times New Roman" w:cs="Times New Roman"/>
          <w:b/>
          <w:i/>
          <w:sz w:val="18"/>
          <w:szCs w:val="18"/>
          <w:lang w:val="en-IE" w:eastAsia="ja-JP"/>
        </w:rPr>
        <w:t>AQUATIC ANIMAL HEALTH CODE</w:t>
      </w:r>
    </w:p>
    <w:p w14:paraId="166C123E" w14:textId="4B6E8582" w:rsidR="006C62A1" w:rsidRPr="00D403F5" w:rsidRDefault="00BC2F28" w:rsidP="001041C6">
      <w:pPr>
        <w:spacing w:after="240" w:line="240" w:lineRule="auto"/>
        <w:ind w:left="993" w:hanging="567"/>
        <w:jc w:val="both"/>
        <w:rPr>
          <w:rFonts w:ascii="Times New Roman" w:hAnsi="Times New Roman" w:cs="Times New Roman"/>
          <w:b/>
          <w:bCs/>
          <w:sz w:val="18"/>
          <w:szCs w:val="18"/>
          <w:lang w:val="en-IE"/>
        </w:rPr>
      </w:pPr>
      <w:bookmarkStart w:id="20" w:name="_Hlk20747782"/>
      <w:r w:rsidRPr="00D403F5">
        <w:rPr>
          <w:rFonts w:ascii="Times New Roman" w:hAnsi="Times New Roman" w:cs="Times New Roman"/>
          <w:b/>
          <w:bCs/>
          <w:sz w:val="18"/>
          <w:szCs w:val="18"/>
          <w:lang w:val="en-IE"/>
        </w:rPr>
        <w:t>7</w:t>
      </w:r>
      <w:r w:rsidR="00C26CFD" w:rsidRPr="00D403F5">
        <w:rPr>
          <w:rFonts w:ascii="Times New Roman" w:hAnsi="Times New Roman" w:cs="Times New Roman"/>
          <w:b/>
          <w:bCs/>
          <w:sz w:val="18"/>
          <w:szCs w:val="18"/>
          <w:lang w:val="en-IE"/>
        </w:rPr>
        <w:t>.1.</w:t>
      </w:r>
      <w:r w:rsidR="006C62A1" w:rsidRPr="00D403F5">
        <w:rPr>
          <w:rFonts w:ascii="Times New Roman" w:hAnsi="Times New Roman" w:cs="Times New Roman"/>
          <w:b/>
          <w:bCs/>
          <w:sz w:val="18"/>
          <w:szCs w:val="18"/>
          <w:lang w:val="en-IE"/>
        </w:rPr>
        <w:t xml:space="preserve"> </w:t>
      </w:r>
      <w:r w:rsidR="006C62A1" w:rsidRPr="00D403F5">
        <w:rPr>
          <w:rFonts w:ascii="Times New Roman" w:hAnsi="Times New Roman" w:cs="Times New Roman"/>
          <w:b/>
          <w:bCs/>
          <w:sz w:val="18"/>
          <w:szCs w:val="18"/>
          <w:lang w:val="en-IE"/>
        </w:rPr>
        <w:tab/>
      </w:r>
      <w:bookmarkStart w:id="21" w:name="_Hlk21425752"/>
      <w:r w:rsidR="006C62A1" w:rsidRPr="00D403F5">
        <w:rPr>
          <w:rFonts w:ascii="Times New Roman" w:hAnsi="Times New Roman" w:cs="Times New Roman"/>
          <w:b/>
          <w:bCs/>
          <w:sz w:val="18"/>
          <w:szCs w:val="18"/>
          <w:lang w:val="en-IE"/>
        </w:rPr>
        <w:t>Glossary definitions for ‘Competent Authority’</w:t>
      </w:r>
      <w:r w:rsidR="00FF0220" w:rsidRPr="00D403F5">
        <w:rPr>
          <w:rFonts w:ascii="Times New Roman" w:hAnsi="Times New Roman" w:cs="Times New Roman"/>
          <w:b/>
          <w:bCs/>
          <w:sz w:val="18"/>
          <w:szCs w:val="18"/>
          <w:lang w:val="en-IE"/>
        </w:rPr>
        <w:t>,</w:t>
      </w:r>
      <w:r w:rsidR="006C62A1" w:rsidRPr="00D403F5">
        <w:rPr>
          <w:rFonts w:ascii="Times New Roman" w:hAnsi="Times New Roman" w:cs="Times New Roman"/>
          <w:b/>
          <w:bCs/>
          <w:sz w:val="18"/>
          <w:szCs w:val="18"/>
          <w:lang w:val="en-IE"/>
        </w:rPr>
        <w:t xml:space="preserve"> </w:t>
      </w:r>
      <w:r w:rsidR="00FF0220" w:rsidRPr="00D403F5">
        <w:rPr>
          <w:rFonts w:ascii="Times New Roman" w:hAnsi="Times New Roman" w:cs="Times New Roman"/>
          <w:b/>
          <w:bCs/>
          <w:sz w:val="18"/>
          <w:szCs w:val="18"/>
          <w:lang w:val="en-IE"/>
        </w:rPr>
        <w:t>‘</w:t>
      </w:r>
      <w:r w:rsidR="006C62A1" w:rsidRPr="00D403F5">
        <w:rPr>
          <w:rFonts w:ascii="Times New Roman" w:hAnsi="Times New Roman" w:cs="Times New Roman"/>
          <w:b/>
          <w:bCs/>
          <w:sz w:val="18"/>
          <w:szCs w:val="18"/>
          <w:lang w:val="en-IE"/>
        </w:rPr>
        <w:t xml:space="preserve">Veterinary Authority’ and ‘Veterinary Services’. Information about work in the Terrestrial Code commission. </w:t>
      </w:r>
    </w:p>
    <w:p w14:paraId="70152701" w14:textId="77777777" w:rsidR="00424717" w:rsidRPr="00D403F5" w:rsidRDefault="00424717"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The OIE Secretariat provided the Commission with background information about the Terrestrial Animal Health Standards Commission’s decision to amend the definitions for Competent Authority, Veterinary Authority and Veterinary Services in the Glossary of the </w:t>
      </w:r>
      <w:r w:rsidRPr="00D403F5">
        <w:rPr>
          <w:rFonts w:ascii="Times New Roman" w:hAnsi="Times New Roman" w:cs="Times New Roman"/>
          <w:i/>
          <w:iCs/>
          <w:sz w:val="18"/>
          <w:szCs w:val="18"/>
        </w:rPr>
        <w:t>Terrestrial Code</w:t>
      </w:r>
      <w:r w:rsidRPr="00D403F5">
        <w:rPr>
          <w:rFonts w:ascii="Times New Roman" w:hAnsi="Times New Roman" w:cs="Times New Roman"/>
          <w:sz w:val="18"/>
          <w:szCs w:val="18"/>
        </w:rPr>
        <w:t xml:space="preserve">. The proposed amendments were circulated for Member comments in the Code Commission’s September 2018 report and comments received were considered by the </w:t>
      </w:r>
      <w:r w:rsidRPr="00D403F5">
        <w:rPr>
          <w:rFonts w:ascii="Times New Roman" w:hAnsi="Times New Roman" w:cs="Times New Roman"/>
          <w:i/>
          <w:iCs/>
          <w:sz w:val="18"/>
          <w:szCs w:val="18"/>
        </w:rPr>
        <w:t>ad hoc</w:t>
      </w:r>
      <w:r w:rsidRPr="00D403F5">
        <w:rPr>
          <w:rFonts w:ascii="Times New Roman" w:hAnsi="Times New Roman" w:cs="Times New Roman"/>
          <w:sz w:val="18"/>
          <w:szCs w:val="18"/>
        </w:rPr>
        <w:t xml:space="preserve"> Group on Veterinary Services in July 2019. </w:t>
      </w:r>
    </w:p>
    <w:p w14:paraId="0A53F937" w14:textId="77777777" w:rsidR="00424717" w:rsidRPr="00D403F5" w:rsidRDefault="00424717" w:rsidP="001041C6">
      <w:pPr>
        <w:spacing w:after="240" w:line="240" w:lineRule="auto"/>
        <w:ind w:left="993"/>
        <w:jc w:val="both"/>
        <w:rPr>
          <w:rFonts w:ascii="Times New Roman" w:hAnsi="Times New Roman" w:cs="Times New Roman"/>
          <w:sz w:val="18"/>
          <w:szCs w:val="18"/>
        </w:rPr>
      </w:pPr>
      <w:bookmarkStart w:id="22" w:name="_Hlk19099117"/>
      <w:r w:rsidRPr="00D403F5">
        <w:rPr>
          <w:rFonts w:ascii="Times New Roman" w:hAnsi="Times New Roman" w:cs="Times New Roman"/>
          <w:sz w:val="18"/>
          <w:szCs w:val="18"/>
        </w:rPr>
        <w:t xml:space="preserve">The Aquatic Animals Commission was informed that the OIE Secretariat is seeking input from all Specialist Commissions on the proposed amended definitions in relation to the work of each Commission and any consequences of these amendments. </w:t>
      </w:r>
    </w:p>
    <w:bookmarkEnd w:id="22"/>
    <w:p w14:paraId="4FC4C813" w14:textId="0D4AC05A" w:rsidR="00FF5A86" w:rsidRPr="00D403F5" w:rsidRDefault="00FF5A86"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The </w:t>
      </w:r>
      <w:r w:rsidR="00705F4B" w:rsidRPr="00D403F5">
        <w:rPr>
          <w:rFonts w:ascii="Times New Roman" w:hAnsi="Times New Roman" w:cs="Times New Roman"/>
          <w:sz w:val="18"/>
          <w:szCs w:val="18"/>
        </w:rPr>
        <w:t xml:space="preserve">Aquatic Animals </w:t>
      </w:r>
      <w:r w:rsidRPr="00D403F5">
        <w:rPr>
          <w:rFonts w:ascii="Times New Roman" w:hAnsi="Times New Roman" w:cs="Times New Roman"/>
          <w:sz w:val="18"/>
          <w:szCs w:val="18"/>
        </w:rPr>
        <w:t xml:space="preserve">Commission considered the proposed definitions and </w:t>
      </w:r>
      <w:r w:rsidR="007334BF" w:rsidRPr="00D403F5">
        <w:rPr>
          <w:rFonts w:ascii="Times New Roman" w:hAnsi="Times New Roman" w:cs="Times New Roman"/>
          <w:sz w:val="18"/>
          <w:szCs w:val="18"/>
        </w:rPr>
        <w:t xml:space="preserve">provided comments to </w:t>
      </w:r>
      <w:r w:rsidRPr="00D403F5">
        <w:rPr>
          <w:rFonts w:ascii="Times New Roman" w:hAnsi="Times New Roman" w:cs="Times New Roman"/>
          <w:sz w:val="18"/>
          <w:szCs w:val="18"/>
        </w:rPr>
        <w:t xml:space="preserve">OIE Headquarters. </w:t>
      </w:r>
    </w:p>
    <w:p w14:paraId="6EAF0866" w14:textId="575D60B5" w:rsidR="002A2019" w:rsidRPr="00D403F5" w:rsidRDefault="002A2019" w:rsidP="001041C6">
      <w:pPr>
        <w:spacing w:after="240" w:line="240" w:lineRule="auto"/>
        <w:ind w:left="993" w:hanging="567"/>
        <w:jc w:val="both"/>
        <w:rPr>
          <w:rFonts w:ascii="Times New Roman" w:hAnsi="Times New Roman" w:cs="Times New Roman"/>
          <w:b/>
          <w:bCs/>
          <w:sz w:val="18"/>
          <w:szCs w:val="18"/>
          <w:lang w:val="en-IE"/>
        </w:rPr>
      </w:pPr>
      <w:r w:rsidRPr="00D403F5">
        <w:rPr>
          <w:rFonts w:ascii="Times New Roman" w:hAnsi="Times New Roman" w:cs="Times New Roman"/>
          <w:b/>
          <w:bCs/>
          <w:sz w:val="18"/>
          <w:szCs w:val="18"/>
          <w:lang w:val="en-IE"/>
        </w:rPr>
        <w:t>7.2.</w:t>
      </w:r>
      <w:r w:rsidRPr="00D403F5">
        <w:rPr>
          <w:rFonts w:ascii="Times New Roman" w:hAnsi="Times New Roman" w:cs="Times New Roman"/>
          <w:b/>
          <w:bCs/>
          <w:sz w:val="18"/>
          <w:szCs w:val="18"/>
          <w:lang w:val="en-IE"/>
        </w:rPr>
        <w:tab/>
        <w:t>Acute hepatopancreatic necrosis disease (AHPND) (Chapter 9.1.)</w:t>
      </w:r>
    </w:p>
    <w:p w14:paraId="4BE21E00" w14:textId="3282DF61" w:rsidR="002A2019" w:rsidRPr="00D403F5" w:rsidRDefault="002A2019" w:rsidP="001041C6">
      <w:pPr>
        <w:pStyle w:val="Web"/>
        <w:spacing w:before="0" w:beforeAutospacing="0" w:after="240" w:afterAutospacing="0"/>
        <w:ind w:left="993"/>
        <w:jc w:val="both"/>
        <w:rPr>
          <w:color w:val="212121"/>
          <w:sz w:val="18"/>
          <w:szCs w:val="18"/>
          <w:lang w:val="en-US"/>
        </w:rPr>
      </w:pPr>
      <w:r w:rsidRPr="00D403F5">
        <w:rPr>
          <w:sz w:val="18"/>
          <w:szCs w:val="18"/>
          <w:lang w:val="en-IE"/>
        </w:rPr>
        <w:t xml:space="preserve">The Aquatic Animals Commission considered published information of </w:t>
      </w:r>
      <w:r w:rsidRPr="00D403F5">
        <w:rPr>
          <w:color w:val="212121"/>
          <w:sz w:val="18"/>
          <w:szCs w:val="18"/>
          <w:lang w:val="en-US"/>
        </w:rPr>
        <w:t>new non-</w:t>
      </w:r>
      <w:r w:rsidRPr="00D403F5">
        <w:rPr>
          <w:i/>
          <w:iCs/>
          <w:color w:val="212121"/>
          <w:sz w:val="18"/>
          <w:szCs w:val="18"/>
          <w:lang w:val="en-US"/>
        </w:rPr>
        <w:t>Vibrio</w:t>
      </w:r>
      <w:r w:rsidRPr="00D403F5">
        <w:rPr>
          <w:color w:val="212121"/>
          <w:sz w:val="18"/>
          <w:szCs w:val="18"/>
          <w:lang w:val="en-US"/>
        </w:rPr>
        <w:t xml:space="preserve"> </w:t>
      </w:r>
      <w:r w:rsidRPr="00D403F5">
        <w:rPr>
          <w:i/>
          <w:color w:val="212121"/>
          <w:sz w:val="18"/>
          <w:szCs w:val="18"/>
          <w:lang w:val="en-US"/>
        </w:rPr>
        <w:t>parahaemolyticus</w:t>
      </w:r>
      <w:r w:rsidRPr="00D403F5">
        <w:rPr>
          <w:color w:val="212121"/>
          <w:sz w:val="18"/>
          <w:szCs w:val="18"/>
          <w:lang w:val="en-US"/>
        </w:rPr>
        <w:t xml:space="preserve"> species that have been associated with cause acute hepatopancreatic necrosis disease (AHPND) to see determine if a revision of the scope of Article 9.1.1. was necessary.  The commission reviewed the available literature and It was agreed to seek further advice from the Reference Laboratory expert and to revisit the item at its next meeting in February 2020.  </w:t>
      </w:r>
    </w:p>
    <w:p w14:paraId="18895001" w14:textId="62F20B0D" w:rsidR="00C57977" w:rsidRPr="00D403F5" w:rsidRDefault="00C57977" w:rsidP="001041C6">
      <w:pPr>
        <w:spacing w:after="240" w:line="240" w:lineRule="auto"/>
        <w:ind w:left="993" w:hanging="567"/>
        <w:jc w:val="both"/>
        <w:rPr>
          <w:rFonts w:ascii="Times New Roman" w:hAnsi="Times New Roman" w:cs="Times New Roman"/>
          <w:b/>
          <w:bCs/>
          <w:sz w:val="18"/>
          <w:szCs w:val="18"/>
          <w:lang w:val="en-IE"/>
        </w:rPr>
      </w:pPr>
      <w:r w:rsidRPr="00D403F5">
        <w:rPr>
          <w:rFonts w:ascii="Times New Roman" w:eastAsia="MS Mincho" w:hAnsi="Times New Roman" w:cs="Times New Roman"/>
          <w:b/>
          <w:bCs/>
          <w:sz w:val="18"/>
          <w:szCs w:val="18"/>
          <w:lang w:val="en-IE" w:eastAsia="ja-JP"/>
        </w:rPr>
        <w:t>7.3.</w:t>
      </w:r>
      <w:r w:rsidRPr="00D403F5">
        <w:rPr>
          <w:rFonts w:ascii="Times New Roman" w:eastAsia="MS Mincho" w:hAnsi="Times New Roman" w:cs="Times New Roman"/>
          <w:sz w:val="18"/>
          <w:szCs w:val="18"/>
          <w:lang w:val="en-IE" w:eastAsia="ja-JP"/>
        </w:rPr>
        <w:tab/>
      </w:r>
      <w:r w:rsidRPr="00D403F5">
        <w:rPr>
          <w:rFonts w:ascii="Times New Roman" w:eastAsia="MS Mincho" w:hAnsi="Times New Roman" w:cs="Times New Roman"/>
          <w:b/>
          <w:bCs/>
          <w:sz w:val="18"/>
          <w:szCs w:val="18"/>
          <w:lang w:val="en-IE" w:eastAsia="ja-JP"/>
        </w:rPr>
        <w:t>Assessment for Infection with Decapod iridescent virus-1 (DIV1) against the criteria for listing an aquatic animal disease (Chapter 1.2.)</w:t>
      </w:r>
    </w:p>
    <w:p w14:paraId="61C05897" w14:textId="78B00316" w:rsidR="00C57977" w:rsidRPr="00D403F5" w:rsidRDefault="00A25DEB" w:rsidP="001041C6">
      <w:pPr>
        <w:pStyle w:val="Web"/>
        <w:spacing w:before="0" w:beforeAutospacing="0" w:after="240" w:afterAutospacing="0"/>
        <w:ind w:left="993"/>
        <w:jc w:val="both"/>
        <w:rPr>
          <w:sz w:val="18"/>
          <w:szCs w:val="18"/>
          <w:lang w:val="en-IE"/>
        </w:rPr>
      </w:pPr>
      <w:r w:rsidRPr="00D403F5">
        <w:rPr>
          <w:sz w:val="18"/>
          <w:szCs w:val="18"/>
          <w:lang w:val="en-IE"/>
        </w:rPr>
        <w:t xml:space="preserve">The Aquatic Animals Commission revised its assessment for infection with DIV1 from the February 2019 meeting. </w:t>
      </w:r>
    </w:p>
    <w:p w14:paraId="4B07DA0D" w14:textId="333861A0" w:rsidR="00A25DEB" w:rsidRPr="00D403F5" w:rsidRDefault="00A25DEB" w:rsidP="001041C6">
      <w:pPr>
        <w:spacing w:after="240" w:line="240" w:lineRule="auto"/>
        <w:ind w:left="993"/>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revised assessment for </w:t>
      </w:r>
      <w:r w:rsidRPr="00D403F5">
        <w:rPr>
          <w:rFonts w:ascii="Times New Roman" w:hAnsi="Times New Roman" w:cs="Times New Roman"/>
          <w:sz w:val="18"/>
          <w:szCs w:val="18"/>
          <w:lang w:val="en-US"/>
        </w:rPr>
        <w:t xml:space="preserve">infection with DIV1 </w:t>
      </w:r>
      <w:r w:rsidRPr="00D403F5">
        <w:rPr>
          <w:rFonts w:ascii="Times New Roman" w:hAnsi="Times New Roman" w:cs="Times New Roman"/>
          <w:sz w:val="18"/>
          <w:szCs w:val="18"/>
          <w:lang w:val="en-IE" w:eastAsia="fr-FR"/>
        </w:rPr>
        <w:t xml:space="preserve">is presented as </w:t>
      </w:r>
      <w:r w:rsidRPr="00D403F5">
        <w:rPr>
          <w:rFonts w:ascii="Times New Roman" w:hAnsi="Times New Roman" w:cs="Times New Roman"/>
          <w:sz w:val="18"/>
          <w:szCs w:val="18"/>
          <w:u w:val="single"/>
          <w:lang w:val="en-IE" w:eastAsia="fr-FR"/>
        </w:rPr>
        <w:t xml:space="preserve">Annex </w:t>
      </w:r>
      <w:r w:rsidR="004B1810" w:rsidRPr="00D403F5">
        <w:rPr>
          <w:rFonts w:ascii="Times New Roman" w:hAnsi="Times New Roman" w:cs="Times New Roman"/>
          <w:sz w:val="18"/>
          <w:szCs w:val="18"/>
          <w:u w:val="single"/>
          <w:lang w:val="en-IE" w:eastAsia="fr-FR"/>
        </w:rPr>
        <w:t>14</w:t>
      </w:r>
      <w:r w:rsidR="004B1810" w:rsidRPr="00D403F5">
        <w:rPr>
          <w:rFonts w:ascii="Times New Roman" w:hAnsi="Times New Roman" w:cs="Times New Roman"/>
          <w:sz w:val="18"/>
          <w:szCs w:val="18"/>
          <w:lang w:val="en-IE" w:eastAsia="fr-FR"/>
        </w:rPr>
        <w:t xml:space="preserve"> </w:t>
      </w:r>
      <w:r w:rsidRPr="00D403F5">
        <w:rPr>
          <w:rFonts w:ascii="Times New Roman" w:hAnsi="Times New Roman" w:cs="Times New Roman"/>
          <w:sz w:val="18"/>
          <w:szCs w:val="18"/>
          <w:lang w:val="en-IE" w:eastAsia="fr-FR"/>
        </w:rPr>
        <w:t xml:space="preserve">for Member information in support of the proposed listing (see also Item 6.2.). </w:t>
      </w:r>
    </w:p>
    <w:p w14:paraId="12F6398D" w14:textId="49C5C083" w:rsidR="002A2019" w:rsidRPr="00D403F5" w:rsidRDefault="002A2019" w:rsidP="001041C6">
      <w:pPr>
        <w:pStyle w:val="Web"/>
        <w:spacing w:before="0" w:beforeAutospacing="0" w:after="240" w:afterAutospacing="0"/>
        <w:ind w:left="426" w:hanging="426"/>
        <w:jc w:val="center"/>
        <w:rPr>
          <w:b/>
          <w:caps/>
          <w:sz w:val="18"/>
          <w:szCs w:val="18"/>
          <w:lang w:val="en-IE"/>
        </w:rPr>
      </w:pPr>
      <w:r w:rsidRPr="00D403F5">
        <w:rPr>
          <w:b/>
          <w:i/>
          <w:caps/>
          <w:sz w:val="18"/>
          <w:szCs w:val="18"/>
          <w:lang w:val="en-IE"/>
        </w:rPr>
        <w:t>Ad hoc</w:t>
      </w:r>
      <w:r w:rsidRPr="00D403F5">
        <w:rPr>
          <w:b/>
          <w:caps/>
          <w:sz w:val="18"/>
          <w:szCs w:val="18"/>
          <w:lang w:val="en-IE"/>
        </w:rPr>
        <w:t xml:space="preserve"> Groups</w:t>
      </w:r>
    </w:p>
    <w:p w14:paraId="4A5267BA" w14:textId="648BDA2C" w:rsidR="007B0BC7" w:rsidRPr="00D403F5" w:rsidRDefault="007B0BC7" w:rsidP="001041C6">
      <w:pPr>
        <w:spacing w:after="240" w:line="240" w:lineRule="auto"/>
        <w:ind w:left="993" w:hanging="567"/>
        <w:jc w:val="both"/>
        <w:rPr>
          <w:rFonts w:ascii="Times New Roman" w:hAnsi="Times New Roman" w:cs="Times New Roman"/>
          <w:b/>
          <w:bCs/>
          <w:sz w:val="18"/>
          <w:szCs w:val="18"/>
          <w:lang w:val="en-IE"/>
        </w:rPr>
      </w:pPr>
      <w:r w:rsidRPr="00D403F5">
        <w:rPr>
          <w:rFonts w:ascii="Times New Roman" w:hAnsi="Times New Roman" w:cs="Times New Roman"/>
          <w:b/>
          <w:sz w:val="18"/>
          <w:szCs w:val="18"/>
          <w:lang w:val="en-IE"/>
        </w:rPr>
        <w:t>7.</w:t>
      </w:r>
      <w:r w:rsidR="00C57977" w:rsidRPr="00D403F5">
        <w:rPr>
          <w:rFonts w:ascii="Times New Roman" w:hAnsi="Times New Roman" w:cs="Times New Roman"/>
          <w:b/>
          <w:sz w:val="18"/>
          <w:szCs w:val="18"/>
          <w:lang w:val="en-IE"/>
        </w:rPr>
        <w:t>4</w:t>
      </w:r>
      <w:r w:rsidRPr="00D403F5">
        <w:rPr>
          <w:rFonts w:ascii="Times New Roman" w:hAnsi="Times New Roman" w:cs="Times New Roman"/>
          <w:b/>
          <w:sz w:val="18"/>
          <w:szCs w:val="18"/>
          <w:lang w:val="en-IE"/>
        </w:rPr>
        <w:t>.</w:t>
      </w:r>
      <w:r w:rsidRPr="00D403F5">
        <w:rPr>
          <w:rFonts w:ascii="Times New Roman" w:hAnsi="Times New Roman" w:cs="Times New Roman"/>
          <w:b/>
          <w:sz w:val="18"/>
          <w:szCs w:val="18"/>
          <w:lang w:val="en-IE"/>
        </w:rPr>
        <w:tab/>
        <w:t xml:space="preserve">Report of the </w:t>
      </w:r>
      <w:r w:rsidRPr="00D403F5">
        <w:rPr>
          <w:rFonts w:ascii="Times New Roman" w:hAnsi="Times New Roman" w:cs="Times New Roman"/>
          <w:b/>
          <w:i/>
          <w:iCs/>
          <w:sz w:val="18"/>
          <w:szCs w:val="18"/>
          <w:lang w:val="en-IE"/>
        </w:rPr>
        <w:t xml:space="preserve">ad hoc </w:t>
      </w:r>
      <w:r w:rsidRPr="00D403F5">
        <w:rPr>
          <w:rFonts w:ascii="Times New Roman" w:hAnsi="Times New Roman" w:cs="Times New Roman"/>
          <w:b/>
          <w:sz w:val="18"/>
          <w:szCs w:val="18"/>
          <w:lang w:val="en-IE"/>
        </w:rPr>
        <w:t xml:space="preserve">Group on the susceptibility of fish species to infection with OIE </w:t>
      </w:r>
      <w:r w:rsidRPr="00D403F5">
        <w:rPr>
          <w:rFonts w:ascii="Times New Roman" w:eastAsia="MS Mincho" w:hAnsi="Times New Roman" w:cs="Times New Roman"/>
          <w:b/>
          <w:bCs/>
          <w:sz w:val="18"/>
          <w:szCs w:val="18"/>
          <w:lang w:val="en-IE" w:eastAsia="ja-JP"/>
        </w:rPr>
        <w:t>listed</w:t>
      </w:r>
      <w:r w:rsidRPr="00D403F5">
        <w:rPr>
          <w:rFonts w:ascii="Times New Roman" w:hAnsi="Times New Roman" w:cs="Times New Roman"/>
          <w:b/>
          <w:sz w:val="18"/>
          <w:szCs w:val="18"/>
          <w:lang w:val="en-IE"/>
        </w:rPr>
        <w:t xml:space="preserve"> diseases</w:t>
      </w:r>
    </w:p>
    <w:p w14:paraId="6DEF07A2" w14:textId="48E75307" w:rsidR="007B0BC7" w:rsidRPr="00D403F5" w:rsidRDefault="007B0BC7" w:rsidP="001041C6">
      <w:pPr>
        <w:pStyle w:val="para2"/>
        <w:suppressAutoHyphens/>
        <w:ind w:left="993" w:firstLine="0"/>
        <w:rPr>
          <w:rFonts w:ascii="Times New Roman" w:hAnsi="Times New Roman" w:cs="Times New Roman"/>
          <w:b w:val="0"/>
          <w:color w:val="auto"/>
          <w:lang w:val="en-IE"/>
        </w:rPr>
      </w:pPr>
      <w:r w:rsidRPr="00D403F5">
        <w:rPr>
          <w:rFonts w:ascii="Times New Roman" w:hAnsi="Times New Roman" w:cs="Times New Roman"/>
          <w:b w:val="0"/>
          <w:color w:val="auto"/>
          <w:lang w:val="en-IE"/>
        </w:rPr>
        <w:t xml:space="preserve">The Aquatic Animals Commission reviewed the report of the ad hoc Group on Susceptibility of fish species to infection with OIE listed diseases which had applied the criteria for listing species as susceptible to infection with a specific pathogenic agent in accordance with Chapter 1.5. of the Aquatic Code for infection with viral haemorrhagic septicaemia virus (VHSV). The Commission acknowledged and thanked the </w:t>
      </w:r>
      <w:r w:rsidRPr="00D403F5">
        <w:rPr>
          <w:rFonts w:ascii="Times New Roman" w:hAnsi="Times New Roman" w:cs="Times New Roman"/>
          <w:b w:val="0"/>
          <w:i/>
          <w:iCs/>
          <w:color w:val="auto"/>
          <w:lang w:val="en-IE"/>
        </w:rPr>
        <w:t>ad hoc</w:t>
      </w:r>
      <w:r w:rsidRPr="00D403F5">
        <w:rPr>
          <w:rFonts w:ascii="Times New Roman" w:hAnsi="Times New Roman" w:cs="Times New Roman"/>
          <w:b w:val="0"/>
          <w:color w:val="auto"/>
          <w:lang w:val="en-IE"/>
        </w:rPr>
        <w:t xml:space="preserve"> Group members for their extensive work to conduct these assessments.</w:t>
      </w:r>
    </w:p>
    <w:p w14:paraId="6D69103A" w14:textId="6BA22E42" w:rsidR="007B0BC7" w:rsidRPr="00D403F5" w:rsidRDefault="007B0BC7" w:rsidP="001041C6">
      <w:pPr>
        <w:pStyle w:val="para2"/>
        <w:suppressAutoHyphens/>
        <w:ind w:left="993" w:firstLine="0"/>
        <w:rPr>
          <w:rFonts w:ascii="Times New Roman" w:hAnsi="Times New Roman" w:cs="Times New Roman"/>
          <w:b w:val="0"/>
          <w:bCs w:val="0"/>
          <w:color w:val="auto"/>
          <w:lang w:val="en-IE"/>
        </w:rPr>
      </w:pPr>
      <w:r w:rsidRPr="00D403F5">
        <w:rPr>
          <w:rFonts w:ascii="Times New Roman" w:hAnsi="Times New Roman" w:cs="Times New Roman"/>
          <w:b w:val="0"/>
          <w:bCs w:val="0"/>
        </w:rPr>
        <w:t xml:space="preserve">The report of the OIE </w:t>
      </w:r>
      <w:r w:rsidRPr="00D403F5">
        <w:rPr>
          <w:rFonts w:ascii="Times New Roman" w:hAnsi="Times New Roman" w:cs="Times New Roman"/>
          <w:b w:val="0"/>
          <w:bCs w:val="0"/>
          <w:i/>
          <w:iCs/>
        </w:rPr>
        <w:t>ad hoc</w:t>
      </w:r>
      <w:r w:rsidRPr="00D403F5">
        <w:rPr>
          <w:rFonts w:ascii="Times New Roman" w:hAnsi="Times New Roman" w:cs="Times New Roman"/>
          <w:b w:val="0"/>
          <w:bCs w:val="0"/>
        </w:rPr>
        <w:t xml:space="preserve"> Group on Susceptibility of fish species to infection with OIE listed diseases is presented at </w:t>
      </w:r>
      <w:r w:rsidRPr="00D403F5">
        <w:rPr>
          <w:rFonts w:ascii="Times New Roman" w:hAnsi="Times New Roman" w:cs="Times New Roman"/>
          <w:b w:val="0"/>
          <w:bCs w:val="0"/>
          <w:u w:val="single"/>
        </w:rPr>
        <w:t xml:space="preserve">Annex </w:t>
      </w:r>
      <w:r w:rsidR="0075280E" w:rsidRPr="00D403F5">
        <w:rPr>
          <w:rFonts w:ascii="Times New Roman" w:hAnsi="Times New Roman" w:cs="Times New Roman"/>
          <w:b w:val="0"/>
          <w:bCs w:val="0"/>
          <w:u w:val="single"/>
        </w:rPr>
        <w:t>15</w:t>
      </w:r>
      <w:r w:rsidR="0075280E" w:rsidRPr="00D403F5">
        <w:rPr>
          <w:rFonts w:ascii="Times New Roman" w:hAnsi="Times New Roman" w:cs="Times New Roman"/>
          <w:b w:val="0"/>
          <w:bCs w:val="0"/>
        </w:rPr>
        <w:t xml:space="preserve"> </w:t>
      </w:r>
      <w:r w:rsidRPr="00D403F5">
        <w:rPr>
          <w:rFonts w:ascii="Times New Roman" w:hAnsi="Times New Roman" w:cs="Times New Roman"/>
          <w:b w:val="0"/>
          <w:bCs w:val="0"/>
        </w:rPr>
        <w:t>for Member information</w:t>
      </w:r>
    </w:p>
    <w:p w14:paraId="168B8285" w14:textId="4F25ED26" w:rsidR="002100A8" w:rsidRPr="00D403F5" w:rsidRDefault="0075280E" w:rsidP="001041C6">
      <w:pPr>
        <w:spacing w:after="240" w:line="240" w:lineRule="auto"/>
        <w:ind w:left="993" w:hanging="567"/>
        <w:jc w:val="both"/>
        <w:rPr>
          <w:rFonts w:ascii="Times New Roman" w:hAnsi="Times New Roman" w:cs="Times New Roman"/>
          <w:b/>
          <w:bCs/>
          <w:sz w:val="18"/>
          <w:szCs w:val="18"/>
        </w:rPr>
      </w:pPr>
      <w:r w:rsidRPr="00D403F5">
        <w:rPr>
          <w:rFonts w:ascii="Times New Roman" w:hAnsi="Times New Roman" w:cs="Times New Roman"/>
          <w:b/>
          <w:sz w:val="18"/>
          <w:szCs w:val="18"/>
        </w:rPr>
        <w:t>7.5.</w:t>
      </w:r>
      <w:r w:rsidRPr="00D403F5">
        <w:rPr>
          <w:rFonts w:ascii="Times New Roman" w:hAnsi="Times New Roman" w:cs="Times New Roman"/>
          <w:b/>
          <w:sz w:val="18"/>
          <w:szCs w:val="18"/>
        </w:rPr>
        <w:tab/>
        <w:t xml:space="preserve">Revised assessments for zebrafish against the criteria in Chapter 1.5. Criteria for listing species </w:t>
      </w:r>
      <w:r w:rsidRPr="00D403F5">
        <w:rPr>
          <w:rFonts w:ascii="Times New Roman" w:hAnsi="Times New Roman" w:cs="Times New Roman"/>
          <w:b/>
          <w:sz w:val="18"/>
          <w:szCs w:val="18"/>
          <w:lang w:val="en-IE"/>
        </w:rPr>
        <w:t>as</w:t>
      </w:r>
      <w:r w:rsidRPr="00D403F5">
        <w:rPr>
          <w:rFonts w:ascii="Times New Roman" w:hAnsi="Times New Roman" w:cs="Times New Roman"/>
          <w:b/>
          <w:sz w:val="18"/>
          <w:szCs w:val="18"/>
        </w:rPr>
        <w:t xml:space="preserve"> susceptible to infection with a specific pathogen</w:t>
      </w:r>
    </w:p>
    <w:p w14:paraId="561DCFD6" w14:textId="77777777" w:rsidR="0075280E" w:rsidRPr="00D403F5" w:rsidRDefault="0075280E"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Since adoption of the revised Article 10.9.2, the Commission had become aware of other scientific publications which had reported on the susceptibility of zebrafish to infection with SVCV (Lopez-Munoz </w:t>
      </w:r>
      <w:r w:rsidRPr="00D403F5">
        <w:rPr>
          <w:rFonts w:ascii="Times New Roman" w:hAnsi="Times New Roman" w:cs="Times New Roman"/>
          <w:i/>
          <w:iCs/>
          <w:sz w:val="18"/>
          <w:szCs w:val="18"/>
        </w:rPr>
        <w:t>et al.</w:t>
      </w:r>
      <w:r w:rsidRPr="00D403F5">
        <w:rPr>
          <w:rFonts w:ascii="Times New Roman" w:hAnsi="Times New Roman" w:cs="Times New Roman"/>
          <w:sz w:val="18"/>
          <w:szCs w:val="18"/>
        </w:rPr>
        <w:t xml:space="preserve">, 2010; </w:t>
      </w:r>
      <w:r w:rsidRPr="00D403F5">
        <w:rPr>
          <w:rFonts w:ascii="Times New Roman" w:hAnsi="Times New Roman" w:cs="Times New Roman"/>
          <w:color w:val="000000"/>
          <w:sz w:val="18"/>
          <w:szCs w:val="18"/>
        </w:rPr>
        <w:t xml:space="preserve">Martinez-Lopez </w:t>
      </w:r>
      <w:r w:rsidRPr="00D403F5">
        <w:rPr>
          <w:rFonts w:ascii="Times New Roman" w:hAnsi="Times New Roman" w:cs="Times New Roman"/>
          <w:i/>
          <w:iCs/>
          <w:color w:val="000000"/>
          <w:sz w:val="18"/>
          <w:szCs w:val="18"/>
        </w:rPr>
        <w:t>et al</w:t>
      </w:r>
      <w:r w:rsidRPr="00D403F5">
        <w:rPr>
          <w:rFonts w:ascii="Times New Roman" w:hAnsi="Times New Roman" w:cs="Times New Roman"/>
          <w:color w:val="000000"/>
          <w:sz w:val="18"/>
          <w:szCs w:val="18"/>
        </w:rPr>
        <w:t xml:space="preserve">., 2014; </w:t>
      </w:r>
      <w:r w:rsidRPr="00D403F5">
        <w:rPr>
          <w:rFonts w:ascii="Times New Roman" w:hAnsi="Times New Roman" w:cs="Times New Roman"/>
          <w:color w:val="000000"/>
          <w:sz w:val="18"/>
          <w:szCs w:val="18"/>
          <w:lang w:val="en-US"/>
        </w:rPr>
        <w:t xml:space="preserve">Medina-Gali </w:t>
      </w:r>
      <w:r w:rsidRPr="00D403F5">
        <w:rPr>
          <w:rFonts w:ascii="Times New Roman" w:hAnsi="Times New Roman" w:cs="Times New Roman"/>
          <w:i/>
          <w:iCs/>
          <w:color w:val="000000"/>
          <w:sz w:val="18"/>
          <w:szCs w:val="18"/>
          <w:lang w:val="en-US"/>
        </w:rPr>
        <w:t>et al</w:t>
      </w:r>
      <w:r w:rsidRPr="00D403F5">
        <w:rPr>
          <w:rFonts w:ascii="Times New Roman" w:hAnsi="Times New Roman" w:cs="Times New Roman"/>
          <w:color w:val="000000"/>
          <w:sz w:val="18"/>
          <w:szCs w:val="18"/>
          <w:lang w:val="en-US"/>
        </w:rPr>
        <w:t>., 2018</w:t>
      </w:r>
      <w:r w:rsidRPr="00D403F5">
        <w:rPr>
          <w:rFonts w:ascii="Times New Roman" w:hAnsi="Times New Roman" w:cs="Times New Roman"/>
          <w:color w:val="000000"/>
          <w:sz w:val="18"/>
          <w:szCs w:val="18"/>
        </w:rPr>
        <w:t xml:space="preserve">a; </w:t>
      </w:r>
      <w:r w:rsidRPr="00D403F5">
        <w:rPr>
          <w:rFonts w:ascii="Times New Roman" w:hAnsi="Times New Roman" w:cs="Times New Roman"/>
          <w:color w:val="000000"/>
          <w:sz w:val="18"/>
          <w:szCs w:val="18"/>
          <w:lang w:val="en-US"/>
        </w:rPr>
        <w:t xml:space="preserve">Medina-Gali </w:t>
      </w:r>
      <w:r w:rsidRPr="00D403F5">
        <w:rPr>
          <w:rFonts w:ascii="Times New Roman" w:hAnsi="Times New Roman" w:cs="Times New Roman"/>
          <w:i/>
          <w:iCs/>
          <w:color w:val="000000"/>
          <w:sz w:val="18"/>
          <w:szCs w:val="18"/>
          <w:lang w:val="en-US"/>
        </w:rPr>
        <w:t xml:space="preserve">et al., </w:t>
      </w:r>
      <w:r w:rsidRPr="00D403F5">
        <w:rPr>
          <w:rFonts w:ascii="Times New Roman" w:hAnsi="Times New Roman" w:cs="Times New Roman"/>
          <w:color w:val="000000"/>
          <w:sz w:val="18"/>
          <w:szCs w:val="18"/>
          <w:lang w:val="en-US"/>
        </w:rPr>
        <w:t xml:space="preserve"> 2018b; </w:t>
      </w:r>
      <w:r w:rsidRPr="00D403F5">
        <w:rPr>
          <w:rFonts w:ascii="Times New Roman" w:hAnsi="Times New Roman" w:cs="Times New Roman"/>
          <w:color w:val="000000"/>
          <w:sz w:val="18"/>
          <w:szCs w:val="18"/>
        </w:rPr>
        <w:t xml:space="preserve">Bello-Perez </w:t>
      </w:r>
      <w:r w:rsidRPr="00D403F5">
        <w:rPr>
          <w:rFonts w:ascii="Times New Roman" w:hAnsi="Times New Roman" w:cs="Times New Roman"/>
          <w:i/>
          <w:iCs/>
          <w:color w:val="000000"/>
          <w:sz w:val="18"/>
          <w:szCs w:val="18"/>
        </w:rPr>
        <w:t>et al</w:t>
      </w:r>
      <w:r w:rsidRPr="00D403F5">
        <w:rPr>
          <w:rFonts w:ascii="Times New Roman" w:hAnsi="Times New Roman" w:cs="Times New Roman"/>
          <w:color w:val="000000"/>
          <w:sz w:val="18"/>
          <w:szCs w:val="18"/>
        </w:rPr>
        <w:t>., 2019).</w:t>
      </w:r>
      <w:r w:rsidRPr="00D403F5">
        <w:rPr>
          <w:rFonts w:ascii="Times New Roman" w:hAnsi="Times New Roman" w:cs="Times New Roman"/>
          <w:sz w:val="18"/>
          <w:szCs w:val="18"/>
        </w:rPr>
        <w:t xml:space="preserve"> In light of this information, the Commission requested that the </w:t>
      </w:r>
      <w:r w:rsidRPr="00D403F5">
        <w:rPr>
          <w:rFonts w:ascii="Times New Roman" w:hAnsi="Times New Roman" w:cs="Times New Roman"/>
          <w:i/>
          <w:iCs/>
          <w:sz w:val="18"/>
          <w:szCs w:val="18"/>
        </w:rPr>
        <w:t>ad hoc</w:t>
      </w:r>
      <w:r w:rsidRPr="00D403F5">
        <w:rPr>
          <w:rFonts w:ascii="Times New Roman" w:hAnsi="Times New Roman" w:cs="Times New Roman"/>
          <w:sz w:val="18"/>
          <w:szCs w:val="18"/>
        </w:rPr>
        <w:t xml:space="preserve"> Group on Susceptibility of fish species to infection with OIE listed diseases review its previous assessments for zebrafish against the criteria in Chapter 1.5. taking into consideration these scientific studies. </w:t>
      </w:r>
    </w:p>
    <w:p w14:paraId="50BB20C1" w14:textId="1E5B4D4E" w:rsidR="0075280E" w:rsidRPr="00D403F5" w:rsidRDefault="0075280E" w:rsidP="001041C6">
      <w:pPr>
        <w:spacing w:after="240" w:line="240" w:lineRule="auto"/>
        <w:ind w:left="993"/>
        <w:jc w:val="both"/>
        <w:rPr>
          <w:rFonts w:ascii="Times New Roman" w:hAnsi="Times New Roman" w:cs="Times New Roman"/>
          <w:sz w:val="18"/>
          <w:szCs w:val="18"/>
        </w:rPr>
      </w:pPr>
      <w:r w:rsidRPr="00D403F5">
        <w:rPr>
          <w:rFonts w:ascii="Times New Roman" w:hAnsi="Times New Roman" w:cs="Times New Roman"/>
          <w:sz w:val="18"/>
          <w:szCs w:val="18"/>
        </w:rPr>
        <w:t xml:space="preserve">The </w:t>
      </w:r>
      <w:r w:rsidRPr="00D403F5">
        <w:rPr>
          <w:rFonts w:ascii="Times New Roman" w:hAnsi="Times New Roman" w:cs="Times New Roman"/>
          <w:i/>
          <w:sz w:val="18"/>
          <w:szCs w:val="18"/>
        </w:rPr>
        <w:t>ad hoc</w:t>
      </w:r>
      <w:r w:rsidRPr="00D403F5">
        <w:rPr>
          <w:rFonts w:ascii="Times New Roman" w:hAnsi="Times New Roman" w:cs="Times New Roman"/>
          <w:sz w:val="18"/>
          <w:szCs w:val="18"/>
        </w:rPr>
        <w:t xml:space="preserve"> Group reviewed its previous assessments taking into account the additional publications and agreed that zebrafish did met the criteria for listing as a susceptible species and should be included in Article 10.9.2. (see also Item 6.5.).</w:t>
      </w:r>
    </w:p>
    <w:p w14:paraId="69459002" w14:textId="463CD861" w:rsidR="0075280E" w:rsidRPr="00D403F5" w:rsidRDefault="0075280E" w:rsidP="001041C6">
      <w:pPr>
        <w:pStyle w:val="para2"/>
        <w:suppressAutoHyphens/>
        <w:ind w:left="993" w:firstLine="0"/>
        <w:rPr>
          <w:rFonts w:ascii="Times New Roman" w:hAnsi="Times New Roman" w:cs="Times New Roman"/>
          <w:b w:val="0"/>
          <w:bCs w:val="0"/>
          <w:color w:val="auto"/>
          <w:lang w:val="en-IE"/>
        </w:rPr>
      </w:pPr>
      <w:r w:rsidRPr="00D403F5">
        <w:rPr>
          <w:rFonts w:ascii="Times New Roman" w:hAnsi="Times New Roman" w:cs="Times New Roman"/>
          <w:b w:val="0"/>
          <w:bCs w:val="0"/>
        </w:rPr>
        <w:t xml:space="preserve">The revised assessment of the OIE </w:t>
      </w:r>
      <w:r w:rsidRPr="00D403F5">
        <w:rPr>
          <w:rFonts w:ascii="Times New Roman" w:hAnsi="Times New Roman" w:cs="Times New Roman"/>
          <w:b w:val="0"/>
          <w:bCs w:val="0"/>
          <w:i/>
          <w:iCs/>
        </w:rPr>
        <w:t>ad hoc</w:t>
      </w:r>
      <w:r w:rsidRPr="00D403F5">
        <w:rPr>
          <w:rFonts w:ascii="Times New Roman" w:hAnsi="Times New Roman" w:cs="Times New Roman"/>
          <w:b w:val="0"/>
          <w:bCs w:val="0"/>
        </w:rPr>
        <w:t xml:space="preserve"> Group on Susceptibility of fish species to infection with OIE listed diseases is presented at </w:t>
      </w:r>
      <w:r w:rsidRPr="00D403F5">
        <w:rPr>
          <w:rFonts w:ascii="Times New Roman" w:hAnsi="Times New Roman" w:cs="Times New Roman"/>
          <w:b w:val="0"/>
          <w:bCs w:val="0"/>
          <w:u w:val="single"/>
        </w:rPr>
        <w:t>Annex 16</w:t>
      </w:r>
      <w:r w:rsidRPr="00D403F5">
        <w:rPr>
          <w:rFonts w:ascii="Times New Roman" w:hAnsi="Times New Roman" w:cs="Times New Roman"/>
          <w:b w:val="0"/>
          <w:bCs w:val="0"/>
        </w:rPr>
        <w:t xml:space="preserve"> for Member information.</w:t>
      </w:r>
    </w:p>
    <w:p w14:paraId="52A81DA4" w14:textId="47D59D67" w:rsidR="002A2019" w:rsidRPr="00D403F5" w:rsidRDefault="002A2019" w:rsidP="001041C6">
      <w:pPr>
        <w:spacing w:after="240" w:line="240" w:lineRule="auto"/>
        <w:ind w:left="993" w:hanging="567"/>
        <w:jc w:val="both"/>
        <w:rPr>
          <w:rFonts w:ascii="Times New Roman" w:hAnsi="Times New Roman" w:cs="Times New Roman"/>
          <w:b/>
          <w:bCs/>
          <w:sz w:val="18"/>
          <w:szCs w:val="18"/>
          <w:lang w:val="en-IE"/>
        </w:rPr>
      </w:pPr>
      <w:r w:rsidRPr="00D403F5">
        <w:rPr>
          <w:rFonts w:ascii="Times New Roman" w:hAnsi="Times New Roman" w:cs="Times New Roman"/>
          <w:b/>
          <w:sz w:val="18"/>
          <w:szCs w:val="18"/>
          <w:lang w:val="en-IE"/>
        </w:rPr>
        <w:t>7.</w:t>
      </w:r>
      <w:r w:rsidR="0075280E" w:rsidRPr="00D403F5">
        <w:rPr>
          <w:rFonts w:ascii="Times New Roman" w:hAnsi="Times New Roman" w:cs="Times New Roman"/>
          <w:b/>
          <w:sz w:val="18"/>
          <w:szCs w:val="18"/>
          <w:lang w:val="en-IE"/>
        </w:rPr>
        <w:t>6</w:t>
      </w:r>
      <w:r w:rsidRPr="00D403F5">
        <w:rPr>
          <w:rFonts w:ascii="Times New Roman" w:hAnsi="Times New Roman" w:cs="Times New Roman"/>
          <w:b/>
          <w:sz w:val="18"/>
          <w:szCs w:val="18"/>
          <w:lang w:val="en-IE"/>
        </w:rPr>
        <w:t xml:space="preserve">. </w:t>
      </w:r>
      <w:r w:rsidRPr="00D403F5">
        <w:rPr>
          <w:rFonts w:ascii="Times New Roman" w:hAnsi="Times New Roman" w:cs="Times New Roman"/>
          <w:b/>
          <w:sz w:val="18"/>
          <w:szCs w:val="18"/>
          <w:lang w:val="en-IE"/>
        </w:rPr>
        <w:tab/>
      </w:r>
      <w:r w:rsidRPr="00D403F5">
        <w:rPr>
          <w:rFonts w:ascii="Times New Roman" w:hAnsi="Times New Roman" w:cs="Times New Roman"/>
          <w:b/>
          <w:sz w:val="18"/>
          <w:szCs w:val="18"/>
        </w:rPr>
        <w:t>Electronic</w:t>
      </w:r>
      <w:r w:rsidRPr="00D403F5">
        <w:rPr>
          <w:rFonts w:ascii="Times New Roman" w:hAnsi="Times New Roman" w:cs="Times New Roman"/>
          <w:b/>
          <w:sz w:val="18"/>
          <w:szCs w:val="18"/>
          <w:lang w:val="en-IE"/>
        </w:rPr>
        <w:t xml:space="preserve"> </w:t>
      </w:r>
      <w:r w:rsidRPr="00D403F5">
        <w:rPr>
          <w:rFonts w:ascii="Times New Roman" w:hAnsi="Times New Roman" w:cs="Times New Roman"/>
          <w:b/>
          <w:i/>
          <w:sz w:val="18"/>
          <w:szCs w:val="18"/>
          <w:lang w:val="en-IE"/>
        </w:rPr>
        <w:t xml:space="preserve">ad hoc </w:t>
      </w:r>
      <w:r w:rsidRPr="00D403F5">
        <w:rPr>
          <w:rFonts w:ascii="Times New Roman" w:hAnsi="Times New Roman" w:cs="Times New Roman"/>
          <w:b/>
          <w:sz w:val="18"/>
          <w:szCs w:val="18"/>
          <w:lang w:val="en-IE"/>
        </w:rPr>
        <w:t xml:space="preserve">Group on Tilapia lake virus </w:t>
      </w:r>
    </w:p>
    <w:p w14:paraId="1685F646" w14:textId="77777777" w:rsidR="002A2019" w:rsidRPr="00D403F5" w:rsidRDefault="002A2019"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Aquatic Animals Commission reviewed the progress report of 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 on Tilapia lake virus (TiLV) which had met electronically since February 2019 to progress its work on the development of a robust and reliable diagnostic test for TiLV. The Commission expressed its gratitude for the extensive work carried out by this Group. </w:t>
      </w:r>
    </w:p>
    <w:p w14:paraId="2C458FCE" w14:textId="77777777" w:rsidR="002A2019" w:rsidRPr="00D403F5" w:rsidRDefault="002A2019"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 had reported on its successful propagation of TiLV and production of positive samples for proficiency testing, and the results of an inter-laboratory comparison to evaluate and compare the most promising of the TiLV molecular assays by using a panel of selected samples from infected and non-infected animals. Results indicated that the real-time qPCR was the most sensitive and reliable test, however, only two laboratories participated in the inter-laboratory comparison. </w:t>
      </w:r>
    </w:p>
    <w:p w14:paraId="03AAAA68" w14:textId="77777777" w:rsidR="002A2019" w:rsidRPr="00D403F5" w:rsidRDefault="002A2019"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Commission agreed with 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 that given only two laboratories participated in the inter-laboratory comparison, the </w:t>
      </w:r>
      <w:r w:rsidRPr="00D403F5">
        <w:rPr>
          <w:rFonts w:ascii="Times New Roman" w:hAnsi="Times New Roman" w:cs="Times New Roman"/>
          <w:sz w:val="18"/>
          <w:szCs w:val="18"/>
          <w:lang w:val="en-IE"/>
        </w:rPr>
        <w:t xml:space="preserve">results could only be considered as preliminary. </w:t>
      </w:r>
      <w:r w:rsidRPr="00D403F5">
        <w:rPr>
          <w:rFonts w:ascii="Times New Roman" w:hAnsi="Times New Roman" w:cs="Times New Roman"/>
          <w:sz w:val="18"/>
          <w:szCs w:val="18"/>
          <w:lang w:val="en-IE" w:eastAsia="fr-FR"/>
        </w:rPr>
        <w:t xml:space="preserve">The Commission, therefore, requested that 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 organise another round of inter-laboratory comparison to corroborate the results. </w:t>
      </w:r>
    </w:p>
    <w:p w14:paraId="4557FFB8" w14:textId="10A137C7" w:rsidR="002A2019" w:rsidRPr="00D403F5" w:rsidRDefault="002A2019"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Commission also reviewed 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Group’s results against the criteria for listing aquatic animal diseases as described in Chapter 1.2. and agreed that the amount of data gathered did not provide enough evidence for the Commission to recommend the listing of TiLV. The Commission acknowledged the issue of laboratory participation and noted that further inter-laboratory comparison work is required. The </w:t>
      </w:r>
      <w:r w:rsidRPr="00D403F5">
        <w:rPr>
          <w:rFonts w:ascii="Times New Roman" w:hAnsi="Times New Roman" w:cs="Times New Roman"/>
          <w:i/>
          <w:iCs/>
          <w:sz w:val="18"/>
          <w:szCs w:val="18"/>
          <w:lang w:val="en-IE" w:eastAsia="fr-FR"/>
        </w:rPr>
        <w:t xml:space="preserve">ad hoc </w:t>
      </w:r>
      <w:r w:rsidRPr="00D403F5">
        <w:rPr>
          <w:rFonts w:ascii="Times New Roman" w:hAnsi="Times New Roman" w:cs="Times New Roman"/>
          <w:sz w:val="18"/>
          <w:szCs w:val="18"/>
          <w:lang w:val="en-IE" w:eastAsia="fr-FR"/>
        </w:rPr>
        <w:t xml:space="preserve">Group was asked to continue its work and to report back to the next meeting of the Commission in February 2020. </w:t>
      </w:r>
    </w:p>
    <w:p w14:paraId="5BFA0890" w14:textId="0321A245" w:rsidR="002A2019" w:rsidRPr="00D403F5" w:rsidRDefault="002A2019"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The Commission noted that collaboration among Member</w:t>
      </w:r>
      <w:r w:rsidR="001323BE" w:rsidRPr="00D403F5">
        <w:rPr>
          <w:rFonts w:ascii="Times New Roman" w:hAnsi="Times New Roman" w:cs="Times New Roman"/>
          <w:sz w:val="18"/>
          <w:szCs w:val="18"/>
          <w:lang w:val="en-IE" w:eastAsia="fr-FR"/>
        </w:rPr>
        <w:t>s</w:t>
      </w:r>
      <w:r w:rsidRPr="00D403F5">
        <w:rPr>
          <w:rFonts w:ascii="Times New Roman" w:hAnsi="Times New Roman" w:cs="Times New Roman"/>
          <w:sz w:val="18"/>
          <w:szCs w:val="18"/>
          <w:lang w:val="en-IE" w:eastAsia="fr-FR"/>
        </w:rPr>
        <w:t xml:space="preserve"> is essential for effective responses to emerging diseases. The Commission encouraged the relevant laboratories to participate in the work of 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 in particular for further inter-laboratory comparisons.</w:t>
      </w:r>
    </w:p>
    <w:p w14:paraId="22276A89" w14:textId="74FE837D" w:rsidR="002A2019" w:rsidRPr="00D403F5" w:rsidRDefault="002A2019" w:rsidP="001041C6">
      <w:pPr>
        <w:spacing w:after="240" w:line="240" w:lineRule="auto"/>
        <w:ind w:left="993" w:hanging="567"/>
        <w:jc w:val="both"/>
        <w:rPr>
          <w:rFonts w:ascii="Times New Roman" w:hAnsi="Times New Roman" w:cs="Times New Roman"/>
          <w:b/>
          <w:bCs/>
          <w:sz w:val="18"/>
          <w:szCs w:val="18"/>
          <w:lang w:val="en-IE"/>
        </w:rPr>
      </w:pPr>
      <w:r w:rsidRPr="00D403F5">
        <w:rPr>
          <w:rFonts w:ascii="Times New Roman" w:hAnsi="Times New Roman" w:cs="Times New Roman"/>
          <w:b/>
          <w:sz w:val="18"/>
          <w:szCs w:val="18"/>
          <w:lang w:val="en-IE"/>
        </w:rPr>
        <w:t>7.</w:t>
      </w:r>
      <w:r w:rsidR="0075280E" w:rsidRPr="00D403F5">
        <w:rPr>
          <w:rFonts w:ascii="Times New Roman" w:hAnsi="Times New Roman" w:cs="Times New Roman"/>
          <w:b/>
          <w:sz w:val="18"/>
          <w:szCs w:val="18"/>
          <w:lang w:val="en-IE"/>
        </w:rPr>
        <w:t>7</w:t>
      </w:r>
      <w:r w:rsidRPr="00D403F5">
        <w:rPr>
          <w:rFonts w:ascii="Times New Roman" w:hAnsi="Times New Roman" w:cs="Times New Roman"/>
          <w:b/>
          <w:sz w:val="18"/>
          <w:szCs w:val="18"/>
          <w:lang w:val="en-IE"/>
        </w:rPr>
        <w:t>.</w:t>
      </w:r>
      <w:r w:rsidRPr="00D403F5">
        <w:rPr>
          <w:rFonts w:ascii="Times New Roman" w:hAnsi="Times New Roman" w:cs="Times New Roman"/>
          <w:b/>
          <w:sz w:val="18"/>
          <w:szCs w:val="18"/>
          <w:lang w:val="en-IE"/>
        </w:rPr>
        <w:tab/>
        <w:t>A</w:t>
      </w:r>
      <w:r w:rsidRPr="00D403F5">
        <w:rPr>
          <w:rFonts w:ascii="Times New Roman" w:hAnsi="Times New Roman" w:cs="Times New Roman"/>
          <w:b/>
          <w:i/>
          <w:sz w:val="18"/>
          <w:szCs w:val="18"/>
          <w:lang w:val="en-IE"/>
        </w:rPr>
        <w:t>d hoc</w:t>
      </w:r>
      <w:r w:rsidRPr="00D403F5">
        <w:rPr>
          <w:rFonts w:ascii="Times New Roman" w:hAnsi="Times New Roman" w:cs="Times New Roman"/>
          <w:b/>
          <w:sz w:val="18"/>
          <w:szCs w:val="18"/>
          <w:lang w:val="en-IE"/>
        </w:rPr>
        <w:t xml:space="preserve"> Group on </w:t>
      </w:r>
      <w:r w:rsidR="005701BA" w:rsidRPr="00D403F5">
        <w:rPr>
          <w:rFonts w:ascii="Times New Roman" w:hAnsi="Times New Roman" w:cs="Times New Roman"/>
          <w:b/>
          <w:sz w:val="18"/>
          <w:szCs w:val="18"/>
          <w:lang w:val="en-IE"/>
        </w:rPr>
        <w:t>s</w:t>
      </w:r>
      <w:r w:rsidRPr="00D403F5">
        <w:rPr>
          <w:rFonts w:ascii="Times New Roman" w:hAnsi="Times New Roman" w:cs="Times New Roman"/>
          <w:b/>
          <w:sz w:val="18"/>
          <w:szCs w:val="18"/>
          <w:lang w:val="en-IE"/>
        </w:rPr>
        <w:t xml:space="preserve">usceptibility of mollusc species to infection with OIE listed diseases </w:t>
      </w:r>
    </w:p>
    <w:p w14:paraId="5D2EC4A9" w14:textId="77777777" w:rsidR="002A2019" w:rsidRPr="00D403F5" w:rsidRDefault="002A2019" w:rsidP="001041C6">
      <w:pPr>
        <w:spacing w:after="240" w:line="240" w:lineRule="auto"/>
        <w:ind w:left="993"/>
        <w:jc w:val="both"/>
        <w:rPr>
          <w:rFonts w:ascii="Times New Roman" w:hAnsi="Times New Roman" w:cs="Times New Roman"/>
          <w:sz w:val="18"/>
          <w:szCs w:val="18"/>
          <w:lang w:val="en-IE" w:eastAsia="fr-FR"/>
        </w:rPr>
      </w:pPr>
      <w:r w:rsidRPr="00D403F5">
        <w:rPr>
          <w:rFonts w:ascii="Times New Roman" w:hAnsi="Times New Roman" w:cs="Times New Roman"/>
          <w:sz w:val="18"/>
          <w:szCs w:val="18"/>
          <w:lang w:val="en-IE" w:eastAsia="fr-FR"/>
        </w:rPr>
        <w:t xml:space="preserve">The Aquatic Animals Commission was informed that 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 on Susceptibility of mollusc species to infection with OIE listed diseases had been established and will meet in December 2019 and January 2020 to start work on the application of Chapter 1.5. Criteria for listing species as susceptible to infection with a specific pathogen to OIE listed mollusc diseases. The Commission will consider the </w:t>
      </w:r>
      <w:r w:rsidRPr="00D403F5">
        <w:rPr>
          <w:rFonts w:ascii="Times New Roman" w:hAnsi="Times New Roman" w:cs="Times New Roman"/>
          <w:i/>
          <w:iCs/>
          <w:sz w:val="18"/>
          <w:szCs w:val="18"/>
          <w:lang w:val="en-IE" w:eastAsia="fr-FR"/>
        </w:rPr>
        <w:t>ad hoc</w:t>
      </w:r>
      <w:r w:rsidRPr="00D403F5">
        <w:rPr>
          <w:rFonts w:ascii="Times New Roman" w:hAnsi="Times New Roman" w:cs="Times New Roman"/>
          <w:sz w:val="18"/>
          <w:szCs w:val="18"/>
          <w:lang w:val="en-IE" w:eastAsia="fr-FR"/>
        </w:rPr>
        <w:t xml:space="preserve"> Group’s report at its February 2020 meeting. </w:t>
      </w:r>
    </w:p>
    <w:p w14:paraId="3ED1F343" w14:textId="6DC3F5F4" w:rsidR="006A01BB" w:rsidRPr="00D403F5" w:rsidRDefault="006A01BB" w:rsidP="001041C6">
      <w:pPr>
        <w:pStyle w:val="Web"/>
        <w:spacing w:before="0" w:beforeAutospacing="0" w:after="240" w:afterAutospacing="0"/>
        <w:ind w:left="426" w:hanging="426"/>
        <w:jc w:val="center"/>
        <w:rPr>
          <w:b/>
          <w:sz w:val="18"/>
          <w:szCs w:val="18"/>
          <w:lang w:val="en-IE"/>
        </w:rPr>
      </w:pPr>
      <w:r w:rsidRPr="00D403F5">
        <w:rPr>
          <w:b/>
          <w:sz w:val="18"/>
          <w:szCs w:val="18"/>
          <w:lang w:val="en-IE"/>
        </w:rPr>
        <w:t>OIE REFERENCE CENTRES</w:t>
      </w:r>
    </w:p>
    <w:p w14:paraId="7DD1F626" w14:textId="638A1A07" w:rsidR="006A01BB" w:rsidRPr="00D403F5" w:rsidRDefault="002A2019" w:rsidP="001041C6">
      <w:pPr>
        <w:spacing w:after="240" w:line="240" w:lineRule="auto"/>
        <w:ind w:left="993" w:hanging="567"/>
        <w:jc w:val="both"/>
        <w:rPr>
          <w:rFonts w:ascii="Times New Roman" w:eastAsia="MS Mincho" w:hAnsi="Times New Roman" w:cs="Times New Roman"/>
          <w:b/>
          <w:sz w:val="18"/>
          <w:szCs w:val="18"/>
          <w:lang w:val="en-IE" w:eastAsia="ja-JP"/>
        </w:rPr>
      </w:pPr>
      <w:r w:rsidRPr="00D403F5">
        <w:rPr>
          <w:rFonts w:ascii="Times New Roman" w:hAnsi="Times New Roman" w:cs="Times New Roman"/>
          <w:b/>
          <w:sz w:val="18"/>
          <w:szCs w:val="18"/>
          <w:lang w:val="en-IE"/>
        </w:rPr>
        <w:t>7.</w:t>
      </w:r>
      <w:r w:rsidR="0075280E" w:rsidRPr="00D403F5">
        <w:rPr>
          <w:rFonts w:ascii="Times New Roman" w:hAnsi="Times New Roman" w:cs="Times New Roman"/>
          <w:b/>
          <w:sz w:val="18"/>
          <w:szCs w:val="18"/>
          <w:lang w:val="en-IE"/>
        </w:rPr>
        <w:t>8</w:t>
      </w:r>
      <w:r w:rsidRPr="00D403F5">
        <w:rPr>
          <w:rFonts w:ascii="Times New Roman" w:hAnsi="Times New Roman" w:cs="Times New Roman"/>
          <w:b/>
          <w:sz w:val="18"/>
          <w:szCs w:val="18"/>
          <w:lang w:val="en-IE"/>
        </w:rPr>
        <w:t>.</w:t>
      </w:r>
      <w:r w:rsidR="0030178B" w:rsidRPr="00D403F5">
        <w:rPr>
          <w:rFonts w:ascii="Times New Roman" w:hAnsi="Times New Roman" w:cs="Times New Roman"/>
          <w:b/>
          <w:sz w:val="18"/>
          <w:szCs w:val="18"/>
          <w:lang w:val="en-IE"/>
        </w:rPr>
        <w:t xml:space="preserve"> </w:t>
      </w:r>
      <w:r w:rsidR="006A01BB" w:rsidRPr="00D403F5">
        <w:rPr>
          <w:rFonts w:ascii="Times New Roman" w:hAnsi="Times New Roman" w:cs="Times New Roman"/>
          <w:b/>
          <w:sz w:val="18"/>
          <w:szCs w:val="18"/>
          <w:lang w:val="en-IE"/>
        </w:rPr>
        <w:tab/>
        <w:t>Evaluation of a</w:t>
      </w:r>
      <w:r w:rsidR="006A01BB" w:rsidRPr="00D403F5">
        <w:rPr>
          <w:rFonts w:ascii="Times New Roman" w:eastAsia="MS Mincho" w:hAnsi="Times New Roman" w:cs="Times New Roman"/>
          <w:b/>
          <w:sz w:val="18"/>
          <w:szCs w:val="18"/>
          <w:lang w:val="en-IE" w:eastAsia="ja-JP"/>
        </w:rPr>
        <w:t xml:space="preserve">pplications for OIE Reference Centres for Aquatic Animal Health issues or change of experts </w:t>
      </w:r>
    </w:p>
    <w:p w14:paraId="7ADD1792" w14:textId="3C5AEA03" w:rsidR="006A01BB" w:rsidRPr="00D403F5" w:rsidRDefault="006A01BB" w:rsidP="001041C6">
      <w:pPr>
        <w:pStyle w:val="para110"/>
        <w:widowControl w:val="0"/>
        <w:ind w:left="993"/>
        <w:rPr>
          <w:sz w:val="18"/>
          <w:szCs w:val="18"/>
          <w:lang w:val="en-IE"/>
        </w:rPr>
      </w:pPr>
      <w:r w:rsidRPr="00D403F5">
        <w:rPr>
          <w:sz w:val="18"/>
          <w:szCs w:val="18"/>
          <w:lang w:val="en-IE"/>
        </w:rPr>
        <w:t>A nomination had been submitted to the OIE for a change of expert at an OIE Reference Laboratory by the Delegate of the Member concerned. The Commission recommended its acceptance:</w:t>
      </w:r>
    </w:p>
    <w:p w14:paraId="51537BFA" w14:textId="77777777" w:rsidR="00413548" w:rsidRPr="00D403F5" w:rsidRDefault="006A01BB" w:rsidP="001041C6">
      <w:pPr>
        <w:spacing w:after="240" w:line="240" w:lineRule="auto"/>
        <w:ind w:left="993"/>
        <w:jc w:val="both"/>
        <w:rPr>
          <w:rFonts w:ascii="Times New Roman" w:hAnsi="Times New Roman" w:cs="Times New Roman"/>
          <w:i/>
          <w:sz w:val="18"/>
          <w:szCs w:val="18"/>
          <w:lang w:val="en-IE"/>
        </w:rPr>
      </w:pPr>
      <w:r w:rsidRPr="00D403F5">
        <w:rPr>
          <w:rFonts w:ascii="Times New Roman" w:hAnsi="Times New Roman" w:cs="Times New Roman"/>
          <w:i/>
          <w:sz w:val="18"/>
          <w:szCs w:val="18"/>
          <w:lang w:val="en-IE"/>
        </w:rPr>
        <w:t>Infection with Koi herpesvirus disease</w:t>
      </w:r>
    </w:p>
    <w:p w14:paraId="0EDE4157" w14:textId="367F5E5E" w:rsidR="006A01BB" w:rsidRPr="00D403F5" w:rsidRDefault="006A01BB" w:rsidP="001041C6">
      <w:pPr>
        <w:spacing w:after="240" w:line="240" w:lineRule="auto"/>
        <w:ind w:left="993"/>
        <w:jc w:val="both"/>
        <w:rPr>
          <w:rFonts w:ascii="Times New Roman" w:hAnsi="Times New Roman" w:cs="Times New Roman"/>
          <w:sz w:val="18"/>
          <w:szCs w:val="18"/>
          <w:lang w:val="en-IE"/>
        </w:rPr>
      </w:pPr>
      <w:r w:rsidRPr="00D403F5">
        <w:rPr>
          <w:rFonts w:ascii="Times New Roman" w:eastAsia="MS Mincho" w:hAnsi="Times New Roman" w:cs="Times New Roman"/>
          <w:sz w:val="18"/>
          <w:szCs w:val="18"/>
          <w:lang w:val="en-IE" w:eastAsia="ja-JP"/>
        </w:rPr>
        <w:t>Dr Takafumi Ito</w:t>
      </w:r>
      <w:r w:rsidRPr="00D403F5">
        <w:rPr>
          <w:rStyle w:val="af7"/>
          <w:rFonts w:ascii="Times New Roman" w:hAnsi="Times New Roman" w:cs="Times New Roman"/>
          <w:sz w:val="18"/>
          <w:szCs w:val="18"/>
          <w:lang w:val="en-IE"/>
        </w:rPr>
        <w:t xml:space="preserve"> </w:t>
      </w:r>
      <w:r w:rsidRPr="00D403F5">
        <w:rPr>
          <w:rStyle w:val="af7"/>
          <w:rFonts w:ascii="Times New Roman" w:hAnsi="Times New Roman" w:cs="Times New Roman"/>
          <w:b w:val="0"/>
          <w:bCs w:val="0"/>
          <w:sz w:val="18"/>
          <w:szCs w:val="18"/>
          <w:lang w:val="en-IE"/>
        </w:rPr>
        <w:t>to replace</w:t>
      </w:r>
      <w:r w:rsidRPr="00D403F5">
        <w:rPr>
          <w:rFonts w:ascii="Times New Roman" w:eastAsia="MS Mincho" w:hAnsi="Times New Roman" w:cs="Times New Roman"/>
          <w:sz w:val="18"/>
          <w:szCs w:val="18"/>
          <w:lang w:eastAsia="ja-JP"/>
        </w:rPr>
        <w:t xml:space="preserve"> </w:t>
      </w:r>
      <w:r w:rsidRPr="00D403F5">
        <w:rPr>
          <w:rFonts w:ascii="Times New Roman" w:eastAsia="MS Mincho" w:hAnsi="Times New Roman" w:cs="Times New Roman"/>
          <w:sz w:val="18"/>
          <w:szCs w:val="18"/>
          <w:lang w:val="en-IE" w:eastAsia="ja-JP"/>
        </w:rPr>
        <w:t>Dr Kei Yuasa</w:t>
      </w:r>
      <w:r w:rsidRPr="00D403F5">
        <w:rPr>
          <w:rStyle w:val="af7"/>
          <w:rFonts w:ascii="Times New Roman" w:hAnsi="Times New Roman" w:cs="Times New Roman"/>
          <w:sz w:val="18"/>
          <w:szCs w:val="18"/>
          <w:lang w:val="en-IE"/>
        </w:rPr>
        <w:t xml:space="preserve"> </w:t>
      </w:r>
      <w:r w:rsidRPr="00D403F5">
        <w:rPr>
          <w:rStyle w:val="af7"/>
          <w:rFonts w:ascii="Times New Roman" w:hAnsi="Times New Roman" w:cs="Times New Roman"/>
          <w:b w:val="0"/>
          <w:bCs w:val="0"/>
          <w:sz w:val="18"/>
          <w:szCs w:val="18"/>
          <w:lang w:val="en-IE"/>
        </w:rPr>
        <w:t>at</w:t>
      </w:r>
      <w:r w:rsidRPr="00D403F5">
        <w:rPr>
          <w:rFonts w:ascii="Times New Roman" w:hAnsi="Times New Roman" w:cs="Times New Roman"/>
          <w:sz w:val="18"/>
          <w:szCs w:val="18"/>
          <w:lang w:val="en-IE"/>
        </w:rPr>
        <w:t xml:space="preserve"> the </w:t>
      </w:r>
      <w:r w:rsidRPr="00D403F5">
        <w:rPr>
          <w:rFonts w:ascii="Times New Roman" w:hAnsi="Times New Roman" w:cs="Times New Roman"/>
          <w:sz w:val="18"/>
          <w:szCs w:val="18"/>
        </w:rPr>
        <w:t>Diagnosis and Training Center for Fish Diseases, National Research Institute of Aquaculture, Japan Fisheries Research and Education Agency, JAPAN</w:t>
      </w:r>
      <w:r w:rsidRPr="00D403F5">
        <w:rPr>
          <w:rFonts w:ascii="Times New Roman" w:eastAsia="MS Mincho" w:hAnsi="Times New Roman" w:cs="Times New Roman"/>
          <w:sz w:val="18"/>
          <w:szCs w:val="18"/>
          <w:lang w:val="en-IE" w:eastAsia="ja-JP"/>
        </w:rPr>
        <w:t xml:space="preserve"> </w:t>
      </w:r>
    </w:p>
    <w:p w14:paraId="46B2B7A2" w14:textId="27950F06" w:rsidR="00F15B6A" w:rsidRPr="00D403F5" w:rsidRDefault="00F15B6A" w:rsidP="001041C6">
      <w:pPr>
        <w:pStyle w:val="Web"/>
        <w:spacing w:before="0" w:beforeAutospacing="0" w:after="240" w:afterAutospacing="0"/>
        <w:ind w:left="426" w:hanging="426"/>
        <w:jc w:val="center"/>
        <w:rPr>
          <w:b/>
          <w:sz w:val="18"/>
          <w:szCs w:val="18"/>
          <w:lang w:val="en-IE"/>
        </w:rPr>
      </w:pPr>
      <w:bookmarkStart w:id="23" w:name="_Hlk20834214"/>
      <w:bookmarkEnd w:id="20"/>
      <w:bookmarkEnd w:id="21"/>
      <w:bookmarkEnd w:id="23"/>
      <w:r w:rsidRPr="00D403F5">
        <w:rPr>
          <w:b/>
          <w:sz w:val="18"/>
          <w:szCs w:val="18"/>
          <w:lang w:val="en-IE"/>
        </w:rPr>
        <w:t>OIE AQUATIC ANIMAL HEALTH STRATEGY</w:t>
      </w:r>
    </w:p>
    <w:p w14:paraId="59EE75AE" w14:textId="0B798E44" w:rsidR="00C82323" w:rsidRPr="00D403F5" w:rsidRDefault="002A2019" w:rsidP="001041C6">
      <w:pPr>
        <w:pStyle w:val="Web"/>
        <w:widowControl w:val="0"/>
        <w:spacing w:before="0" w:beforeAutospacing="0" w:after="240" w:afterAutospacing="0"/>
        <w:ind w:left="993" w:hanging="567"/>
        <w:rPr>
          <w:rFonts w:eastAsiaTheme="minorHAnsi"/>
          <w:b/>
          <w:sz w:val="18"/>
          <w:szCs w:val="18"/>
          <w:lang w:val="en-IE"/>
        </w:rPr>
      </w:pPr>
      <w:r w:rsidRPr="00D403F5">
        <w:rPr>
          <w:rFonts w:eastAsiaTheme="minorHAnsi"/>
          <w:b/>
          <w:sz w:val="18"/>
          <w:szCs w:val="18"/>
          <w:lang w:val="en-IE"/>
        </w:rPr>
        <w:t>7.</w:t>
      </w:r>
      <w:r w:rsidR="0075280E" w:rsidRPr="00D403F5">
        <w:rPr>
          <w:rFonts w:eastAsiaTheme="minorHAnsi"/>
          <w:b/>
          <w:sz w:val="18"/>
          <w:szCs w:val="18"/>
          <w:lang w:val="en-IE"/>
        </w:rPr>
        <w:t>9</w:t>
      </w:r>
      <w:r w:rsidR="004B1810" w:rsidRPr="00D403F5">
        <w:rPr>
          <w:rFonts w:eastAsiaTheme="minorHAnsi"/>
          <w:b/>
          <w:sz w:val="18"/>
          <w:szCs w:val="18"/>
          <w:lang w:val="en-IE"/>
        </w:rPr>
        <w:t>.</w:t>
      </w:r>
      <w:r w:rsidRPr="00D403F5">
        <w:rPr>
          <w:rFonts w:eastAsiaTheme="minorHAnsi"/>
          <w:b/>
          <w:sz w:val="18"/>
          <w:szCs w:val="18"/>
          <w:lang w:val="en-IE"/>
        </w:rPr>
        <w:t xml:space="preserve"> </w:t>
      </w:r>
      <w:r w:rsidR="00413548" w:rsidRPr="00D403F5">
        <w:rPr>
          <w:rFonts w:eastAsiaTheme="minorHAnsi"/>
          <w:b/>
          <w:sz w:val="18"/>
          <w:szCs w:val="18"/>
          <w:lang w:val="en-IE"/>
        </w:rPr>
        <w:tab/>
      </w:r>
      <w:r w:rsidR="00381D1E" w:rsidRPr="00D403F5">
        <w:rPr>
          <w:rFonts w:eastAsiaTheme="minorHAnsi"/>
          <w:b/>
          <w:sz w:val="18"/>
          <w:szCs w:val="18"/>
          <w:lang w:val="en-IE"/>
        </w:rPr>
        <w:t xml:space="preserve">Development of an OIE </w:t>
      </w:r>
      <w:r w:rsidR="00D51D3F" w:rsidRPr="00D403F5">
        <w:rPr>
          <w:rFonts w:eastAsiaTheme="minorHAnsi"/>
          <w:b/>
          <w:sz w:val="18"/>
          <w:szCs w:val="18"/>
          <w:lang w:val="en-IE"/>
        </w:rPr>
        <w:t xml:space="preserve">Strategy for </w:t>
      </w:r>
      <w:r w:rsidR="00381D1E" w:rsidRPr="00D403F5">
        <w:rPr>
          <w:rFonts w:eastAsiaTheme="minorHAnsi"/>
          <w:b/>
          <w:sz w:val="18"/>
          <w:szCs w:val="18"/>
          <w:lang w:val="en-IE"/>
        </w:rPr>
        <w:t xml:space="preserve">Aquatic Animal Health </w:t>
      </w:r>
    </w:p>
    <w:p w14:paraId="53315598" w14:textId="2FCD4F2C" w:rsidR="00381D1E" w:rsidRPr="00D403F5" w:rsidRDefault="00381D1E" w:rsidP="001041C6">
      <w:pPr>
        <w:pStyle w:val="Web"/>
        <w:widowControl w:val="0"/>
        <w:spacing w:before="0" w:beforeAutospacing="0" w:after="240" w:afterAutospacing="0"/>
        <w:ind w:left="993"/>
        <w:jc w:val="both"/>
        <w:rPr>
          <w:rFonts w:eastAsiaTheme="minorHAnsi"/>
          <w:sz w:val="18"/>
          <w:szCs w:val="18"/>
          <w:lang w:val="en-IE"/>
        </w:rPr>
      </w:pPr>
      <w:r w:rsidRPr="00D403F5">
        <w:rPr>
          <w:rFonts w:eastAsiaTheme="minorHAnsi"/>
          <w:sz w:val="18"/>
          <w:szCs w:val="18"/>
          <w:lang w:val="en-IE"/>
        </w:rPr>
        <w:t xml:space="preserve">The OIE Director General had </w:t>
      </w:r>
      <w:r w:rsidR="00D51D3F" w:rsidRPr="00D403F5">
        <w:rPr>
          <w:rFonts w:eastAsiaTheme="minorHAnsi"/>
          <w:sz w:val="18"/>
          <w:szCs w:val="18"/>
          <w:lang w:val="en-IE"/>
        </w:rPr>
        <w:t>committed to developing an OIE Strategy for Aquatic Animal Health at the 4th OIE Global Conference on Aquatic Animal Health in Chile (2-4 April 2019). The Director General reiterated this commitment at the 2019 OIE General Session and requested that the Aquatic Animal</w:t>
      </w:r>
      <w:r w:rsidR="004B1810" w:rsidRPr="00D403F5">
        <w:rPr>
          <w:rFonts w:eastAsiaTheme="minorHAnsi"/>
          <w:sz w:val="18"/>
          <w:szCs w:val="18"/>
          <w:lang w:val="en-IE"/>
        </w:rPr>
        <w:t>s</w:t>
      </w:r>
      <w:r w:rsidR="00D51D3F" w:rsidRPr="00D403F5">
        <w:rPr>
          <w:rFonts w:eastAsiaTheme="minorHAnsi"/>
          <w:sz w:val="18"/>
          <w:szCs w:val="18"/>
          <w:lang w:val="en-IE"/>
        </w:rPr>
        <w:t xml:space="preserve"> Commission assist Headquarters to develop the strategy.</w:t>
      </w:r>
    </w:p>
    <w:p w14:paraId="460E397C" w14:textId="0C7C4F09" w:rsidR="002F6911" w:rsidRPr="00D403F5" w:rsidRDefault="00D51D3F" w:rsidP="001041C6">
      <w:pPr>
        <w:pStyle w:val="Web"/>
        <w:widowControl w:val="0"/>
        <w:spacing w:before="0" w:beforeAutospacing="0" w:after="240" w:afterAutospacing="0"/>
        <w:ind w:left="993"/>
        <w:jc w:val="both"/>
        <w:rPr>
          <w:rFonts w:eastAsiaTheme="minorHAnsi"/>
          <w:sz w:val="18"/>
          <w:szCs w:val="18"/>
          <w:lang w:val="en-IE"/>
        </w:rPr>
      </w:pPr>
      <w:r w:rsidRPr="00D403F5">
        <w:rPr>
          <w:rFonts w:eastAsiaTheme="minorHAnsi"/>
          <w:sz w:val="18"/>
          <w:szCs w:val="18"/>
          <w:lang w:val="en-IE"/>
        </w:rPr>
        <w:t xml:space="preserve">The </w:t>
      </w:r>
      <w:r w:rsidR="009513E3" w:rsidRPr="00D403F5">
        <w:rPr>
          <w:rFonts w:eastAsiaTheme="minorHAnsi"/>
          <w:sz w:val="18"/>
          <w:szCs w:val="18"/>
          <w:lang w:val="en-IE"/>
        </w:rPr>
        <w:t xml:space="preserve">Aquatic Animals </w:t>
      </w:r>
      <w:r w:rsidRPr="00D403F5">
        <w:rPr>
          <w:rFonts w:eastAsiaTheme="minorHAnsi"/>
          <w:sz w:val="18"/>
          <w:szCs w:val="18"/>
          <w:lang w:val="en-IE"/>
        </w:rPr>
        <w:t>Commission discussed progress toward development of an OIE Strategy for Aquatic Animal Health</w:t>
      </w:r>
      <w:r w:rsidR="00077380" w:rsidRPr="00D403F5">
        <w:rPr>
          <w:rFonts w:eastAsiaTheme="minorHAnsi"/>
          <w:sz w:val="18"/>
          <w:szCs w:val="18"/>
          <w:lang w:val="en-IE"/>
        </w:rPr>
        <w:t xml:space="preserve"> including the proposed outcomes, structure, milestones and consultation. The Commission also considered a number of </w:t>
      </w:r>
      <w:r w:rsidR="00437328" w:rsidRPr="00D403F5">
        <w:rPr>
          <w:rFonts w:eastAsiaTheme="minorHAnsi"/>
          <w:sz w:val="18"/>
          <w:szCs w:val="18"/>
          <w:lang w:val="en-IE"/>
        </w:rPr>
        <w:t>proposed</w:t>
      </w:r>
      <w:r w:rsidR="00077380" w:rsidRPr="00D403F5">
        <w:rPr>
          <w:rFonts w:eastAsiaTheme="minorHAnsi"/>
          <w:sz w:val="18"/>
          <w:szCs w:val="18"/>
          <w:lang w:val="en-IE"/>
        </w:rPr>
        <w:t xml:space="preserve"> objectives and activities for the strategy, many of which </w:t>
      </w:r>
      <w:r w:rsidR="002F6911" w:rsidRPr="00D403F5">
        <w:rPr>
          <w:rFonts w:eastAsiaTheme="minorHAnsi"/>
          <w:sz w:val="18"/>
          <w:szCs w:val="18"/>
          <w:lang w:val="en-IE"/>
        </w:rPr>
        <w:t>are</w:t>
      </w:r>
      <w:r w:rsidR="00077380" w:rsidRPr="00D403F5">
        <w:rPr>
          <w:rFonts w:eastAsiaTheme="minorHAnsi"/>
          <w:sz w:val="18"/>
          <w:szCs w:val="18"/>
          <w:lang w:val="en-IE"/>
        </w:rPr>
        <w:t xml:space="preserve"> drawn from previous consideration by </w:t>
      </w:r>
      <w:r w:rsidR="002F6911" w:rsidRPr="00D403F5">
        <w:rPr>
          <w:rFonts w:eastAsiaTheme="minorHAnsi"/>
          <w:sz w:val="18"/>
          <w:szCs w:val="18"/>
          <w:lang w:val="en-IE"/>
        </w:rPr>
        <w:t>M</w:t>
      </w:r>
      <w:r w:rsidR="00077380" w:rsidRPr="00D403F5">
        <w:rPr>
          <w:rFonts w:eastAsiaTheme="minorHAnsi"/>
          <w:sz w:val="18"/>
          <w:szCs w:val="18"/>
          <w:lang w:val="en-IE"/>
        </w:rPr>
        <w:t xml:space="preserve">embers and experts; for example, the outcomes of the </w:t>
      </w:r>
      <w:r w:rsidR="002F6911" w:rsidRPr="00D403F5">
        <w:rPr>
          <w:rFonts w:eastAsiaTheme="minorHAnsi"/>
          <w:sz w:val="18"/>
          <w:szCs w:val="18"/>
          <w:lang w:val="en-IE"/>
        </w:rPr>
        <w:t>OIE Global Conference on Aquatic Animal Health in Chile. The Commission further developed and refined the objectives and activities, noting that it would be important that these be further prioritised to include only well-defined and achievable tasks.</w:t>
      </w:r>
    </w:p>
    <w:p w14:paraId="70773090" w14:textId="79AB378C" w:rsidR="002F6911" w:rsidRPr="00D403F5" w:rsidRDefault="002F6911" w:rsidP="001041C6">
      <w:pPr>
        <w:pStyle w:val="Web"/>
        <w:widowControl w:val="0"/>
        <w:spacing w:before="0" w:beforeAutospacing="0" w:after="240" w:afterAutospacing="0"/>
        <w:ind w:left="993"/>
        <w:jc w:val="both"/>
        <w:rPr>
          <w:rFonts w:eastAsiaTheme="minorHAnsi"/>
          <w:sz w:val="18"/>
          <w:szCs w:val="18"/>
          <w:lang w:val="en-IE"/>
        </w:rPr>
      </w:pPr>
      <w:r w:rsidRPr="00D403F5">
        <w:rPr>
          <w:rFonts w:eastAsiaTheme="minorHAnsi"/>
          <w:sz w:val="18"/>
          <w:szCs w:val="18"/>
          <w:lang w:val="en-IE"/>
        </w:rPr>
        <w:t xml:space="preserve">The Commission noted that further consultation with </w:t>
      </w:r>
      <w:r w:rsidR="009513E3" w:rsidRPr="00D403F5">
        <w:rPr>
          <w:rFonts w:eastAsiaTheme="minorHAnsi"/>
          <w:sz w:val="18"/>
          <w:szCs w:val="18"/>
          <w:lang w:val="en-IE"/>
        </w:rPr>
        <w:t xml:space="preserve">Members and experts </w:t>
      </w:r>
      <w:r w:rsidRPr="00D403F5">
        <w:rPr>
          <w:rFonts w:eastAsiaTheme="minorHAnsi"/>
          <w:sz w:val="18"/>
          <w:szCs w:val="18"/>
          <w:lang w:val="en-IE"/>
        </w:rPr>
        <w:t xml:space="preserve">was necessary </w:t>
      </w:r>
      <w:r w:rsidR="009513E3" w:rsidRPr="00D403F5">
        <w:rPr>
          <w:rFonts w:eastAsiaTheme="minorHAnsi"/>
          <w:sz w:val="18"/>
          <w:szCs w:val="18"/>
          <w:lang w:val="en-IE"/>
        </w:rPr>
        <w:t xml:space="preserve">to ensure the plan would enable the OIE to address the highest priority needs of OIE </w:t>
      </w:r>
      <w:r w:rsidR="001323BE" w:rsidRPr="00D403F5">
        <w:rPr>
          <w:rFonts w:eastAsiaTheme="minorHAnsi"/>
          <w:sz w:val="18"/>
          <w:szCs w:val="18"/>
          <w:lang w:val="en-IE"/>
        </w:rPr>
        <w:t>M</w:t>
      </w:r>
      <w:r w:rsidR="009513E3" w:rsidRPr="00D403F5">
        <w:rPr>
          <w:rFonts w:eastAsiaTheme="minorHAnsi"/>
          <w:sz w:val="18"/>
          <w:szCs w:val="18"/>
          <w:lang w:val="en-IE"/>
        </w:rPr>
        <w:t xml:space="preserve">ember countries. The Commission considered </w:t>
      </w:r>
      <w:r w:rsidR="00437328" w:rsidRPr="00D403F5">
        <w:rPr>
          <w:rFonts w:eastAsiaTheme="minorHAnsi"/>
          <w:sz w:val="18"/>
          <w:szCs w:val="18"/>
          <w:lang w:val="en-IE"/>
        </w:rPr>
        <w:t xml:space="preserve">the </w:t>
      </w:r>
      <w:r w:rsidR="009513E3" w:rsidRPr="00D403F5">
        <w:rPr>
          <w:rFonts w:eastAsiaTheme="minorHAnsi"/>
          <w:sz w:val="18"/>
          <w:szCs w:val="18"/>
          <w:lang w:val="en-IE"/>
        </w:rPr>
        <w:t xml:space="preserve">consultation that had occurred </w:t>
      </w:r>
      <w:r w:rsidR="007E2ADC" w:rsidRPr="00D403F5">
        <w:rPr>
          <w:rFonts w:eastAsiaTheme="minorHAnsi"/>
          <w:sz w:val="18"/>
          <w:szCs w:val="18"/>
          <w:lang w:val="en-IE"/>
        </w:rPr>
        <w:t>at</w:t>
      </w:r>
      <w:r w:rsidR="009513E3" w:rsidRPr="00D403F5">
        <w:rPr>
          <w:rFonts w:eastAsiaTheme="minorHAnsi"/>
          <w:sz w:val="18"/>
          <w:szCs w:val="18"/>
          <w:lang w:val="en-IE"/>
        </w:rPr>
        <w:t xml:space="preserve"> the Conference of the OIE Regional Commission for Asia, the Far East and Oceania in Sendai, Japan in September 2019. The </w:t>
      </w:r>
      <w:r w:rsidR="007E2ADC" w:rsidRPr="00D403F5">
        <w:rPr>
          <w:rFonts w:eastAsiaTheme="minorHAnsi"/>
          <w:sz w:val="18"/>
          <w:szCs w:val="18"/>
          <w:lang w:val="en-IE"/>
        </w:rPr>
        <w:t xml:space="preserve">Aquatic Animals </w:t>
      </w:r>
      <w:r w:rsidR="009513E3" w:rsidRPr="00D403F5">
        <w:rPr>
          <w:rFonts w:eastAsiaTheme="minorHAnsi"/>
          <w:sz w:val="18"/>
          <w:szCs w:val="18"/>
          <w:lang w:val="en-IE"/>
        </w:rPr>
        <w:t>Commission noted that participants at the Conference engaged in the development of the strategy in an interactive session</w:t>
      </w:r>
      <w:r w:rsidR="007E2ADC" w:rsidRPr="00D403F5">
        <w:rPr>
          <w:rFonts w:eastAsiaTheme="minorHAnsi"/>
          <w:sz w:val="18"/>
          <w:szCs w:val="18"/>
          <w:lang w:val="en-IE"/>
        </w:rPr>
        <w:t xml:space="preserve">; in particular, to consider prospective objectives and priority activities. The Commission noted that it would not be possible to conduct this level of consultation in all regions due the timing of regional commission conferences </w:t>
      </w:r>
      <w:r w:rsidR="00FA2D37" w:rsidRPr="00D403F5">
        <w:rPr>
          <w:rFonts w:eastAsiaTheme="minorHAnsi"/>
          <w:sz w:val="18"/>
          <w:szCs w:val="18"/>
          <w:lang w:val="en-IE"/>
        </w:rPr>
        <w:t xml:space="preserve">and the need to finalise a draft of the strategy by early 2019. However the Commission </w:t>
      </w:r>
      <w:r w:rsidR="007E2ADC" w:rsidRPr="00D403F5">
        <w:rPr>
          <w:rFonts w:eastAsiaTheme="minorHAnsi"/>
          <w:sz w:val="18"/>
          <w:szCs w:val="18"/>
          <w:lang w:val="en-IE"/>
        </w:rPr>
        <w:t xml:space="preserve">agreed to the following </w:t>
      </w:r>
      <w:r w:rsidR="00FA2D37" w:rsidRPr="00D403F5">
        <w:rPr>
          <w:rFonts w:eastAsiaTheme="minorHAnsi"/>
          <w:sz w:val="18"/>
          <w:szCs w:val="18"/>
          <w:lang w:val="en-IE"/>
        </w:rPr>
        <w:t xml:space="preserve">consultation </w:t>
      </w:r>
      <w:r w:rsidR="007E2ADC" w:rsidRPr="00D403F5">
        <w:rPr>
          <w:rFonts w:eastAsiaTheme="minorHAnsi"/>
          <w:sz w:val="18"/>
          <w:szCs w:val="18"/>
          <w:lang w:val="en-IE"/>
        </w:rPr>
        <w:t>activities</w:t>
      </w:r>
      <w:r w:rsidR="00FA2D37" w:rsidRPr="00D403F5">
        <w:rPr>
          <w:rFonts w:eastAsiaTheme="minorHAnsi"/>
          <w:sz w:val="18"/>
          <w:szCs w:val="18"/>
          <w:lang w:val="en-IE"/>
        </w:rPr>
        <w:t xml:space="preserve">: consultation at regional commission conferences where possible, consultation with delegates and focal points through the teleconferences within each region that Commission members will provide to communicate the major points of this report, and an online survey that will be provided to all Members in November 2019.  </w:t>
      </w:r>
    </w:p>
    <w:p w14:paraId="6EE6E199" w14:textId="7D33977A" w:rsidR="00437328" w:rsidRPr="00D403F5" w:rsidRDefault="00437328" w:rsidP="001041C6">
      <w:pPr>
        <w:pStyle w:val="Web"/>
        <w:widowControl w:val="0"/>
        <w:spacing w:before="0" w:beforeAutospacing="0" w:after="240" w:afterAutospacing="0"/>
        <w:ind w:left="993"/>
        <w:jc w:val="both"/>
        <w:rPr>
          <w:sz w:val="18"/>
          <w:szCs w:val="18"/>
          <w:lang w:val="en-IE"/>
        </w:rPr>
      </w:pPr>
      <w:r w:rsidRPr="00D403F5">
        <w:rPr>
          <w:rFonts w:eastAsiaTheme="minorHAnsi"/>
          <w:sz w:val="18"/>
          <w:szCs w:val="18"/>
          <w:lang w:val="en-IE"/>
        </w:rPr>
        <w:t>The Commission agreed on milestones for development of the strategy and to hold regular teleconferences to track progress and maintain momentum for development of the strategy. The next teleconference of the Commission would be in November 2019.</w:t>
      </w:r>
    </w:p>
    <w:p w14:paraId="0C3AAB17" w14:textId="1C175A72" w:rsidR="00FA2D37" w:rsidRPr="00D403F5" w:rsidRDefault="00413548" w:rsidP="001041C6">
      <w:pPr>
        <w:pStyle w:val="Web"/>
        <w:widowControl w:val="0"/>
        <w:spacing w:before="0" w:beforeAutospacing="0" w:after="240" w:afterAutospacing="0"/>
        <w:ind w:left="426" w:hanging="426"/>
        <w:rPr>
          <w:b/>
          <w:sz w:val="18"/>
          <w:szCs w:val="18"/>
          <w:lang w:val="en-IE"/>
        </w:rPr>
      </w:pPr>
      <w:r w:rsidRPr="00D403F5">
        <w:rPr>
          <w:b/>
          <w:sz w:val="18"/>
          <w:szCs w:val="18"/>
          <w:lang w:val="en-IE"/>
        </w:rPr>
        <w:t xml:space="preserve">8. </w:t>
      </w:r>
      <w:r w:rsidRPr="00D403F5">
        <w:rPr>
          <w:b/>
          <w:sz w:val="18"/>
          <w:szCs w:val="18"/>
          <w:lang w:val="en-IE"/>
        </w:rPr>
        <w:tab/>
        <w:t>ACTIVITIES OF THE AQUATIC ANIMALS COMMISSION MEMBERS</w:t>
      </w:r>
    </w:p>
    <w:p w14:paraId="6344A1CB" w14:textId="2A479951" w:rsidR="006A01BB" w:rsidRPr="00D403F5" w:rsidRDefault="00413548" w:rsidP="001041C6">
      <w:pPr>
        <w:pStyle w:val="Web"/>
        <w:spacing w:before="0" w:beforeAutospacing="0" w:after="240" w:afterAutospacing="0"/>
        <w:ind w:left="426" w:hanging="426"/>
        <w:jc w:val="both"/>
        <w:rPr>
          <w:b/>
          <w:caps/>
          <w:sz w:val="18"/>
          <w:szCs w:val="18"/>
          <w:lang w:val="en-IE"/>
        </w:rPr>
      </w:pPr>
      <w:r w:rsidRPr="00D403F5">
        <w:rPr>
          <w:b/>
          <w:sz w:val="18"/>
          <w:szCs w:val="18"/>
          <w:lang w:val="en-IE"/>
        </w:rPr>
        <w:t>9.</w:t>
      </w:r>
      <w:r w:rsidRPr="00D403F5">
        <w:rPr>
          <w:b/>
          <w:sz w:val="18"/>
          <w:szCs w:val="18"/>
          <w:lang w:val="en-IE"/>
        </w:rPr>
        <w:tab/>
        <w:t>NEXT MEETING</w:t>
      </w:r>
    </w:p>
    <w:p w14:paraId="38102B64" w14:textId="46383BFD" w:rsidR="00413548" w:rsidRPr="00D403F5" w:rsidRDefault="00413548" w:rsidP="001041C6">
      <w:pPr>
        <w:spacing w:after="240" w:line="240" w:lineRule="auto"/>
        <w:ind w:left="426"/>
        <w:rPr>
          <w:rFonts w:ascii="Times New Roman" w:hAnsi="Times New Roman" w:cs="Times New Roman"/>
          <w:sz w:val="18"/>
          <w:szCs w:val="18"/>
        </w:rPr>
      </w:pPr>
      <w:r w:rsidRPr="00D403F5">
        <w:rPr>
          <w:rFonts w:ascii="Times New Roman" w:hAnsi="Times New Roman" w:cs="Times New Roman"/>
          <w:sz w:val="18"/>
          <w:szCs w:val="18"/>
        </w:rPr>
        <w:t>The next meeting of the Aquatic Animals Commission is scheduled for 19 to 26 February 2020.</w:t>
      </w:r>
    </w:p>
    <w:p w14:paraId="42849312" w14:textId="77777777" w:rsidR="000E0A30" w:rsidRPr="00D403F5" w:rsidRDefault="000E0A30" w:rsidP="00DC1FFC">
      <w:pPr>
        <w:spacing w:after="72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1C6B0691" w14:textId="77777777" w:rsidR="00413548" w:rsidRPr="00D403F5" w:rsidRDefault="00413548" w:rsidP="00D403F5">
      <w:pPr>
        <w:spacing w:after="0"/>
        <w:ind w:left="851"/>
        <w:jc w:val="right"/>
        <w:rPr>
          <w:rFonts w:ascii="Times New Roman" w:eastAsia="MS Mincho" w:hAnsi="Times New Roman" w:cs="Times New Roman"/>
          <w:sz w:val="18"/>
          <w:szCs w:val="18"/>
          <w:lang w:eastAsia="da-DK"/>
        </w:rPr>
      </w:pPr>
      <w:r w:rsidRPr="00D403F5">
        <w:rPr>
          <w:rFonts w:ascii="Times New Roman" w:eastAsia="MS Mincho" w:hAnsi="Times New Roman" w:cs="Times New Roman"/>
          <w:sz w:val="18"/>
          <w:szCs w:val="18"/>
          <w:lang w:eastAsia="da-DK"/>
        </w:rPr>
        <w:t>…/Annexes</w:t>
      </w:r>
    </w:p>
    <w:p w14:paraId="16FE5FB2" w14:textId="77777777" w:rsidR="00413548" w:rsidRPr="00D403F5" w:rsidRDefault="00413548" w:rsidP="00D403F5">
      <w:pPr>
        <w:spacing w:after="0"/>
        <w:ind w:left="851"/>
        <w:jc w:val="right"/>
        <w:rPr>
          <w:rFonts w:ascii="Times New Roman" w:eastAsia="MS Mincho" w:hAnsi="Times New Roman" w:cs="Times New Roman"/>
          <w:sz w:val="18"/>
          <w:szCs w:val="18"/>
          <w:lang w:eastAsia="da-DK"/>
        </w:rPr>
      </w:pPr>
    </w:p>
    <w:p w14:paraId="2FBAA780" w14:textId="77777777" w:rsidR="00413548" w:rsidRPr="00D403F5" w:rsidRDefault="00413548" w:rsidP="00D403F5">
      <w:pPr>
        <w:pBdr>
          <w:top w:val="nil"/>
          <w:left w:val="nil"/>
          <w:bottom w:val="nil"/>
          <w:right w:val="nil"/>
          <w:between w:val="nil"/>
          <w:bar w:val="nil"/>
        </w:pBdr>
        <w:spacing w:after="0"/>
        <w:ind w:left="-90"/>
        <w:jc w:val="both"/>
        <w:rPr>
          <w:rFonts w:eastAsia="Arial Unicode MS"/>
          <w:b/>
          <w:sz w:val="18"/>
          <w:szCs w:val="18"/>
          <w:u w:val="single" w:color="000000"/>
          <w:bdr w:val="nil"/>
          <w:lang w:val="en-IE" w:eastAsia="en-GB"/>
        </w:rPr>
        <w:sectPr w:rsidR="00413548" w:rsidRPr="00D403F5" w:rsidSect="00951F4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9" w:footer="709" w:gutter="0"/>
          <w:cols w:space="720"/>
          <w:vAlign w:val="both"/>
          <w:titlePg/>
          <w:docGrid w:linePitch="360"/>
        </w:sectPr>
      </w:pPr>
    </w:p>
    <w:p w14:paraId="19E4CF09" w14:textId="77777777" w:rsidR="00F7094C" w:rsidRPr="00D403F5" w:rsidRDefault="00F7094C" w:rsidP="00951F46">
      <w:pPr>
        <w:pStyle w:val="2"/>
        <w:spacing w:after="480"/>
        <w:jc w:val="right"/>
        <w:rPr>
          <w:rFonts w:ascii="Times New Roman" w:hAnsi="Times New Roman"/>
          <w:b w:val="0"/>
          <w:sz w:val="18"/>
          <w:szCs w:val="18"/>
          <w:u w:val="single"/>
        </w:rPr>
      </w:pPr>
      <w:r w:rsidRPr="00D403F5">
        <w:rPr>
          <w:rFonts w:ascii="Times New Roman" w:hAnsi="Times New Roman"/>
          <w:b w:val="0"/>
          <w:sz w:val="18"/>
          <w:szCs w:val="18"/>
          <w:u w:val="single"/>
        </w:rPr>
        <w:t>Annex 1</w:t>
      </w:r>
    </w:p>
    <w:p w14:paraId="3AC12ED0" w14:textId="51400483" w:rsidR="00F7094C" w:rsidRPr="00D403F5" w:rsidRDefault="00F7094C" w:rsidP="00951F46">
      <w:pPr>
        <w:pStyle w:val="2"/>
        <w:jc w:val="center"/>
        <w:rPr>
          <w:rFonts w:ascii="Arial" w:hAnsi="Arial" w:cs="Arial"/>
          <w:i/>
          <w:sz w:val="18"/>
          <w:szCs w:val="18"/>
        </w:rPr>
      </w:pPr>
      <w:r w:rsidRPr="00D403F5">
        <w:rPr>
          <w:rFonts w:ascii="Arial" w:hAnsi="Arial" w:cs="Arial"/>
          <w:sz w:val="18"/>
          <w:szCs w:val="18"/>
        </w:rPr>
        <w:t>MEETING OF THE OIE</w:t>
      </w:r>
      <w:r w:rsidRPr="00D403F5">
        <w:rPr>
          <w:rFonts w:ascii="Arial" w:hAnsi="Arial" w:cs="Arial"/>
          <w:sz w:val="18"/>
          <w:szCs w:val="18"/>
        </w:rPr>
        <w:br/>
        <w:t>AQUATIC ANIMAL HEALTH STANDARDS COMMISSION</w:t>
      </w:r>
      <w:r w:rsidR="00951F46">
        <w:rPr>
          <w:rFonts w:ascii="Arial" w:hAnsi="Arial" w:cs="Arial"/>
          <w:sz w:val="18"/>
          <w:szCs w:val="18"/>
        </w:rPr>
        <w:br/>
      </w:r>
      <w:r w:rsidRPr="00D403F5">
        <w:rPr>
          <w:rFonts w:ascii="Arial" w:hAnsi="Arial" w:cs="Arial"/>
          <w:sz w:val="18"/>
          <w:szCs w:val="18"/>
        </w:rPr>
        <w:t>Paris, 25 September–2 October 2019</w:t>
      </w:r>
    </w:p>
    <w:p w14:paraId="202DBD5A" w14:textId="77777777" w:rsidR="00F7094C" w:rsidRPr="00D403F5" w:rsidRDefault="00F7094C" w:rsidP="00951F46">
      <w:pPr>
        <w:pStyle w:val="2"/>
        <w:jc w:val="center"/>
        <w:rPr>
          <w:rFonts w:ascii="Arial" w:hAnsi="Arial" w:cs="Arial"/>
          <w:sz w:val="18"/>
          <w:szCs w:val="18"/>
        </w:rPr>
      </w:pPr>
      <w:r w:rsidRPr="00D403F5">
        <w:rPr>
          <w:rFonts w:ascii="Arial" w:hAnsi="Arial" w:cs="Arial"/>
          <w:sz w:val="18"/>
          <w:szCs w:val="18"/>
        </w:rPr>
        <w:t>_______</w:t>
      </w:r>
    </w:p>
    <w:p w14:paraId="15C5ECBB" w14:textId="77777777" w:rsidR="00F7094C" w:rsidRPr="00D403F5" w:rsidRDefault="00F7094C" w:rsidP="00951F46">
      <w:pPr>
        <w:pStyle w:val="2"/>
        <w:jc w:val="center"/>
        <w:rPr>
          <w:rFonts w:ascii="Arial" w:hAnsi="Arial" w:cs="Arial"/>
          <w:i/>
          <w:sz w:val="18"/>
          <w:szCs w:val="18"/>
        </w:rPr>
      </w:pPr>
      <w:r w:rsidRPr="00D403F5">
        <w:rPr>
          <w:rFonts w:ascii="Arial" w:hAnsi="Arial" w:cs="Arial"/>
          <w:sz w:val="18"/>
          <w:szCs w:val="18"/>
        </w:rPr>
        <w:t>List of participants</w:t>
      </w:r>
    </w:p>
    <w:p w14:paraId="65177CE6" w14:textId="77777777" w:rsidR="00F7094C" w:rsidRPr="00D403F5" w:rsidRDefault="00F7094C" w:rsidP="00D403F5">
      <w:pPr>
        <w:pBdr>
          <w:bottom w:val="single" w:sz="1" w:space="5" w:color="000000"/>
        </w:pBdr>
        <w:tabs>
          <w:tab w:val="left" w:pos="432"/>
          <w:tab w:val="right" w:pos="9072"/>
        </w:tabs>
        <w:spacing w:after="0"/>
        <w:rPr>
          <w:rFonts w:ascii="Arial Narrow" w:hAnsi="Arial Narrow"/>
          <w:b/>
          <w:sz w:val="18"/>
          <w:szCs w:val="18"/>
        </w:rPr>
      </w:pPr>
      <w:r w:rsidRPr="00D403F5">
        <w:rPr>
          <w:rFonts w:ascii="Arial Narrow" w:hAnsi="Arial Narrow"/>
          <w:b/>
          <w:sz w:val="18"/>
          <w:szCs w:val="18"/>
        </w:rPr>
        <w:t>MEMBERS OF THE COMMISSION</w:t>
      </w:r>
      <w:r w:rsidRPr="00D403F5">
        <w:rPr>
          <w:rFonts w:ascii="Arial Narrow" w:hAnsi="Arial Narrow"/>
          <w:b/>
          <w:sz w:val="18"/>
          <w:szCs w:val="18"/>
        </w:rPr>
        <w:tab/>
      </w:r>
    </w:p>
    <w:tbl>
      <w:tblPr>
        <w:tblW w:w="9357" w:type="dxa"/>
        <w:tblLayout w:type="fixed"/>
        <w:tblCellMar>
          <w:left w:w="70" w:type="dxa"/>
          <w:right w:w="70" w:type="dxa"/>
        </w:tblCellMar>
        <w:tblLook w:val="0000" w:firstRow="0" w:lastRow="0" w:firstColumn="0" w:lastColumn="0" w:noHBand="0" w:noVBand="0"/>
      </w:tblPr>
      <w:tblGrid>
        <w:gridCol w:w="3310"/>
        <w:gridCol w:w="3240"/>
        <w:gridCol w:w="2807"/>
      </w:tblGrid>
      <w:tr w:rsidR="00F7094C" w:rsidRPr="00D403F5" w14:paraId="35C07CA7" w14:textId="77777777" w:rsidTr="00F7094C">
        <w:trPr>
          <w:cantSplit/>
          <w:trHeight w:val="2824"/>
        </w:trPr>
        <w:tc>
          <w:tcPr>
            <w:tcW w:w="3310" w:type="dxa"/>
          </w:tcPr>
          <w:p w14:paraId="511F81E2" w14:textId="77777777" w:rsidR="00F7094C" w:rsidRPr="00D403F5" w:rsidRDefault="00F7094C" w:rsidP="00D403F5">
            <w:pPr>
              <w:spacing w:after="0"/>
              <w:rPr>
                <w:rFonts w:ascii="Arial Narrow" w:hAnsi="Arial Narrow" w:cs="Arial"/>
                <w:b/>
                <w:sz w:val="18"/>
                <w:szCs w:val="18"/>
              </w:rPr>
            </w:pPr>
            <w:r w:rsidRPr="00D403F5">
              <w:rPr>
                <w:rFonts w:ascii="Arial Narrow" w:hAnsi="Arial Narrow" w:cs="Arial"/>
                <w:b/>
                <w:sz w:val="18"/>
                <w:szCs w:val="18"/>
              </w:rPr>
              <w:t xml:space="preserve">Dr Ingo Ernst </w:t>
            </w:r>
          </w:p>
          <w:p w14:paraId="40C69E62" w14:textId="77777777" w:rsidR="00F7094C" w:rsidRPr="00D403F5" w:rsidRDefault="00F7094C" w:rsidP="00D403F5">
            <w:pPr>
              <w:spacing w:after="0"/>
              <w:rPr>
                <w:rFonts w:ascii="Arial Narrow" w:hAnsi="Arial Narrow" w:cs="Arial"/>
                <w:sz w:val="18"/>
                <w:szCs w:val="18"/>
              </w:rPr>
            </w:pPr>
            <w:r w:rsidRPr="00D403F5">
              <w:rPr>
                <w:rFonts w:ascii="Arial Narrow" w:hAnsi="Arial Narrow" w:cs="Arial"/>
                <w:sz w:val="18"/>
                <w:szCs w:val="18"/>
              </w:rPr>
              <w:t>(President)</w:t>
            </w:r>
          </w:p>
          <w:p w14:paraId="1EB6E2EE" w14:textId="77777777" w:rsidR="00F7094C" w:rsidRPr="00D403F5" w:rsidRDefault="00F7094C" w:rsidP="00D403F5">
            <w:pPr>
              <w:spacing w:after="0"/>
              <w:rPr>
                <w:rFonts w:ascii="Arial Narrow" w:hAnsi="Arial Narrow" w:cs="Arial"/>
                <w:sz w:val="18"/>
                <w:szCs w:val="18"/>
              </w:rPr>
            </w:pPr>
            <w:r w:rsidRPr="00D403F5">
              <w:rPr>
                <w:rFonts w:ascii="Arial Narrow" w:hAnsi="Arial Narrow" w:cs="Arial"/>
                <w:sz w:val="18"/>
                <w:szCs w:val="18"/>
              </w:rPr>
              <w:t>Director Aquatic Pest and Health Policy</w:t>
            </w:r>
            <w:r w:rsidRPr="00D403F5">
              <w:rPr>
                <w:rFonts w:ascii="Arial Narrow" w:hAnsi="Arial Narrow" w:cs="Arial"/>
                <w:sz w:val="18"/>
                <w:szCs w:val="18"/>
              </w:rPr>
              <w:br/>
              <w:t>Animal Division</w:t>
            </w:r>
          </w:p>
          <w:p w14:paraId="692C8951" w14:textId="77777777" w:rsidR="00F7094C" w:rsidRPr="00D403F5" w:rsidRDefault="00F7094C" w:rsidP="00D403F5">
            <w:pPr>
              <w:spacing w:after="0"/>
              <w:rPr>
                <w:rFonts w:ascii="Arial Narrow" w:hAnsi="Arial Narrow"/>
                <w:color w:val="000000"/>
                <w:sz w:val="18"/>
                <w:szCs w:val="18"/>
                <w:lang w:eastAsia="en-AU"/>
              </w:rPr>
            </w:pPr>
            <w:r w:rsidRPr="00D403F5">
              <w:rPr>
                <w:rFonts w:ascii="Arial Narrow" w:hAnsi="Arial Narrow" w:cs="Arial"/>
                <w:sz w:val="18"/>
                <w:szCs w:val="18"/>
              </w:rPr>
              <w:t>Department of Agriculture and Water Resources</w:t>
            </w:r>
            <w:r w:rsidRPr="00D403F5">
              <w:rPr>
                <w:rFonts w:ascii="Arial Narrow" w:hAnsi="Arial Narrow" w:cs="Arial"/>
                <w:sz w:val="18"/>
                <w:szCs w:val="18"/>
              </w:rPr>
              <w:br/>
              <w:t>GPO Box 858 Canberra ACT 2601</w:t>
            </w:r>
            <w:r w:rsidRPr="00D403F5">
              <w:rPr>
                <w:rFonts w:ascii="Arial Narrow" w:hAnsi="Arial Narrow"/>
                <w:color w:val="000000"/>
                <w:sz w:val="18"/>
                <w:szCs w:val="18"/>
                <w:lang w:eastAsia="en-AU"/>
              </w:rPr>
              <w:t xml:space="preserve"> </w:t>
            </w:r>
          </w:p>
          <w:p w14:paraId="6C9CE5DA" w14:textId="77777777" w:rsidR="00F7094C" w:rsidRPr="00D403F5" w:rsidRDefault="00F7094C" w:rsidP="00D403F5">
            <w:pPr>
              <w:spacing w:after="0"/>
              <w:rPr>
                <w:rFonts w:ascii="Arial Narrow" w:hAnsi="Arial Narrow" w:cs="Arial"/>
                <w:sz w:val="18"/>
                <w:szCs w:val="18"/>
                <w:lang w:val="es-ES"/>
              </w:rPr>
            </w:pPr>
            <w:r w:rsidRPr="00D403F5">
              <w:rPr>
                <w:rFonts w:ascii="Arial Narrow" w:hAnsi="Arial Narrow" w:cs="Arial"/>
                <w:sz w:val="18"/>
                <w:szCs w:val="18"/>
                <w:lang w:val="es-ES"/>
              </w:rPr>
              <w:t>AUSTRALIA</w:t>
            </w:r>
          </w:p>
          <w:p w14:paraId="5A2ADEF2" w14:textId="77777777" w:rsidR="00F7094C" w:rsidRPr="00D403F5" w:rsidRDefault="00F7094C" w:rsidP="00D403F5">
            <w:pPr>
              <w:spacing w:after="0"/>
              <w:rPr>
                <w:rFonts w:ascii="Arial Narrow" w:hAnsi="Arial Narrow" w:cs="Arial"/>
                <w:sz w:val="18"/>
                <w:szCs w:val="18"/>
                <w:lang w:val="es-ES"/>
              </w:rPr>
            </w:pPr>
            <w:r w:rsidRPr="00D403F5">
              <w:rPr>
                <w:rFonts w:ascii="Arial Narrow" w:hAnsi="Arial Narrow" w:cs="Arial"/>
                <w:sz w:val="18"/>
                <w:szCs w:val="18"/>
                <w:lang w:val="es-ES"/>
              </w:rPr>
              <w:t xml:space="preserve">Tel.: +61 2 6272 5615 </w:t>
            </w:r>
          </w:p>
          <w:p w14:paraId="39B7C268" w14:textId="77777777" w:rsidR="00F7094C" w:rsidRPr="00D403F5" w:rsidRDefault="00F7094C" w:rsidP="00D403F5">
            <w:pPr>
              <w:tabs>
                <w:tab w:val="left" w:pos="720"/>
              </w:tabs>
              <w:spacing w:after="0"/>
              <w:ind w:left="-28" w:right="-45"/>
              <w:jc w:val="both"/>
              <w:rPr>
                <w:rStyle w:val="aa"/>
                <w:rFonts w:ascii="Arial Narrow" w:hAnsi="Arial Narrow" w:cs="Arial"/>
                <w:sz w:val="18"/>
                <w:szCs w:val="18"/>
                <w:lang w:val="es-ES"/>
              </w:rPr>
            </w:pPr>
            <w:r w:rsidRPr="00D403F5">
              <w:rPr>
                <w:rFonts w:ascii="Arial Narrow" w:hAnsi="Arial Narrow" w:cs="Arial"/>
                <w:sz w:val="18"/>
                <w:szCs w:val="18"/>
                <w:lang w:val="es-ES"/>
              </w:rPr>
              <w:t>ingo.ernst@agriculture.gov.au</w:t>
            </w:r>
          </w:p>
          <w:p w14:paraId="222083B7" w14:textId="77777777" w:rsidR="00F7094C" w:rsidRPr="00D403F5" w:rsidRDefault="00F7094C" w:rsidP="00D403F5">
            <w:pPr>
              <w:pStyle w:val="bodytext"/>
              <w:spacing w:before="0" w:beforeAutospacing="0" w:after="0" w:afterAutospacing="0"/>
              <w:rPr>
                <w:rFonts w:ascii="Arial Narrow" w:hAnsi="Arial Narrow" w:cs="Arial"/>
                <w:b/>
                <w:sz w:val="18"/>
                <w:szCs w:val="18"/>
                <w:lang w:val="es-ES" w:eastAsia="en-US"/>
              </w:rPr>
            </w:pPr>
          </w:p>
          <w:p w14:paraId="66A6284B" w14:textId="77777777" w:rsidR="00F7094C" w:rsidRPr="00D403F5" w:rsidRDefault="00F7094C" w:rsidP="00D403F5">
            <w:pPr>
              <w:pStyle w:val="bodytext"/>
              <w:spacing w:before="0" w:beforeAutospacing="0" w:after="0" w:afterAutospacing="0"/>
              <w:rPr>
                <w:rFonts w:ascii="Arial Narrow" w:hAnsi="Arial Narrow" w:cs="Arial"/>
                <w:b/>
                <w:sz w:val="18"/>
                <w:szCs w:val="18"/>
                <w:lang w:val="es-ES" w:eastAsia="en-US"/>
              </w:rPr>
            </w:pPr>
          </w:p>
          <w:p w14:paraId="59A9D71D" w14:textId="77777777" w:rsidR="00F7094C" w:rsidRPr="00D403F5" w:rsidRDefault="00F7094C" w:rsidP="00D403F5">
            <w:pPr>
              <w:pStyle w:val="bodytext"/>
              <w:spacing w:before="0" w:beforeAutospacing="0" w:after="0" w:afterAutospacing="0"/>
              <w:rPr>
                <w:rFonts w:ascii="Arial Narrow" w:hAnsi="Arial Narrow" w:cs="Arial"/>
                <w:b/>
                <w:sz w:val="18"/>
                <w:szCs w:val="18"/>
                <w:lang w:val="en-GB" w:eastAsia="en-US"/>
              </w:rPr>
            </w:pPr>
            <w:r w:rsidRPr="00D403F5">
              <w:rPr>
                <w:rFonts w:ascii="Arial Narrow" w:hAnsi="Arial Narrow" w:cs="Arial"/>
                <w:b/>
                <w:sz w:val="18"/>
                <w:szCs w:val="18"/>
                <w:lang w:val="en-GB" w:eastAsia="en-US"/>
              </w:rPr>
              <w:t>Dr Atle Lillehaug</w:t>
            </w:r>
          </w:p>
          <w:p w14:paraId="63AE4A60"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Head of Section</w:t>
            </w:r>
          </w:p>
          <w:p w14:paraId="306832B9"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Section for Fish Health and Biosecurity</w:t>
            </w:r>
          </w:p>
          <w:p w14:paraId="286EA1A0" w14:textId="77777777" w:rsidR="00F7094C" w:rsidRPr="00D403F5" w:rsidRDefault="00F7094C" w:rsidP="00D403F5">
            <w:pPr>
              <w:pStyle w:val="bodytext"/>
              <w:spacing w:before="0" w:beforeAutospacing="0" w:after="0" w:afterAutospacing="0"/>
              <w:rPr>
                <w:rFonts w:ascii="Arial Narrow" w:hAnsi="Arial Narrow" w:cs="Arial"/>
                <w:sz w:val="18"/>
                <w:szCs w:val="18"/>
                <w:lang w:val="nb-NO" w:eastAsia="en-US"/>
              </w:rPr>
            </w:pPr>
            <w:r w:rsidRPr="00D403F5">
              <w:rPr>
                <w:rFonts w:ascii="Arial Narrow" w:hAnsi="Arial Narrow" w:cs="Arial"/>
                <w:sz w:val="18"/>
                <w:szCs w:val="18"/>
                <w:lang w:val="nb-NO" w:eastAsia="en-US"/>
              </w:rPr>
              <w:t>Norwegian Veterinary Institute</w:t>
            </w:r>
          </w:p>
          <w:p w14:paraId="373B365E" w14:textId="77777777" w:rsidR="00F7094C" w:rsidRPr="00D403F5" w:rsidRDefault="00F7094C" w:rsidP="00D403F5">
            <w:pPr>
              <w:pStyle w:val="bodytext"/>
              <w:spacing w:before="0" w:beforeAutospacing="0" w:after="0" w:afterAutospacing="0"/>
              <w:rPr>
                <w:rFonts w:ascii="Arial Narrow" w:hAnsi="Arial Narrow" w:cs="Arial"/>
                <w:sz w:val="18"/>
                <w:szCs w:val="18"/>
                <w:lang w:val="nb-NO" w:eastAsia="en-US"/>
              </w:rPr>
            </w:pPr>
            <w:r w:rsidRPr="00D403F5">
              <w:rPr>
                <w:rFonts w:ascii="Arial Narrow" w:hAnsi="Arial Narrow" w:cs="Arial"/>
                <w:sz w:val="18"/>
                <w:szCs w:val="18"/>
                <w:lang w:val="nb-NO" w:eastAsia="en-US"/>
              </w:rPr>
              <w:t>Ullevålsveien 68, 0454 Oslo</w:t>
            </w:r>
          </w:p>
          <w:p w14:paraId="75A1734F" w14:textId="77777777" w:rsidR="00F7094C" w:rsidRPr="00D403F5" w:rsidRDefault="00F7094C" w:rsidP="00D403F5">
            <w:pPr>
              <w:pStyle w:val="bodytext"/>
              <w:spacing w:before="0" w:beforeAutospacing="0" w:after="0" w:afterAutospacing="0"/>
              <w:rPr>
                <w:rFonts w:ascii="Arial Narrow" w:hAnsi="Arial Narrow" w:cs="Arial"/>
                <w:sz w:val="18"/>
                <w:szCs w:val="18"/>
                <w:lang w:val="nb-NO" w:eastAsia="en-US"/>
              </w:rPr>
            </w:pPr>
            <w:r w:rsidRPr="00D403F5">
              <w:rPr>
                <w:rFonts w:ascii="Arial Narrow" w:hAnsi="Arial Narrow" w:cs="Arial"/>
                <w:sz w:val="18"/>
                <w:szCs w:val="18"/>
                <w:lang w:val="nb-NO" w:eastAsia="en-US"/>
              </w:rPr>
              <w:t>Pb 750 Sentrum, N-0106 Oslo</w:t>
            </w:r>
          </w:p>
          <w:p w14:paraId="4DD1A29F" w14:textId="77777777" w:rsidR="00F7094C" w:rsidRPr="00D403F5" w:rsidRDefault="00F7094C" w:rsidP="00D403F5">
            <w:pPr>
              <w:pStyle w:val="Web"/>
              <w:spacing w:before="0" w:beforeAutospacing="0" w:after="0" w:afterAutospacing="0"/>
              <w:rPr>
                <w:rFonts w:ascii="Arial Narrow" w:hAnsi="Arial Narrow" w:cs="Arial"/>
                <w:sz w:val="18"/>
                <w:szCs w:val="18"/>
                <w:lang w:val="nb-NO" w:eastAsia="en-US"/>
              </w:rPr>
            </w:pPr>
            <w:r w:rsidRPr="00D403F5">
              <w:rPr>
                <w:rFonts w:ascii="Arial Narrow" w:hAnsi="Arial Narrow" w:cs="Arial"/>
                <w:sz w:val="18"/>
                <w:szCs w:val="18"/>
                <w:lang w:val="nb-NO" w:eastAsia="en-US"/>
              </w:rPr>
              <w:t>NORWAY</w:t>
            </w:r>
          </w:p>
          <w:p w14:paraId="7E589070" w14:textId="77777777" w:rsidR="00F7094C" w:rsidRPr="00D403F5" w:rsidRDefault="000667F3" w:rsidP="00D403F5">
            <w:pPr>
              <w:spacing w:after="0"/>
              <w:ind w:right="-45"/>
              <w:rPr>
                <w:rFonts w:ascii="Arial Narrow" w:hAnsi="Arial Narrow" w:cs="Arial"/>
                <w:b/>
                <w:sz w:val="18"/>
                <w:szCs w:val="18"/>
                <w:lang w:val="es-ES"/>
              </w:rPr>
            </w:pPr>
            <w:hyperlink r:id="rId26" w:history="1">
              <w:r w:rsidR="00F7094C" w:rsidRPr="00D403F5">
                <w:rPr>
                  <w:rFonts w:ascii="Arial Narrow" w:hAnsi="Arial Narrow" w:cs="Arial"/>
                  <w:sz w:val="18"/>
                  <w:szCs w:val="18"/>
                  <w:lang w:val="nb-NO"/>
                </w:rPr>
                <w:t>atle.lillehaug@vetinst.no</w:t>
              </w:r>
            </w:hyperlink>
          </w:p>
        </w:tc>
        <w:tc>
          <w:tcPr>
            <w:tcW w:w="3240" w:type="dxa"/>
          </w:tcPr>
          <w:p w14:paraId="26AA215C"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b/>
                <w:sz w:val="18"/>
                <w:szCs w:val="18"/>
                <w:lang w:val="en-GB" w:eastAsia="en-US"/>
              </w:rPr>
              <w:t>Dr Kevin William Christison</w:t>
            </w:r>
            <w:r w:rsidRPr="00D403F5">
              <w:rPr>
                <w:rFonts w:ascii="Arial Narrow" w:hAnsi="Arial Narrow" w:cs="Arial"/>
                <w:sz w:val="18"/>
                <w:szCs w:val="18"/>
                <w:lang w:val="en-GB" w:eastAsia="en-US"/>
              </w:rPr>
              <w:br/>
              <w:t>Department of Agriculture Forestry and Fisheries</w:t>
            </w:r>
            <w:r w:rsidRPr="00D403F5">
              <w:rPr>
                <w:rFonts w:ascii="Arial Narrow" w:hAnsi="Arial Narrow" w:cs="Arial"/>
                <w:sz w:val="18"/>
                <w:szCs w:val="18"/>
                <w:lang w:val="en-GB" w:eastAsia="en-US"/>
              </w:rPr>
              <w:br/>
              <w:t>Directorate: Aquaculture Research and Development</w:t>
            </w:r>
            <w:r w:rsidRPr="00D403F5">
              <w:rPr>
                <w:rFonts w:ascii="Arial Narrow" w:hAnsi="Arial Narrow" w:cs="Arial"/>
                <w:sz w:val="18"/>
                <w:szCs w:val="18"/>
                <w:lang w:val="en-GB" w:eastAsia="en-US"/>
              </w:rPr>
              <w:br/>
              <w:t>Private Bag X 2V</w:t>
            </w:r>
            <w:r w:rsidRPr="00D403F5">
              <w:rPr>
                <w:rFonts w:ascii="Arial Narrow" w:hAnsi="Arial Narrow" w:cs="Arial"/>
                <w:sz w:val="18"/>
                <w:szCs w:val="18"/>
                <w:lang w:val="en-GB" w:eastAsia="en-US"/>
              </w:rPr>
              <w:br/>
              <w:t>Vlaeberg, 8018</w:t>
            </w:r>
            <w:r w:rsidRPr="00D403F5">
              <w:rPr>
                <w:rFonts w:ascii="Arial Narrow" w:hAnsi="Arial Narrow" w:cs="Arial"/>
                <w:sz w:val="18"/>
                <w:szCs w:val="18"/>
                <w:lang w:val="en-GB" w:eastAsia="en-US"/>
              </w:rPr>
              <w:br/>
              <w:t>SOUTH AFRICA</w:t>
            </w:r>
            <w:r w:rsidRPr="00D403F5">
              <w:rPr>
                <w:rFonts w:ascii="Arial Narrow" w:hAnsi="Arial Narrow" w:cs="Arial"/>
                <w:sz w:val="18"/>
                <w:szCs w:val="18"/>
                <w:lang w:val="en-GB" w:eastAsia="en-US"/>
              </w:rPr>
              <w:br/>
            </w:r>
            <w:hyperlink r:id="rId27" w:history="1">
              <w:r w:rsidRPr="00D403F5">
                <w:rPr>
                  <w:rFonts w:ascii="Arial Narrow" w:hAnsi="Arial Narrow" w:cs="Arial"/>
                  <w:sz w:val="18"/>
                  <w:szCs w:val="18"/>
                  <w:lang w:val="en-GB" w:eastAsia="en-US"/>
                </w:rPr>
                <w:t>KevinCH@daff.gov.za</w:t>
              </w:r>
            </w:hyperlink>
          </w:p>
          <w:p w14:paraId="5469B575" w14:textId="77777777" w:rsidR="00F7094C" w:rsidRPr="00D403F5" w:rsidRDefault="00F7094C" w:rsidP="00D403F5">
            <w:pPr>
              <w:pStyle w:val="bodytext"/>
              <w:spacing w:before="0" w:beforeAutospacing="0" w:after="0" w:afterAutospacing="0"/>
              <w:rPr>
                <w:rFonts w:ascii="Arial Narrow" w:hAnsi="Arial Narrow" w:cs="Arial"/>
                <w:b/>
                <w:sz w:val="18"/>
                <w:szCs w:val="18"/>
                <w:lang w:val="en-GB" w:eastAsia="en-US"/>
              </w:rPr>
            </w:pPr>
          </w:p>
          <w:p w14:paraId="358FBF2E" w14:textId="77777777" w:rsidR="00F7094C" w:rsidRPr="00D403F5" w:rsidRDefault="00F7094C" w:rsidP="00D403F5">
            <w:pPr>
              <w:pStyle w:val="bodytext"/>
              <w:spacing w:before="0" w:beforeAutospacing="0" w:after="0" w:afterAutospacing="0"/>
              <w:rPr>
                <w:rFonts w:ascii="Arial Narrow" w:hAnsi="Arial Narrow" w:cs="Arial"/>
                <w:b/>
                <w:sz w:val="18"/>
                <w:szCs w:val="18"/>
                <w:lang w:val="en-GB" w:eastAsia="en-US"/>
              </w:rPr>
            </w:pPr>
          </w:p>
          <w:p w14:paraId="67CE85E2"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b/>
                <w:sz w:val="18"/>
                <w:szCs w:val="18"/>
                <w:lang w:val="en-GB" w:eastAsia="en-US"/>
              </w:rPr>
              <w:t>Dr Prof. Hong Liu</w:t>
            </w:r>
            <w:r w:rsidRPr="00D403F5">
              <w:rPr>
                <w:rFonts w:ascii="Arial Narrow" w:hAnsi="Arial Narrow" w:cs="Arial"/>
                <w:sz w:val="18"/>
                <w:szCs w:val="18"/>
                <w:lang w:val="en-GB" w:eastAsia="en-US"/>
              </w:rPr>
              <w:br/>
              <w:t>Deputy Director</w:t>
            </w:r>
            <w:r w:rsidRPr="00D403F5">
              <w:rPr>
                <w:rFonts w:ascii="Arial Narrow" w:hAnsi="Arial Narrow" w:cs="Arial"/>
                <w:sz w:val="18"/>
                <w:szCs w:val="18"/>
                <w:lang w:val="en-GB" w:eastAsia="en-US"/>
              </w:rPr>
              <w:br/>
              <w:t>Animal and Plant Inspection and Quarantine Technical Center,</w:t>
            </w:r>
            <w:r w:rsidRPr="00D403F5">
              <w:rPr>
                <w:rFonts w:ascii="Arial Narrow" w:hAnsi="Arial Narrow" w:cs="Arial"/>
                <w:sz w:val="18"/>
                <w:szCs w:val="18"/>
                <w:lang w:val="en-GB" w:eastAsia="en-US"/>
              </w:rPr>
              <w:br/>
              <w:t>Shenzhen Customs District,</w:t>
            </w:r>
          </w:p>
          <w:p w14:paraId="78F32988"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 xml:space="preserve">General Administration of Customs, </w:t>
            </w:r>
          </w:p>
          <w:p w14:paraId="238D3EF8"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1011 building of Fuqiang Road</w:t>
            </w:r>
          </w:p>
          <w:p w14:paraId="7CB56D9B"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Futianqu, Shenzhen City, Guangdong province</w:t>
            </w:r>
          </w:p>
          <w:p w14:paraId="573AD861"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CHINA</w:t>
            </w:r>
            <w:r w:rsidRPr="00D403F5">
              <w:rPr>
                <w:rFonts w:ascii="Arial Narrow" w:hAnsi="Arial Narrow" w:cs="Arial"/>
                <w:sz w:val="18"/>
                <w:szCs w:val="18"/>
                <w:lang w:val="en-GB" w:eastAsia="en-US"/>
              </w:rPr>
              <w:tab/>
              <w:t>(People’s Rep of)</w:t>
            </w:r>
          </w:p>
          <w:p w14:paraId="078BF1DC" w14:textId="77777777" w:rsidR="00F7094C" w:rsidRPr="00D403F5" w:rsidRDefault="00F7094C" w:rsidP="00D403F5">
            <w:pPr>
              <w:pStyle w:val="bodytext"/>
              <w:spacing w:before="0" w:beforeAutospacing="0" w:after="0" w:afterAutospacing="0"/>
              <w:rPr>
                <w:rFonts w:ascii="Arial Narrow" w:hAnsi="Arial Narrow" w:cs="Arial"/>
                <w:sz w:val="18"/>
                <w:szCs w:val="18"/>
                <w:lang w:val="en-GB"/>
              </w:rPr>
            </w:pPr>
            <w:r w:rsidRPr="00D403F5">
              <w:rPr>
                <w:rFonts w:ascii="Arial Narrow" w:hAnsi="Arial Narrow" w:cs="Arial"/>
                <w:sz w:val="18"/>
                <w:szCs w:val="18"/>
                <w:lang w:val="en-GB" w:eastAsia="en-US"/>
              </w:rPr>
              <w:t>szc_liuhong@customs.gov.cn</w:t>
            </w:r>
            <w:r w:rsidRPr="00D403F5">
              <w:rPr>
                <w:rFonts w:ascii="Arial Narrow" w:hAnsi="Arial Narrow" w:cs="Arial"/>
                <w:sz w:val="18"/>
                <w:szCs w:val="18"/>
                <w:lang w:val="en-GB" w:eastAsia="en-US"/>
              </w:rPr>
              <w:br/>
            </w:r>
            <w:r w:rsidRPr="00D403F5">
              <w:rPr>
                <w:rFonts w:ascii="Arial Narrow" w:hAnsi="Arial Narrow" w:cs="Arial"/>
                <w:sz w:val="18"/>
                <w:szCs w:val="18"/>
                <w:lang w:val="en-US"/>
              </w:rPr>
              <w:t>709274714@qq.com</w:t>
            </w:r>
            <w:r w:rsidRPr="00D403F5">
              <w:rPr>
                <w:rFonts w:ascii="Arial Narrow" w:hAnsi="Arial Narrow" w:cs="Arial"/>
                <w:sz w:val="18"/>
                <w:szCs w:val="18"/>
                <w:lang w:val="en-GB" w:eastAsia="en-US"/>
              </w:rPr>
              <w:t xml:space="preserve"> health</w:t>
            </w:r>
          </w:p>
        </w:tc>
        <w:tc>
          <w:tcPr>
            <w:tcW w:w="2807" w:type="dxa"/>
          </w:tcPr>
          <w:p w14:paraId="1ECA38A0" w14:textId="77777777" w:rsidR="00F7094C" w:rsidRPr="00D403F5" w:rsidRDefault="00F7094C" w:rsidP="00D403F5">
            <w:pPr>
              <w:spacing w:after="0"/>
              <w:ind w:left="113" w:right="-45"/>
              <w:rPr>
                <w:rFonts w:ascii="Arial Narrow" w:hAnsi="Arial Narrow" w:cs="Arial"/>
                <w:b/>
                <w:sz w:val="18"/>
                <w:szCs w:val="18"/>
                <w:lang w:val="es-ES"/>
              </w:rPr>
            </w:pPr>
            <w:r w:rsidRPr="00D403F5">
              <w:rPr>
                <w:rFonts w:ascii="Arial Narrow" w:hAnsi="Arial Narrow" w:cs="Arial"/>
                <w:b/>
                <w:sz w:val="18"/>
                <w:szCs w:val="18"/>
                <w:lang w:val="es-ES"/>
              </w:rPr>
              <w:t>Dr Alicia Gallardo Lagno</w:t>
            </w:r>
          </w:p>
          <w:p w14:paraId="4EEB1257" w14:textId="77777777" w:rsidR="00F7094C" w:rsidRPr="00D403F5" w:rsidRDefault="00F7094C" w:rsidP="00D403F5">
            <w:pPr>
              <w:spacing w:after="0"/>
              <w:ind w:left="113" w:right="-45"/>
              <w:rPr>
                <w:rFonts w:ascii="Arial Narrow" w:hAnsi="Arial Narrow" w:cs="Arial"/>
                <w:sz w:val="18"/>
                <w:szCs w:val="18"/>
                <w:lang w:val="es-ES"/>
              </w:rPr>
            </w:pPr>
            <w:r w:rsidRPr="00D403F5">
              <w:rPr>
                <w:rFonts w:ascii="Arial Narrow" w:hAnsi="Arial Narrow" w:cs="Arial"/>
                <w:noProof/>
                <w:sz w:val="18"/>
                <w:szCs w:val="18"/>
                <w:lang w:val="es-ES"/>
              </w:rPr>
              <w:t>(Vice-President)</w:t>
            </w:r>
            <w:r w:rsidRPr="00D403F5">
              <w:rPr>
                <w:rFonts w:ascii="Arial Narrow" w:hAnsi="Arial Narrow" w:cs="Arial"/>
                <w:b/>
                <w:sz w:val="18"/>
                <w:szCs w:val="18"/>
                <w:lang w:val="es-ES"/>
              </w:rPr>
              <w:t xml:space="preserve"> </w:t>
            </w:r>
            <w:r w:rsidRPr="00D403F5">
              <w:rPr>
                <w:rFonts w:ascii="Arial Narrow" w:hAnsi="Arial Narrow" w:cs="Arial"/>
                <w:sz w:val="18"/>
                <w:szCs w:val="18"/>
                <w:lang w:val="es-ES"/>
              </w:rPr>
              <w:br/>
              <w:t>Subdirectora nacional de acuicultura</w:t>
            </w:r>
            <w:r w:rsidRPr="00D403F5">
              <w:rPr>
                <w:rFonts w:ascii="Arial Narrow" w:hAnsi="Arial Narrow" w:cs="Arial"/>
                <w:sz w:val="18"/>
                <w:szCs w:val="18"/>
                <w:lang w:val="es-ES"/>
              </w:rPr>
              <w:br/>
              <w:t>Servicio Nacional de Pesca y Acuicultura</w:t>
            </w:r>
            <w:r w:rsidRPr="00D403F5">
              <w:rPr>
                <w:rFonts w:ascii="Arial Narrow" w:hAnsi="Arial Narrow" w:cs="Arial"/>
                <w:sz w:val="18"/>
                <w:szCs w:val="18"/>
                <w:lang w:val="es-ES"/>
              </w:rPr>
              <w:br/>
              <w:t>Calle Victoria 2832</w:t>
            </w:r>
            <w:r w:rsidRPr="00D403F5">
              <w:rPr>
                <w:rFonts w:ascii="Arial Narrow" w:hAnsi="Arial Narrow" w:cs="Arial"/>
                <w:sz w:val="18"/>
                <w:szCs w:val="18"/>
                <w:lang w:val="es-ES"/>
              </w:rPr>
              <w:br/>
              <w:t>CHILE</w:t>
            </w:r>
            <w:r w:rsidRPr="00D403F5">
              <w:rPr>
                <w:rFonts w:ascii="Arial Narrow" w:hAnsi="Arial Narrow" w:cs="Arial"/>
                <w:sz w:val="18"/>
                <w:szCs w:val="18"/>
                <w:lang w:val="es-ES"/>
              </w:rPr>
              <w:br/>
              <w:t>Tel.: +56 32 281 9282</w:t>
            </w:r>
            <w:r w:rsidRPr="00D403F5">
              <w:rPr>
                <w:rFonts w:ascii="Arial Narrow" w:hAnsi="Arial Narrow" w:cs="Arial"/>
                <w:sz w:val="18"/>
                <w:szCs w:val="18"/>
                <w:lang w:val="es-ES"/>
              </w:rPr>
              <w:br/>
            </w:r>
            <w:hyperlink r:id="rId28" w:history="1">
              <w:r w:rsidRPr="00D403F5">
                <w:rPr>
                  <w:rStyle w:val="aa"/>
                  <w:rFonts w:ascii="Arial Narrow" w:hAnsi="Arial Narrow" w:cs="Arial"/>
                  <w:sz w:val="18"/>
                  <w:szCs w:val="18"/>
                  <w:lang w:val="es-ES"/>
                </w:rPr>
                <w:t>agallardol@sernapesca.cl</w:t>
              </w:r>
            </w:hyperlink>
          </w:p>
          <w:p w14:paraId="76632942" w14:textId="77777777" w:rsidR="00F7094C" w:rsidRPr="00D403F5" w:rsidRDefault="00F7094C" w:rsidP="00D403F5">
            <w:pPr>
              <w:spacing w:after="0"/>
              <w:ind w:left="92" w:right="-45"/>
              <w:rPr>
                <w:rFonts w:ascii="Arial Narrow" w:hAnsi="Arial Narrow" w:cs="Arial"/>
                <w:b/>
                <w:noProof/>
                <w:sz w:val="18"/>
                <w:szCs w:val="18"/>
                <w:lang w:val="es-ES"/>
              </w:rPr>
            </w:pPr>
          </w:p>
          <w:p w14:paraId="2B2B60A2" w14:textId="77777777" w:rsidR="00F7094C" w:rsidRPr="00D403F5" w:rsidRDefault="00F7094C" w:rsidP="00D403F5">
            <w:pPr>
              <w:spacing w:after="0"/>
              <w:ind w:left="92" w:right="-45"/>
              <w:rPr>
                <w:rFonts w:ascii="Arial Narrow" w:hAnsi="Arial Narrow" w:cs="Arial"/>
                <w:b/>
                <w:noProof/>
                <w:sz w:val="18"/>
                <w:szCs w:val="18"/>
              </w:rPr>
            </w:pPr>
            <w:r w:rsidRPr="00D403F5">
              <w:rPr>
                <w:rFonts w:ascii="Arial Narrow" w:hAnsi="Arial Narrow" w:cs="Arial"/>
                <w:b/>
                <w:noProof/>
                <w:sz w:val="18"/>
                <w:szCs w:val="18"/>
              </w:rPr>
              <w:t xml:space="preserve">Dr Edmund Peeler </w:t>
            </w:r>
          </w:p>
          <w:p w14:paraId="3A26F634"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noProof/>
                <w:sz w:val="18"/>
                <w:szCs w:val="18"/>
              </w:rPr>
              <w:t>(Vice-President)</w:t>
            </w:r>
          </w:p>
          <w:p w14:paraId="03BFEA15"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noProof/>
                <w:sz w:val="18"/>
                <w:szCs w:val="18"/>
              </w:rPr>
              <w:t xml:space="preserve">Group Manager Aquatic Pest &amp; </w:t>
            </w:r>
          </w:p>
          <w:p w14:paraId="7483DC27"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noProof/>
                <w:sz w:val="18"/>
                <w:szCs w:val="18"/>
              </w:rPr>
              <w:t>Pathogens</w:t>
            </w:r>
          </w:p>
          <w:p w14:paraId="01A1AAAD"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noProof/>
                <w:sz w:val="18"/>
                <w:szCs w:val="18"/>
              </w:rPr>
              <w:t>CEFAS</w:t>
            </w:r>
          </w:p>
          <w:p w14:paraId="321D4E8B"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noProof/>
                <w:sz w:val="18"/>
                <w:szCs w:val="18"/>
              </w:rPr>
              <w:t>Barrack Road, Weymouth</w:t>
            </w:r>
          </w:p>
          <w:p w14:paraId="295AFDF8"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noProof/>
                <w:sz w:val="18"/>
                <w:szCs w:val="18"/>
              </w:rPr>
              <w:t>Dorset, DT4 8UB UK</w:t>
            </w:r>
          </w:p>
          <w:p w14:paraId="22CDDF69"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noProof/>
                <w:sz w:val="18"/>
                <w:szCs w:val="18"/>
              </w:rPr>
              <w:t>UNITED KINGDOM</w:t>
            </w:r>
          </w:p>
          <w:p w14:paraId="4F0085D7" w14:textId="77777777" w:rsidR="00F7094C" w:rsidRPr="00D403F5" w:rsidRDefault="00F7094C" w:rsidP="00D403F5">
            <w:pPr>
              <w:spacing w:after="0"/>
              <w:ind w:left="92" w:right="-45"/>
              <w:rPr>
                <w:rFonts w:ascii="Arial Narrow" w:hAnsi="Arial Narrow" w:cs="Arial"/>
                <w:noProof/>
                <w:sz w:val="18"/>
                <w:szCs w:val="18"/>
              </w:rPr>
            </w:pPr>
            <w:r w:rsidRPr="00D403F5">
              <w:rPr>
                <w:rFonts w:ascii="Arial Narrow" w:hAnsi="Arial Narrow" w:cs="Arial"/>
                <w:sz w:val="18"/>
                <w:szCs w:val="18"/>
                <w:lang w:val="en-US"/>
              </w:rPr>
              <w:t xml:space="preserve">Tel.: </w:t>
            </w:r>
            <w:r w:rsidRPr="00D403F5">
              <w:rPr>
                <w:rFonts w:ascii="Arial Narrow" w:hAnsi="Arial Narrow" w:cs="Arial"/>
                <w:noProof/>
                <w:sz w:val="18"/>
                <w:szCs w:val="18"/>
                <w:lang w:eastAsia="ja-JP"/>
              </w:rPr>
              <w:t>+44 (0)1305 206746</w:t>
            </w:r>
          </w:p>
          <w:p w14:paraId="621B5E42" w14:textId="77777777" w:rsidR="00F7094C" w:rsidRPr="00D403F5" w:rsidRDefault="00F7094C" w:rsidP="00D403F5">
            <w:pPr>
              <w:spacing w:after="0"/>
              <w:ind w:left="92" w:right="-45"/>
              <w:jc w:val="both"/>
              <w:rPr>
                <w:rFonts w:ascii="Arial Narrow" w:hAnsi="Arial Narrow" w:cs="Arial"/>
                <w:noProof/>
                <w:sz w:val="18"/>
                <w:szCs w:val="18"/>
              </w:rPr>
            </w:pPr>
            <w:r w:rsidRPr="00D403F5">
              <w:rPr>
                <w:rFonts w:ascii="Arial Narrow" w:hAnsi="Arial Narrow" w:cs="Arial"/>
                <w:noProof/>
                <w:sz w:val="18"/>
                <w:szCs w:val="18"/>
              </w:rPr>
              <w:t>ed.peeler@cefas.co.uk</w:t>
            </w:r>
          </w:p>
          <w:p w14:paraId="4EFC07B5" w14:textId="77777777" w:rsidR="00F7094C" w:rsidRPr="00D403F5" w:rsidRDefault="00F7094C" w:rsidP="00D403F5">
            <w:pPr>
              <w:spacing w:after="0"/>
              <w:ind w:left="-28" w:right="-45"/>
              <w:jc w:val="both"/>
              <w:rPr>
                <w:rFonts w:ascii="Arial Narrow" w:hAnsi="Arial Narrow" w:cs="Arial"/>
                <w:b/>
                <w:sz w:val="18"/>
                <w:szCs w:val="18"/>
              </w:rPr>
            </w:pPr>
          </w:p>
        </w:tc>
      </w:tr>
    </w:tbl>
    <w:p w14:paraId="347ADA9A" w14:textId="77777777" w:rsidR="00F7094C" w:rsidRPr="00D403F5" w:rsidRDefault="00F7094C" w:rsidP="00D403F5">
      <w:pPr>
        <w:pBdr>
          <w:bottom w:val="single" w:sz="4" w:space="1" w:color="auto"/>
        </w:pBdr>
        <w:spacing w:after="0"/>
        <w:rPr>
          <w:rFonts w:ascii="Arial Narrow" w:hAnsi="Arial Narrow"/>
          <w:b/>
          <w:sz w:val="18"/>
          <w:szCs w:val="18"/>
        </w:rPr>
      </w:pPr>
      <w:r w:rsidRPr="00D403F5">
        <w:rPr>
          <w:rFonts w:ascii="Arial Narrow" w:hAnsi="Arial Narrow"/>
          <w:b/>
          <w:sz w:val="18"/>
          <w:szCs w:val="18"/>
        </w:rPr>
        <w:t>OTHE PARTICIPANTS</w:t>
      </w:r>
    </w:p>
    <w:p w14:paraId="682107CE" w14:textId="77777777" w:rsidR="00F7094C" w:rsidRPr="00D403F5" w:rsidRDefault="00F7094C" w:rsidP="00D403F5">
      <w:pPr>
        <w:pStyle w:val="bodytext"/>
        <w:spacing w:before="0" w:beforeAutospacing="0" w:after="0" w:afterAutospacing="0"/>
        <w:rPr>
          <w:rFonts w:ascii="Arial Narrow" w:hAnsi="Arial Narrow" w:cs="Arial"/>
          <w:b/>
          <w:sz w:val="18"/>
          <w:szCs w:val="18"/>
          <w:lang w:val="en-GB" w:eastAsia="en-US"/>
        </w:rPr>
      </w:pPr>
      <w:r w:rsidRPr="00D403F5">
        <w:rPr>
          <w:rFonts w:ascii="Arial Narrow" w:hAnsi="Arial Narrow" w:cs="Arial"/>
          <w:b/>
          <w:sz w:val="18"/>
          <w:szCs w:val="18"/>
          <w:lang w:val="en-GB" w:eastAsia="en-US"/>
        </w:rPr>
        <w:t>Dr Chang Siow Foong</w:t>
      </w:r>
    </w:p>
    <w:p w14:paraId="56355D13"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Group Director</w:t>
      </w:r>
    </w:p>
    <w:p w14:paraId="584089AD"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Professional &amp; Scientific Services</w:t>
      </w:r>
    </w:p>
    <w:p w14:paraId="3EEEA1A4"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Animal and Veterinary Service</w:t>
      </w:r>
    </w:p>
    <w:p w14:paraId="63BBEAB7"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Ministry of National Development</w:t>
      </w:r>
    </w:p>
    <w:p w14:paraId="3B285C07"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r w:rsidRPr="00D403F5">
        <w:rPr>
          <w:rFonts w:ascii="Arial Narrow" w:hAnsi="Arial Narrow" w:cs="Arial"/>
          <w:sz w:val="18"/>
          <w:szCs w:val="18"/>
          <w:lang w:val="en-GB" w:eastAsia="en-US"/>
        </w:rPr>
        <w:t>Singapore</w:t>
      </w:r>
    </w:p>
    <w:p w14:paraId="165F4173" w14:textId="77777777" w:rsidR="00F7094C" w:rsidRPr="00D403F5" w:rsidRDefault="000667F3" w:rsidP="00D403F5">
      <w:pPr>
        <w:pStyle w:val="bodytext"/>
        <w:spacing w:before="0" w:beforeAutospacing="0" w:after="0" w:afterAutospacing="0"/>
        <w:rPr>
          <w:rFonts w:ascii="Arial Narrow" w:hAnsi="Arial Narrow" w:cs="Arial"/>
          <w:sz w:val="18"/>
          <w:szCs w:val="18"/>
          <w:lang w:val="en-GB" w:eastAsia="en-US"/>
        </w:rPr>
      </w:pPr>
      <w:hyperlink r:id="rId29" w:history="1">
        <w:r w:rsidR="00F7094C" w:rsidRPr="00D403F5">
          <w:rPr>
            <w:rFonts w:ascii="Arial Narrow" w:hAnsi="Arial Narrow" w:cs="Arial"/>
            <w:sz w:val="18"/>
            <w:szCs w:val="18"/>
            <w:lang w:val="en-GB" w:eastAsia="en-US"/>
          </w:rPr>
          <w:t>chang_siow_foong@nparks.gov.sg</w:t>
        </w:r>
      </w:hyperlink>
    </w:p>
    <w:p w14:paraId="1925F268" w14:textId="77777777" w:rsidR="00F7094C" w:rsidRPr="00D403F5" w:rsidRDefault="00F7094C" w:rsidP="00D403F5">
      <w:pPr>
        <w:pStyle w:val="bodytext"/>
        <w:spacing w:before="0" w:beforeAutospacing="0" w:after="0" w:afterAutospacing="0"/>
        <w:rPr>
          <w:rFonts w:ascii="Arial Narrow" w:hAnsi="Arial Narrow" w:cs="Arial"/>
          <w:sz w:val="18"/>
          <w:szCs w:val="18"/>
          <w:lang w:val="en-GB" w:eastAsia="en-US"/>
        </w:rPr>
      </w:pPr>
    </w:p>
    <w:p w14:paraId="5F5EA880" w14:textId="77777777" w:rsidR="00F7094C" w:rsidRPr="00D403F5" w:rsidRDefault="00F7094C" w:rsidP="00D403F5">
      <w:pPr>
        <w:pBdr>
          <w:bottom w:val="single" w:sz="4" w:space="1" w:color="auto"/>
        </w:pBdr>
        <w:spacing w:after="0"/>
        <w:rPr>
          <w:rFonts w:ascii="Arial Narrow" w:hAnsi="Arial Narrow"/>
          <w:sz w:val="18"/>
          <w:szCs w:val="18"/>
        </w:rPr>
      </w:pPr>
      <w:r w:rsidRPr="00D403F5">
        <w:rPr>
          <w:rFonts w:ascii="Arial Narrow" w:hAnsi="Arial Narrow"/>
          <w:b/>
          <w:sz w:val="18"/>
          <w:szCs w:val="18"/>
        </w:rPr>
        <w:t>OIE HEADQUARTERS</w:t>
      </w:r>
    </w:p>
    <w:tbl>
      <w:tblPr>
        <w:tblW w:w="9427" w:type="dxa"/>
        <w:tblInd w:w="-142" w:type="dxa"/>
        <w:tblLayout w:type="fixed"/>
        <w:tblCellMar>
          <w:left w:w="70" w:type="dxa"/>
          <w:right w:w="70" w:type="dxa"/>
        </w:tblCellMar>
        <w:tblLook w:val="0000" w:firstRow="0" w:lastRow="0" w:firstColumn="0" w:lastColumn="0" w:noHBand="0" w:noVBand="0"/>
      </w:tblPr>
      <w:tblGrid>
        <w:gridCol w:w="3332"/>
        <w:gridCol w:w="3240"/>
        <w:gridCol w:w="2855"/>
      </w:tblGrid>
      <w:tr w:rsidR="00F7094C" w:rsidRPr="00D403F5" w14:paraId="0346ED4D" w14:textId="77777777" w:rsidTr="00F7094C">
        <w:trPr>
          <w:cantSplit/>
        </w:trPr>
        <w:tc>
          <w:tcPr>
            <w:tcW w:w="3332" w:type="dxa"/>
          </w:tcPr>
          <w:p w14:paraId="4D731A87" w14:textId="77777777" w:rsidR="00F7094C" w:rsidRPr="00D403F5" w:rsidRDefault="00F7094C" w:rsidP="00D403F5">
            <w:pPr>
              <w:spacing w:after="0"/>
              <w:ind w:left="142"/>
              <w:rPr>
                <w:rFonts w:ascii="Arial Narrow" w:hAnsi="Arial Narrow" w:cs="Arial"/>
                <w:b/>
                <w:sz w:val="18"/>
                <w:szCs w:val="18"/>
              </w:rPr>
            </w:pPr>
            <w:r w:rsidRPr="00D403F5">
              <w:rPr>
                <w:rFonts w:ascii="Arial Narrow" w:hAnsi="Arial Narrow" w:cs="Arial"/>
                <w:b/>
                <w:sz w:val="18"/>
                <w:szCs w:val="18"/>
              </w:rPr>
              <w:t>Dr Gillian Mylrea</w:t>
            </w:r>
          </w:p>
          <w:p w14:paraId="53CD99B0" w14:textId="77777777" w:rsidR="00F7094C" w:rsidRPr="00D403F5" w:rsidRDefault="00F7094C" w:rsidP="00D403F5">
            <w:pPr>
              <w:spacing w:after="0"/>
              <w:ind w:left="142" w:firstLine="2"/>
              <w:rPr>
                <w:rFonts w:ascii="Arial Narrow" w:hAnsi="Arial Narrow" w:cs="Arial"/>
                <w:sz w:val="18"/>
                <w:szCs w:val="18"/>
              </w:rPr>
            </w:pPr>
            <w:r w:rsidRPr="00D403F5">
              <w:rPr>
                <w:rFonts w:ascii="Arial Narrow" w:hAnsi="Arial Narrow" w:cs="Arial"/>
                <w:sz w:val="18"/>
                <w:szCs w:val="18"/>
              </w:rPr>
              <w:t>Head</w:t>
            </w:r>
          </w:p>
          <w:p w14:paraId="118DDD51" w14:textId="77777777" w:rsidR="00F7094C" w:rsidRPr="00D403F5" w:rsidRDefault="00F7094C" w:rsidP="00D403F5">
            <w:pPr>
              <w:tabs>
                <w:tab w:val="left" w:pos="284"/>
                <w:tab w:val="left" w:pos="1702"/>
              </w:tabs>
              <w:spacing w:after="0"/>
              <w:ind w:left="142" w:firstLine="2"/>
              <w:rPr>
                <w:rFonts w:ascii="Arial Narrow" w:hAnsi="Arial Narrow" w:cs="Arial"/>
                <w:sz w:val="18"/>
                <w:szCs w:val="18"/>
                <w:lang w:val="en-US"/>
              </w:rPr>
            </w:pPr>
            <w:r w:rsidRPr="00D403F5">
              <w:rPr>
                <w:rFonts w:ascii="Arial Narrow" w:hAnsi="Arial Narrow" w:cs="Arial"/>
                <w:sz w:val="18"/>
                <w:szCs w:val="18"/>
                <w:lang w:val="en-US"/>
              </w:rPr>
              <w:t>Standards Department</w:t>
            </w:r>
          </w:p>
          <w:p w14:paraId="0A7020E1" w14:textId="77777777" w:rsidR="00F7094C" w:rsidRPr="00D403F5" w:rsidRDefault="000667F3" w:rsidP="00D403F5">
            <w:pPr>
              <w:tabs>
                <w:tab w:val="left" w:pos="284"/>
                <w:tab w:val="left" w:pos="1702"/>
              </w:tabs>
              <w:spacing w:after="0"/>
              <w:ind w:left="142" w:firstLine="2"/>
              <w:rPr>
                <w:rStyle w:val="aa"/>
                <w:rFonts w:ascii="Arial Narrow" w:hAnsi="Arial Narrow" w:cs="Arial"/>
                <w:sz w:val="18"/>
                <w:szCs w:val="18"/>
                <w:lang w:val="fr-FR"/>
              </w:rPr>
            </w:pPr>
            <w:hyperlink r:id="rId30" w:history="1">
              <w:r w:rsidR="00F7094C" w:rsidRPr="00D403F5">
                <w:rPr>
                  <w:rStyle w:val="aa"/>
                  <w:rFonts w:ascii="Arial Narrow" w:hAnsi="Arial Narrow" w:cs="Arial"/>
                  <w:sz w:val="18"/>
                  <w:szCs w:val="18"/>
                  <w:lang w:val="fr-FR"/>
                </w:rPr>
                <w:t>g.mylrea@oie.int</w:t>
              </w:r>
            </w:hyperlink>
          </w:p>
          <w:p w14:paraId="5FD14C35" w14:textId="77777777" w:rsidR="00F7094C" w:rsidRPr="00D403F5" w:rsidRDefault="00F7094C" w:rsidP="00D403F5">
            <w:pPr>
              <w:tabs>
                <w:tab w:val="left" w:pos="576"/>
                <w:tab w:val="left" w:pos="1152"/>
                <w:tab w:val="left" w:pos="3312"/>
              </w:tabs>
              <w:spacing w:after="0"/>
              <w:ind w:left="142" w:right="-5008" w:firstLine="2"/>
              <w:rPr>
                <w:rFonts w:ascii="Arial Narrow" w:hAnsi="Arial Narrow" w:cs="Arial"/>
                <w:b/>
                <w:bCs/>
                <w:sz w:val="18"/>
                <w:szCs w:val="18"/>
                <w:lang w:val="fr-FR"/>
              </w:rPr>
            </w:pPr>
          </w:p>
          <w:p w14:paraId="0AAA10EA" w14:textId="77777777" w:rsidR="00F7094C" w:rsidRPr="00D403F5" w:rsidRDefault="00F7094C" w:rsidP="00D403F5">
            <w:pPr>
              <w:tabs>
                <w:tab w:val="left" w:pos="576"/>
                <w:tab w:val="left" w:pos="1152"/>
                <w:tab w:val="left" w:pos="3312"/>
              </w:tabs>
              <w:spacing w:after="0"/>
              <w:ind w:left="142" w:right="-5008" w:firstLine="2"/>
              <w:rPr>
                <w:rFonts w:ascii="Arial Narrow" w:hAnsi="Arial Narrow" w:cs="Arial"/>
                <w:b/>
                <w:bCs/>
                <w:sz w:val="18"/>
                <w:szCs w:val="18"/>
                <w:lang w:val="fr-FR"/>
              </w:rPr>
            </w:pPr>
            <w:r w:rsidRPr="00D403F5">
              <w:rPr>
                <w:rFonts w:ascii="Arial Narrow" w:hAnsi="Arial Narrow" w:cs="Arial"/>
                <w:b/>
                <w:bCs/>
                <w:sz w:val="18"/>
                <w:szCs w:val="18"/>
                <w:lang w:val="fr-FR"/>
              </w:rPr>
              <w:t>Ms Sara Linnane</w:t>
            </w:r>
          </w:p>
          <w:p w14:paraId="395784D3" w14:textId="77777777" w:rsidR="00F7094C" w:rsidRPr="00D403F5" w:rsidRDefault="00F7094C" w:rsidP="00D403F5">
            <w:pPr>
              <w:tabs>
                <w:tab w:val="left" w:pos="576"/>
                <w:tab w:val="left" w:pos="1152"/>
                <w:tab w:val="left" w:pos="3312"/>
              </w:tabs>
              <w:spacing w:after="0"/>
              <w:ind w:left="142" w:right="-5008" w:firstLine="2"/>
              <w:rPr>
                <w:rFonts w:ascii="Arial Narrow" w:hAnsi="Arial Narrow" w:cs="Arial"/>
                <w:bCs/>
                <w:sz w:val="18"/>
                <w:szCs w:val="18"/>
              </w:rPr>
            </w:pPr>
            <w:r w:rsidRPr="00D403F5">
              <w:rPr>
                <w:rFonts w:ascii="Arial Narrow" w:hAnsi="Arial Narrow" w:cs="Arial"/>
                <w:bCs/>
                <w:sz w:val="18"/>
                <w:szCs w:val="18"/>
              </w:rPr>
              <w:t>Scientific editor</w:t>
            </w:r>
          </w:p>
          <w:p w14:paraId="6D8F65BF" w14:textId="77777777" w:rsidR="00F7094C" w:rsidRPr="00D403F5" w:rsidRDefault="00F7094C" w:rsidP="00D403F5">
            <w:pPr>
              <w:tabs>
                <w:tab w:val="left" w:pos="576"/>
                <w:tab w:val="left" w:pos="1152"/>
                <w:tab w:val="left" w:pos="3312"/>
              </w:tabs>
              <w:spacing w:after="0"/>
              <w:ind w:left="142" w:right="-5008"/>
              <w:rPr>
                <w:rFonts w:ascii="Arial Narrow" w:hAnsi="Arial Narrow" w:cs="Arial"/>
                <w:bCs/>
                <w:sz w:val="18"/>
                <w:szCs w:val="18"/>
              </w:rPr>
            </w:pPr>
            <w:r w:rsidRPr="00D403F5">
              <w:rPr>
                <w:rFonts w:ascii="Arial Narrow" w:hAnsi="Arial Narrow" w:cs="Arial"/>
                <w:bCs/>
                <w:sz w:val="18"/>
                <w:szCs w:val="18"/>
              </w:rPr>
              <w:t xml:space="preserve">Science and New Technologies </w:t>
            </w:r>
            <w:r w:rsidRPr="00D403F5">
              <w:rPr>
                <w:rFonts w:ascii="Arial Narrow" w:hAnsi="Arial Narrow" w:cs="Arial"/>
                <w:bCs/>
                <w:sz w:val="18"/>
                <w:szCs w:val="18"/>
              </w:rPr>
              <w:br/>
              <w:t>Department </w:t>
            </w:r>
          </w:p>
          <w:p w14:paraId="313F3B16" w14:textId="77777777" w:rsidR="00F7094C" w:rsidRPr="00D403F5" w:rsidRDefault="00F7094C" w:rsidP="00D403F5">
            <w:pPr>
              <w:tabs>
                <w:tab w:val="left" w:pos="576"/>
                <w:tab w:val="left" w:pos="1152"/>
                <w:tab w:val="left" w:pos="3312"/>
              </w:tabs>
              <w:spacing w:after="0"/>
              <w:ind w:left="142" w:right="-5008"/>
              <w:rPr>
                <w:rFonts w:ascii="Arial Narrow" w:hAnsi="Arial Narrow" w:cs="Arial"/>
                <w:bCs/>
                <w:sz w:val="18"/>
                <w:szCs w:val="18"/>
              </w:rPr>
            </w:pPr>
            <w:r w:rsidRPr="00D403F5">
              <w:rPr>
                <w:rFonts w:ascii="Arial Narrow" w:hAnsi="Arial Narrow" w:cs="Arial"/>
                <w:bCs/>
                <w:sz w:val="18"/>
                <w:szCs w:val="18"/>
              </w:rPr>
              <w:t>s.linnane@oie.int</w:t>
            </w:r>
          </w:p>
          <w:p w14:paraId="61CA87A4" w14:textId="77777777" w:rsidR="00F7094C" w:rsidRPr="00D403F5" w:rsidRDefault="00F7094C" w:rsidP="00D403F5">
            <w:pPr>
              <w:tabs>
                <w:tab w:val="left" w:pos="284"/>
                <w:tab w:val="left" w:pos="1702"/>
              </w:tabs>
              <w:spacing w:after="0"/>
              <w:ind w:left="-282" w:firstLine="284"/>
              <w:rPr>
                <w:rFonts w:ascii="Arial Narrow" w:hAnsi="Arial Narrow" w:cs="Arial"/>
                <w:sz w:val="18"/>
                <w:szCs w:val="18"/>
              </w:rPr>
            </w:pPr>
          </w:p>
        </w:tc>
        <w:tc>
          <w:tcPr>
            <w:tcW w:w="3240" w:type="dxa"/>
          </w:tcPr>
          <w:p w14:paraId="31C297D0" w14:textId="77777777" w:rsidR="00F7094C" w:rsidRPr="00D403F5" w:rsidRDefault="00F7094C" w:rsidP="00D403F5">
            <w:pPr>
              <w:tabs>
                <w:tab w:val="left" w:pos="576"/>
                <w:tab w:val="left" w:pos="1152"/>
                <w:tab w:val="left" w:pos="3312"/>
              </w:tabs>
              <w:spacing w:after="0"/>
              <w:rPr>
                <w:rFonts w:ascii="Arial Narrow" w:hAnsi="Arial Narrow" w:cs="Arial"/>
                <w:b/>
                <w:bCs/>
                <w:sz w:val="18"/>
                <w:szCs w:val="18"/>
                <w:lang w:val="fr-FR"/>
              </w:rPr>
            </w:pPr>
            <w:r w:rsidRPr="00D403F5">
              <w:rPr>
                <w:rFonts w:ascii="Arial Narrow" w:hAnsi="Arial Narrow" w:cs="Arial"/>
                <w:b/>
                <w:bCs/>
                <w:sz w:val="18"/>
                <w:szCs w:val="18"/>
                <w:lang w:val="fr-FR"/>
              </w:rPr>
              <w:t xml:space="preserve">Jeannine Fischer </w:t>
            </w:r>
          </w:p>
          <w:p w14:paraId="1146DC5C" w14:textId="77777777" w:rsidR="00F7094C" w:rsidRPr="00D403F5" w:rsidRDefault="00F7094C" w:rsidP="00D403F5">
            <w:pPr>
              <w:tabs>
                <w:tab w:val="left" w:pos="284"/>
                <w:tab w:val="left" w:pos="1702"/>
              </w:tabs>
              <w:spacing w:after="0"/>
              <w:ind w:left="284" w:hanging="284"/>
              <w:rPr>
                <w:rFonts w:ascii="Arial Narrow" w:hAnsi="Arial Narrow" w:cs="Arial"/>
                <w:sz w:val="18"/>
                <w:szCs w:val="18"/>
                <w:lang w:val="fr-FR"/>
              </w:rPr>
            </w:pPr>
            <w:r w:rsidRPr="00D403F5">
              <w:rPr>
                <w:rFonts w:ascii="Arial Narrow" w:hAnsi="Arial Narrow" w:cs="Arial"/>
                <w:sz w:val="18"/>
                <w:szCs w:val="18"/>
                <w:lang w:val="fr-FR"/>
              </w:rPr>
              <w:t>Chargée de mission</w:t>
            </w:r>
          </w:p>
          <w:p w14:paraId="66806812" w14:textId="77777777" w:rsidR="00F7094C" w:rsidRPr="00D403F5" w:rsidRDefault="00F7094C" w:rsidP="00D403F5">
            <w:pPr>
              <w:tabs>
                <w:tab w:val="left" w:pos="284"/>
                <w:tab w:val="left" w:pos="1702"/>
              </w:tabs>
              <w:spacing w:after="0"/>
              <w:ind w:left="284" w:hanging="284"/>
              <w:rPr>
                <w:rFonts w:ascii="Arial Narrow" w:hAnsi="Arial Narrow" w:cs="Arial"/>
                <w:sz w:val="18"/>
                <w:szCs w:val="18"/>
                <w:lang w:val="fr-FR"/>
              </w:rPr>
            </w:pPr>
            <w:r w:rsidRPr="00D403F5">
              <w:rPr>
                <w:rFonts w:ascii="Arial Narrow" w:hAnsi="Arial Narrow" w:cs="Arial"/>
                <w:sz w:val="18"/>
                <w:szCs w:val="18"/>
                <w:lang w:val="fr-FR"/>
              </w:rPr>
              <w:t>Standards Department</w:t>
            </w:r>
          </w:p>
          <w:p w14:paraId="672572A6" w14:textId="77777777" w:rsidR="00F7094C" w:rsidRPr="00D403F5" w:rsidRDefault="000667F3" w:rsidP="00D403F5">
            <w:pPr>
              <w:tabs>
                <w:tab w:val="left" w:pos="576"/>
                <w:tab w:val="left" w:pos="1152"/>
                <w:tab w:val="left" w:pos="3312"/>
              </w:tabs>
              <w:spacing w:after="0"/>
              <w:ind w:right="-5008"/>
              <w:rPr>
                <w:rFonts w:ascii="Arial Narrow" w:hAnsi="Arial Narrow" w:cs="Arial"/>
                <w:sz w:val="18"/>
                <w:szCs w:val="18"/>
                <w:lang w:val="en-US"/>
              </w:rPr>
            </w:pPr>
            <w:hyperlink r:id="rId31" w:history="1">
              <w:r w:rsidR="00F7094C" w:rsidRPr="00D403F5">
                <w:rPr>
                  <w:rFonts w:ascii="Arial Narrow" w:hAnsi="Arial Narrow" w:cs="Arial"/>
                  <w:sz w:val="18"/>
                  <w:szCs w:val="18"/>
                  <w:lang w:val="en-US"/>
                </w:rPr>
                <w:t>j.fischer@oie.int</w:t>
              </w:r>
            </w:hyperlink>
            <w:r w:rsidR="00F7094C" w:rsidRPr="00D403F5">
              <w:rPr>
                <w:rFonts w:ascii="Arial Narrow" w:hAnsi="Arial Narrow" w:cs="Arial"/>
                <w:sz w:val="18"/>
                <w:szCs w:val="18"/>
                <w:lang w:val="en-US"/>
              </w:rPr>
              <w:t xml:space="preserve"> </w:t>
            </w:r>
          </w:p>
          <w:p w14:paraId="22AC2AAA" w14:textId="77777777" w:rsidR="00F7094C" w:rsidRPr="00D403F5" w:rsidRDefault="00F7094C" w:rsidP="00D403F5">
            <w:pPr>
              <w:spacing w:after="0"/>
              <w:rPr>
                <w:rFonts w:ascii="Arial Narrow" w:hAnsi="Arial Narrow" w:cs="Arial"/>
                <w:sz w:val="18"/>
                <w:szCs w:val="18"/>
                <w:lang w:val="fr-FR"/>
              </w:rPr>
            </w:pPr>
          </w:p>
        </w:tc>
        <w:tc>
          <w:tcPr>
            <w:tcW w:w="2855" w:type="dxa"/>
          </w:tcPr>
          <w:p w14:paraId="41ED85DD" w14:textId="77777777" w:rsidR="00F7094C" w:rsidRPr="00D403F5" w:rsidRDefault="00F7094C" w:rsidP="00D403F5">
            <w:pPr>
              <w:tabs>
                <w:tab w:val="left" w:pos="1702"/>
              </w:tabs>
              <w:spacing w:after="0"/>
              <w:rPr>
                <w:rFonts w:ascii="Arial Narrow" w:hAnsi="Arial Narrow" w:cs="Arial"/>
                <w:b/>
                <w:sz w:val="18"/>
                <w:szCs w:val="18"/>
                <w:lang w:val="fr-FR"/>
              </w:rPr>
            </w:pPr>
            <w:r w:rsidRPr="00D403F5">
              <w:rPr>
                <w:rFonts w:ascii="Arial Narrow" w:hAnsi="Arial Narrow" w:cs="Arial"/>
                <w:b/>
                <w:sz w:val="18"/>
                <w:szCs w:val="18"/>
                <w:lang w:val="fr-FR"/>
              </w:rPr>
              <w:t>Dr Stian Johnsen</w:t>
            </w:r>
          </w:p>
          <w:p w14:paraId="50353B69" w14:textId="77777777" w:rsidR="00F7094C" w:rsidRPr="00D403F5" w:rsidRDefault="00F7094C" w:rsidP="00D403F5">
            <w:pPr>
              <w:tabs>
                <w:tab w:val="left" w:pos="284"/>
                <w:tab w:val="left" w:pos="1702"/>
              </w:tabs>
              <w:spacing w:after="0"/>
              <w:ind w:left="284" w:hanging="284"/>
              <w:rPr>
                <w:rFonts w:ascii="Arial Narrow" w:hAnsi="Arial Narrow" w:cs="Arial"/>
                <w:sz w:val="18"/>
                <w:szCs w:val="18"/>
                <w:lang w:val="fr-FR"/>
              </w:rPr>
            </w:pPr>
            <w:r w:rsidRPr="00D403F5">
              <w:rPr>
                <w:rFonts w:ascii="Arial Narrow" w:hAnsi="Arial Narrow" w:cs="Arial"/>
                <w:sz w:val="18"/>
                <w:szCs w:val="18"/>
                <w:lang w:val="fr-FR"/>
              </w:rPr>
              <w:t>Chargé de mission</w:t>
            </w:r>
          </w:p>
          <w:p w14:paraId="253519F7" w14:textId="77777777" w:rsidR="00F7094C" w:rsidRPr="00D403F5" w:rsidRDefault="00F7094C" w:rsidP="00D403F5">
            <w:pPr>
              <w:tabs>
                <w:tab w:val="left" w:pos="284"/>
                <w:tab w:val="left" w:pos="1702"/>
              </w:tabs>
              <w:spacing w:after="0"/>
              <w:ind w:left="284" w:hanging="284"/>
              <w:rPr>
                <w:rFonts w:ascii="Arial Narrow" w:hAnsi="Arial Narrow" w:cs="Arial"/>
                <w:sz w:val="18"/>
                <w:szCs w:val="18"/>
              </w:rPr>
            </w:pPr>
            <w:r w:rsidRPr="00D403F5">
              <w:rPr>
                <w:rFonts w:ascii="Arial Narrow" w:hAnsi="Arial Narrow" w:cs="Arial"/>
                <w:sz w:val="18"/>
                <w:szCs w:val="18"/>
              </w:rPr>
              <w:t>Standards Department</w:t>
            </w:r>
          </w:p>
          <w:p w14:paraId="0131E503" w14:textId="77777777" w:rsidR="00F7094C" w:rsidRPr="00D403F5" w:rsidRDefault="00F7094C" w:rsidP="00D403F5">
            <w:pPr>
              <w:tabs>
                <w:tab w:val="left" w:pos="576"/>
                <w:tab w:val="left" w:pos="1152"/>
                <w:tab w:val="left" w:pos="3312"/>
              </w:tabs>
              <w:spacing w:after="0"/>
              <w:ind w:right="-5008"/>
              <w:rPr>
                <w:rFonts w:ascii="Arial Narrow" w:hAnsi="Arial Narrow" w:cs="Arial"/>
                <w:sz w:val="18"/>
                <w:szCs w:val="18"/>
                <w:lang w:val="en-US"/>
              </w:rPr>
            </w:pPr>
            <w:r w:rsidRPr="00D403F5">
              <w:rPr>
                <w:rFonts w:ascii="Arial Narrow" w:hAnsi="Arial Narrow" w:cs="Arial"/>
                <w:sz w:val="18"/>
                <w:szCs w:val="18"/>
                <w:lang w:val="en-US"/>
              </w:rPr>
              <w:t>s.johnsen@oie.int</w:t>
            </w:r>
          </w:p>
          <w:p w14:paraId="722B541E" w14:textId="77777777" w:rsidR="00F7094C" w:rsidRPr="00D403F5" w:rsidRDefault="00F7094C" w:rsidP="00D403F5">
            <w:pPr>
              <w:tabs>
                <w:tab w:val="left" w:pos="1702"/>
              </w:tabs>
              <w:spacing w:after="0"/>
              <w:rPr>
                <w:rFonts w:ascii="Arial Narrow" w:hAnsi="Arial Narrow" w:cs="Arial"/>
                <w:sz w:val="18"/>
                <w:szCs w:val="18"/>
                <w:lang w:val="en-US"/>
              </w:rPr>
            </w:pPr>
          </w:p>
        </w:tc>
      </w:tr>
    </w:tbl>
    <w:p w14:paraId="3CDB6CEB" w14:textId="77777777" w:rsidR="00F7094C" w:rsidRPr="00D403F5" w:rsidRDefault="00F7094C" w:rsidP="00D403F5">
      <w:pPr>
        <w:pStyle w:val="Web"/>
        <w:spacing w:before="0" w:beforeAutospacing="0" w:after="0" w:afterAutospacing="0"/>
        <w:ind w:left="426"/>
        <w:jc w:val="both"/>
        <w:rPr>
          <w:rFonts w:ascii="Arial Narrow" w:hAnsi="Arial Narrow"/>
          <w:b/>
          <w:caps/>
          <w:sz w:val="18"/>
          <w:szCs w:val="18"/>
          <w:lang w:val="en-US"/>
        </w:rPr>
        <w:sectPr w:rsidR="00F7094C" w:rsidRPr="00D403F5" w:rsidSect="00F7094C">
          <w:headerReference w:type="even" r:id="rId32"/>
          <w:headerReference w:type="default" r:id="rId33"/>
          <w:headerReference w:type="first" r:id="rId34"/>
          <w:footerReference w:type="first" r:id="rId35"/>
          <w:type w:val="oddPage"/>
          <w:pgSz w:w="11906" w:h="16838"/>
          <w:pgMar w:top="1440" w:right="1440" w:bottom="1440" w:left="1440" w:header="709" w:footer="709" w:gutter="0"/>
          <w:cols w:space="720"/>
          <w:titlePg/>
          <w:docGrid w:linePitch="360"/>
        </w:sectPr>
      </w:pPr>
    </w:p>
    <w:p w14:paraId="51CC956A" w14:textId="25990214" w:rsidR="007B3D5C" w:rsidRPr="00D403F5" w:rsidRDefault="007B3D5C" w:rsidP="00951F46">
      <w:pPr>
        <w:pStyle w:val="2"/>
        <w:spacing w:after="480"/>
        <w:jc w:val="right"/>
        <w:rPr>
          <w:rFonts w:ascii="Times New Roman" w:hAnsi="Times New Roman"/>
          <w:b w:val="0"/>
          <w:sz w:val="18"/>
          <w:szCs w:val="18"/>
          <w:u w:val="single"/>
        </w:rPr>
      </w:pPr>
      <w:r w:rsidRPr="00D403F5">
        <w:rPr>
          <w:rFonts w:ascii="Times New Roman" w:hAnsi="Times New Roman"/>
          <w:b w:val="0"/>
          <w:sz w:val="18"/>
          <w:szCs w:val="18"/>
          <w:u w:val="single"/>
        </w:rPr>
        <w:t>Annex 2</w:t>
      </w:r>
    </w:p>
    <w:p w14:paraId="1587BEDC" w14:textId="51CDA75B" w:rsidR="00951F46" w:rsidRPr="00D403F5" w:rsidRDefault="00951F46" w:rsidP="00951F46">
      <w:pPr>
        <w:pStyle w:val="2"/>
        <w:jc w:val="center"/>
        <w:rPr>
          <w:rFonts w:ascii="Arial" w:hAnsi="Arial" w:cs="Arial"/>
          <w:i/>
          <w:sz w:val="18"/>
          <w:szCs w:val="18"/>
        </w:rPr>
      </w:pPr>
      <w:r w:rsidRPr="00D403F5">
        <w:rPr>
          <w:rFonts w:ascii="Arial" w:hAnsi="Arial" w:cs="Arial"/>
          <w:sz w:val="18"/>
          <w:szCs w:val="18"/>
        </w:rPr>
        <w:t>MEETING OF THE OIE</w:t>
      </w:r>
      <w:r w:rsidRPr="00D403F5">
        <w:rPr>
          <w:rFonts w:ascii="Arial" w:hAnsi="Arial" w:cs="Arial"/>
          <w:sz w:val="18"/>
          <w:szCs w:val="18"/>
        </w:rPr>
        <w:br/>
        <w:t>AQUATIC ANIMAL HEALTH STANDARDS COMMISSION</w:t>
      </w:r>
      <w:r>
        <w:rPr>
          <w:rFonts w:ascii="Arial" w:hAnsi="Arial" w:cs="Arial"/>
          <w:sz w:val="18"/>
          <w:szCs w:val="18"/>
        </w:rPr>
        <w:br/>
      </w:r>
      <w:r w:rsidRPr="00D403F5">
        <w:rPr>
          <w:rFonts w:ascii="Arial" w:hAnsi="Arial" w:cs="Arial"/>
          <w:sz w:val="18"/>
          <w:szCs w:val="18"/>
        </w:rPr>
        <w:t>Paris, 25 September–2 October 2019</w:t>
      </w:r>
    </w:p>
    <w:p w14:paraId="13B1BA9E" w14:textId="77777777" w:rsidR="00951F46" w:rsidRPr="00D403F5" w:rsidRDefault="00951F46" w:rsidP="00951F46">
      <w:pPr>
        <w:pStyle w:val="2"/>
        <w:jc w:val="center"/>
        <w:rPr>
          <w:rFonts w:ascii="Arial" w:hAnsi="Arial" w:cs="Arial"/>
          <w:sz w:val="18"/>
          <w:szCs w:val="18"/>
        </w:rPr>
      </w:pPr>
      <w:r w:rsidRPr="00D403F5">
        <w:rPr>
          <w:rFonts w:ascii="Arial" w:hAnsi="Arial" w:cs="Arial"/>
          <w:sz w:val="18"/>
          <w:szCs w:val="18"/>
        </w:rPr>
        <w:t>_______</w:t>
      </w:r>
    </w:p>
    <w:p w14:paraId="2650F668" w14:textId="77777777" w:rsidR="007B3D5C" w:rsidRPr="00D403F5" w:rsidRDefault="007B3D5C" w:rsidP="00DC1FFC">
      <w:pPr>
        <w:pStyle w:val="2"/>
        <w:tabs>
          <w:tab w:val="clear" w:pos="360"/>
        </w:tabs>
        <w:spacing w:after="480"/>
        <w:ind w:left="0" w:firstLine="0"/>
        <w:jc w:val="center"/>
        <w:rPr>
          <w:rFonts w:ascii="Arial" w:hAnsi="Arial" w:cs="Arial"/>
          <w:sz w:val="18"/>
          <w:szCs w:val="18"/>
          <w:lang w:val="en-IE"/>
        </w:rPr>
      </w:pPr>
      <w:r w:rsidRPr="00D403F5">
        <w:rPr>
          <w:rFonts w:ascii="Arial" w:hAnsi="Arial" w:cs="Arial"/>
          <w:sz w:val="18"/>
          <w:szCs w:val="18"/>
          <w:lang w:val="en-IE"/>
        </w:rPr>
        <w:t>Adopted agenda</w:t>
      </w:r>
    </w:p>
    <w:p w14:paraId="0B09CADA" w14:textId="77777777" w:rsidR="007B3D5C" w:rsidRPr="00D403F5" w:rsidRDefault="007B3D5C" w:rsidP="00DC1FFC">
      <w:pPr>
        <w:spacing w:after="240" w:line="240" w:lineRule="auto"/>
        <w:ind w:left="426" w:hanging="426"/>
        <w:jc w:val="both"/>
        <w:rPr>
          <w:rFonts w:ascii="Times New Roman" w:eastAsia="MS Mincho" w:hAnsi="Times New Roman" w:cs="Times New Roman"/>
          <w:b/>
          <w:sz w:val="18"/>
          <w:szCs w:val="18"/>
          <w:lang w:eastAsia="ja-JP"/>
        </w:rPr>
      </w:pPr>
      <w:r w:rsidRPr="00D403F5">
        <w:rPr>
          <w:rFonts w:ascii="Times New Roman" w:eastAsia="MS Mincho" w:hAnsi="Times New Roman" w:cs="Times New Roman"/>
          <w:b/>
          <w:sz w:val="18"/>
          <w:szCs w:val="18"/>
          <w:lang w:val="en-IE" w:eastAsia="ja-JP"/>
        </w:rPr>
        <w:t xml:space="preserve">1. </w:t>
      </w:r>
      <w:r w:rsidRPr="00D403F5">
        <w:rPr>
          <w:rFonts w:ascii="Times New Roman" w:eastAsia="MS Mincho" w:hAnsi="Times New Roman" w:cs="Times New Roman"/>
          <w:b/>
          <w:sz w:val="18"/>
          <w:szCs w:val="18"/>
          <w:lang w:val="en-IE" w:eastAsia="ja-JP"/>
        </w:rPr>
        <w:tab/>
        <w:t>WELCOME FROM THE DEPUTY DIRECTOR GENERAL</w:t>
      </w:r>
    </w:p>
    <w:p w14:paraId="11B7C339" w14:textId="77777777" w:rsidR="007B3D5C" w:rsidRPr="00D403F5" w:rsidRDefault="007B3D5C" w:rsidP="00DC1FFC">
      <w:pPr>
        <w:spacing w:after="240" w:line="240" w:lineRule="auto"/>
        <w:ind w:left="426" w:hanging="426"/>
        <w:jc w:val="both"/>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2.</w:t>
      </w:r>
      <w:r w:rsidRPr="00D403F5">
        <w:rPr>
          <w:rFonts w:ascii="Times New Roman" w:eastAsia="MS Mincho" w:hAnsi="Times New Roman" w:cs="Times New Roman"/>
          <w:b/>
          <w:sz w:val="18"/>
          <w:szCs w:val="18"/>
          <w:lang w:val="en-IE" w:eastAsia="ja-JP"/>
        </w:rPr>
        <w:tab/>
      </w:r>
      <w:r w:rsidRPr="00D403F5">
        <w:rPr>
          <w:rFonts w:ascii="Times New Roman" w:eastAsia="MS Mincho" w:hAnsi="Times New Roman" w:cs="Times New Roman"/>
          <w:b/>
          <w:caps/>
          <w:sz w:val="18"/>
          <w:szCs w:val="18"/>
          <w:lang w:val="en-IE" w:eastAsia="ja-JP"/>
        </w:rPr>
        <w:t>Meeting with the Director General</w:t>
      </w:r>
      <w:r w:rsidRPr="00D403F5">
        <w:rPr>
          <w:rFonts w:ascii="Times New Roman" w:eastAsia="MS Mincho" w:hAnsi="Times New Roman" w:cs="Times New Roman"/>
          <w:b/>
          <w:sz w:val="18"/>
          <w:szCs w:val="18"/>
          <w:lang w:val="en-IE" w:eastAsia="ja-JP"/>
        </w:rPr>
        <w:t xml:space="preserve"> </w:t>
      </w:r>
    </w:p>
    <w:p w14:paraId="51C913C2" w14:textId="77777777" w:rsidR="007B3D5C" w:rsidRPr="00D403F5" w:rsidRDefault="007B3D5C" w:rsidP="00DC1FFC">
      <w:pPr>
        <w:spacing w:after="240" w:line="240" w:lineRule="auto"/>
        <w:ind w:left="426" w:hanging="426"/>
        <w:jc w:val="both"/>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3.</w:t>
      </w:r>
      <w:r w:rsidRPr="00D403F5">
        <w:rPr>
          <w:rFonts w:ascii="Times New Roman" w:eastAsia="MS Mincho" w:hAnsi="Times New Roman" w:cs="Times New Roman"/>
          <w:b/>
          <w:sz w:val="18"/>
          <w:szCs w:val="18"/>
          <w:lang w:val="en-IE" w:eastAsia="ja-JP"/>
        </w:rPr>
        <w:tab/>
        <w:t>ADOPTION OF THE AGENDA</w:t>
      </w:r>
    </w:p>
    <w:p w14:paraId="2A07E034" w14:textId="77777777" w:rsidR="007B3D5C" w:rsidRPr="00D403F5" w:rsidRDefault="007B3D5C" w:rsidP="00DC1FFC">
      <w:pPr>
        <w:spacing w:after="240" w:line="240" w:lineRule="auto"/>
        <w:ind w:left="426" w:hanging="426"/>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 xml:space="preserve">4. </w:t>
      </w:r>
      <w:r w:rsidRPr="00D403F5">
        <w:rPr>
          <w:rFonts w:ascii="Times New Roman" w:eastAsia="MS Mincho" w:hAnsi="Times New Roman" w:cs="Times New Roman"/>
          <w:b/>
          <w:sz w:val="18"/>
          <w:szCs w:val="18"/>
          <w:lang w:val="en-IE" w:eastAsia="ja-JP"/>
        </w:rPr>
        <w:tab/>
      </w:r>
      <w:r w:rsidRPr="00D403F5">
        <w:rPr>
          <w:rFonts w:ascii="Times New Roman" w:eastAsia="MS Mincho" w:hAnsi="Times New Roman" w:cs="Times New Roman"/>
          <w:b/>
          <w:caps/>
          <w:sz w:val="18"/>
          <w:szCs w:val="18"/>
          <w:lang w:val="en-IE" w:eastAsia="ja-JP"/>
        </w:rPr>
        <w:t>Project on antimicrobial Resistance in AquaCULTURE</w:t>
      </w:r>
    </w:p>
    <w:p w14:paraId="0B3105DB" w14:textId="77777777" w:rsidR="007B3D5C" w:rsidRPr="00D403F5" w:rsidRDefault="007B3D5C" w:rsidP="00DC1FFC">
      <w:pPr>
        <w:spacing w:after="240" w:line="240" w:lineRule="auto"/>
        <w:ind w:left="426" w:hanging="426"/>
        <w:rPr>
          <w:rFonts w:ascii="Times New Roman" w:eastAsia="MS Mincho" w:hAnsi="Times New Roman" w:cs="Times New Roman"/>
          <w:b/>
          <w:caps/>
          <w:sz w:val="18"/>
          <w:szCs w:val="18"/>
          <w:lang w:val="en-IE" w:eastAsia="ja-JP"/>
        </w:rPr>
      </w:pPr>
      <w:r w:rsidRPr="00D403F5">
        <w:rPr>
          <w:rFonts w:ascii="Times New Roman" w:eastAsia="MS Mincho" w:hAnsi="Times New Roman" w:cs="Times New Roman"/>
          <w:b/>
          <w:sz w:val="18"/>
          <w:szCs w:val="18"/>
          <w:lang w:val="en-IE" w:eastAsia="ja-JP"/>
        </w:rPr>
        <w:t xml:space="preserve">5. </w:t>
      </w:r>
      <w:r w:rsidRPr="00D403F5">
        <w:rPr>
          <w:rFonts w:ascii="Times New Roman" w:eastAsia="MS Mincho" w:hAnsi="Times New Roman" w:cs="Times New Roman"/>
          <w:b/>
          <w:sz w:val="18"/>
          <w:szCs w:val="18"/>
          <w:lang w:val="en-IE" w:eastAsia="ja-JP"/>
        </w:rPr>
        <w:tab/>
      </w:r>
      <w:r w:rsidRPr="00D403F5">
        <w:rPr>
          <w:rFonts w:ascii="Times New Roman" w:eastAsia="MS Mincho" w:hAnsi="Times New Roman" w:cs="Times New Roman"/>
          <w:b/>
          <w:caps/>
          <w:sz w:val="18"/>
          <w:szCs w:val="18"/>
          <w:lang w:val="en-IE" w:eastAsia="ja-JP"/>
        </w:rPr>
        <w:t>Work plan of the aquatic Animal Health standards Commission</w:t>
      </w:r>
    </w:p>
    <w:p w14:paraId="72BA69AA" w14:textId="77777777" w:rsidR="007B3D5C" w:rsidRPr="00D403F5" w:rsidRDefault="007B3D5C" w:rsidP="00DC1FFC">
      <w:pPr>
        <w:spacing w:after="240" w:line="240" w:lineRule="auto"/>
        <w:ind w:left="426" w:hanging="426"/>
        <w:rPr>
          <w:rFonts w:ascii="Times New Roman" w:eastAsia="MS Mincho" w:hAnsi="Times New Roman" w:cs="Times New Roman"/>
          <w:b/>
          <w:caps/>
          <w:sz w:val="18"/>
          <w:szCs w:val="18"/>
          <w:lang w:val="en-IE" w:eastAsia="ja-JP"/>
        </w:rPr>
      </w:pPr>
      <w:r w:rsidRPr="00D403F5">
        <w:rPr>
          <w:rFonts w:ascii="Times New Roman" w:eastAsia="MS Mincho" w:hAnsi="Times New Roman" w:cs="Times New Roman"/>
          <w:b/>
          <w:sz w:val="18"/>
          <w:szCs w:val="18"/>
          <w:lang w:val="en-IE" w:eastAsia="ja-JP"/>
        </w:rPr>
        <w:t xml:space="preserve">6. </w:t>
      </w:r>
      <w:r w:rsidRPr="00D403F5">
        <w:rPr>
          <w:rFonts w:ascii="Times New Roman" w:eastAsia="MS Mincho" w:hAnsi="Times New Roman" w:cs="Times New Roman"/>
          <w:b/>
          <w:sz w:val="18"/>
          <w:szCs w:val="18"/>
          <w:lang w:val="en-IE" w:eastAsia="ja-JP"/>
        </w:rPr>
        <w:tab/>
      </w:r>
      <w:r w:rsidRPr="00D403F5">
        <w:rPr>
          <w:rFonts w:ascii="Times New Roman" w:eastAsia="MS Mincho" w:hAnsi="Times New Roman" w:cs="Times New Roman"/>
          <w:b/>
          <w:caps/>
          <w:sz w:val="18"/>
          <w:szCs w:val="18"/>
          <w:lang w:val="en-IE" w:eastAsia="ja-JP"/>
        </w:rPr>
        <w:t xml:space="preserve">items for Member comments </w:t>
      </w:r>
    </w:p>
    <w:p w14:paraId="7474870E" w14:textId="77777777" w:rsidR="007B3D5C" w:rsidRPr="00D403F5" w:rsidRDefault="007B3D5C" w:rsidP="00DC1FFC">
      <w:pPr>
        <w:spacing w:after="240" w:line="240" w:lineRule="auto"/>
        <w:ind w:left="426"/>
        <w:jc w:val="center"/>
        <w:rPr>
          <w:rFonts w:ascii="Times New Roman" w:eastAsia="MS Mincho" w:hAnsi="Times New Roman" w:cs="Times New Roman"/>
          <w:b/>
          <w:i/>
          <w:iCs/>
          <w:sz w:val="18"/>
          <w:szCs w:val="18"/>
          <w:lang w:val="en-IE" w:eastAsia="ja-JP"/>
        </w:rPr>
      </w:pPr>
      <w:r w:rsidRPr="00D403F5">
        <w:rPr>
          <w:rFonts w:ascii="Times New Roman" w:eastAsia="MS Mincho" w:hAnsi="Times New Roman" w:cs="Times New Roman"/>
          <w:b/>
          <w:i/>
          <w:iCs/>
          <w:sz w:val="18"/>
          <w:szCs w:val="18"/>
          <w:lang w:val="en-IE" w:eastAsia="ja-JP"/>
        </w:rPr>
        <w:t>Aquatic Code</w:t>
      </w:r>
    </w:p>
    <w:p w14:paraId="356E1E4C" w14:textId="77777777" w:rsidR="007B3D5C" w:rsidRPr="00D403F5" w:rsidRDefault="007B3D5C" w:rsidP="00DC1FFC">
      <w:pPr>
        <w:spacing w:after="240" w:line="240" w:lineRule="auto"/>
        <w:ind w:left="992" w:hanging="566"/>
        <w:jc w:val="both"/>
        <w:rPr>
          <w:rFonts w:ascii="Times New Roman" w:eastAsia="MS Mincho" w:hAnsi="Times New Roman" w:cs="Times New Roman"/>
          <w:sz w:val="18"/>
          <w:szCs w:val="18"/>
          <w:lang w:val="en-IE" w:eastAsia="ja-JP"/>
        </w:rPr>
      </w:pPr>
      <w:r w:rsidRPr="00D403F5">
        <w:rPr>
          <w:rFonts w:ascii="Times New Roman" w:eastAsia="MS Mincho" w:hAnsi="Times New Roman" w:cs="Times New Roman"/>
          <w:sz w:val="18"/>
          <w:szCs w:val="18"/>
          <w:lang w:val="en-IE" w:eastAsia="ja-JP"/>
        </w:rPr>
        <w:t xml:space="preserve">6.1. </w:t>
      </w:r>
      <w:r w:rsidRPr="00D403F5">
        <w:rPr>
          <w:rFonts w:ascii="Times New Roman" w:eastAsia="MS Mincho" w:hAnsi="Times New Roman" w:cs="Times New Roman"/>
          <w:sz w:val="18"/>
          <w:szCs w:val="18"/>
          <w:lang w:val="en-IE" w:eastAsia="ja-JP"/>
        </w:rPr>
        <w:tab/>
        <w:t>New draft chapter on Biosecurity for Aquaculture Establishments (Chapter 4.X.)</w:t>
      </w:r>
    </w:p>
    <w:p w14:paraId="5C8D06F9" w14:textId="77777777" w:rsidR="007B3D5C" w:rsidRPr="00D403F5" w:rsidRDefault="007B3D5C" w:rsidP="00DC1FFC">
      <w:pPr>
        <w:spacing w:after="240" w:line="240" w:lineRule="auto"/>
        <w:ind w:left="992" w:hanging="566"/>
        <w:jc w:val="both"/>
        <w:rPr>
          <w:rFonts w:ascii="Times New Roman" w:eastAsia="MS Mincho" w:hAnsi="Times New Roman" w:cs="Times New Roman"/>
          <w:sz w:val="18"/>
          <w:szCs w:val="18"/>
          <w:lang w:val="en-IE" w:eastAsia="ja-JP"/>
        </w:rPr>
      </w:pPr>
      <w:r w:rsidRPr="00D403F5">
        <w:rPr>
          <w:rFonts w:ascii="Times New Roman" w:eastAsia="MS Mincho" w:hAnsi="Times New Roman" w:cs="Times New Roman"/>
          <w:sz w:val="18"/>
          <w:szCs w:val="18"/>
          <w:lang w:val="en-IE" w:eastAsia="ja-JP"/>
        </w:rPr>
        <w:t>6.2.</w:t>
      </w:r>
      <w:r w:rsidRPr="00D403F5">
        <w:rPr>
          <w:rFonts w:ascii="Times New Roman" w:eastAsia="MS Mincho" w:hAnsi="Times New Roman" w:cs="Times New Roman"/>
          <w:sz w:val="18"/>
          <w:szCs w:val="18"/>
          <w:lang w:val="en-IE" w:eastAsia="ja-JP"/>
        </w:rPr>
        <w:tab/>
        <w:t xml:space="preserve">Revised Article 1.3.3. of Chapter 1.3. Diseases listed by the OIE </w:t>
      </w:r>
    </w:p>
    <w:p w14:paraId="29517598" w14:textId="77777777" w:rsidR="007B3D5C" w:rsidRPr="00D403F5" w:rsidRDefault="007B3D5C" w:rsidP="00DC1FFC">
      <w:pPr>
        <w:spacing w:after="240" w:line="240" w:lineRule="auto"/>
        <w:ind w:left="992" w:hanging="566"/>
        <w:jc w:val="both"/>
        <w:rPr>
          <w:rFonts w:ascii="Times New Roman" w:hAnsi="Times New Roman" w:cs="Times New Roman"/>
          <w:sz w:val="18"/>
          <w:szCs w:val="18"/>
          <w:lang w:val="en-IE" w:eastAsia="fr-FR"/>
        </w:rPr>
      </w:pPr>
      <w:r w:rsidRPr="00D403F5">
        <w:rPr>
          <w:rFonts w:ascii="Times New Roman" w:eastAsia="MS Mincho" w:hAnsi="Times New Roman" w:cs="Times New Roman"/>
          <w:sz w:val="18"/>
          <w:szCs w:val="18"/>
          <w:lang w:val="en-IE" w:eastAsia="ja-JP"/>
        </w:rPr>
        <w:t>6.3.</w:t>
      </w:r>
      <w:r w:rsidRPr="00D403F5">
        <w:rPr>
          <w:rFonts w:ascii="Times New Roman" w:eastAsia="MS Mincho" w:hAnsi="Times New Roman" w:cs="Times New Roman"/>
          <w:sz w:val="18"/>
          <w:szCs w:val="18"/>
          <w:lang w:val="en-IE" w:eastAsia="ja-JP"/>
        </w:rPr>
        <w:tab/>
      </w:r>
      <w:r w:rsidRPr="00D403F5">
        <w:rPr>
          <w:rFonts w:ascii="Times New Roman" w:hAnsi="Times New Roman" w:cs="Times New Roman"/>
          <w:sz w:val="18"/>
          <w:szCs w:val="18"/>
          <w:lang w:val="en-IE" w:eastAsia="fr-FR"/>
        </w:rPr>
        <w:t>Model Article 10.X.13.</w:t>
      </w:r>
    </w:p>
    <w:p w14:paraId="35191AB7" w14:textId="77777777" w:rsidR="007B3D5C" w:rsidRPr="00D403F5" w:rsidRDefault="007B3D5C" w:rsidP="00DC1FFC">
      <w:pPr>
        <w:spacing w:after="240" w:line="240" w:lineRule="auto"/>
        <w:ind w:left="992" w:hanging="566"/>
        <w:jc w:val="both"/>
        <w:rPr>
          <w:rFonts w:ascii="Times New Roman" w:eastAsia="MS Mincho" w:hAnsi="Times New Roman" w:cs="Times New Roman"/>
          <w:sz w:val="18"/>
          <w:szCs w:val="18"/>
          <w:lang w:val="en-IE"/>
        </w:rPr>
      </w:pPr>
      <w:r w:rsidRPr="00D403F5">
        <w:rPr>
          <w:rFonts w:ascii="Times New Roman" w:hAnsi="Times New Roman" w:cs="Times New Roman"/>
          <w:sz w:val="18"/>
          <w:szCs w:val="18"/>
          <w:lang w:val="en-IE" w:eastAsia="fr-FR"/>
        </w:rPr>
        <w:t>6.4.</w:t>
      </w:r>
      <w:r w:rsidRPr="00D403F5">
        <w:rPr>
          <w:rFonts w:ascii="Times New Roman" w:hAnsi="Times New Roman" w:cs="Times New Roman"/>
          <w:sz w:val="18"/>
          <w:szCs w:val="18"/>
          <w:lang w:val="en-IE" w:eastAsia="fr-FR"/>
        </w:rPr>
        <w:tab/>
      </w:r>
      <w:r w:rsidRPr="00D403F5">
        <w:rPr>
          <w:rFonts w:ascii="Times New Roman" w:hAnsi="Times New Roman" w:cs="Times New Roman"/>
          <w:sz w:val="18"/>
          <w:szCs w:val="18"/>
          <w:lang w:val="en-IE"/>
        </w:rPr>
        <w:t>Article 10.10.2. of Chapter 10.10. Infection with viral haemorrhagic septicaemia virus</w:t>
      </w:r>
      <w:r w:rsidRPr="00D403F5">
        <w:rPr>
          <w:rFonts w:ascii="Times New Roman" w:eastAsia="MS Mincho" w:hAnsi="Times New Roman" w:cs="Times New Roman"/>
          <w:sz w:val="18"/>
          <w:szCs w:val="18"/>
          <w:lang w:val="en-IE"/>
        </w:rPr>
        <w:t xml:space="preserve"> </w:t>
      </w:r>
    </w:p>
    <w:p w14:paraId="1F22B7CC" w14:textId="77777777" w:rsidR="007B3D5C" w:rsidRPr="00D403F5" w:rsidRDefault="007B3D5C" w:rsidP="00DC1FFC">
      <w:pPr>
        <w:spacing w:after="240" w:line="240" w:lineRule="auto"/>
        <w:ind w:left="992" w:hanging="566"/>
        <w:jc w:val="both"/>
        <w:rPr>
          <w:rFonts w:ascii="Times New Roman" w:eastAsia="MS Mincho" w:hAnsi="Times New Roman" w:cs="Times New Roman"/>
          <w:sz w:val="18"/>
          <w:szCs w:val="18"/>
          <w:lang w:val="en-IE"/>
        </w:rPr>
      </w:pPr>
      <w:r w:rsidRPr="00D403F5">
        <w:rPr>
          <w:rFonts w:ascii="Times New Roman" w:eastAsia="MS Mincho" w:hAnsi="Times New Roman" w:cs="Times New Roman"/>
          <w:sz w:val="18"/>
          <w:szCs w:val="18"/>
          <w:lang w:val="en-IE"/>
        </w:rPr>
        <w:t>6.5.</w:t>
      </w:r>
      <w:r w:rsidRPr="00D403F5">
        <w:rPr>
          <w:rFonts w:ascii="Times New Roman" w:eastAsia="MS Mincho" w:hAnsi="Times New Roman" w:cs="Times New Roman"/>
          <w:sz w:val="18"/>
          <w:szCs w:val="18"/>
          <w:lang w:val="en-IE"/>
        </w:rPr>
        <w:tab/>
      </w:r>
      <w:r w:rsidRPr="00D403F5">
        <w:rPr>
          <w:rFonts w:ascii="Times New Roman" w:eastAsia="Times New Roman" w:hAnsi="Times New Roman" w:cs="Times New Roman"/>
          <w:sz w:val="18"/>
          <w:szCs w:val="18"/>
          <w:lang w:val="en-IE"/>
        </w:rPr>
        <w:t>Article</w:t>
      </w:r>
      <w:r w:rsidRPr="00D403F5">
        <w:rPr>
          <w:rFonts w:ascii="Times New Roman" w:eastAsia="MS Mincho" w:hAnsi="Times New Roman" w:cs="Times New Roman"/>
          <w:sz w:val="18"/>
          <w:szCs w:val="18"/>
          <w:lang w:val="en-IE"/>
        </w:rPr>
        <w:t xml:space="preserve"> 10.9.2. of Chapter 10.9. Infection with spring viraemia of carp virus</w:t>
      </w:r>
    </w:p>
    <w:p w14:paraId="11F1D45F" w14:textId="77777777" w:rsidR="007B3D5C" w:rsidRPr="00D403F5" w:rsidRDefault="007B3D5C" w:rsidP="00DC1FFC">
      <w:pPr>
        <w:spacing w:after="240" w:line="240" w:lineRule="auto"/>
        <w:ind w:left="992" w:hanging="566"/>
        <w:jc w:val="both"/>
        <w:rPr>
          <w:rFonts w:ascii="Times New Roman" w:hAnsi="Times New Roman" w:cs="Times New Roman"/>
          <w:color w:val="FF0000"/>
          <w:sz w:val="18"/>
          <w:szCs w:val="18"/>
          <w:lang w:val="en-IE"/>
        </w:rPr>
      </w:pPr>
      <w:r w:rsidRPr="00D403F5">
        <w:rPr>
          <w:rFonts w:ascii="Times New Roman" w:hAnsi="Times New Roman" w:cs="Times New Roman"/>
          <w:sz w:val="18"/>
          <w:szCs w:val="18"/>
          <w:lang w:val="en-IE"/>
        </w:rPr>
        <w:t>6.6.</w:t>
      </w:r>
      <w:r w:rsidRPr="00D403F5">
        <w:rPr>
          <w:rFonts w:ascii="Times New Roman" w:hAnsi="Times New Roman" w:cs="Times New Roman"/>
          <w:sz w:val="18"/>
          <w:szCs w:val="18"/>
          <w:lang w:val="en-IE"/>
        </w:rPr>
        <w:tab/>
        <w:t xml:space="preserve">Discussion paper on approaches for determining periods required to demonstrate disease freedom </w:t>
      </w:r>
    </w:p>
    <w:p w14:paraId="056CEA07" w14:textId="77777777" w:rsidR="007B3D5C" w:rsidRPr="00D403F5" w:rsidRDefault="007B3D5C" w:rsidP="00DC1FFC">
      <w:pPr>
        <w:spacing w:after="240" w:line="240" w:lineRule="auto"/>
        <w:ind w:left="992" w:hanging="566"/>
        <w:jc w:val="both"/>
        <w:rPr>
          <w:rFonts w:ascii="Times New Roman" w:hAnsi="Times New Roman" w:cs="Times New Roman"/>
          <w:sz w:val="18"/>
          <w:szCs w:val="18"/>
          <w:lang w:val="en-IE"/>
        </w:rPr>
      </w:pPr>
      <w:r w:rsidRPr="00D403F5">
        <w:rPr>
          <w:rFonts w:ascii="Times New Roman" w:hAnsi="Times New Roman" w:cs="Times New Roman"/>
          <w:sz w:val="18"/>
          <w:szCs w:val="18"/>
          <w:lang w:val="en-IE"/>
        </w:rPr>
        <w:t>6.7.</w:t>
      </w:r>
      <w:r w:rsidRPr="00D403F5">
        <w:rPr>
          <w:rFonts w:ascii="Times New Roman" w:hAnsi="Times New Roman" w:cs="Times New Roman"/>
          <w:sz w:val="18"/>
          <w:szCs w:val="18"/>
          <w:lang w:val="en-IE"/>
        </w:rPr>
        <w:tab/>
        <w:t>Revised Glossary definition for ‘Aquatic animal waste’</w:t>
      </w:r>
      <w:r w:rsidRPr="00D403F5">
        <w:rPr>
          <w:rFonts w:ascii="Times New Roman" w:hAnsi="Times New Roman" w:cs="Times New Roman"/>
          <w:sz w:val="18"/>
          <w:szCs w:val="18"/>
          <w:lang w:val="en-IE"/>
        </w:rPr>
        <w:tab/>
      </w:r>
    </w:p>
    <w:p w14:paraId="3E5AB3C8" w14:textId="77777777" w:rsidR="007B3D5C" w:rsidRPr="00D403F5" w:rsidRDefault="007B3D5C" w:rsidP="00DC1FFC">
      <w:pPr>
        <w:spacing w:after="240" w:line="240" w:lineRule="auto"/>
        <w:ind w:left="992" w:hanging="272"/>
        <w:jc w:val="center"/>
        <w:rPr>
          <w:rFonts w:ascii="Times New Roman" w:eastAsia="MS Mincho" w:hAnsi="Times New Roman" w:cs="Times New Roman"/>
          <w:b/>
          <w:bCs/>
          <w:i/>
          <w:iCs/>
          <w:sz w:val="18"/>
          <w:szCs w:val="18"/>
          <w:lang w:val="en-IE"/>
        </w:rPr>
      </w:pPr>
      <w:r w:rsidRPr="00D403F5">
        <w:rPr>
          <w:rFonts w:ascii="Times New Roman" w:eastAsia="MS Mincho" w:hAnsi="Times New Roman" w:cs="Times New Roman"/>
          <w:b/>
          <w:bCs/>
          <w:i/>
          <w:iCs/>
          <w:sz w:val="18"/>
          <w:szCs w:val="18"/>
          <w:lang w:val="en-IE"/>
        </w:rPr>
        <w:t xml:space="preserve">Aquatic Manual </w:t>
      </w:r>
    </w:p>
    <w:p w14:paraId="38AFE410" w14:textId="77777777" w:rsidR="007B3D5C" w:rsidRPr="00D403F5" w:rsidRDefault="007B3D5C" w:rsidP="00DC1FFC">
      <w:pPr>
        <w:pStyle w:val="Web"/>
        <w:spacing w:before="0" w:beforeAutospacing="0" w:after="240" w:afterAutospacing="0"/>
        <w:ind w:left="993" w:hanging="567"/>
        <w:jc w:val="both"/>
        <w:rPr>
          <w:sz w:val="18"/>
          <w:szCs w:val="18"/>
          <w:lang w:val="en-IE"/>
        </w:rPr>
      </w:pPr>
      <w:r w:rsidRPr="00D403F5">
        <w:rPr>
          <w:sz w:val="18"/>
          <w:szCs w:val="18"/>
          <w:lang w:val="en-IE"/>
        </w:rPr>
        <w:t>6.8.</w:t>
      </w:r>
      <w:r w:rsidRPr="00D403F5">
        <w:rPr>
          <w:sz w:val="18"/>
          <w:szCs w:val="18"/>
          <w:lang w:val="en-IE"/>
        </w:rPr>
        <w:tab/>
        <w:t xml:space="preserve">Reformatting of </w:t>
      </w:r>
      <w:r w:rsidRPr="00D403F5">
        <w:rPr>
          <w:i/>
          <w:iCs/>
          <w:sz w:val="18"/>
          <w:szCs w:val="18"/>
          <w:lang w:val="en-IE"/>
        </w:rPr>
        <w:t>Aquatic Manual</w:t>
      </w:r>
      <w:r w:rsidRPr="00D403F5">
        <w:rPr>
          <w:sz w:val="18"/>
          <w:szCs w:val="18"/>
          <w:lang w:val="en-IE"/>
        </w:rPr>
        <w:t xml:space="preserve"> chapters into the new template</w:t>
      </w:r>
    </w:p>
    <w:p w14:paraId="4ECCFC93" w14:textId="77777777" w:rsidR="007B3D5C" w:rsidRPr="00D403F5" w:rsidRDefault="007B3D5C" w:rsidP="00DC1FFC">
      <w:pPr>
        <w:pStyle w:val="Web"/>
        <w:spacing w:before="0" w:beforeAutospacing="0" w:after="240" w:afterAutospacing="0"/>
        <w:ind w:left="993" w:hanging="567"/>
        <w:jc w:val="both"/>
        <w:rPr>
          <w:sz w:val="18"/>
          <w:szCs w:val="18"/>
          <w:lang w:val="en-IE"/>
        </w:rPr>
      </w:pPr>
      <w:r w:rsidRPr="00D403F5">
        <w:rPr>
          <w:sz w:val="18"/>
          <w:szCs w:val="18"/>
          <w:lang w:val="en-IE"/>
        </w:rPr>
        <w:t>6.8.1</w:t>
      </w:r>
      <w:r w:rsidRPr="00D403F5">
        <w:rPr>
          <w:sz w:val="18"/>
          <w:szCs w:val="18"/>
          <w:lang w:val="en-IE"/>
        </w:rPr>
        <w:tab/>
        <w:t>Chapter 2.3.9. Spring viraemia of carp</w:t>
      </w:r>
    </w:p>
    <w:p w14:paraId="2902672D" w14:textId="77777777" w:rsidR="007B3D5C" w:rsidRPr="00D403F5" w:rsidRDefault="007B3D5C" w:rsidP="00DC1FFC">
      <w:pPr>
        <w:pStyle w:val="Web"/>
        <w:spacing w:before="0" w:beforeAutospacing="0" w:after="240" w:afterAutospacing="0"/>
        <w:ind w:left="993" w:hanging="567"/>
        <w:jc w:val="both"/>
        <w:rPr>
          <w:sz w:val="18"/>
          <w:szCs w:val="18"/>
          <w:lang w:val="en-IE"/>
        </w:rPr>
      </w:pPr>
      <w:r w:rsidRPr="00D403F5">
        <w:rPr>
          <w:sz w:val="18"/>
          <w:szCs w:val="18"/>
          <w:lang w:val="en-IE"/>
        </w:rPr>
        <w:t>6.8.2.</w:t>
      </w:r>
      <w:r w:rsidRPr="00D403F5">
        <w:rPr>
          <w:sz w:val="18"/>
          <w:szCs w:val="18"/>
          <w:lang w:val="en-IE"/>
        </w:rPr>
        <w:tab/>
      </w:r>
      <w:r w:rsidRPr="00D403F5">
        <w:rPr>
          <w:sz w:val="18"/>
          <w:szCs w:val="18"/>
          <w:lang w:val="en-IE" w:bidi="en-US"/>
        </w:rPr>
        <w:t xml:space="preserve">New draft Chapter 2.1.X. Infection with </w:t>
      </w:r>
      <w:r w:rsidRPr="00D403F5">
        <w:rPr>
          <w:i/>
          <w:iCs/>
          <w:sz w:val="18"/>
          <w:szCs w:val="18"/>
          <w:lang w:val="en-IE" w:bidi="en-US"/>
        </w:rPr>
        <w:t>Batrachochytrium salamandrivorans</w:t>
      </w:r>
    </w:p>
    <w:p w14:paraId="5C3CDFAB" w14:textId="77777777" w:rsidR="007B3D5C" w:rsidRPr="00D403F5" w:rsidRDefault="007B3D5C" w:rsidP="00DC1FFC">
      <w:pPr>
        <w:pStyle w:val="Web"/>
        <w:spacing w:before="0" w:beforeAutospacing="0" w:after="240" w:afterAutospacing="0"/>
        <w:ind w:left="993" w:hanging="567"/>
        <w:jc w:val="both"/>
        <w:rPr>
          <w:sz w:val="18"/>
          <w:szCs w:val="18"/>
          <w:lang w:val="en-IE"/>
        </w:rPr>
      </w:pPr>
      <w:r w:rsidRPr="00D403F5">
        <w:rPr>
          <w:sz w:val="18"/>
          <w:szCs w:val="18"/>
          <w:lang w:val="en-IE"/>
        </w:rPr>
        <w:t xml:space="preserve">6.8.3. </w:t>
      </w:r>
      <w:r w:rsidRPr="00D403F5">
        <w:rPr>
          <w:sz w:val="18"/>
          <w:szCs w:val="18"/>
          <w:lang w:val="en-IE"/>
        </w:rPr>
        <w:tab/>
        <w:t>Chapter 2.3.4. Infectious haematopoietic necrosis</w:t>
      </w:r>
    </w:p>
    <w:p w14:paraId="265D9769" w14:textId="77777777" w:rsidR="007B3D5C" w:rsidRPr="00D403F5" w:rsidRDefault="007B3D5C" w:rsidP="00DC1FFC">
      <w:pPr>
        <w:pStyle w:val="Web"/>
        <w:spacing w:before="0" w:beforeAutospacing="0" w:after="240" w:afterAutospacing="0"/>
        <w:ind w:left="993" w:hanging="567"/>
        <w:jc w:val="both"/>
        <w:rPr>
          <w:sz w:val="18"/>
          <w:szCs w:val="18"/>
          <w:lang w:val="en-IE"/>
        </w:rPr>
      </w:pPr>
      <w:r w:rsidRPr="00D403F5">
        <w:rPr>
          <w:sz w:val="18"/>
          <w:szCs w:val="18"/>
          <w:lang w:val="en-IE"/>
        </w:rPr>
        <w:t>6.8.4.</w:t>
      </w:r>
      <w:r w:rsidRPr="00D403F5">
        <w:rPr>
          <w:sz w:val="18"/>
          <w:szCs w:val="18"/>
          <w:lang w:val="en-IE"/>
        </w:rPr>
        <w:tab/>
        <w:t>Chapter 2.3.10. Viral haemorrhagic septicaemia</w:t>
      </w:r>
    </w:p>
    <w:p w14:paraId="6F866D62" w14:textId="7A7B047A" w:rsidR="007B3D5C" w:rsidRPr="00D403F5" w:rsidRDefault="007B3D5C" w:rsidP="00DC1FFC">
      <w:pPr>
        <w:spacing w:after="240" w:line="240" w:lineRule="auto"/>
        <w:ind w:left="426" w:hanging="426"/>
        <w:rPr>
          <w:rFonts w:ascii="Times New Roman" w:eastAsia="MS Mincho" w:hAnsi="Times New Roman" w:cs="Times New Roman"/>
          <w:b/>
          <w:sz w:val="18"/>
          <w:szCs w:val="18"/>
          <w:lang w:val="en-IE" w:eastAsia="ja-JP"/>
        </w:rPr>
      </w:pPr>
      <w:r w:rsidRPr="00D403F5">
        <w:rPr>
          <w:rFonts w:ascii="Times New Roman" w:eastAsia="MS Mincho" w:hAnsi="Times New Roman" w:cs="Times New Roman"/>
          <w:b/>
          <w:sz w:val="18"/>
          <w:szCs w:val="18"/>
          <w:lang w:val="en-IE" w:eastAsia="ja-JP"/>
        </w:rPr>
        <w:t>7.</w:t>
      </w:r>
      <w:r w:rsidRPr="00D403F5">
        <w:rPr>
          <w:rFonts w:ascii="Times New Roman" w:eastAsia="MS Mincho" w:hAnsi="Times New Roman" w:cs="Times New Roman"/>
          <w:b/>
          <w:sz w:val="18"/>
          <w:szCs w:val="18"/>
          <w:lang w:val="en-IE" w:eastAsia="ja-JP"/>
        </w:rPr>
        <w:tab/>
        <w:t>ITEMS FOR MEMBER INFORMATION</w:t>
      </w:r>
    </w:p>
    <w:p w14:paraId="13450C05" w14:textId="77777777" w:rsidR="007B3D5C" w:rsidRPr="00D403F5" w:rsidRDefault="007B3D5C" w:rsidP="00DC1FFC">
      <w:pPr>
        <w:spacing w:after="240" w:line="240" w:lineRule="auto"/>
        <w:ind w:left="426"/>
        <w:jc w:val="center"/>
        <w:rPr>
          <w:rFonts w:ascii="Times New Roman" w:eastAsia="MS Mincho" w:hAnsi="Times New Roman" w:cs="Times New Roman"/>
          <w:b/>
          <w:i/>
          <w:iCs/>
          <w:sz w:val="18"/>
          <w:szCs w:val="18"/>
          <w:lang w:val="en-IE" w:eastAsia="ja-JP"/>
        </w:rPr>
      </w:pPr>
      <w:bookmarkStart w:id="24" w:name="_Hlk524086750"/>
      <w:r w:rsidRPr="00D403F5">
        <w:rPr>
          <w:rFonts w:ascii="Times New Roman" w:eastAsia="MS Mincho" w:hAnsi="Times New Roman" w:cs="Times New Roman"/>
          <w:b/>
          <w:i/>
          <w:iCs/>
          <w:sz w:val="18"/>
          <w:szCs w:val="18"/>
          <w:lang w:val="en-IE" w:eastAsia="ja-JP"/>
        </w:rPr>
        <w:t>Aquatic Code</w:t>
      </w:r>
    </w:p>
    <w:p w14:paraId="329D73FC" w14:textId="77777777" w:rsidR="007B3D5C" w:rsidRPr="00D403F5" w:rsidRDefault="007B3D5C" w:rsidP="00DC1FFC">
      <w:pPr>
        <w:pStyle w:val="para2"/>
        <w:suppressAutoHyphens/>
        <w:rPr>
          <w:rFonts w:ascii="Times New Roman" w:hAnsi="Times New Roman" w:cs="Times New Roman"/>
          <w:b w:val="0"/>
          <w:color w:val="auto"/>
          <w:lang w:val="en-IE"/>
        </w:rPr>
      </w:pPr>
      <w:r w:rsidRPr="00D403F5">
        <w:rPr>
          <w:rFonts w:ascii="Times New Roman" w:hAnsi="Times New Roman" w:cs="Times New Roman"/>
          <w:b w:val="0"/>
          <w:color w:val="auto"/>
          <w:lang w:val="en-IE"/>
        </w:rPr>
        <w:t>7.1.</w:t>
      </w:r>
      <w:r w:rsidRPr="00D403F5">
        <w:rPr>
          <w:rFonts w:ascii="Times New Roman" w:hAnsi="Times New Roman" w:cs="Times New Roman"/>
          <w:b w:val="0"/>
          <w:color w:val="auto"/>
          <w:lang w:val="en-IE"/>
        </w:rPr>
        <w:tab/>
        <w:t>Glossary definitions for ‘Competent Authority’, ‘Veterinary Authority’ and ‘Veterinary Services’. Information about work in the Terrestrial Code Commission.</w:t>
      </w:r>
    </w:p>
    <w:p w14:paraId="2623B819" w14:textId="77777777" w:rsidR="00DC1FFC" w:rsidRDefault="00DC1FFC" w:rsidP="00DC1FFC">
      <w:pPr>
        <w:pStyle w:val="2"/>
        <w:tabs>
          <w:tab w:val="clear" w:pos="360"/>
        </w:tabs>
        <w:ind w:left="0" w:firstLine="0"/>
        <w:rPr>
          <w:rFonts w:ascii="Times New Roman" w:hAnsi="Times New Roman"/>
          <w:b w:val="0"/>
          <w:sz w:val="18"/>
          <w:szCs w:val="18"/>
          <w:u w:val="single"/>
        </w:rPr>
      </w:pPr>
      <w:r>
        <w:rPr>
          <w:rFonts w:ascii="Times New Roman" w:hAnsi="Times New Roman"/>
          <w:b w:val="0"/>
          <w:sz w:val="18"/>
          <w:szCs w:val="18"/>
          <w:u w:val="single"/>
        </w:rPr>
        <w:br w:type="page"/>
      </w:r>
    </w:p>
    <w:p w14:paraId="6EFDCAAE" w14:textId="5B1DED41" w:rsidR="007B3D5C" w:rsidRPr="00D403F5" w:rsidRDefault="007B3D5C" w:rsidP="00951F46">
      <w:pPr>
        <w:pStyle w:val="2"/>
        <w:tabs>
          <w:tab w:val="clear" w:pos="360"/>
        </w:tabs>
        <w:spacing w:after="480"/>
        <w:ind w:left="0" w:firstLine="0"/>
        <w:rPr>
          <w:rFonts w:ascii="Times New Roman" w:hAnsi="Times New Roman"/>
          <w:b w:val="0"/>
          <w:sz w:val="18"/>
          <w:szCs w:val="18"/>
          <w:u w:val="single"/>
        </w:rPr>
      </w:pPr>
      <w:r w:rsidRPr="00D403F5">
        <w:rPr>
          <w:rFonts w:ascii="Times New Roman" w:hAnsi="Times New Roman"/>
          <w:b w:val="0"/>
          <w:sz w:val="18"/>
          <w:szCs w:val="18"/>
          <w:u w:val="single"/>
        </w:rPr>
        <w:t>Annex 2</w:t>
      </w:r>
      <w:r w:rsidRPr="00D403F5">
        <w:rPr>
          <w:rFonts w:ascii="Times New Roman" w:hAnsi="Times New Roman"/>
          <w:b w:val="0"/>
          <w:sz w:val="18"/>
          <w:szCs w:val="18"/>
        </w:rPr>
        <w:t xml:space="preserve"> (contd)</w:t>
      </w:r>
    </w:p>
    <w:p w14:paraId="5D7746CA" w14:textId="77777777" w:rsidR="007B3D5C" w:rsidRPr="00D403F5" w:rsidRDefault="007B3D5C" w:rsidP="00DC1FFC">
      <w:pPr>
        <w:pStyle w:val="para2"/>
        <w:suppressAutoHyphens/>
        <w:rPr>
          <w:rFonts w:ascii="Times New Roman" w:hAnsi="Times New Roman" w:cs="Times New Roman"/>
          <w:b w:val="0"/>
          <w:bCs w:val="0"/>
          <w:color w:val="auto"/>
          <w:lang w:val="en-IE"/>
        </w:rPr>
      </w:pPr>
      <w:r w:rsidRPr="00D403F5">
        <w:rPr>
          <w:rFonts w:ascii="Times New Roman" w:hAnsi="Times New Roman" w:cs="Times New Roman"/>
          <w:b w:val="0"/>
          <w:bCs w:val="0"/>
          <w:lang w:val="en-IE"/>
        </w:rPr>
        <w:t>7.2.</w:t>
      </w:r>
      <w:r w:rsidRPr="00D403F5">
        <w:rPr>
          <w:rFonts w:ascii="Times New Roman" w:hAnsi="Times New Roman" w:cs="Times New Roman"/>
          <w:b w:val="0"/>
          <w:bCs w:val="0"/>
          <w:lang w:val="en-IE"/>
        </w:rPr>
        <w:tab/>
        <w:t>Acute hepatopancreatic necrosis disease (AHPND) (Chapter 9.1.)</w:t>
      </w:r>
    </w:p>
    <w:p w14:paraId="43E38EB8" w14:textId="77777777" w:rsidR="007B3D5C" w:rsidRPr="00D403F5" w:rsidRDefault="007B3D5C" w:rsidP="00DC1FFC">
      <w:pPr>
        <w:pStyle w:val="para2"/>
        <w:suppressAutoHyphens/>
        <w:rPr>
          <w:rFonts w:ascii="Times New Roman" w:eastAsia="MS Mincho" w:hAnsi="Times New Roman" w:cs="Times New Roman"/>
          <w:b w:val="0"/>
          <w:bCs w:val="0"/>
          <w:lang w:val="en-IE" w:eastAsia="ja-JP"/>
        </w:rPr>
      </w:pPr>
      <w:r w:rsidRPr="00D403F5">
        <w:rPr>
          <w:rFonts w:ascii="Times New Roman" w:hAnsi="Times New Roman" w:cs="Times New Roman"/>
          <w:b w:val="0"/>
          <w:color w:val="auto"/>
          <w:lang w:val="en-IE"/>
        </w:rPr>
        <w:t>7.3.</w:t>
      </w:r>
      <w:r w:rsidRPr="00D403F5">
        <w:rPr>
          <w:rFonts w:ascii="Times New Roman" w:hAnsi="Times New Roman" w:cs="Times New Roman"/>
          <w:b w:val="0"/>
          <w:color w:val="auto"/>
          <w:lang w:val="en-IE"/>
        </w:rPr>
        <w:tab/>
      </w:r>
      <w:r w:rsidRPr="00D403F5">
        <w:rPr>
          <w:rFonts w:ascii="Times New Roman" w:eastAsia="MS Mincho" w:hAnsi="Times New Roman" w:cs="Times New Roman"/>
          <w:b w:val="0"/>
          <w:bCs w:val="0"/>
          <w:lang w:val="en-IE" w:eastAsia="ja-JP"/>
        </w:rPr>
        <w:t>Assessment for Infection with Decapod iridescent virus-1 (DIV1) against the criteria for listing an aquatic animal disease (Chapter 1.2.)</w:t>
      </w:r>
    </w:p>
    <w:p w14:paraId="0BE712CC" w14:textId="77777777" w:rsidR="007B3D5C" w:rsidRPr="00D403F5" w:rsidRDefault="007B3D5C" w:rsidP="00DC1FFC">
      <w:pPr>
        <w:spacing w:after="240" w:line="240" w:lineRule="auto"/>
        <w:ind w:left="426"/>
        <w:jc w:val="center"/>
        <w:rPr>
          <w:rFonts w:ascii="Times New Roman" w:eastAsia="MS Mincho" w:hAnsi="Times New Roman" w:cs="Times New Roman"/>
          <w:b/>
          <w:i/>
          <w:iCs/>
          <w:sz w:val="18"/>
          <w:szCs w:val="18"/>
          <w:lang w:val="en-IE" w:eastAsia="ja-JP"/>
        </w:rPr>
      </w:pPr>
      <w:r w:rsidRPr="00D403F5">
        <w:rPr>
          <w:rFonts w:ascii="Times New Roman" w:eastAsia="MS Mincho" w:hAnsi="Times New Roman" w:cs="Times New Roman"/>
          <w:b/>
          <w:i/>
          <w:iCs/>
          <w:sz w:val="18"/>
          <w:szCs w:val="18"/>
          <w:lang w:val="en-IE" w:eastAsia="ja-JP"/>
        </w:rPr>
        <w:t xml:space="preserve">Ad hoc </w:t>
      </w:r>
      <w:r w:rsidRPr="00D403F5">
        <w:rPr>
          <w:rFonts w:ascii="Times New Roman" w:eastAsia="MS Mincho" w:hAnsi="Times New Roman" w:cs="Times New Roman"/>
          <w:b/>
          <w:iCs/>
          <w:sz w:val="18"/>
          <w:szCs w:val="18"/>
          <w:lang w:val="en-IE" w:eastAsia="ja-JP"/>
        </w:rPr>
        <w:t>Groups</w:t>
      </w:r>
    </w:p>
    <w:p w14:paraId="3AC8C971" w14:textId="77777777" w:rsidR="007B3D5C" w:rsidRPr="00D403F5" w:rsidRDefault="007B3D5C" w:rsidP="00DC1FFC">
      <w:pPr>
        <w:pStyle w:val="para2"/>
        <w:suppressAutoHyphens/>
        <w:rPr>
          <w:rFonts w:ascii="Times New Roman" w:hAnsi="Times New Roman" w:cs="Times New Roman"/>
          <w:b w:val="0"/>
          <w:color w:val="auto"/>
          <w:lang w:val="en-IE"/>
        </w:rPr>
      </w:pPr>
      <w:r w:rsidRPr="00D403F5">
        <w:rPr>
          <w:rFonts w:ascii="Times New Roman" w:hAnsi="Times New Roman" w:cs="Times New Roman"/>
          <w:b w:val="0"/>
          <w:color w:val="auto"/>
          <w:lang w:val="en-IE"/>
        </w:rPr>
        <w:t>7.4.</w:t>
      </w:r>
      <w:r w:rsidRPr="00D403F5">
        <w:rPr>
          <w:rFonts w:ascii="Times New Roman" w:hAnsi="Times New Roman" w:cs="Times New Roman"/>
          <w:b w:val="0"/>
          <w:color w:val="auto"/>
          <w:lang w:val="en-IE"/>
        </w:rPr>
        <w:tab/>
        <w:t>Report of the a</w:t>
      </w:r>
      <w:r w:rsidRPr="00D403F5">
        <w:rPr>
          <w:rFonts w:ascii="Times New Roman" w:hAnsi="Times New Roman" w:cs="Times New Roman"/>
          <w:b w:val="0"/>
          <w:i/>
          <w:color w:val="auto"/>
          <w:lang w:val="en-IE"/>
        </w:rPr>
        <w:t>d hoc</w:t>
      </w:r>
      <w:r w:rsidRPr="00D403F5">
        <w:rPr>
          <w:rFonts w:ascii="Times New Roman" w:hAnsi="Times New Roman" w:cs="Times New Roman"/>
          <w:b w:val="0"/>
          <w:color w:val="auto"/>
          <w:lang w:val="en-IE"/>
        </w:rPr>
        <w:t xml:space="preserve"> Group on susceptibility of fish species to infection with OIE listed diseases </w:t>
      </w:r>
    </w:p>
    <w:p w14:paraId="43E4C9C5" w14:textId="77777777" w:rsidR="007B3D5C" w:rsidRPr="00D403F5" w:rsidRDefault="007B3D5C" w:rsidP="00DC1FFC">
      <w:pPr>
        <w:spacing w:after="240" w:line="240" w:lineRule="auto"/>
        <w:ind w:left="992" w:hanging="567"/>
        <w:jc w:val="both"/>
        <w:rPr>
          <w:rFonts w:ascii="Times New Roman" w:hAnsi="Times New Roman" w:cs="Times New Roman"/>
          <w:sz w:val="18"/>
          <w:szCs w:val="18"/>
          <w:lang w:val="en-IE"/>
        </w:rPr>
      </w:pPr>
      <w:r w:rsidRPr="00D403F5">
        <w:rPr>
          <w:rFonts w:ascii="Times New Roman" w:hAnsi="Times New Roman" w:cs="Times New Roman"/>
          <w:sz w:val="18"/>
          <w:szCs w:val="18"/>
          <w:lang w:val="en-IE"/>
        </w:rPr>
        <w:t xml:space="preserve">7.5. </w:t>
      </w:r>
      <w:r w:rsidRPr="00D403F5">
        <w:rPr>
          <w:rFonts w:ascii="Times New Roman" w:hAnsi="Times New Roman" w:cs="Times New Roman"/>
          <w:sz w:val="18"/>
          <w:szCs w:val="18"/>
          <w:lang w:val="en-IE"/>
        </w:rPr>
        <w:tab/>
        <w:t>Revised assessments for zebrafish against the criteria in Chapter 1.5. Criteria for listing species as susceptible to infection with a specific pathogen</w:t>
      </w:r>
      <w:r w:rsidRPr="00D403F5">
        <w:rPr>
          <w:rFonts w:ascii="Times New Roman" w:hAnsi="Times New Roman" w:cs="Times New Roman"/>
          <w:sz w:val="18"/>
          <w:szCs w:val="18"/>
          <w:lang w:val="en-IE"/>
        </w:rPr>
        <w:tab/>
      </w:r>
    </w:p>
    <w:p w14:paraId="3B1D5C9D" w14:textId="77777777" w:rsidR="007B3D5C" w:rsidRPr="00D403F5" w:rsidRDefault="007B3D5C" w:rsidP="00DC1FFC">
      <w:pPr>
        <w:spacing w:after="240" w:line="240" w:lineRule="auto"/>
        <w:ind w:left="992" w:hanging="567"/>
        <w:jc w:val="both"/>
        <w:rPr>
          <w:rFonts w:ascii="Times New Roman" w:hAnsi="Times New Roman" w:cs="Times New Roman"/>
          <w:sz w:val="18"/>
          <w:szCs w:val="18"/>
          <w:lang w:val="en-IE"/>
        </w:rPr>
      </w:pPr>
      <w:r w:rsidRPr="00D403F5">
        <w:rPr>
          <w:rFonts w:ascii="Times New Roman" w:hAnsi="Times New Roman" w:cs="Times New Roman"/>
          <w:sz w:val="18"/>
          <w:szCs w:val="18"/>
          <w:lang w:val="en-IE"/>
        </w:rPr>
        <w:t>7.6.</w:t>
      </w:r>
      <w:r w:rsidRPr="00D403F5">
        <w:rPr>
          <w:rFonts w:ascii="Times New Roman" w:hAnsi="Times New Roman" w:cs="Times New Roman"/>
          <w:sz w:val="18"/>
          <w:szCs w:val="18"/>
          <w:lang w:val="en-IE"/>
        </w:rPr>
        <w:tab/>
        <w:t xml:space="preserve">Electronic </w:t>
      </w:r>
      <w:r w:rsidRPr="00D403F5">
        <w:rPr>
          <w:rFonts w:ascii="Times New Roman" w:hAnsi="Times New Roman" w:cs="Times New Roman"/>
          <w:i/>
          <w:iCs/>
          <w:sz w:val="18"/>
          <w:szCs w:val="18"/>
          <w:lang w:val="en-IE"/>
        </w:rPr>
        <w:t>ad hoc</w:t>
      </w:r>
      <w:r w:rsidRPr="00D403F5">
        <w:rPr>
          <w:rFonts w:ascii="Times New Roman" w:hAnsi="Times New Roman" w:cs="Times New Roman"/>
          <w:sz w:val="18"/>
          <w:szCs w:val="18"/>
          <w:lang w:val="en-IE"/>
        </w:rPr>
        <w:t xml:space="preserve"> Group on Tilapia lake virus</w:t>
      </w:r>
    </w:p>
    <w:p w14:paraId="7076C8E6" w14:textId="77777777" w:rsidR="007B3D5C" w:rsidRPr="00D403F5" w:rsidRDefault="007B3D5C" w:rsidP="00DC1FFC">
      <w:pPr>
        <w:pStyle w:val="para2"/>
        <w:tabs>
          <w:tab w:val="left" w:pos="990"/>
        </w:tabs>
        <w:suppressAutoHyphens/>
        <w:ind w:left="450" w:firstLine="0"/>
        <w:rPr>
          <w:rFonts w:ascii="Times New Roman" w:hAnsi="Times New Roman" w:cs="Times New Roman"/>
          <w:b w:val="0"/>
          <w:color w:val="auto"/>
          <w:lang w:val="en-IE"/>
        </w:rPr>
      </w:pPr>
      <w:r w:rsidRPr="00D403F5">
        <w:rPr>
          <w:rFonts w:ascii="Times New Roman" w:hAnsi="Times New Roman" w:cs="Times New Roman"/>
          <w:b w:val="0"/>
          <w:lang w:val="en-IE"/>
        </w:rPr>
        <w:t xml:space="preserve">7.7. </w:t>
      </w:r>
      <w:r w:rsidRPr="00D403F5">
        <w:rPr>
          <w:rFonts w:ascii="Times New Roman" w:hAnsi="Times New Roman" w:cs="Times New Roman"/>
          <w:b w:val="0"/>
          <w:lang w:val="en-IE"/>
        </w:rPr>
        <w:tab/>
      </w:r>
      <w:r w:rsidRPr="00D403F5">
        <w:rPr>
          <w:rFonts w:ascii="Times New Roman" w:hAnsi="Times New Roman" w:cs="Times New Roman"/>
          <w:b w:val="0"/>
          <w:i/>
          <w:iCs/>
          <w:color w:val="auto"/>
          <w:lang w:val="en-IE"/>
        </w:rPr>
        <w:t>Ad hoc</w:t>
      </w:r>
      <w:r w:rsidRPr="00D403F5">
        <w:rPr>
          <w:rFonts w:ascii="Times New Roman" w:hAnsi="Times New Roman" w:cs="Times New Roman"/>
          <w:b w:val="0"/>
          <w:color w:val="auto"/>
          <w:lang w:val="en-IE"/>
        </w:rPr>
        <w:t xml:space="preserve"> Group on susceptibility of mollusc species to infection with OIE listed diseases </w:t>
      </w:r>
    </w:p>
    <w:p w14:paraId="180625E7" w14:textId="77777777" w:rsidR="007B3D5C" w:rsidRPr="00D403F5" w:rsidRDefault="007B3D5C" w:rsidP="00DC1FFC">
      <w:pPr>
        <w:spacing w:after="240" w:line="240" w:lineRule="auto"/>
        <w:ind w:left="426"/>
        <w:jc w:val="center"/>
        <w:rPr>
          <w:rFonts w:ascii="Times New Roman" w:eastAsia="MS Mincho" w:hAnsi="Times New Roman" w:cs="Times New Roman"/>
          <w:b/>
          <w:iCs/>
          <w:sz w:val="18"/>
          <w:szCs w:val="18"/>
          <w:lang w:val="en-IE" w:eastAsia="ja-JP"/>
        </w:rPr>
      </w:pPr>
      <w:r w:rsidRPr="00D403F5">
        <w:rPr>
          <w:rFonts w:ascii="Times New Roman" w:eastAsia="MS Mincho" w:hAnsi="Times New Roman" w:cs="Times New Roman"/>
          <w:b/>
          <w:iCs/>
          <w:sz w:val="18"/>
          <w:szCs w:val="18"/>
          <w:lang w:val="en-IE" w:eastAsia="ja-JP"/>
        </w:rPr>
        <w:t>OIE Reference Centres</w:t>
      </w:r>
    </w:p>
    <w:p w14:paraId="3EE8DC9E" w14:textId="77777777" w:rsidR="007B3D5C" w:rsidRPr="00D403F5" w:rsidRDefault="007B3D5C" w:rsidP="00DC1FFC">
      <w:pPr>
        <w:pStyle w:val="para2"/>
        <w:suppressAutoHyphens/>
        <w:rPr>
          <w:rFonts w:ascii="Times New Roman" w:hAnsi="Times New Roman" w:cs="Times New Roman"/>
          <w:b w:val="0"/>
          <w:bCs w:val="0"/>
          <w:lang w:val="en-IE"/>
        </w:rPr>
      </w:pPr>
      <w:r w:rsidRPr="00D403F5">
        <w:rPr>
          <w:rFonts w:ascii="Times New Roman" w:hAnsi="Times New Roman" w:cs="Times New Roman"/>
          <w:b w:val="0"/>
          <w:color w:val="auto"/>
          <w:lang w:val="en-IE"/>
        </w:rPr>
        <w:t>7.8.</w:t>
      </w:r>
      <w:r w:rsidRPr="00D403F5">
        <w:rPr>
          <w:rFonts w:ascii="Times New Roman" w:hAnsi="Times New Roman" w:cs="Times New Roman"/>
          <w:b w:val="0"/>
          <w:color w:val="auto"/>
          <w:lang w:val="en-IE"/>
        </w:rPr>
        <w:tab/>
      </w:r>
      <w:r w:rsidRPr="00D403F5">
        <w:rPr>
          <w:rFonts w:ascii="Times New Roman" w:hAnsi="Times New Roman" w:cs="Times New Roman"/>
          <w:b w:val="0"/>
          <w:bCs w:val="0"/>
          <w:lang w:val="en-IE"/>
        </w:rPr>
        <w:t>Evaluation of applications for OIE Reference Centres for Aquatic Animal Health issues or change of experts</w:t>
      </w:r>
    </w:p>
    <w:p w14:paraId="0664811A" w14:textId="77777777" w:rsidR="007B3D5C" w:rsidRPr="00D403F5" w:rsidRDefault="007B3D5C" w:rsidP="00DC1FFC">
      <w:pPr>
        <w:spacing w:after="240" w:line="240" w:lineRule="auto"/>
        <w:ind w:left="426"/>
        <w:jc w:val="center"/>
        <w:rPr>
          <w:rFonts w:ascii="Times New Roman" w:eastAsia="MS Mincho" w:hAnsi="Times New Roman" w:cs="Times New Roman"/>
          <w:b/>
          <w:iCs/>
          <w:sz w:val="18"/>
          <w:szCs w:val="18"/>
          <w:lang w:val="en-IE" w:eastAsia="ja-JP"/>
        </w:rPr>
      </w:pPr>
      <w:r w:rsidRPr="00D403F5">
        <w:rPr>
          <w:rFonts w:ascii="Times New Roman" w:eastAsia="MS Mincho" w:hAnsi="Times New Roman" w:cs="Times New Roman"/>
          <w:b/>
          <w:iCs/>
          <w:sz w:val="18"/>
          <w:szCs w:val="18"/>
          <w:lang w:val="en-IE" w:eastAsia="ja-JP"/>
        </w:rPr>
        <w:t>OIE Aquatic Animal Health Strategy</w:t>
      </w:r>
    </w:p>
    <w:p w14:paraId="58B984E8" w14:textId="77777777" w:rsidR="007B3D5C" w:rsidRPr="00D403F5" w:rsidRDefault="007B3D5C" w:rsidP="00DC1FFC">
      <w:pPr>
        <w:pStyle w:val="para2"/>
        <w:suppressAutoHyphens/>
        <w:rPr>
          <w:rFonts w:ascii="Times New Roman" w:hAnsi="Times New Roman" w:cs="Times New Roman"/>
          <w:b w:val="0"/>
          <w:bCs w:val="0"/>
          <w:lang w:val="en-IE"/>
        </w:rPr>
      </w:pPr>
      <w:r w:rsidRPr="00D403F5">
        <w:rPr>
          <w:rFonts w:ascii="Times New Roman" w:hAnsi="Times New Roman" w:cs="Times New Roman"/>
          <w:b w:val="0"/>
          <w:bCs w:val="0"/>
          <w:lang w:val="en-IE"/>
        </w:rPr>
        <w:t>7.9.</w:t>
      </w:r>
      <w:r w:rsidRPr="00D403F5">
        <w:rPr>
          <w:rFonts w:ascii="Times New Roman" w:hAnsi="Times New Roman" w:cs="Times New Roman"/>
        </w:rPr>
        <w:t xml:space="preserve"> </w:t>
      </w:r>
      <w:r w:rsidRPr="00D403F5">
        <w:rPr>
          <w:rFonts w:ascii="Times New Roman" w:hAnsi="Times New Roman" w:cs="Times New Roman"/>
        </w:rPr>
        <w:tab/>
      </w:r>
      <w:r w:rsidRPr="00D403F5">
        <w:rPr>
          <w:rFonts w:ascii="Times New Roman" w:hAnsi="Times New Roman" w:cs="Times New Roman"/>
          <w:b w:val="0"/>
          <w:bCs w:val="0"/>
          <w:lang w:val="en-IE"/>
        </w:rPr>
        <w:t>Development of an OIE Strategy for Aquatic Animal Health</w:t>
      </w:r>
    </w:p>
    <w:bookmarkEnd w:id="24"/>
    <w:p w14:paraId="602C968A" w14:textId="77777777" w:rsidR="007B3D5C" w:rsidRPr="00D403F5" w:rsidRDefault="007B3D5C" w:rsidP="00DC1FFC">
      <w:pPr>
        <w:pStyle w:val="pBase"/>
        <w:suppressAutoHyphens/>
        <w:spacing w:line="240" w:lineRule="auto"/>
        <w:ind w:left="426" w:hanging="426"/>
        <w:rPr>
          <w:rFonts w:ascii="Times New Roman" w:eastAsia="MS Mincho" w:hAnsi="Times New Roman" w:cs="Times New Roman"/>
          <w:bCs w:val="0"/>
          <w:color w:val="auto"/>
          <w:sz w:val="18"/>
          <w:szCs w:val="18"/>
          <w:lang w:val="en-IE" w:eastAsia="ja-JP"/>
        </w:rPr>
      </w:pPr>
      <w:r w:rsidRPr="00D403F5">
        <w:rPr>
          <w:rFonts w:ascii="Times New Roman" w:hAnsi="Times New Roman" w:cs="Times New Roman"/>
          <w:color w:val="auto"/>
          <w:sz w:val="18"/>
          <w:szCs w:val="18"/>
          <w:lang w:val="en-IE"/>
        </w:rPr>
        <w:t>8.</w:t>
      </w:r>
      <w:r w:rsidRPr="00D403F5">
        <w:rPr>
          <w:rFonts w:ascii="Times New Roman" w:hAnsi="Times New Roman" w:cs="Times New Roman"/>
          <w:color w:val="auto"/>
          <w:sz w:val="18"/>
          <w:szCs w:val="18"/>
          <w:lang w:val="en-IE"/>
        </w:rPr>
        <w:tab/>
      </w:r>
      <w:r w:rsidRPr="00D403F5">
        <w:rPr>
          <w:rFonts w:ascii="Times New Roman" w:eastAsia="MS Mincho" w:hAnsi="Times New Roman" w:cs="Times New Roman"/>
          <w:bCs w:val="0"/>
          <w:color w:val="auto"/>
          <w:sz w:val="18"/>
          <w:szCs w:val="18"/>
          <w:lang w:val="en-IE" w:eastAsia="ja-JP"/>
        </w:rPr>
        <w:t xml:space="preserve">ACTIVITIES OF THE AQUATIC ANIMALS COMMISSION MEMBERS </w:t>
      </w:r>
    </w:p>
    <w:p w14:paraId="2998194E" w14:textId="77777777" w:rsidR="007B3D5C" w:rsidRPr="00D403F5" w:rsidRDefault="007B3D5C" w:rsidP="00DC1FFC">
      <w:pPr>
        <w:pStyle w:val="pBase"/>
        <w:suppressAutoHyphens/>
        <w:spacing w:line="240" w:lineRule="auto"/>
        <w:ind w:left="426" w:hanging="426"/>
        <w:rPr>
          <w:rFonts w:ascii="Times New Roman" w:eastAsia="MS Mincho" w:hAnsi="Times New Roman" w:cs="Times New Roman"/>
          <w:bCs w:val="0"/>
          <w:color w:val="auto"/>
          <w:sz w:val="18"/>
          <w:szCs w:val="18"/>
          <w:lang w:val="en-IE" w:eastAsia="ja-JP"/>
        </w:rPr>
      </w:pPr>
      <w:r w:rsidRPr="00D403F5">
        <w:rPr>
          <w:rFonts w:ascii="Times New Roman" w:hAnsi="Times New Roman" w:cs="Times New Roman"/>
          <w:color w:val="auto"/>
          <w:sz w:val="18"/>
          <w:szCs w:val="18"/>
          <w:lang w:val="en-IE"/>
        </w:rPr>
        <w:t>9.</w:t>
      </w:r>
      <w:r w:rsidRPr="00D403F5">
        <w:rPr>
          <w:rFonts w:ascii="Times New Roman" w:hAnsi="Times New Roman" w:cs="Times New Roman"/>
          <w:color w:val="auto"/>
          <w:sz w:val="18"/>
          <w:szCs w:val="18"/>
          <w:lang w:val="en-IE"/>
        </w:rPr>
        <w:tab/>
      </w:r>
      <w:r w:rsidRPr="00D403F5">
        <w:rPr>
          <w:rFonts w:ascii="Times New Roman" w:eastAsia="MS Mincho" w:hAnsi="Times New Roman" w:cs="Times New Roman"/>
          <w:bCs w:val="0"/>
          <w:color w:val="auto"/>
          <w:sz w:val="18"/>
          <w:szCs w:val="18"/>
          <w:lang w:val="en-IE" w:eastAsia="ja-JP"/>
        </w:rPr>
        <w:t xml:space="preserve">NEXT MEETING </w:t>
      </w:r>
    </w:p>
    <w:p w14:paraId="4B0F91C3" w14:textId="77777777" w:rsidR="007B3D5C" w:rsidRPr="00D403F5" w:rsidRDefault="007B3D5C" w:rsidP="00DC1FFC">
      <w:pPr>
        <w:pStyle w:val="Web"/>
        <w:spacing w:before="0" w:beforeAutospacing="0" w:after="240" w:afterAutospacing="0"/>
        <w:ind w:left="567" w:hanging="141"/>
        <w:rPr>
          <w:sz w:val="18"/>
          <w:szCs w:val="18"/>
          <w:lang w:val="en-IE"/>
        </w:rPr>
      </w:pPr>
      <w:r w:rsidRPr="00D403F5">
        <w:rPr>
          <w:sz w:val="18"/>
          <w:szCs w:val="18"/>
          <w:lang w:val="en-IE"/>
        </w:rPr>
        <w:t>19–26 February 2020</w:t>
      </w:r>
    </w:p>
    <w:p w14:paraId="2F57CA2C" w14:textId="77777777" w:rsidR="007B3D5C" w:rsidRPr="00D403F5" w:rsidRDefault="007B3D5C" w:rsidP="00D403F5">
      <w:pPr>
        <w:pStyle w:val="Web"/>
        <w:spacing w:before="0" w:beforeAutospacing="0" w:after="0" w:afterAutospacing="0"/>
        <w:ind w:left="426" w:hanging="426"/>
        <w:rPr>
          <w:rFonts w:ascii="Arial Narrow" w:hAnsi="Arial Narrow"/>
          <w:b/>
          <w:sz w:val="18"/>
          <w:szCs w:val="18"/>
          <w:lang w:val="en-IE"/>
        </w:rPr>
      </w:pPr>
    </w:p>
    <w:p w14:paraId="55F3B5C7" w14:textId="77777777" w:rsidR="007B3D5C" w:rsidRPr="00D403F5" w:rsidRDefault="007B3D5C" w:rsidP="00D403F5">
      <w:pPr>
        <w:spacing w:after="0"/>
        <w:rPr>
          <w:sz w:val="18"/>
          <w:szCs w:val="18"/>
        </w:rPr>
      </w:pPr>
    </w:p>
    <w:p w14:paraId="01916B30" w14:textId="77777777" w:rsidR="007B3D5C" w:rsidRPr="00D403F5" w:rsidRDefault="007B3D5C" w:rsidP="00D403F5">
      <w:pPr>
        <w:spacing w:after="0"/>
        <w:rPr>
          <w:sz w:val="18"/>
          <w:szCs w:val="18"/>
        </w:rPr>
      </w:pPr>
    </w:p>
    <w:p w14:paraId="2228E198" w14:textId="77777777" w:rsidR="007B3D5C" w:rsidRPr="00D403F5" w:rsidRDefault="007B3D5C" w:rsidP="00D403F5">
      <w:pPr>
        <w:pStyle w:val="Web"/>
        <w:spacing w:before="0" w:beforeAutospacing="0" w:after="0" w:afterAutospacing="0"/>
        <w:ind w:left="426"/>
        <w:jc w:val="both"/>
        <w:rPr>
          <w:rFonts w:ascii="Arial Narrow" w:hAnsi="Arial Narrow"/>
          <w:b/>
          <w:caps/>
          <w:sz w:val="18"/>
          <w:szCs w:val="18"/>
          <w:lang w:val="en-US"/>
        </w:rPr>
        <w:sectPr w:rsidR="007B3D5C" w:rsidRPr="00D403F5" w:rsidSect="007B3D5C">
          <w:type w:val="oddPage"/>
          <w:pgSz w:w="11906" w:h="16838" w:code="9"/>
          <w:pgMar w:top="1418" w:right="1418" w:bottom="1418" w:left="1418" w:header="567" w:footer="567" w:gutter="0"/>
          <w:cols w:space="708"/>
          <w:docGrid w:linePitch="360"/>
        </w:sectPr>
      </w:pPr>
    </w:p>
    <w:p w14:paraId="7E2156E9" w14:textId="070E3383" w:rsidR="007B3D5C" w:rsidRPr="00D403F5" w:rsidRDefault="007B3D5C" w:rsidP="00D403F5">
      <w:pPr>
        <w:pStyle w:val="2"/>
        <w:tabs>
          <w:tab w:val="clear" w:pos="360"/>
        </w:tabs>
        <w:spacing w:after="0"/>
        <w:ind w:left="0" w:firstLine="0"/>
        <w:jc w:val="right"/>
        <w:rPr>
          <w:rFonts w:ascii="Times New Roman" w:hAnsi="Times New Roman"/>
          <w:b w:val="0"/>
          <w:sz w:val="18"/>
          <w:szCs w:val="18"/>
          <w:u w:val="single"/>
        </w:rPr>
      </w:pPr>
      <w:bookmarkStart w:id="25" w:name="_Hlk528243033"/>
      <w:r w:rsidRPr="00D403F5">
        <w:rPr>
          <w:rFonts w:ascii="Times New Roman" w:hAnsi="Times New Roman"/>
          <w:b w:val="0"/>
          <w:sz w:val="18"/>
          <w:szCs w:val="18"/>
          <w:u w:val="single"/>
        </w:rPr>
        <w:t>Annex 3 A</w:t>
      </w:r>
    </w:p>
    <w:bookmarkEnd w:id="25"/>
    <w:p w14:paraId="60102DCA" w14:textId="77777777" w:rsidR="007B3D5C" w:rsidRPr="00DC1FFC" w:rsidRDefault="007B3D5C" w:rsidP="00D403F5">
      <w:pPr>
        <w:pStyle w:val="Web"/>
        <w:spacing w:before="0" w:beforeAutospacing="0" w:after="0" w:afterAutospacing="0"/>
        <w:jc w:val="center"/>
        <w:rPr>
          <w:rFonts w:ascii="Arial" w:eastAsia="Calibri" w:hAnsi="Arial" w:cs="Arial"/>
          <w:b/>
          <w:bCs/>
          <w:spacing w:val="57"/>
          <w:sz w:val="28"/>
          <w:szCs w:val="28"/>
          <w:lang w:val="en-US" w:eastAsia="en-US"/>
        </w:rPr>
      </w:pPr>
      <w:r w:rsidRPr="00DC1FFC">
        <w:rPr>
          <w:rFonts w:ascii="Ottawa" w:hAnsi="Ottawa" w:cs="Arial"/>
          <w:caps/>
          <w:spacing w:val="57"/>
          <w:lang w:val="en-US"/>
        </w:rPr>
        <w:t>Chapter 4.X.</w:t>
      </w:r>
      <w:r w:rsidRPr="00DC1FFC">
        <w:rPr>
          <w:rFonts w:ascii="Ottawa" w:hAnsi="Ottawa" w:cs="Arial"/>
          <w:caps/>
          <w:spacing w:val="57"/>
          <w:lang w:val="en-US"/>
        </w:rPr>
        <w:br/>
      </w:r>
      <w:r w:rsidRPr="00D403F5">
        <w:rPr>
          <w:rFonts w:ascii="Ottawa" w:hAnsi="Ottawa" w:cs="Arial"/>
          <w:b/>
          <w:caps/>
          <w:spacing w:val="57"/>
          <w:sz w:val="18"/>
          <w:szCs w:val="18"/>
          <w:lang w:val="en-US"/>
        </w:rPr>
        <w:br/>
      </w:r>
      <w:r w:rsidRPr="00DC1FFC">
        <w:rPr>
          <w:rFonts w:ascii="Ottawa" w:eastAsia="Calibri" w:hAnsi="Ottawa" w:cs="Arial"/>
          <w:b/>
          <w:bCs/>
          <w:spacing w:val="57"/>
          <w:sz w:val="28"/>
          <w:szCs w:val="28"/>
          <w:lang w:val="en-US" w:eastAsia="en-US"/>
        </w:rPr>
        <w:t>BIOSECURITY</w:t>
      </w:r>
      <w:r w:rsidRPr="00DC1FFC">
        <w:rPr>
          <w:rFonts w:ascii="Ottawa" w:eastAsia="Calibri" w:hAnsi="Ottawa" w:cs="Arial"/>
          <w:b/>
          <w:bCs/>
          <w:spacing w:val="57"/>
          <w:sz w:val="28"/>
          <w:szCs w:val="28"/>
          <w:lang w:val="en-US" w:eastAsia="en-US"/>
        </w:rPr>
        <w:br/>
        <w:t>FOR AQUACULTURE ESTABLISHMENTS</w:t>
      </w:r>
    </w:p>
    <w:p w14:paraId="67B9960B" w14:textId="77777777" w:rsidR="007B3D5C" w:rsidRPr="00D403F5" w:rsidRDefault="007B3D5C" w:rsidP="00D403F5">
      <w:pPr>
        <w:spacing w:after="0" w:line="240" w:lineRule="auto"/>
        <w:jc w:val="center"/>
        <w:rPr>
          <w:rFonts w:ascii="Ottawa" w:hAnsi="Ottawa" w:cs="Arial"/>
          <w:sz w:val="18"/>
          <w:szCs w:val="18"/>
        </w:rPr>
      </w:pPr>
      <w:r w:rsidRPr="00D403F5">
        <w:rPr>
          <w:rFonts w:ascii="Ottawa" w:hAnsi="Ottawa" w:cs="Arial"/>
          <w:sz w:val="18"/>
          <w:szCs w:val="18"/>
        </w:rPr>
        <w:t>Article 4.X.1.</w:t>
      </w:r>
    </w:p>
    <w:p w14:paraId="55BE00E8" w14:textId="77777777" w:rsidR="007B3D5C" w:rsidRPr="00D403F5" w:rsidRDefault="007B3D5C" w:rsidP="00D403F5">
      <w:pPr>
        <w:spacing w:after="0" w:line="240" w:lineRule="auto"/>
        <w:jc w:val="both"/>
        <w:rPr>
          <w:rFonts w:ascii="Ottawa" w:hAnsi="Ottawa" w:cs="Arial"/>
          <w:b/>
          <w:sz w:val="18"/>
          <w:szCs w:val="18"/>
        </w:rPr>
      </w:pPr>
      <w:r w:rsidRPr="00D403F5">
        <w:rPr>
          <w:rFonts w:ascii="Ottawa" w:hAnsi="Ottawa" w:cs="Arial"/>
          <w:b/>
          <w:sz w:val="18"/>
          <w:szCs w:val="18"/>
        </w:rPr>
        <w:t xml:space="preserve">Purpose </w:t>
      </w:r>
    </w:p>
    <w:p w14:paraId="7535A71C" w14:textId="77777777" w:rsidR="007B3D5C" w:rsidRPr="00D403F5" w:rsidRDefault="007B3D5C" w:rsidP="00D403F5">
      <w:pPr>
        <w:spacing w:after="0" w:line="240" w:lineRule="auto"/>
        <w:jc w:val="both"/>
        <w:rPr>
          <w:rStyle w:val="normaltextrun"/>
          <w:rFonts w:ascii="Arial" w:hAnsi="Arial" w:cs="Arial"/>
          <w:color w:val="000000"/>
          <w:sz w:val="18"/>
          <w:szCs w:val="18"/>
          <w:shd w:val="clear" w:color="auto" w:fill="FFFFFF"/>
        </w:rPr>
      </w:pPr>
      <w:bookmarkStart w:id="26" w:name="_Hlk528242422"/>
      <w:r w:rsidRPr="00D403F5">
        <w:rPr>
          <w:rStyle w:val="normaltextrun"/>
          <w:rFonts w:ascii="Arial" w:hAnsi="Arial" w:cs="Arial"/>
          <w:color w:val="000000"/>
          <w:sz w:val="18"/>
          <w:szCs w:val="18"/>
          <w:shd w:val="clear" w:color="auto" w:fill="FFFFFF"/>
        </w:rPr>
        <w:t xml:space="preserve">To provide recommendations on the development and implementation of biosecurity measures primarily </w:t>
      </w:r>
      <w:r w:rsidRPr="00D403F5">
        <w:rPr>
          <w:rFonts w:ascii="Arial" w:hAnsi="Arial" w:cs="Arial"/>
          <w:color w:val="000000"/>
          <w:sz w:val="18"/>
          <w:szCs w:val="18"/>
        </w:rPr>
        <w:t xml:space="preserve">to mitigate the </w:t>
      </w:r>
      <w:r w:rsidRPr="00D403F5">
        <w:rPr>
          <w:rFonts w:ascii="Arial" w:hAnsi="Arial" w:cs="Arial"/>
          <w:i/>
          <w:color w:val="000000"/>
          <w:sz w:val="18"/>
          <w:szCs w:val="18"/>
        </w:rPr>
        <w:t>risk</w:t>
      </w:r>
      <w:r w:rsidRPr="00D403F5">
        <w:rPr>
          <w:rFonts w:ascii="Arial" w:hAnsi="Arial" w:cs="Arial"/>
          <w:color w:val="000000"/>
          <w:sz w:val="18"/>
          <w:szCs w:val="18"/>
        </w:rPr>
        <w:t xml:space="preserve"> of the introduction of specific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w:t>
      </w:r>
      <w:r w:rsidRPr="00D403F5">
        <w:rPr>
          <w:rFonts w:ascii="Arial" w:hAnsi="Arial" w:cs="Arial"/>
          <w:i/>
          <w:color w:val="000000"/>
          <w:sz w:val="18"/>
          <w:szCs w:val="18"/>
        </w:rPr>
        <w:t>aquacultur</w:t>
      </w:r>
      <w:r w:rsidRPr="00D403F5">
        <w:rPr>
          <w:rFonts w:ascii="Arial" w:hAnsi="Arial" w:cs="Arial"/>
          <w:color w:val="000000"/>
          <w:sz w:val="18"/>
          <w:szCs w:val="18"/>
        </w:rPr>
        <w:t>e</w:t>
      </w:r>
      <w:r w:rsidRPr="00D403F5">
        <w:rPr>
          <w:rStyle w:val="normaltextrun"/>
          <w:rFonts w:ascii="Arial" w:hAnsi="Arial" w:cs="Arial"/>
          <w:color w:val="000000"/>
          <w:sz w:val="18"/>
          <w:szCs w:val="18"/>
          <w:shd w:val="clear" w:color="auto" w:fill="FFFFFF"/>
        </w:rPr>
        <w:t xml:space="preserve"> establishments</w:t>
      </w:r>
      <w:r w:rsidRPr="00D403F5">
        <w:rPr>
          <w:rFonts w:ascii="Arial" w:hAnsi="Arial" w:cs="Arial"/>
          <w:color w:val="000000"/>
          <w:sz w:val="18"/>
          <w:szCs w:val="18"/>
        </w:rPr>
        <w:t xml:space="preserve">, and if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are introduced, to mitigate the </w:t>
      </w:r>
      <w:r w:rsidRPr="00D403F5">
        <w:rPr>
          <w:rFonts w:ascii="Arial" w:hAnsi="Arial" w:cs="Arial"/>
          <w:i/>
          <w:color w:val="000000"/>
          <w:sz w:val="18"/>
          <w:szCs w:val="18"/>
        </w:rPr>
        <w:t>risk</w:t>
      </w:r>
      <w:r w:rsidRPr="00D403F5">
        <w:rPr>
          <w:rFonts w:ascii="Arial" w:hAnsi="Arial" w:cs="Arial"/>
          <w:color w:val="000000"/>
          <w:sz w:val="18"/>
          <w:szCs w:val="18"/>
        </w:rPr>
        <w:t xml:space="preserve"> of further spread within, or release from the </w:t>
      </w:r>
      <w:r w:rsidRPr="00D403F5">
        <w:rPr>
          <w:rFonts w:ascii="Arial" w:hAnsi="Arial" w:cs="Arial"/>
          <w:i/>
          <w:color w:val="000000"/>
          <w:sz w:val="18"/>
          <w:szCs w:val="18"/>
        </w:rPr>
        <w:t>aquaculture establishment</w:t>
      </w:r>
      <w:r w:rsidRPr="00D403F5">
        <w:rPr>
          <w:rStyle w:val="normaltextrun"/>
          <w:rFonts w:ascii="Arial" w:hAnsi="Arial" w:cs="Arial"/>
          <w:color w:val="000000"/>
          <w:sz w:val="18"/>
          <w:szCs w:val="18"/>
          <w:shd w:val="clear" w:color="auto" w:fill="FFFFFF"/>
        </w:rPr>
        <w:t xml:space="preserve">. </w:t>
      </w:r>
    </w:p>
    <w:bookmarkEnd w:id="26"/>
    <w:p w14:paraId="2658CD6B" w14:textId="77777777" w:rsidR="007B3D5C" w:rsidRPr="00D403F5" w:rsidRDefault="007B3D5C" w:rsidP="00D403F5">
      <w:pPr>
        <w:spacing w:after="0" w:line="240" w:lineRule="auto"/>
        <w:jc w:val="center"/>
        <w:rPr>
          <w:rFonts w:ascii="Ottawa" w:hAnsi="Ottawa" w:cs="Arial"/>
          <w:sz w:val="18"/>
          <w:szCs w:val="18"/>
        </w:rPr>
      </w:pPr>
      <w:r w:rsidRPr="00D403F5">
        <w:rPr>
          <w:rFonts w:ascii="Ottawa" w:hAnsi="Ottawa" w:cs="Arial"/>
          <w:sz w:val="18"/>
          <w:szCs w:val="18"/>
        </w:rPr>
        <w:t>Article 4.X.2.</w:t>
      </w:r>
    </w:p>
    <w:p w14:paraId="37CD3918" w14:textId="77777777" w:rsidR="007B3D5C" w:rsidRPr="00D403F5" w:rsidRDefault="007B3D5C" w:rsidP="00D403F5">
      <w:pPr>
        <w:spacing w:after="0" w:line="240" w:lineRule="auto"/>
        <w:jc w:val="both"/>
        <w:rPr>
          <w:rFonts w:ascii="Ottawa" w:hAnsi="Ottawa" w:cs="Arial"/>
          <w:b/>
          <w:sz w:val="18"/>
          <w:szCs w:val="18"/>
        </w:rPr>
      </w:pPr>
      <w:r w:rsidRPr="00D403F5">
        <w:rPr>
          <w:rFonts w:ascii="Ottawa" w:hAnsi="Ottawa" w:cs="Arial"/>
          <w:b/>
          <w:sz w:val="18"/>
          <w:szCs w:val="18"/>
        </w:rPr>
        <w:t>Scope</w:t>
      </w:r>
    </w:p>
    <w:p w14:paraId="57142289" w14:textId="77777777" w:rsidR="007B3D5C" w:rsidRPr="00D403F5" w:rsidRDefault="007B3D5C" w:rsidP="00D403F5">
      <w:pPr>
        <w:spacing w:after="0" w:line="240" w:lineRule="auto"/>
        <w:jc w:val="both"/>
        <w:rPr>
          <w:rFonts w:ascii="Arial" w:hAnsi="Arial" w:cs="Arial"/>
          <w:color w:val="000000"/>
          <w:sz w:val="18"/>
          <w:szCs w:val="18"/>
        </w:rPr>
      </w:pPr>
      <w:bookmarkStart w:id="27" w:name="_Hlk528242434"/>
      <w:r w:rsidRPr="00D403F5">
        <w:rPr>
          <w:rStyle w:val="normaltextrun"/>
          <w:rFonts w:ascii="Arial" w:eastAsia="Arial" w:hAnsi="Arial" w:cs="Arial"/>
          <w:color w:val="000000"/>
          <w:sz w:val="18"/>
          <w:szCs w:val="18"/>
        </w:rPr>
        <w:t xml:space="preserve">Biosecurity principles are relevant to application of the standards in the Aquatic Code at the level of country, zone, compartment or aquaculture establishment as appropriate. This chapter describes recommendations on biosecurity to be applied to aquaculture establishments, including semi-open, semi-closed and closed systems. </w:t>
      </w:r>
      <w:r w:rsidRPr="00D403F5">
        <w:rPr>
          <w:rFonts w:ascii="Arial" w:hAnsi="Arial" w:cs="Arial"/>
          <w:color w:val="000000"/>
          <w:sz w:val="18"/>
          <w:szCs w:val="18"/>
        </w:rPr>
        <w:t xml:space="preserve">The chapter describes general principles of </w:t>
      </w:r>
      <w:r w:rsidRPr="00D403F5">
        <w:rPr>
          <w:rFonts w:ascii="Arial" w:hAnsi="Arial" w:cs="Arial"/>
          <w:i/>
          <w:color w:val="000000"/>
          <w:sz w:val="18"/>
          <w:szCs w:val="18"/>
        </w:rPr>
        <w:t xml:space="preserve">biosecurity </w:t>
      </w:r>
      <w:r w:rsidRPr="00D403F5">
        <w:rPr>
          <w:rFonts w:ascii="Arial" w:hAnsi="Arial" w:cs="Arial"/>
          <w:color w:val="000000"/>
          <w:sz w:val="18"/>
          <w:szCs w:val="18"/>
        </w:rPr>
        <w:t xml:space="preserve">planning, categories of </w:t>
      </w:r>
      <w:r w:rsidRPr="00D403F5">
        <w:rPr>
          <w:rFonts w:ascii="Arial" w:hAnsi="Arial" w:cs="Arial"/>
          <w:i/>
          <w:color w:val="000000"/>
          <w:sz w:val="18"/>
          <w:szCs w:val="18"/>
        </w:rPr>
        <w:t>aquaculture</w:t>
      </w:r>
      <w:r w:rsidRPr="00D403F5">
        <w:rPr>
          <w:rFonts w:ascii="Arial" w:hAnsi="Arial" w:cs="Arial"/>
          <w:color w:val="000000"/>
          <w:sz w:val="18"/>
          <w:szCs w:val="18"/>
        </w:rPr>
        <w:t xml:space="preserve"> production systems, </w:t>
      </w:r>
      <w:r w:rsidRPr="00D403F5">
        <w:rPr>
          <w:rFonts w:ascii="Arial" w:eastAsia="SimSun" w:hAnsi="Arial" w:cs="Arial"/>
          <w:sz w:val="18"/>
          <w:szCs w:val="18"/>
          <w:lang w:eastAsia="zh-CN"/>
        </w:rPr>
        <w:t>mitigation measures for transmission pathways,</w:t>
      </w:r>
      <w:r w:rsidRPr="00D403F5">
        <w:rPr>
          <w:rFonts w:ascii="Arial" w:eastAsia="SimSun" w:hAnsi="Arial" w:cs="Arial"/>
          <w:sz w:val="18"/>
          <w:szCs w:val="18"/>
        </w:rPr>
        <w:t xml:space="preserve"> </w:t>
      </w:r>
      <w:r w:rsidRPr="00D403F5">
        <w:rPr>
          <w:rFonts w:ascii="Arial" w:eastAsia="SimSun" w:hAnsi="Arial" w:cs="Arial"/>
          <w:sz w:val="18"/>
          <w:szCs w:val="18"/>
          <w:lang w:val="en-US" w:eastAsia="zh-CN"/>
        </w:rPr>
        <w:t xml:space="preserve">the application of </w:t>
      </w:r>
      <w:r w:rsidRPr="00D403F5">
        <w:rPr>
          <w:rFonts w:ascii="Arial" w:eastAsia="SimSun" w:hAnsi="Arial" w:cs="Arial"/>
          <w:i/>
          <w:sz w:val="18"/>
          <w:szCs w:val="18"/>
        </w:rPr>
        <w:t xml:space="preserve">risk analysis </w:t>
      </w:r>
      <w:r w:rsidRPr="00D403F5">
        <w:rPr>
          <w:rFonts w:ascii="Arial" w:eastAsia="SimSun" w:hAnsi="Arial" w:cs="Arial"/>
          <w:sz w:val="18"/>
          <w:szCs w:val="18"/>
        </w:rPr>
        <w:t xml:space="preserve">and approaches for </w:t>
      </w:r>
      <w:r w:rsidRPr="00D403F5">
        <w:rPr>
          <w:rFonts w:ascii="Arial" w:eastAsia="SimSun" w:hAnsi="Arial" w:cs="Arial"/>
          <w:i/>
          <w:iCs/>
          <w:sz w:val="18"/>
          <w:szCs w:val="18"/>
          <w:lang w:eastAsia="zh-CN"/>
        </w:rPr>
        <w:t>biosecurity plan</w:t>
      </w:r>
      <w:r w:rsidRPr="00D403F5">
        <w:rPr>
          <w:rFonts w:ascii="Arial" w:eastAsia="SimSun" w:hAnsi="Arial" w:cs="Arial"/>
          <w:sz w:val="18"/>
          <w:szCs w:val="18"/>
          <w:lang w:eastAsia="zh-CN"/>
        </w:rPr>
        <w:t xml:space="preserve"> development.</w:t>
      </w:r>
      <w:r w:rsidRPr="00D403F5">
        <w:rPr>
          <w:rFonts w:ascii="Arial" w:eastAsia="SimSun" w:hAnsi="Arial" w:cs="Arial"/>
          <w:strike/>
          <w:sz w:val="18"/>
          <w:szCs w:val="18"/>
        </w:rPr>
        <w:t xml:space="preserve">  </w:t>
      </w:r>
    </w:p>
    <w:p w14:paraId="3A7DD349" w14:textId="77777777" w:rsidR="007B3D5C" w:rsidRPr="00D403F5" w:rsidRDefault="007B3D5C" w:rsidP="00D403F5">
      <w:pPr>
        <w:spacing w:after="0" w:line="240" w:lineRule="auto"/>
        <w:jc w:val="both"/>
        <w:rPr>
          <w:rFonts w:ascii="Arial" w:hAnsi="Arial" w:cs="Arial"/>
          <w:sz w:val="18"/>
          <w:szCs w:val="18"/>
        </w:rPr>
      </w:pPr>
      <w:r w:rsidRPr="00D403F5">
        <w:rPr>
          <w:rFonts w:ascii="Arial" w:hAnsi="Arial" w:cs="Arial"/>
          <w:sz w:val="18"/>
          <w:szCs w:val="18"/>
        </w:rPr>
        <w:t xml:space="preserve">For further guidance on disease prevention and control refer to Section 4 of the </w:t>
      </w:r>
      <w:r w:rsidRPr="00D403F5">
        <w:rPr>
          <w:rFonts w:ascii="Arial" w:hAnsi="Arial" w:cs="Arial"/>
          <w:i/>
          <w:sz w:val="18"/>
          <w:szCs w:val="18"/>
        </w:rPr>
        <w:t xml:space="preserve">Aquatic Code. </w:t>
      </w:r>
    </w:p>
    <w:bookmarkEnd w:id="27"/>
    <w:p w14:paraId="081F787B" w14:textId="77777777" w:rsidR="007B3D5C" w:rsidRPr="00D403F5" w:rsidRDefault="007B3D5C" w:rsidP="00D403F5">
      <w:pPr>
        <w:spacing w:after="0" w:line="240" w:lineRule="auto"/>
        <w:jc w:val="center"/>
        <w:rPr>
          <w:rFonts w:ascii="Ottawa" w:hAnsi="Ottawa" w:cs="Arial"/>
          <w:sz w:val="18"/>
          <w:szCs w:val="18"/>
        </w:rPr>
      </w:pPr>
      <w:r w:rsidRPr="00D403F5">
        <w:rPr>
          <w:rFonts w:ascii="Ottawa" w:hAnsi="Ottawa" w:cs="Arial"/>
          <w:sz w:val="18"/>
          <w:szCs w:val="18"/>
        </w:rPr>
        <w:t>Article 4.X.3.</w:t>
      </w:r>
    </w:p>
    <w:p w14:paraId="3A5DBBCF" w14:textId="77777777" w:rsidR="007B3D5C" w:rsidRPr="00D403F5" w:rsidRDefault="007B3D5C" w:rsidP="00D403F5">
      <w:pPr>
        <w:spacing w:after="0" w:line="240" w:lineRule="auto"/>
        <w:jc w:val="both"/>
        <w:rPr>
          <w:rFonts w:ascii="Ottawa" w:hAnsi="Ottawa" w:cs="Arial"/>
          <w:b/>
          <w:sz w:val="18"/>
          <w:szCs w:val="18"/>
        </w:rPr>
      </w:pPr>
      <w:r w:rsidRPr="00D403F5">
        <w:rPr>
          <w:rFonts w:ascii="Ottawa" w:hAnsi="Ottawa" w:cs="Arial"/>
          <w:b/>
          <w:sz w:val="18"/>
          <w:szCs w:val="18"/>
        </w:rPr>
        <w:t xml:space="preserve">Introduction </w:t>
      </w:r>
    </w:p>
    <w:p w14:paraId="38FAC5B9" w14:textId="77777777" w:rsidR="007B3D5C" w:rsidRPr="00D403F5" w:rsidRDefault="007B3D5C" w:rsidP="00D403F5">
      <w:pPr>
        <w:spacing w:after="0" w:line="240" w:lineRule="auto"/>
        <w:jc w:val="both"/>
        <w:rPr>
          <w:rStyle w:val="eop"/>
          <w:rFonts w:eastAsia="MS Mincho"/>
          <w:strike/>
          <w:color w:val="000000"/>
          <w:sz w:val="18"/>
          <w:szCs w:val="18"/>
        </w:rPr>
      </w:pPr>
      <w:bookmarkStart w:id="28" w:name="_Hlk528242447"/>
      <w:r w:rsidRPr="00D403F5">
        <w:rPr>
          <w:rFonts w:ascii="Arial" w:hAnsi="Arial" w:cs="Arial"/>
          <w:i/>
          <w:iCs/>
          <w:color w:val="000000"/>
          <w:sz w:val="18"/>
          <w:szCs w:val="18"/>
        </w:rPr>
        <w:t>Biosecurity</w:t>
      </w:r>
      <w:r w:rsidRPr="00D403F5">
        <w:rPr>
          <w:rFonts w:ascii="Arial" w:hAnsi="Arial" w:cs="Arial"/>
          <w:i/>
          <w:color w:val="000000"/>
          <w:sz w:val="18"/>
          <w:szCs w:val="18"/>
        </w:rPr>
        <w:t xml:space="preserve"> </w:t>
      </w:r>
      <w:r w:rsidRPr="00D403F5">
        <w:rPr>
          <w:rFonts w:ascii="Arial" w:hAnsi="Arial" w:cs="Arial"/>
          <w:color w:val="000000"/>
          <w:sz w:val="18"/>
          <w:szCs w:val="18"/>
        </w:rPr>
        <w:t>at the level of an</w:t>
      </w:r>
      <w:r w:rsidRPr="00D403F5">
        <w:rPr>
          <w:rFonts w:ascii="Arial" w:hAnsi="Arial" w:cs="Arial"/>
          <w:i/>
          <w:color w:val="000000"/>
          <w:sz w:val="18"/>
          <w:szCs w:val="18"/>
        </w:rPr>
        <w:t xml:space="preserve"> aquaculture establishment </w:t>
      </w:r>
      <w:r w:rsidRPr="00D403F5">
        <w:rPr>
          <w:rFonts w:ascii="Arial" w:hAnsi="Arial" w:cs="Arial"/>
          <w:color w:val="000000"/>
          <w:sz w:val="18"/>
          <w:szCs w:val="18"/>
        </w:rPr>
        <w:t>is</w:t>
      </w:r>
      <w:r w:rsidRPr="00D403F5">
        <w:rPr>
          <w:rFonts w:ascii="Arial" w:hAnsi="Arial" w:cs="Arial"/>
          <w:i/>
          <w:color w:val="000000"/>
          <w:sz w:val="18"/>
          <w:szCs w:val="18"/>
        </w:rPr>
        <w:t xml:space="preserve"> </w:t>
      </w:r>
      <w:r w:rsidRPr="00D403F5">
        <w:rPr>
          <w:rFonts w:ascii="Arial" w:hAnsi="Arial" w:cs="Arial"/>
          <w:color w:val="000000"/>
          <w:sz w:val="18"/>
          <w:szCs w:val="18"/>
        </w:rPr>
        <w:t xml:space="preserve">integral to effective </w:t>
      </w:r>
      <w:r w:rsidRPr="00D403F5">
        <w:rPr>
          <w:rFonts w:ascii="Arial" w:hAnsi="Arial" w:cs="Arial"/>
          <w:i/>
          <w:color w:val="000000"/>
          <w:sz w:val="18"/>
          <w:szCs w:val="18"/>
        </w:rPr>
        <w:t>biosecurity</w:t>
      </w:r>
      <w:r w:rsidRPr="00D403F5">
        <w:rPr>
          <w:rFonts w:ascii="Arial" w:hAnsi="Arial" w:cs="Arial"/>
          <w:color w:val="000000"/>
          <w:sz w:val="18"/>
          <w:szCs w:val="18"/>
        </w:rPr>
        <w:t xml:space="preserve"> at the level of a country, </w:t>
      </w:r>
      <w:r w:rsidRPr="00D403F5">
        <w:rPr>
          <w:rFonts w:ascii="Arial" w:hAnsi="Arial" w:cs="Arial"/>
          <w:i/>
          <w:color w:val="000000"/>
          <w:sz w:val="18"/>
          <w:szCs w:val="18"/>
        </w:rPr>
        <w:t>zone</w:t>
      </w:r>
      <w:r w:rsidRPr="00D403F5">
        <w:rPr>
          <w:rFonts w:ascii="Arial" w:hAnsi="Arial" w:cs="Arial"/>
          <w:color w:val="000000"/>
          <w:sz w:val="18"/>
          <w:szCs w:val="18"/>
        </w:rPr>
        <w:t xml:space="preserve"> or </w:t>
      </w:r>
      <w:r w:rsidRPr="00D403F5">
        <w:rPr>
          <w:rFonts w:ascii="Arial" w:hAnsi="Arial" w:cs="Arial"/>
          <w:i/>
          <w:color w:val="000000"/>
          <w:sz w:val="18"/>
          <w:szCs w:val="18"/>
        </w:rPr>
        <w:t>compartment</w:t>
      </w:r>
      <w:r w:rsidRPr="00D403F5">
        <w:rPr>
          <w:rFonts w:ascii="Arial" w:hAnsi="Arial" w:cs="Arial"/>
          <w:color w:val="000000"/>
          <w:sz w:val="18"/>
          <w:szCs w:val="18"/>
        </w:rPr>
        <w:t xml:space="preserve"> and thus the optimal health status of </w:t>
      </w:r>
      <w:r w:rsidRPr="00D403F5">
        <w:rPr>
          <w:rFonts w:ascii="Arial" w:hAnsi="Arial" w:cs="Arial"/>
          <w:i/>
          <w:color w:val="000000"/>
          <w:sz w:val="18"/>
          <w:szCs w:val="18"/>
        </w:rPr>
        <w:t xml:space="preserve">aquatic animal </w:t>
      </w:r>
      <w:r w:rsidRPr="00D403F5">
        <w:rPr>
          <w:rFonts w:ascii="Arial" w:hAnsi="Arial" w:cs="Arial"/>
          <w:color w:val="000000"/>
          <w:sz w:val="18"/>
          <w:szCs w:val="18"/>
        </w:rPr>
        <w:t xml:space="preserve">populations. This chapter describes </w:t>
      </w:r>
      <w:r w:rsidRPr="00D403F5">
        <w:rPr>
          <w:rFonts w:ascii="Arial" w:hAnsi="Arial" w:cs="Arial"/>
          <w:i/>
          <w:color w:val="000000"/>
          <w:sz w:val="18"/>
          <w:szCs w:val="18"/>
        </w:rPr>
        <w:t>biosecurity</w:t>
      </w:r>
      <w:r w:rsidRPr="00D403F5">
        <w:rPr>
          <w:rFonts w:ascii="Arial" w:hAnsi="Arial" w:cs="Arial"/>
          <w:color w:val="000000"/>
          <w:sz w:val="18"/>
          <w:szCs w:val="18"/>
        </w:rPr>
        <w:t xml:space="preserve"> principles designed to mitigate the </w:t>
      </w:r>
      <w:r w:rsidRPr="00D403F5">
        <w:rPr>
          <w:rFonts w:ascii="Arial" w:hAnsi="Arial" w:cs="Arial"/>
          <w:i/>
          <w:color w:val="000000"/>
          <w:sz w:val="18"/>
          <w:szCs w:val="18"/>
        </w:rPr>
        <w:t>risks</w:t>
      </w:r>
      <w:r w:rsidRPr="00D403F5">
        <w:rPr>
          <w:rFonts w:ascii="Arial" w:hAnsi="Arial" w:cs="Arial"/>
          <w:color w:val="000000"/>
          <w:sz w:val="18"/>
          <w:szCs w:val="18"/>
        </w:rPr>
        <w:t xml:space="preserve"> associated with the introduction of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the spread within, or the release from </w:t>
      </w:r>
      <w:r w:rsidRPr="00D403F5">
        <w:rPr>
          <w:rFonts w:ascii="Arial" w:hAnsi="Arial" w:cs="Arial"/>
          <w:i/>
          <w:color w:val="000000"/>
          <w:sz w:val="18"/>
          <w:szCs w:val="18"/>
        </w:rPr>
        <w:t xml:space="preserve">aquaculture establishments. </w:t>
      </w:r>
    </w:p>
    <w:p w14:paraId="078015AA" w14:textId="77777777" w:rsidR="007B3D5C" w:rsidRPr="00D403F5" w:rsidRDefault="007B3D5C" w:rsidP="00D403F5">
      <w:pPr>
        <w:pStyle w:val="paragraph"/>
        <w:spacing w:before="0" w:beforeAutospacing="0" w:after="0" w:afterAutospacing="0"/>
        <w:jc w:val="both"/>
        <w:textAlignment w:val="baseline"/>
        <w:rPr>
          <w:rStyle w:val="eop"/>
          <w:rFonts w:eastAsia="Arial"/>
          <w:color w:val="000000"/>
          <w:sz w:val="18"/>
          <w:szCs w:val="18"/>
        </w:rPr>
      </w:pPr>
      <w:r w:rsidRPr="00D403F5">
        <w:rPr>
          <w:rStyle w:val="normaltextrun"/>
          <w:rFonts w:ascii="Arial" w:eastAsia="Arial" w:hAnsi="Arial" w:cs="Arial"/>
          <w:color w:val="000000"/>
          <w:sz w:val="18"/>
          <w:szCs w:val="18"/>
        </w:rPr>
        <w:t>Given the unique challenges posed by varied aquaculture production systems and the vast diversity of farmed aquatic animal species, the development of biosecurity plans for aquaculture establishments</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requires the assessment of disease</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risks posed by specific pathogenic agents and their potential transmission pathways. A biosecurity plan describes physical and management measures to mitigate the identified risks</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according to the circumstances of the aquaculture establishment.</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Aquaculture establishment staff, service providers and aquatic animal health professionals or veterinarians should be engaged in develop</w:t>
      </w:r>
      <w:r w:rsidRPr="00D403F5">
        <w:rPr>
          <w:rStyle w:val="normaltextrun"/>
          <w:rFonts w:ascii="Arial" w:eastAsia="SimSun" w:hAnsi="Arial" w:cs="Arial" w:hint="eastAsia"/>
          <w:color w:val="000000"/>
          <w:sz w:val="18"/>
          <w:szCs w:val="18"/>
          <w:lang w:eastAsia="zh-CN"/>
        </w:rPr>
        <w:t>ing</w:t>
      </w:r>
      <w:r w:rsidRPr="00D403F5">
        <w:rPr>
          <w:rStyle w:val="normaltextrun"/>
          <w:rFonts w:ascii="Arial" w:eastAsia="Arial" w:hAnsi="Arial" w:cs="Arial"/>
          <w:color w:val="000000"/>
          <w:sz w:val="18"/>
          <w:szCs w:val="18"/>
        </w:rPr>
        <w:t xml:space="preserve"> and implement</w:t>
      </w:r>
      <w:r w:rsidRPr="00D403F5">
        <w:rPr>
          <w:rStyle w:val="normaltextrun"/>
          <w:rFonts w:ascii="Arial" w:eastAsia="SimSun" w:hAnsi="Arial" w:cs="Arial" w:hint="eastAsia"/>
          <w:color w:val="000000"/>
          <w:sz w:val="18"/>
          <w:szCs w:val="18"/>
          <w:lang w:eastAsia="zh-CN"/>
        </w:rPr>
        <w:t>ing</w:t>
      </w:r>
      <w:r w:rsidRPr="00D403F5">
        <w:rPr>
          <w:rStyle w:val="normaltextrun"/>
          <w:rFonts w:ascii="Arial" w:eastAsia="Arial" w:hAnsi="Arial" w:cs="Arial"/>
          <w:color w:val="000000"/>
          <w:sz w:val="18"/>
          <w:szCs w:val="18"/>
        </w:rPr>
        <w:t xml:space="preserve"> the biosecurity plan to ensure it is practical and effective.</w:t>
      </w:r>
    </w:p>
    <w:p w14:paraId="57CBCADC" w14:textId="77777777" w:rsidR="007B3D5C" w:rsidRPr="00D403F5" w:rsidRDefault="007B3D5C" w:rsidP="00D403F5">
      <w:pPr>
        <w:pStyle w:val="paragraph"/>
        <w:spacing w:before="0" w:beforeAutospacing="0" w:after="0" w:afterAutospacing="0"/>
        <w:jc w:val="both"/>
        <w:textAlignment w:val="baseline"/>
        <w:rPr>
          <w:rFonts w:ascii="Arial" w:hAnsi="Arial" w:cs="Arial"/>
          <w:color w:val="000000"/>
          <w:sz w:val="18"/>
          <w:szCs w:val="18"/>
        </w:rPr>
      </w:pPr>
      <w:r w:rsidRPr="00D403F5">
        <w:rPr>
          <w:rStyle w:val="eop"/>
          <w:rFonts w:ascii="Arial" w:eastAsia="MS Mincho" w:hAnsi="Arial"/>
          <w:color w:val="000000"/>
          <w:sz w:val="18"/>
          <w:szCs w:val="18"/>
        </w:rPr>
        <w:t xml:space="preserve">The outcome achieved through the implementation of </w:t>
      </w:r>
      <w:r w:rsidRPr="00D403F5">
        <w:rPr>
          <w:rStyle w:val="eop"/>
          <w:rFonts w:ascii="Arial" w:eastAsia="MS Mincho" w:hAnsi="Arial"/>
          <w:i/>
          <w:color w:val="000000"/>
          <w:sz w:val="18"/>
          <w:szCs w:val="18"/>
        </w:rPr>
        <w:t xml:space="preserve">biosecurity </w:t>
      </w:r>
      <w:r w:rsidRPr="00D403F5">
        <w:rPr>
          <w:rStyle w:val="eop"/>
          <w:rFonts w:ascii="Arial" w:eastAsia="MS Mincho" w:hAnsi="Arial"/>
          <w:color w:val="000000"/>
          <w:sz w:val="18"/>
          <w:szCs w:val="18"/>
        </w:rPr>
        <w:t xml:space="preserve">at </w:t>
      </w:r>
      <w:r w:rsidRPr="00D403F5">
        <w:rPr>
          <w:rStyle w:val="eop"/>
          <w:rFonts w:ascii="Arial" w:eastAsia="MS Mincho" w:hAnsi="Arial"/>
          <w:i/>
          <w:color w:val="000000"/>
          <w:sz w:val="18"/>
          <w:szCs w:val="18"/>
        </w:rPr>
        <w:t xml:space="preserve">aquaculture establishments </w:t>
      </w:r>
      <w:r w:rsidRPr="00D403F5">
        <w:rPr>
          <w:rFonts w:ascii="Arial" w:hAnsi="Arial" w:cs="Arial"/>
          <w:color w:val="000000"/>
          <w:sz w:val="18"/>
          <w:szCs w:val="18"/>
        </w:rPr>
        <w:t xml:space="preserve">is improved health </w:t>
      </w:r>
      <w:r w:rsidRPr="00D403F5">
        <w:rPr>
          <w:rFonts w:ascii="Arial" w:hAnsi="Arial" w:cs="Arial"/>
          <w:sz w:val="18"/>
          <w:szCs w:val="18"/>
        </w:rPr>
        <w:t>and welfare</w:t>
      </w:r>
      <w:r w:rsidRPr="00D403F5">
        <w:rPr>
          <w:rFonts w:ascii="Arial" w:hAnsi="Arial" w:cs="Arial"/>
          <w:color w:val="000000"/>
          <w:sz w:val="18"/>
          <w:szCs w:val="18"/>
        </w:rPr>
        <w:t xml:space="preserve"> of </w:t>
      </w:r>
      <w:r w:rsidRPr="00D403F5">
        <w:rPr>
          <w:rFonts w:ascii="Arial" w:hAnsi="Arial" w:cs="Arial"/>
          <w:i/>
          <w:color w:val="000000"/>
          <w:sz w:val="18"/>
          <w:szCs w:val="18"/>
        </w:rPr>
        <w:t>aquatic animals</w:t>
      </w:r>
      <w:r w:rsidRPr="00D403F5">
        <w:rPr>
          <w:rFonts w:ascii="Arial" w:hAnsi="Arial" w:cs="Arial"/>
          <w:color w:val="000000"/>
          <w:sz w:val="18"/>
          <w:szCs w:val="18"/>
        </w:rPr>
        <w:t xml:space="preserve"> throughout the production cycle. The benefits include improved market access and increased productivity, directly through improved survival, growth rates and </w:t>
      </w:r>
      <w:r w:rsidRPr="00D403F5">
        <w:rPr>
          <w:rFonts w:ascii="Arial" w:hAnsi="Arial" w:cs="Arial"/>
          <w:i/>
          <w:color w:val="000000"/>
          <w:sz w:val="18"/>
          <w:szCs w:val="18"/>
        </w:rPr>
        <w:t>feed</w:t>
      </w:r>
      <w:r w:rsidRPr="00D403F5">
        <w:rPr>
          <w:rFonts w:ascii="Arial" w:hAnsi="Arial" w:cs="Arial"/>
          <w:color w:val="000000"/>
          <w:sz w:val="18"/>
          <w:szCs w:val="18"/>
        </w:rPr>
        <w:t xml:space="preserve"> conversion and indirectly through a reduction in the use </w:t>
      </w:r>
      <w:r w:rsidRPr="00D403F5">
        <w:rPr>
          <w:rFonts w:ascii="Arial" w:hAnsi="Arial" w:cs="Arial"/>
          <w:sz w:val="18"/>
          <w:szCs w:val="18"/>
        </w:rPr>
        <w:t>of veterinary medicinal products</w:t>
      </w:r>
      <w:r w:rsidRPr="00D403F5">
        <w:rPr>
          <w:rFonts w:ascii="Arial" w:hAnsi="Arial" w:cs="Arial"/>
          <w:color w:val="000000"/>
          <w:sz w:val="18"/>
          <w:szCs w:val="18"/>
        </w:rPr>
        <w:t xml:space="preserve"> (including </w:t>
      </w:r>
      <w:r w:rsidRPr="00D403F5">
        <w:rPr>
          <w:rFonts w:ascii="Arial" w:hAnsi="Arial" w:cs="Arial"/>
          <w:i/>
          <w:sz w:val="18"/>
          <w:szCs w:val="18"/>
        </w:rPr>
        <w:t>antimicrobial agents</w:t>
      </w:r>
      <w:r w:rsidRPr="00D403F5">
        <w:rPr>
          <w:rFonts w:ascii="Arial" w:hAnsi="Arial" w:cs="Arial"/>
          <w:sz w:val="18"/>
          <w:szCs w:val="18"/>
        </w:rPr>
        <w:t xml:space="preserve">) </w:t>
      </w:r>
      <w:r w:rsidRPr="00D403F5">
        <w:rPr>
          <w:rFonts w:ascii="Arial" w:hAnsi="Arial" w:cs="Arial"/>
          <w:color w:val="000000"/>
          <w:sz w:val="18"/>
          <w:szCs w:val="18"/>
        </w:rPr>
        <w:t xml:space="preserve">and associated production costs. </w:t>
      </w:r>
    </w:p>
    <w:bookmarkEnd w:id="28"/>
    <w:p w14:paraId="40324B4A" w14:textId="77777777" w:rsidR="007B3D5C" w:rsidRPr="00D403F5" w:rsidRDefault="007B3D5C" w:rsidP="00D403F5">
      <w:pPr>
        <w:spacing w:after="0" w:line="240" w:lineRule="auto"/>
        <w:jc w:val="center"/>
        <w:rPr>
          <w:rFonts w:ascii="Ottawa" w:hAnsi="Ottawa" w:cs="Arial"/>
          <w:sz w:val="18"/>
          <w:szCs w:val="18"/>
        </w:rPr>
      </w:pPr>
      <w:r w:rsidRPr="00D403F5">
        <w:rPr>
          <w:rFonts w:ascii="Ottawa" w:hAnsi="Ottawa" w:cs="Arial"/>
          <w:sz w:val="18"/>
          <w:szCs w:val="18"/>
        </w:rPr>
        <w:t>Article 4.X.4.</w:t>
      </w:r>
    </w:p>
    <w:p w14:paraId="647F28E7" w14:textId="77777777" w:rsidR="007B3D5C" w:rsidRPr="00D403F5" w:rsidRDefault="007B3D5C" w:rsidP="00D403F5">
      <w:pPr>
        <w:spacing w:after="0" w:line="240" w:lineRule="auto"/>
        <w:jc w:val="both"/>
        <w:rPr>
          <w:rFonts w:ascii="Ottawa" w:hAnsi="Ottawa" w:cs="Arial"/>
          <w:b/>
          <w:sz w:val="18"/>
          <w:szCs w:val="18"/>
        </w:rPr>
      </w:pPr>
      <w:r w:rsidRPr="00D403F5">
        <w:rPr>
          <w:rFonts w:ascii="Ottawa" w:hAnsi="Ottawa" w:cs="Arial"/>
          <w:b/>
          <w:sz w:val="18"/>
          <w:szCs w:val="18"/>
        </w:rPr>
        <w:t xml:space="preserve">General principles </w:t>
      </w:r>
    </w:p>
    <w:p w14:paraId="7D5109A5" w14:textId="77777777" w:rsidR="007B3D5C" w:rsidRPr="00D403F5" w:rsidRDefault="007B3D5C" w:rsidP="00D403F5">
      <w:pPr>
        <w:pStyle w:val="paragraph"/>
        <w:spacing w:before="0" w:beforeAutospacing="0" w:after="0" w:afterAutospacing="0"/>
        <w:jc w:val="both"/>
        <w:textAlignment w:val="baseline"/>
        <w:rPr>
          <w:rStyle w:val="normaltextrun"/>
          <w:rFonts w:ascii="Arial" w:eastAsiaTheme="majorEastAsia" w:hAnsi="Arial" w:cs="Arial"/>
          <w:sz w:val="18"/>
          <w:szCs w:val="18"/>
        </w:rPr>
      </w:pPr>
      <w:bookmarkStart w:id="29" w:name="_Hlk528242487"/>
      <w:r w:rsidRPr="00D403F5">
        <w:rPr>
          <w:rStyle w:val="normaltextrun"/>
          <w:rFonts w:ascii="Arial" w:eastAsia="Arial" w:hAnsi="Arial" w:cs="Arial"/>
          <w:color w:val="000000"/>
          <w:sz w:val="18"/>
          <w:szCs w:val="18"/>
        </w:rPr>
        <w:t xml:space="preserve">Biosecurity is a set of physical and management measures which, when used together, cumulatively reduce the risk of infection in aquatic animal populations within an aquaculture establishment. Implementation of biosecurity within an aquaculture establishment requires planning to identify risks and cost-effective measures to achieve the identified biosecurity objectives of the plan. The measures required will vary among aquaculture establishments, depending on factors such as likelihood of exposure to pathogenic agents, the species of aquatic animal, category of aquaculture production system, husbandry practices and geographical </w:t>
      </w:r>
      <w:r w:rsidRPr="00D403F5">
        <w:rPr>
          <w:rStyle w:val="normaltextrun"/>
          <w:rFonts w:ascii="Arial" w:eastAsia="Arial" w:hAnsi="Arial" w:cs="Arial"/>
          <w:sz w:val="18"/>
          <w:szCs w:val="18"/>
        </w:rPr>
        <w:t xml:space="preserve">location. </w:t>
      </w:r>
      <w:r w:rsidRPr="00D403F5">
        <w:rPr>
          <w:rFonts w:ascii="Arial" w:hAnsi="Arial" w:cs="Arial"/>
          <w:sz w:val="18"/>
          <w:szCs w:val="18"/>
        </w:rPr>
        <w:t xml:space="preserve">Although different approaches may be used to achieve an identified objective, the general principles for developing and implementing a </w:t>
      </w:r>
      <w:r w:rsidRPr="00D403F5">
        <w:rPr>
          <w:rFonts w:ascii="Arial" w:hAnsi="Arial" w:cs="Arial"/>
          <w:i/>
          <w:sz w:val="18"/>
          <w:szCs w:val="18"/>
        </w:rPr>
        <w:t>biosecurity plan</w:t>
      </w:r>
      <w:r w:rsidRPr="00D403F5">
        <w:rPr>
          <w:rFonts w:ascii="Arial" w:hAnsi="Arial" w:cs="Arial"/>
          <w:sz w:val="18"/>
          <w:szCs w:val="18"/>
        </w:rPr>
        <w:t xml:space="preserve"> are described below:</w:t>
      </w:r>
    </w:p>
    <w:p w14:paraId="0513BBFD" w14:textId="77777777" w:rsidR="007B3D5C" w:rsidRPr="00D403F5" w:rsidRDefault="007B3D5C" w:rsidP="00D403F5">
      <w:pPr>
        <w:pStyle w:val="2"/>
        <w:tabs>
          <w:tab w:val="clear" w:pos="360"/>
        </w:tabs>
        <w:spacing w:after="0"/>
        <w:ind w:left="0" w:firstLine="0"/>
        <w:rPr>
          <w:rFonts w:ascii="Times New Roman" w:hAnsi="Times New Roman"/>
          <w:sz w:val="18"/>
          <w:szCs w:val="18"/>
          <w:u w:val="single"/>
        </w:rPr>
      </w:pPr>
      <w:r w:rsidRPr="00D403F5">
        <w:rPr>
          <w:rFonts w:ascii="Times New Roman" w:hAnsi="Times New Roman"/>
          <w:sz w:val="18"/>
          <w:szCs w:val="18"/>
          <w:u w:val="single"/>
        </w:rPr>
        <w:br w:type="page"/>
      </w:r>
    </w:p>
    <w:p w14:paraId="28EBF614" w14:textId="2E978D23" w:rsidR="007B3D5C" w:rsidRPr="00D403F5" w:rsidRDefault="007B3D5C" w:rsidP="0026432A">
      <w:pPr>
        <w:pStyle w:val="2"/>
        <w:tabs>
          <w:tab w:val="clear" w:pos="360"/>
        </w:tabs>
        <w:spacing w:after="480"/>
        <w:ind w:left="0" w:firstLine="0"/>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7F4C2FC2" w14:textId="77777777" w:rsidR="007B3D5C" w:rsidRPr="00D403F5" w:rsidRDefault="007B3D5C" w:rsidP="00D403F5">
      <w:pPr>
        <w:pStyle w:val="paragraph"/>
        <w:spacing w:before="0" w:beforeAutospacing="0" w:after="0" w:afterAutospacing="0"/>
        <w:ind w:left="426" w:hanging="426"/>
        <w:jc w:val="both"/>
        <w:textAlignment w:val="baseline"/>
        <w:rPr>
          <w:rStyle w:val="normaltextrun"/>
          <w:rFonts w:ascii="Arial" w:eastAsia="Arial" w:hAnsi="Arial" w:cs="Arial"/>
          <w:i/>
          <w:sz w:val="18"/>
          <w:szCs w:val="18"/>
        </w:rPr>
      </w:pPr>
      <w:r w:rsidRPr="00D403F5">
        <w:rPr>
          <w:rStyle w:val="normaltextrun"/>
          <w:rFonts w:ascii="Arial" w:eastAsiaTheme="majorEastAsia" w:hAnsi="Arial" w:cs="Arial"/>
          <w:color w:val="000000"/>
          <w:sz w:val="18"/>
          <w:szCs w:val="18"/>
        </w:rPr>
        <w:t>1)</w:t>
      </w:r>
      <w:r w:rsidRPr="00D403F5">
        <w:rPr>
          <w:rStyle w:val="normaltextrun"/>
          <w:rFonts w:ascii="Arial" w:eastAsia="Arial" w:hAnsi="Arial" w:cs="Arial"/>
          <w:color w:val="000000"/>
          <w:sz w:val="18"/>
          <w:szCs w:val="18"/>
        </w:rPr>
        <w:tab/>
      </w:r>
      <w:r w:rsidRPr="00D403F5">
        <w:rPr>
          <w:rStyle w:val="normaltextrun"/>
          <w:rFonts w:ascii="Arial" w:eastAsia="Arial" w:hAnsi="Arial" w:cs="Arial"/>
          <w:sz w:val="18"/>
          <w:szCs w:val="18"/>
        </w:rPr>
        <w:t xml:space="preserve">Potential pathways for pathogenic agents to be transmitted into, </w:t>
      </w:r>
      <w:r w:rsidRPr="00D403F5">
        <w:rPr>
          <w:rStyle w:val="normaltextrun"/>
          <w:rFonts w:ascii="Arial" w:eastAsia="SimSun" w:hAnsi="Arial" w:cs="Arial" w:hint="eastAsia"/>
          <w:sz w:val="18"/>
          <w:szCs w:val="18"/>
          <w:lang w:eastAsia="zh-CN"/>
        </w:rPr>
        <w:t xml:space="preserve">spread </w:t>
      </w:r>
      <w:r w:rsidRPr="00D403F5">
        <w:rPr>
          <w:rStyle w:val="normaltextrun"/>
          <w:rFonts w:ascii="Arial" w:eastAsia="Arial" w:hAnsi="Arial" w:cs="Arial"/>
          <w:sz w:val="18"/>
          <w:szCs w:val="18"/>
        </w:rPr>
        <w:t>within and released from the aquaculture establishment must be identified,</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color w:val="000000"/>
          <w:sz w:val="18"/>
          <w:szCs w:val="18"/>
        </w:rPr>
        <w:t>as described in Articles 4.X.5. and 4.X.6.</w:t>
      </w:r>
      <w:r w:rsidRPr="00D403F5">
        <w:rPr>
          <w:rStyle w:val="normaltextrun"/>
          <w:rFonts w:ascii="Arial" w:eastAsia="Arial" w:hAnsi="Arial" w:cs="Arial"/>
          <w:sz w:val="18"/>
          <w:szCs w:val="18"/>
        </w:rPr>
        <w:t>, giving consideration to the category of aquaculture production system and design of the</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aquaculture establishment.</w:t>
      </w:r>
    </w:p>
    <w:p w14:paraId="28D12528" w14:textId="77777777" w:rsidR="007B3D5C" w:rsidRPr="00D403F5" w:rsidRDefault="007B3D5C" w:rsidP="00D403F5">
      <w:pPr>
        <w:pStyle w:val="paragraph"/>
        <w:spacing w:before="0" w:beforeAutospacing="0" w:after="0" w:afterAutospacing="0"/>
        <w:ind w:left="426" w:hanging="426"/>
        <w:jc w:val="both"/>
        <w:textAlignment w:val="baseline"/>
        <w:rPr>
          <w:rStyle w:val="normaltextrun"/>
          <w:rFonts w:ascii="Arial" w:eastAsia="Arial" w:hAnsi="Arial" w:cs="Arial"/>
          <w:sz w:val="18"/>
          <w:szCs w:val="18"/>
        </w:rPr>
      </w:pPr>
      <w:r w:rsidRPr="00D403F5">
        <w:rPr>
          <w:rStyle w:val="normaltextrun"/>
          <w:rFonts w:ascii="Arial" w:eastAsia="Arial" w:hAnsi="Arial" w:cs="Arial"/>
          <w:sz w:val="18"/>
          <w:szCs w:val="18"/>
        </w:rPr>
        <w:t>2)</w:t>
      </w:r>
      <w:r w:rsidRPr="00D403F5">
        <w:rPr>
          <w:rStyle w:val="normaltextrun"/>
          <w:rFonts w:ascii="Arial" w:eastAsia="Arial" w:hAnsi="Arial" w:cs="Arial"/>
          <w:sz w:val="18"/>
          <w:szCs w:val="18"/>
        </w:rPr>
        <w:tab/>
        <w:t>Risk analysis should be undertaken to evaluate biosecurity threats and ensure that the plan addresses risks appropriately and efficiently. The risk</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analysis may range from a simple to a complex analysis depending on the objectives of the biosecurity plan and the circumstances of the aquaculture establishment and disease</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risks, as described in Article 4.X.7.</w:t>
      </w:r>
    </w:p>
    <w:p w14:paraId="7A8B36C9" w14:textId="77777777" w:rsidR="007B3D5C" w:rsidRPr="00D403F5" w:rsidRDefault="007B3D5C" w:rsidP="00D403F5">
      <w:pPr>
        <w:pStyle w:val="paragraph"/>
        <w:spacing w:before="0" w:beforeAutospacing="0" w:after="0" w:afterAutospacing="0"/>
        <w:ind w:left="426" w:hanging="426"/>
        <w:jc w:val="both"/>
        <w:textAlignment w:val="baseline"/>
        <w:rPr>
          <w:rStyle w:val="normaltextrun"/>
          <w:rFonts w:ascii="Arial" w:eastAsia="Arial" w:hAnsi="Arial" w:cs="Arial"/>
          <w:sz w:val="18"/>
          <w:szCs w:val="18"/>
        </w:rPr>
      </w:pPr>
      <w:r w:rsidRPr="00D403F5">
        <w:rPr>
          <w:rStyle w:val="normaltextrun"/>
          <w:rFonts w:ascii="Arial" w:eastAsia="Arial" w:hAnsi="Arial" w:cs="Arial"/>
          <w:sz w:val="18"/>
          <w:szCs w:val="18"/>
        </w:rPr>
        <w:t>3)</w:t>
      </w:r>
      <w:r w:rsidRPr="00D403F5">
        <w:rPr>
          <w:rStyle w:val="normaltextrun"/>
          <w:rFonts w:ascii="Arial" w:eastAsia="Arial" w:hAnsi="Arial" w:cs="Arial"/>
          <w:sz w:val="18"/>
          <w:szCs w:val="18"/>
        </w:rPr>
        <w:tab/>
        <w:t>Biosecurity measures to address identified disease</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risks should be evaluated on the basis of their potential effectiveness, initial and ongoing costs (e.g. building works, maintenance), and management requirements, as described in Article 4.X.7.</w:t>
      </w:r>
    </w:p>
    <w:p w14:paraId="49C1B342" w14:textId="77777777" w:rsidR="007B3D5C" w:rsidRPr="00D403F5" w:rsidRDefault="007B3D5C" w:rsidP="00D403F5">
      <w:pPr>
        <w:pStyle w:val="paragraph"/>
        <w:spacing w:before="0" w:beforeAutospacing="0" w:after="0" w:afterAutospacing="0"/>
        <w:ind w:left="426" w:hanging="426"/>
        <w:jc w:val="both"/>
        <w:textAlignment w:val="baseline"/>
        <w:rPr>
          <w:rStyle w:val="normaltextrun"/>
          <w:rFonts w:ascii="Arial" w:eastAsia="Arial" w:hAnsi="Arial" w:cs="Arial"/>
          <w:sz w:val="18"/>
          <w:szCs w:val="18"/>
        </w:rPr>
      </w:pPr>
      <w:r w:rsidRPr="00D403F5">
        <w:rPr>
          <w:rStyle w:val="normaltextrun"/>
          <w:rFonts w:ascii="Arial" w:eastAsia="Arial" w:hAnsi="Arial" w:cs="Arial"/>
          <w:strike/>
          <w:color w:val="000000"/>
          <w:sz w:val="18"/>
          <w:szCs w:val="18"/>
        </w:rPr>
        <w:t>4</w:t>
      </w:r>
      <w:r w:rsidRPr="00D403F5">
        <w:rPr>
          <w:rStyle w:val="normaltextrun"/>
          <w:rFonts w:ascii="Arial" w:eastAsia="Arial" w:hAnsi="Arial" w:cs="Arial"/>
          <w:color w:val="000000"/>
          <w:sz w:val="18"/>
          <w:szCs w:val="18"/>
        </w:rPr>
        <w:t>)</w:t>
      </w:r>
      <w:r w:rsidRPr="00D403F5">
        <w:rPr>
          <w:rStyle w:val="normaltextrun"/>
          <w:rFonts w:ascii="Arial" w:eastAsia="Arial" w:hAnsi="Arial" w:cs="Arial"/>
          <w:color w:val="000000"/>
          <w:sz w:val="18"/>
          <w:szCs w:val="18"/>
        </w:rPr>
        <w:tab/>
        <w:t xml:space="preserve">Management practices </w:t>
      </w:r>
      <w:r w:rsidRPr="00D403F5">
        <w:rPr>
          <w:rStyle w:val="normaltextrun"/>
          <w:rFonts w:ascii="Arial" w:eastAsia="Arial" w:hAnsi="Arial" w:cs="Arial"/>
          <w:sz w:val="18"/>
          <w:szCs w:val="18"/>
        </w:rPr>
        <w:t>should be</w:t>
      </w:r>
      <w:r w:rsidRPr="00D403F5">
        <w:rPr>
          <w:rStyle w:val="normaltextrun"/>
          <w:rFonts w:ascii="Arial" w:eastAsia="Arial" w:hAnsi="Arial" w:cs="Arial"/>
          <w:color w:val="000000"/>
          <w:sz w:val="18"/>
          <w:szCs w:val="18"/>
        </w:rPr>
        <w:t xml:space="preserve"> integrated into the </w:t>
      </w:r>
      <w:r w:rsidRPr="00D403F5">
        <w:rPr>
          <w:rStyle w:val="normaltextrun"/>
          <w:rFonts w:ascii="Arial" w:eastAsia="Arial" w:hAnsi="Arial" w:cs="Arial"/>
          <w:sz w:val="18"/>
          <w:szCs w:val="18"/>
        </w:rPr>
        <w:t>aquaculture establishment’s operating procedures and relevant training provided to personnel, as described in Articles 4.X.7. and 4.X.8.</w:t>
      </w:r>
    </w:p>
    <w:p w14:paraId="2706B695" w14:textId="77777777" w:rsidR="007B3D5C" w:rsidRPr="00D403F5" w:rsidRDefault="007B3D5C" w:rsidP="00D403F5">
      <w:pPr>
        <w:spacing w:after="0"/>
        <w:ind w:left="426" w:hanging="426"/>
        <w:rPr>
          <w:rFonts w:ascii="Arial" w:hAnsi="Arial" w:cs="Arial"/>
          <w:sz w:val="18"/>
          <w:szCs w:val="18"/>
        </w:rPr>
      </w:pPr>
      <w:bookmarkStart w:id="30" w:name="_Hlk20311949"/>
      <w:r w:rsidRPr="00D403F5">
        <w:rPr>
          <w:rStyle w:val="normaltextrun"/>
          <w:rFonts w:ascii="Arial" w:eastAsia="Arial" w:hAnsi="Arial" w:cs="Arial"/>
          <w:color w:val="000000"/>
          <w:sz w:val="18"/>
          <w:szCs w:val="18"/>
        </w:rPr>
        <w:t>5)</w:t>
      </w:r>
      <w:r w:rsidRPr="00D403F5">
        <w:rPr>
          <w:rStyle w:val="normaltextrun"/>
          <w:rFonts w:ascii="Arial" w:eastAsia="Arial" w:hAnsi="Arial" w:cs="Arial"/>
          <w:color w:val="000000"/>
          <w:sz w:val="18"/>
          <w:szCs w:val="18"/>
        </w:rPr>
        <w:tab/>
      </w:r>
      <w:r w:rsidRPr="00D403F5">
        <w:rPr>
          <w:rFonts w:ascii="Arial" w:hAnsi="Arial" w:cs="Arial"/>
          <w:sz w:val="18"/>
          <w:szCs w:val="18"/>
        </w:rPr>
        <w:t xml:space="preserve">Appropriate records and documentation are essential to demonstrate effective implementation of the </w:t>
      </w:r>
      <w:r w:rsidRPr="00D403F5">
        <w:rPr>
          <w:rFonts w:ascii="Arial" w:hAnsi="Arial" w:cs="Arial"/>
          <w:i/>
          <w:iCs/>
          <w:sz w:val="18"/>
          <w:szCs w:val="18"/>
        </w:rPr>
        <w:t>biosecurity plan</w:t>
      </w:r>
      <w:r w:rsidRPr="00D403F5">
        <w:rPr>
          <w:rFonts w:ascii="Arial" w:hAnsi="Arial" w:cs="Arial"/>
          <w:sz w:val="18"/>
          <w:szCs w:val="18"/>
        </w:rPr>
        <w:t>. Examples are provided in Article 4.X.8.</w:t>
      </w:r>
      <w:r w:rsidRPr="00D403F5">
        <w:rPr>
          <w:rFonts w:ascii="Arial" w:hAnsi="Arial" w:cs="Arial"/>
          <w:sz w:val="18"/>
          <w:szCs w:val="18"/>
          <w:lang w:eastAsia="fr-FR"/>
        </w:rPr>
        <w:t xml:space="preserve"> </w:t>
      </w:r>
      <w:bookmarkEnd w:id="30"/>
    </w:p>
    <w:p w14:paraId="4797302B" w14:textId="77777777" w:rsidR="007B3D5C" w:rsidRPr="00D403F5" w:rsidRDefault="007B3D5C" w:rsidP="00D403F5">
      <w:pPr>
        <w:pStyle w:val="paragraph"/>
        <w:spacing w:before="0" w:beforeAutospacing="0" w:after="0" w:afterAutospacing="0"/>
        <w:ind w:left="426" w:hanging="426"/>
        <w:jc w:val="both"/>
        <w:textAlignment w:val="baseline"/>
        <w:rPr>
          <w:rStyle w:val="normaltextrun"/>
          <w:rFonts w:ascii="Arial" w:eastAsia="Arial" w:hAnsi="Arial" w:cs="Arial"/>
          <w:color w:val="000000"/>
          <w:sz w:val="18"/>
          <w:szCs w:val="18"/>
        </w:rPr>
      </w:pPr>
      <w:r w:rsidRPr="00D403F5">
        <w:rPr>
          <w:rStyle w:val="normaltextrun"/>
          <w:rFonts w:ascii="Arial" w:eastAsia="Arial" w:hAnsi="Arial" w:cs="Arial"/>
          <w:color w:val="000000"/>
          <w:sz w:val="18"/>
          <w:szCs w:val="18"/>
        </w:rPr>
        <w:t>6)</w:t>
      </w:r>
      <w:r w:rsidRPr="00D403F5">
        <w:rPr>
          <w:rStyle w:val="normaltextrun"/>
          <w:rFonts w:ascii="Arial" w:eastAsia="Arial" w:hAnsi="Arial" w:cs="Arial"/>
          <w:color w:val="000000"/>
          <w:sz w:val="18"/>
          <w:szCs w:val="18"/>
        </w:rPr>
        <w:tab/>
        <w:t xml:space="preserve">A schedule </w:t>
      </w:r>
      <w:r w:rsidRPr="00D403F5">
        <w:rPr>
          <w:rStyle w:val="normaltextrun"/>
          <w:rFonts w:ascii="Arial" w:eastAsia="Arial" w:hAnsi="Arial" w:cs="Arial"/>
          <w:sz w:val="18"/>
          <w:szCs w:val="18"/>
        </w:rPr>
        <w:t>for routine reviews and audits</w:t>
      </w:r>
      <w:r w:rsidRPr="00D403F5">
        <w:rPr>
          <w:rStyle w:val="normaltextrun"/>
          <w:rFonts w:ascii="Arial" w:eastAsia="SimSun" w:hAnsi="Arial" w:cs="Arial"/>
          <w:sz w:val="18"/>
          <w:szCs w:val="18"/>
          <w:lang w:eastAsia="zh-CN"/>
        </w:rPr>
        <w:t xml:space="preserve"> </w:t>
      </w:r>
      <w:r w:rsidRPr="00D403F5">
        <w:rPr>
          <w:rStyle w:val="normaltextrun"/>
          <w:rFonts w:ascii="Arial" w:eastAsia="Arial" w:hAnsi="Arial" w:cs="Arial"/>
          <w:color w:val="000000"/>
          <w:sz w:val="18"/>
          <w:szCs w:val="18"/>
        </w:rPr>
        <w:t xml:space="preserve">of the biosecurity plan </w:t>
      </w:r>
      <w:r w:rsidRPr="00D403F5">
        <w:rPr>
          <w:rStyle w:val="normaltextrun"/>
          <w:rFonts w:ascii="Arial" w:eastAsia="Arial" w:hAnsi="Arial" w:cs="Arial"/>
          <w:sz w:val="18"/>
          <w:szCs w:val="18"/>
        </w:rPr>
        <w:t>should be described.</w:t>
      </w:r>
      <w:r w:rsidRPr="00D403F5">
        <w:rPr>
          <w:rStyle w:val="normaltextrun"/>
          <w:rFonts w:ascii="Arial" w:eastAsia="Arial" w:hAnsi="Arial" w:cs="Arial"/>
          <w:color w:val="000000"/>
          <w:sz w:val="18"/>
          <w:szCs w:val="18"/>
        </w:rPr>
        <w:t xml:space="preserve"> Triggers for ad hoc review must be determined (e.g. changes to infrastructure, production techniques, </w:t>
      </w:r>
      <w:r w:rsidRPr="00D403F5">
        <w:rPr>
          <w:rStyle w:val="normaltextrun"/>
          <w:rFonts w:ascii="Arial" w:eastAsia="Arial" w:hAnsi="Arial" w:cs="Arial"/>
          <w:sz w:val="18"/>
          <w:szCs w:val="18"/>
        </w:rPr>
        <w:t>disease outbreaks,</w:t>
      </w:r>
      <w:r w:rsidRPr="00D403F5">
        <w:rPr>
          <w:rStyle w:val="normaltextrun"/>
          <w:rFonts w:ascii="Arial" w:eastAsia="Arial" w:hAnsi="Arial" w:cs="Arial"/>
          <w:color w:val="000000"/>
          <w:sz w:val="18"/>
          <w:szCs w:val="18"/>
        </w:rPr>
        <w:t xml:space="preserve"> or risk profiles). Third party audits may be required where recognition of the biosecurity measures is required by customers, or regulators, or for market access, as </w:t>
      </w:r>
      <w:r w:rsidRPr="00D403F5">
        <w:rPr>
          <w:rStyle w:val="normaltextrun"/>
          <w:rFonts w:ascii="Arial" w:eastAsia="Arial" w:hAnsi="Arial" w:cs="Arial"/>
          <w:sz w:val="18"/>
          <w:szCs w:val="18"/>
        </w:rPr>
        <w:t>provided</w:t>
      </w:r>
      <w:r w:rsidRPr="00D403F5">
        <w:rPr>
          <w:rStyle w:val="normaltextrun"/>
          <w:rFonts w:ascii="Arial" w:eastAsia="Arial" w:hAnsi="Arial" w:cs="Arial"/>
          <w:color w:val="000000"/>
          <w:sz w:val="18"/>
          <w:szCs w:val="18"/>
        </w:rPr>
        <w:t xml:space="preserve"> in Article 4.X.8.</w:t>
      </w:r>
    </w:p>
    <w:bookmarkEnd w:id="29"/>
    <w:p w14:paraId="0E1FCAC0" w14:textId="77777777" w:rsidR="007B3D5C" w:rsidRPr="00D403F5" w:rsidRDefault="007B3D5C" w:rsidP="00D403F5">
      <w:pPr>
        <w:spacing w:after="0"/>
        <w:jc w:val="center"/>
        <w:rPr>
          <w:rFonts w:ascii="Ottawa" w:hAnsi="Ottawa" w:cs="Arial"/>
          <w:sz w:val="18"/>
          <w:szCs w:val="18"/>
        </w:rPr>
      </w:pPr>
      <w:r w:rsidRPr="00D403F5">
        <w:rPr>
          <w:rFonts w:ascii="Ottawa" w:hAnsi="Ottawa" w:cs="Arial"/>
          <w:sz w:val="18"/>
          <w:szCs w:val="18"/>
        </w:rPr>
        <w:t>Article 4.X.5.</w:t>
      </w:r>
    </w:p>
    <w:p w14:paraId="74B1D527" w14:textId="77777777" w:rsidR="007B3D5C" w:rsidRPr="00D403F5" w:rsidRDefault="007B3D5C" w:rsidP="00D403F5">
      <w:pPr>
        <w:spacing w:after="0"/>
        <w:jc w:val="both"/>
        <w:rPr>
          <w:rFonts w:ascii="Ottawa" w:hAnsi="Ottawa" w:cs="Arial"/>
          <w:b/>
          <w:color w:val="000000"/>
          <w:sz w:val="18"/>
          <w:szCs w:val="18"/>
        </w:rPr>
      </w:pPr>
      <w:r w:rsidRPr="00D403F5">
        <w:rPr>
          <w:rFonts w:ascii="Ottawa" w:hAnsi="Ottawa" w:cs="Arial"/>
          <w:b/>
          <w:color w:val="000000"/>
          <w:sz w:val="18"/>
          <w:szCs w:val="18"/>
        </w:rPr>
        <w:t xml:space="preserve">Categories of aquaculture production systems </w:t>
      </w:r>
    </w:p>
    <w:p w14:paraId="654B3C37" w14:textId="77777777" w:rsidR="007B3D5C" w:rsidRPr="00D403F5" w:rsidRDefault="007B3D5C" w:rsidP="00D403F5">
      <w:pPr>
        <w:pStyle w:val="Default"/>
        <w:jc w:val="both"/>
        <w:rPr>
          <w:rFonts w:eastAsia="Arial"/>
          <w:sz w:val="18"/>
          <w:szCs w:val="18"/>
          <w:shd w:val="clear" w:color="auto" w:fill="FFFFFF"/>
          <w:lang w:val="en-GB"/>
        </w:rPr>
      </w:pPr>
      <w:bookmarkStart w:id="31" w:name="_Hlk528242547"/>
      <w:r w:rsidRPr="00D403F5">
        <w:rPr>
          <w:sz w:val="18"/>
          <w:szCs w:val="18"/>
          <w:u w:val="double"/>
          <w:shd w:val="clear" w:color="auto" w:fill="FFFFFF"/>
          <w:lang w:val="en-GB"/>
        </w:rPr>
        <w:t>F</w:t>
      </w:r>
      <w:r w:rsidRPr="00D403F5">
        <w:rPr>
          <w:sz w:val="18"/>
          <w:szCs w:val="18"/>
          <w:shd w:val="clear" w:color="auto" w:fill="FFFFFF"/>
          <w:lang w:val="en-GB"/>
        </w:rPr>
        <w:t>our different categories of aquaculture production systems are defined based on the capacity to treat water entering and exiting the system, and the level of control</w:t>
      </w:r>
      <w:r w:rsidRPr="00D403F5">
        <w:rPr>
          <w:rFonts w:eastAsia="SimSun" w:hint="eastAsia"/>
          <w:sz w:val="18"/>
          <w:szCs w:val="18"/>
          <w:shd w:val="clear" w:color="auto" w:fill="FFFFFF"/>
          <w:lang w:val="en-GB" w:eastAsia="zh-CN"/>
        </w:rPr>
        <w:t xml:space="preserve"> </w:t>
      </w:r>
      <w:r w:rsidRPr="00D403F5">
        <w:rPr>
          <w:sz w:val="18"/>
          <w:szCs w:val="18"/>
          <w:shd w:val="clear" w:color="auto" w:fill="FFFFFF"/>
          <w:lang w:val="en-GB"/>
        </w:rPr>
        <w:t xml:space="preserve">of </w:t>
      </w:r>
      <w:r w:rsidRPr="00D403F5">
        <w:rPr>
          <w:i/>
          <w:sz w:val="18"/>
          <w:szCs w:val="18"/>
          <w:shd w:val="clear" w:color="auto" w:fill="FFFFFF"/>
          <w:lang w:val="en-GB"/>
        </w:rPr>
        <w:t>aquatic animals</w:t>
      </w:r>
      <w:r w:rsidRPr="00D403F5">
        <w:rPr>
          <w:sz w:val="18"/>
          <w:szCs w:val="18"/>
          <w:shd w:val="clear" w:color="auto" w:fill="FFFFFF"/>
          <w:lang w:val="en-GB"/>
        </w:rPr>
        <w:t xml:space="preserve"> and </w:t>
      </w:r>
      <w:r w:rsidRPr="00D403F5">
        <w:rPr>
          <w:i/>
          <w:sz w:val="18"/>
          <w:szCs w:val="18"/>
          <w:shd w:val="clear" w:color="auto" w:fill="FFFFFF"/>
          <w:lang w:val="en-GB"/>
        </w:rPr>
        <w:t>vectors</w:t>
      </w:r>
      <w:r w:rsidRPr="00D403F5">
        <w:rPr>
          <w:sz w:val="18"/>
          <w:szCs w:val="18"/>
          <w:shd w:val="clear" w:color="auto" w:fill="FFFFFF"/>
          <w:lang w:val="en-GB"/>
        </w:rPr>
        <w:t xml:space="preserve">. These factors need to be considered in </w:t>
      </w:r>
      <w:r w:rsidRPr="00D403F5">
        <w:rPr>
          <w:i/>
          <w:sz w:val="18"/>
          <w:szCs w:val="18"/>
          <w:shd w:val="clear" w:color="auto" w:fill="FFFFFF"/>
          <w:lang w:val="en-GB"/>
        </w:rPr>
        <w:t>biosecurity</w:t>
      </w:r>
      <w:r w:rsidRPr="00D403F5">
        <w:rPr>
          <w:sz w:val="18"/>
          <w:szCs w:val="18"/>
          <w:shd w:val="clear" w:color="auto" w:fill="FFFFFF"/>
          <w:lang w:val="en-GB"/>
        </w:rPr>
        <w:t xml:space="preserve"> planning.</w:t>
      </w:r>
    </w:p>
    <w:p w14:paraId="1251FE59" w14:textId="77777777" w:rsidR="007B3D5C" w:rsidRPr="00D403F5" w:rsidRDefault="007B3D5C" w:rsidP="00D403F5">
      <w:pPr>
        <w:pStyle w:val="Default"/>
        <w:jc w:val="both"/>
        <w:rPr>
          <w:color w:val="202020"/>
          <w:sz w:val="18"/>
          <w:szCs w:val="18"/>
          <w:u w:val="single" w:color="202020"/>
          <w:shd w:val="clear" w:color="auto" w:fill="FFFFFF"/>
          <w:lang w:val="en-GB"/>
        </w:rPr>
      </w:pPr>
      <w:r w:rsidRPr="00D403F5">
        <w:rPr>
          <w:color w:val="202020"/>
          <w:sz w:val="18"/>
          <w:szCs w:val="18"/>
          <w:u w:val="single" w:color="202020"/>
          <w:shd w:val="clear" w:color="auto" w:fill="FFFFFF"/>
          <w:lang w:val="en-GB"/>
        </w:rPr>
        <w:t>Open systems</w:t>
      </w:r>
    </w:p>
    <w:p w14:paraId="6E97532D" w14:textId="77777777" w:rsidR="007B3D5C" w:rsidRPr="00D403F5" w:rsidRDefault="007B3D5C" w:rsidP="00D403F5">
      <w:pPr>
        <w:pStyle w:val="Default"/>
        <w:jc w:val="both"/>
        <w:rPr>
          <w:color w:val="202020"/>
          <w:sz w:val="18"/>
          <w:szCs w:val="18"/>
          <w:shd w:val="clear" w:color="auto" w:fill="FFFFFF"/>
          <w:lang w:val="en-GB"/>
        </w:rPr>
      </w:pPr>
      <w:r w:rsidRPr="00D403F5">
        <w:rPr>
          <w:color w:val="202020"/>
          <w:sz w:val="18"/>
          <w:szCs w:val="18"/>
          <w:u w:color="202020"/>
          <w:shd w:val="clear" w:color="auto" w:fill="FFFFFF"/>
          <w:lang w:val="en-GB"/>
        </w:rPr>
        <w:t xml:space="preserve">In an open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production system, it is not possible to have control of water, environmental conditions</w:t>
      </w:r>
      <w:r w:rsidRPr="00D403F5">
        <w:rPr>
          <w:color w:val="202020"/>
          <w:sz w:val="18"/>
          <w:szCs w:val="18"/>
          <w:shd w:val="clear" w:color="auto" w:fill="FFFFFF"/>
          <w:lang w:val="en-GB"/>
        </w:rPr>
        <w:t>,</w:t>
      </w:r>
      <w:r w:rsidRPr="00D403F5">
        <w:rPr>
          <w:rFonts w:eastAsia="SimSun" w:hint="eastAsia"/>
          <w:color w:val="202020"/>
          <w:sz w:val="18"/>
          <w:szCs w:val="18"/>
          <w:u w:color="202020"/>
          <w:shd w:val="clear" w:color="auto" w:fill="FFFFFF"/>
          <w:lang w:val="en-GB" w:eastAsia="zh-CN"/>
        </w:rPr>
        <w:t xml:space="preserve"> </w:t>
      </w:r>
      <w:r w:rsidRPr="00D403F5">
        <w:rPr>
          <w:color w:val="202020"/>
          <w:sz w:val="18"/>
          <w:szCs w:val="18"/>
          <w:u w:color="202020"/>
          <w:shd w:val="clear" w:color="auto" w:fill="FFFFFF"/>
          <w:lang w:val="en-GB"/>
        </w:rPr>
        <w:t xml:space="preserve">animals </w:t>
      </w:r>
      <w:r w:rsidRPr="00D403F5">
        <w:rPr>
          <w:color w:val="202020"/>
          <w:sz w:val="18"/>
          <w:szCs w:val="18"/>
          <w:shd w:val="clear" w:color="auto" w:fill="FFFFFF"/>
          <w:lang w:val="en-GB"/>
        </w:rPr>
        <w:t xml:space="preserve">and </w:t>
      </w:r>
      <w:r w:rsidRPr="00D403F5">
        <w:rPr>
          <w:i/>
          <w:color w:val="202020"/>
          <w:sz w:val="18"/>
          <w:szCs w:val="18"/>
          <w:shd w:val="clear" w:color="auto" w:fill="FFFFFF"/>
          <w:lang w:val="en-GB"/>
        </w:rPr>
        <w:t>vectors</w:t>
      </w:r>
      <w:r w:rsidRPr="00D403F5">
        <w:rPr>
          <w:color w:val="202020"/>
          <w:sz w:val="18"/>
          <w:szCs w:val="18"/>
          <w:u w:color="202020"/>
          <w:shd w:val="clear" w:color="auto" w:fill="FFFFFF"/>
          <w:lang w:val="en-GB"/>
        </w:rPr>
        <w:t>. These production systems may include stock enhancement of wild populations</w:t>
      </w:r>
      <w:r w:rsidRPr="00D403F5">
        <w:rPr>
          <w:color w:val="202020"/>
          <w:sz w:val="18"/>
          <w:szCs w:val="18"/>
          <w:shd w:val="clear" w:color="auto" w:fill="FFFFFF"/>
          <w:lang w:val="en-GB"/>
        </w:rPr>
        <w:t xml:space="preserve"> with animals originating from </w:t>
      </w:r>
      <w:r w:rsidRPr="00D403F5">
        <w:rPr>
          <w:i/>
          <w:color w:val="202020"/>
          <w:sz w:val="18"/>
          <w:szCs w:val="18"/>
          <w:shd w:val="clear" w:color="auto" w:fill="FFFFFF"/>
          <w:lang w:val="en-GB"/>
        </w:rPr>
        <w:t>aquaculture establishments</w:t>
      </w:r>
      <w:r w:rsidRPr="00D403F5">
        <w:rPr>
          <w:color w:val="202020"/>
          <w:sz w:val="18"/>
          <w:szCs w:val="18"/>
          <w:shd w:val="clear" w:color="auto" w:fill="FFFFFF"/>
          <w:lang w:val="en-GB"/>
        </w:rPr>
        <w:t xml:space="preserve"> or from the wild</w:t>
      </w:r>
      <w:r w:rsidRPr="00D403F5">
        <w:rPr>
          <w:color w:val="202020"/>
          <w:sz w:val="18"/>
          <w:szCs w:val="18"/>
          <w:u w:color="202020"/>
          <w:shd w:val="clear" w:color="auto" w:fill="FFFFFF"/>
          <w:lang w:val="en-GB"/>
        </w:rPr>
        <w:t xml:space="preserve">. As these systems cannot be considered ‘establishments’, they are not considered further in this chapter. </w:t>
      </w:r>
      <w:r w:rsidRPr="00D403F5">
        <w:rPr>
          <w:color w:val="202020"/>
          <w:sz w:val="18"/>
          <w:szCs w:val="18"/>
          <w:shd w:val="clear" w:color="auto" w:fill="FFFFFF"/>
          <w:lang w:val="en-GB"/>
        </w:rPr>
        <w:t xml:space="preserve">However, movements of </w:t>
      </w:r>
      <w:r w:rsidRPr="00D403F5">
        <w:rPr>
          <w:i/>
          <w:color w:val="202020"/>
          <w:sz w:val="18"/>
          <w:szCs w:val="18"/>
          <w:shd w:val="clear" w:color="auto" w:fill="FFFFFF"/>
          <w:lang w:val="en-GB"/>
        </w:rPr>
        <w:t>aquatic animals</w:t>
      </w:r>
      <w:r w:rsidRPr="00D403F5">
        <w:rPr>
          <w:color w:val="202020"/>
          <w:sz w:val="18"/>
          <w:szCs w:val="18"/>
          <w:shd w:val="clear" w:color="auto" w:fill="FFFFFF"/>
          <w:lang w:val="en-GB"/>
        </w:rPr>
        <w:t xml:space="preserve"> to open systems should still be subject to disease mitigation measures.</w:t>
      </w:r>
    </w:p>
    <w:p w14:paraId="3E5EE40D" w14:textId="77777777" w:rsidR="007B3D5C" w:rsidRPr="00D403F5" w:rsidRDefault="007B3D5C" w:rsidP="00D403F5">
      <w:pPr>
        <w:pStyle w:val="Default"/>
        <w:jc w:val="both"/>
        <w:rPr>
          <w:rFonts w:eastAsia="Helvetica"/>
          <w:sz w:val="18"/>
          <w:szCs w:val="18"/>
          <w:u w:color="202020"/>
          <w:shd w:val="clear" w:color="auto" w:fill="FFFFFF"/>
          <w:lang w:val="en-GB"/>
        </w:rPr>
      </w:pPr>
      <w:r w:rsidRPr="00D403F5">
        <w:rPr>
          <w:color w:val="202020"/>
          <w:sz w:val="18"/>
          <w:szCs w:val="18"/>
          <w:u w:val="single" w:color="202020"/>
          <w:shd w:val="clear" w:color="auto" w:fill="FFFFFF"/>
          <w:lang w:val="en-GB"/>
        </w:rPr>
        <w:t>Semi-open</w:t>
      </w:r>
    </w:p>
    <w:p w14:paraId="595FA68E" w14:textId="77777777" w:rsidR="007B3D5C" w:rsidRPr="00D403F5" w:rsidRDefault="007B3D5C" w:rsidP="00D403F5">
      <w:pPr>
        <w:pStyle w:val="Default"/>
        <w:jc w:val="both"/>
        <w:rPr>
          <w:sz w:val="18"/>
          <w:szCs w:val="18"/>
          <w:u w:color="202020"/>
          <w:shd w:val="clear" w:color="auto" w:fill="FFFFFF"/>
          <w:lang w:val="en-GB"/>
        </w:rPr>
      </w:pPr>
      <w:r w:rsidRPr="00D403F5">
        <w:rPr>
          <w:color w:val="202020"/>
          <w:sz w:val="18"/>
          <w:szCs w:val="18"/>
          <w:u w:color="202020"/>
          <w:shd w:val="clear" w:color="auto" w:fill="FFFFFF"/>
          <w:lang w:val="en-GB"/>
        </w:rPr>
        <w:t>In a semi-open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production system, it is not possible to have control </w:t>
      </w:r>
      <w:r w:rsidRPr="00D403F5">
        <w:rPr>
          <w:rFonts w:eastAsia="SimSun"/>
          <w:color w:val="202020"/>
          <w:sz w:val="18"/>
          <w:szCs w:val="18"/>
          <w:u w:color="202020"/>
          <w:shd w:val="clear" w:color="auto" w:fill="FFFFFF"/>
          <w:lang w:val="en-GB" w:eastAsia="zh-CN"/>
        </w:rPr>
        <w:t>over the</w:t>
      </w:r>
      <w:r w:rsidRPr="00D403F5">
        <w:rPr>
          <w:rFonts w:eastAsia="SimSun" w:hint="eastAsia"/>
          <w:color w:val="202020"/>
          <w:sz w:val="18"/>
          <w:szCs w:val="18"/>
          <w:u w:color="202020"/>
          <w:shd w:val="clear" w:color="auto" w:fill="FFFFFF"/>
          <w:lang w:val="en-GB" w:eastAsia="zh-CN"/>
        </w:rPr>
        <w:t xml:space="preserve"> </w:t>
      </w:r>
      <w:r w:rsidRPr="00D403F5">
        <w:rPr>
          <w:color w:val="202020"/>
          <w:sz w:val="18"/>
          <w:szCs w:val="18"/>
          <w:u w:color="202020"/>
          <w:shd w:val="clear" w:color="auto" w:fill="FFFFFF"/>
          <w:lang w:val="en-GB"/>
        </w:rPr>
        <w:t xml:space="preserve">water entering or exiting the system, or the environmental conditions. Some </w:t>
      </w:r>
      <w:r w:rsidRPr="00D403F5">
        <w:rPr>
          <w:i/>
          <w:color w:val="202020"/>
          <w:sz w:val="18"/>
          <w:szCs w:val="18"/>
          <w:u w:color="202020"/>
          <w:shd w:val="clear" w:color="auto" w:fill="FFFFFF"/>
          <w:lang w:val="en-GB"/>
        </w:rPr>
        <w:t xml:space="preserve">aquatic animals </w:t>
      </w:r>
      <w:r w:rsidRPr="00D403F5">
        <w:rPr>
          <w:color w:val="202020"/>
          <w:sz w:val="18"/>
          <w:szCs w:val="18"/>
          <w:u w:color="202020"/>
          <w:shd w:val="clear" w:color="auto" w:fill="FFFFFF"/>
          <w:lang w:val="en-GB"/>
        </w:rPr>
        <w:t xml:space="preserve">and </w:t>
      </w:r>
      <w:r w:rsidRPr="00D403F5">
        <w:rPr>
          <w:i/>
          <w:color w:val="202020"/>
          <w:sz w:val="18"/>
          <w:szCs w:val="18"/>
          <w:u w:color="202020"/>
          <w:shd w:val="clear" w:color="auto" w:fill="FFFFFF"/>
          <w:lang w:val="en-GB"/>
        </w:rPr>
        <w:t>vectors</w:t>
      </w:r>
      <w:r w:rsidRPr="00D403F5">
        <w:rPr>
          <w:color w:val="202020"/>
          <w:sz w:val="18"/>
          <w:szCs w:val="18"/>
          <w:u w:color="202020"/>
          <w:shd w:val="clear" w:color="auto" w:fill="FFFFFF"/>
          <w:lang w:val="en-GB"/>
        </w:rPr>
        <w:t xml:space="preserve"> may also enter and exit the system. Examples of </w:t>
      </w:r>
      <w:r w:rsidRPr="00D403F5">
        <w:rPr>
          <w:rFonts w:eastAsia="SimSun" w:hint="eastAsia"/>
          <w:color w:val="202020"/>
          <w:sz w:val="18"/>
          <w:szCs w:val="18"/>
          <w:u w:color="202020"/>
          <w:shd w:val="clear" w:color="auto" w:fill="FFFFFF"/>
          <w:lang w:val="en-GB" w:eastAsia="zh-CN"/>
        </w:rPr>
        <w:t>semi-</w:t>
      </w:r>
      <w:r w:rsidRPr="00D403F5">
        <w:rPr>
          <w:color w:val="202020"/>
          <w:sz w:val="18"/>
          <w:szCs w:val="18"/>
          <w:u w:color="202020"/>
          <w:shd w:val="clear" w:color="auto" w:fill="FFFFFF"/>
          <w:lang w:val="en-GB"/>
        </w:rPr>
        <w:t xml:space="preserve">open </w:t>
      </w:r>
      <w:r w:rsidRPr="00D403F5">
        <w:rPr>
          <w:i/>
          <w:color w:val="202020"/>
          <w:sz w:val="18"/>
          <w:szCs w:val="18"/>
          <w:u w:color="202020"/>
          <w:shd w:val="clear" w:color="auto" w:fill="FFFFFF"/>
          <w:lang w:val="en-GB"/>
        </w:rPr>
        <w:t>aquaculture</w:t>
      </w:r>
      <w:r w:rsidRPr="00D403F5">
        <w:rPr>
          <w:rFonts w:eastAsia="SimSun" w:hint="eastAsia"/>
          <w:i/>
          <w:color w:val="202020"/>
          <w:sz w:val="18"/>
          <w:szCs w:val="18"/>
          <w:u w:color="202020"/>
          <w:shd w:val="clear" w:color="auto" w:fill="FFFFFF"/>
          <w:lang w:val="en-GB" w:eastAsia="zh-CN"/>
        </w:rPr>
        <w:t xml:space="preserve"> </w:t>
      </w:r>
      <w:r w:rsidRPr="00D403F5">
        <w:rPr>
          <w:color w:val="202020"/>
          <w:sz w:val="18"/>
          <w:szCs w:val="18"/>
          <w:u w:color="202020"/>
          <w:shd w:val="clear" w:color="auto" w:fill="FFFFFF"/>
          <w:lang w:val="en-GB"/>
        </w:rPr>
        <w:t xml:space="preserve">production systems are net pens </w:t>
      </w:r>
      <w:r w:rsidRPr="00D403F5">
        <w:rPr>
          <w:color w:val="202020"/>
          <w:sz w:val="18"/>
          <w:szCs w:val="18"/>
          <w:shd w:val="clear" w:color="auto" w:fill="FFFFFF"/>
          <w:lang w:val="en-GB"/>
        </w:rPr>
        <w:t>for finfish</w:t>
      </w:r>
      <w:r w:rsidRPr="00D403F5">
        <w:rPr>
          <w:color w:val="202020"/>
          <w:sz w:val="18"/>
          <w:szCs w:val="18"/>
          <w:u w:color="202020"/>
          <w:shd w:val="clear" w:color="auto" w:fill="FFFFFF"/>
          <w:lang w:val="en-GB"/>
        </w:rPr>
        <w:t xml:space="preserve"> </w:t>
      </w:r>
      <w:r w:rsidRPr="00D403F5">
        <w:rPr>
          <w:color w:val="202020"/>
          <w:sz w:val="18"/>
          <w:szCs w:val="18"/>
          <w:shd w:val="clear" w:color="auto" w:fill="FFFFFF"/>
          <w:lang w:val="en-GB"/>
        </w:rPr>
        <w:t xml:space="preserve">and suspended baskets for molluscs </w:t>
      </w:r>
      <w:r w:rsidRPr="00D403F5">
        <w:rPr>
          <w:color w:val="202020"/>
          <w:sz w:val="18"/>
          <w:szCs w:val="18"/>
          <w:u w:color="202020"/>
          <w:shd w:val="clear" w:color="auto" w:fill="FFFFFF"/>
          <w:lang w:val="en-GB"/>
        </w:rPr>
        <w:t xml:space="preserve">in natural water bodies. </w:t>
      </w:r>
    </w:p>
    <w:p w14:paraId="45857BA3" w14:textId="77777777" w:rsidR="007B3D5C" w:rsidRPr="00D403F5" w:rsidRDefault="007B3D5C" w:rsidP="00D403F5">
      <w:pPr>
        <w:pStyle w:val="Default"/>
        <w:jc w:val="both"/>
        <w:rPr>
          <w:rFonts w:eastAsia="Helvetica"/>
          <w:sz w:val="18"/>
          <w:szCs w:val="18"/>
          <w:u w:val="single"/>
          <w:shd w:val="clear" w:color="auto" w:fill="FFFFFF"/>
          <w:lang w:val="en-GB"/>
        </w:rPr>
      </w:pPr>
      <w:r w:rsidRPr="00D403F5">
        <w:rPr>
          <w:color w:val="202020"/>
          <w:sz w:val="18"/>
          <w:szCs w:val="18"/>
          <w:u w:val="single"/>
          <w:shd w:val="clear" w:color="auto" w:fill="FFFFFF"/>
          <w:lang w:val="en-GB"/>
        </w:rPr>
        <w:t>Semi-closed</w:t>
      </w:r>
    </w:p>
    <w:p w14:paraId="2CE50531" w14:textId="77777777" w:rsidR="007B3D5C" w:rsidRPr="00D403F5" w:rsidRDefault="007B3D5C" w:rsidP="00D403F5">
      <w:pPr>
        <w:pStyle w:val="Default"/>
        <w:jc w:val="both"/>
        <w:rPr>
          <w:sz w:val="18"/>
          <w:szCs w:val="18"/>
          <w:u w:color="202020"/>
          <w:shd w:val="clear" w:color="auto" w:fill="FFFFFF"/>
          <w:lang w:val="en-GB"/>
        </w:rPr>
      </w:pPr>
      <w:r w:rsidRPr="00D403F5">
        <w:rPr>
          <w:color w:val="202020"/>
          <w:sz w:val="18"/>
          <w:szCs w:val="18"/>
          <w:u w:color="202020"/>
          <w:shd w:val="clear" w:color="auto" w:fill="FFFFFF"/>
          <w:lang w:val="en-GB"/>
        </w:rPr>
        <w:t>In a semi-closed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production system, there is some control </w:t>
      </w:r>
      <w:r w:rsidRPr="00D403F5">
        <w:rPr>
          <w:color w:val="202020"/>
          <w:sz w:val="18"/>
          <w:szCs w:val="18"/>
          <w:shd w:val="clear" w:color="auto" w:fill="FFFFFF"/>
          <w:lang w:val="en-GB"/>
        </w:rPr>
        <w:t>over the</w:t>
      </w:r>
      <w:r w:rsidRPr="00D403F5">
        <w:rPr>
          <w:color w:val="202020"/>
          <w:sz w:val="18"/>
          <w:szCs w:val="18"/>
          <w:u w:color="202020"/>
          <w:shd w:val="clear" w:color="auto" w:fill="FFFFFF"/>
          <w:lang w:val="en-GB"/>
        </w:rPr>
        <w:t xml:space="preserve"> water entering and exiting the system</w:t>
      </w:r>
      <w:r w:rsidRPr="00D403F5">
        <w:rPr>
          <w:color w:val="202020"/>
          <w:sz w:val="18"/>
          <w:szCs w:val="18"/>
          <w:shd w:val="clear" w:color="auto" w:fill="FFFFFF"/>
          <w:lang w:val="en-GB"/>
        </w:rPr>
        <w:t xml:space="preserve"> </w:t>
      </w:r>
      <w:r w:rsidRPr="00D403F5">
        <w:rPr>
          <w:color w:val="202020"/>
          <w:sz w:val="18"/>
          <w:szCs w:val="18"/>
          <w:u w:color="202020"/>
          <w:shd w:val="clear" w:color="auto" w:fill="FFFFFF"/>
          <w:lang w:val="en-GB"/>
        </w:rPr>
        <w:t xml:space="preserve">and </w:t>
      </w:r>
      <w:r w:rsidRPr="00D403F5">
        <w:rPr>
          <w:color w:val="202020"/>
          <w:sz w:val="18"/>
          <w:szCs w:val="18"/>
          <w:shd w:val="clear" w:color="auto" w:fill="FFFFFF"/>
          <w:lang w:val="en-GB"/>
        </w:rPr>
        <w:t>the</w:t>
      </w:r>
      <w:r w:rsidRPr="00D403F5">
        <w:rPr>
          <w:color w:val="202020"/>
          <w:sz w:val="18"/>
          <w:szCs w:val="18"/>
          <w:u w:color="202020"/>
          <w:shd w:val="clear" w:color="auto" w:fill="FFFFFF"/>
          <w:lang w:val="en-GB"/>
        </w:rPr>
        <w:t xml:space="preserve"> environmental conditions. </w:t>
      </w:r>
      <w:r w:rsidRPr="00D403F5">
        <w:rPr>
          <w:i/>
          <w:color w:val="202020"/>
          <w:sz w:val="18"/>
          <w:szCs w:val="18"/>
          <w:u w:color="202020"/>
          <w:shd w:val="clear" w:color="auto" w:fill="FFFFFF"/>
          <w:lang w:val="en-GB"/>
        </w:rPr>
        <w:t>Aquatic animals</w:t>
      </w:r>
      <w:r w:rsidRPr="00D403F5">
        <w:rPr>
          <w:color w:val="202020"/>
          <w:sz w:val="18"/>
          <w:szCs w:val="18"/>
          <w:u w:color="202020"/>
          <w:shd w:val="clear" w:color="auto" w:fill="FFFFFF"/>
          <w:lang w:val="en-GB"/>
        </w:rPr>
        <w:t xml:space="preserve"> and </w:t>
      </w:r>
      <w:r w:rsidRPr="00D403F5">
        <w:rPr>
          <w:i/>
          <w:color w:val="202020"/>
          <w:sz w:val="18"/>
          <w:szCs w:val="18"/>
          <w:u w:color="202020"/>
          <w:shd w:val="clear" w:color="auto" w:fill="FFFFFF"/>
          <w:lang w:val="en-GB"/>
        </w:rPr>
        <w:t>vectors</w:t>
      </w:r>
      <w:r w:rsidRPr="00D403F5">
        <w:rPr>
          <w:color w:val="202020"/>
          <w:sz w:val="18"/>
          <w:szCs w:val="18"/>
          <w:u w:color="202020"/>
          <w:shd w:val="clear" w:color="auto" w:fill="FFFFFF"/>
          <w:lang w:val="en-GB"/>
        </w:rPr>
        <w:t xml:space="preserve"> may be prevented from entering and exiting the system; however, there is limited control to prevent </w:t>
      </w:r>
      <w:r w:rsidRPr="00D403F5">
        <w:rPr>
          <w:rFonts w:eastAsia="SimSun" w:hint="eastAsia"/>
          <w:color w:val="202020"/>
          <w:sz w:val="18"/>
          <w:szCs w:val="18"/>
          <w:u w:color="202020"/>
          <w:shd w:val="clear" w:color="auto" w:fill="FFFFFF"/>
          <w:lang w:val="en-GB" w:eastAsia="zh-CN"/>
        </w:rPr>
        <w:t xml:space="preserve">the </w:t>
      </w:r>
      <w:r w:rsidRPr="00D403F5">
        <w:rPr>
          <w:color w:val="202020"/>
          <w:sz w:val="18"/>
          <w:szCs w:val="18"/>
          <w:u w:color="202020"/>
          <w:shd w:val="clear" w:color="auto" w:fill="FFFFFF"/>
          <w:lang w:val="en-GB"/>
        </w:rPr>
        <w:t xml:space="preserve">entry or exit of </w:t>
      </w:r>
      <w:r w:rsidRPr="00D403F5">
        <w:rPr>
          <w:i/>
          <w:color w:val="202020"/>
          <w:sz w:val="18"/>
          <w:szCs w:val="18"/>
          <w:u w:color="202020"/>
          <w:shd w:val="clear" w:color="auto" w:fill="FFFFFF"/>
          <w:lang w:val="en-GB"/>
        </w:rPr>
        <w:t>pathogenic agents</w:t>
      </w:r>
      <w:r w:rsidRPr="00D403F5">
        <w:rPr>
          <w:color w:val="202020"/>
          <w:sz w:val="18"/>
          <w:szCs w:val="18"/>
          <w:u w:color="202020"/>
          <w:shd w:val="clear" w:color="auto" w:fill="FFFFFF"/>
          <w:lang w:val="en-GB"/>
        </w:rPr>
        <w:t>. Examples of semi-closed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production systems are ponds, raceways, enclosed floating pens, and flow</w:t>
      </w:r>
      <w:r w:rsidRPr="00D403F5">
        <w:rPr>
          <w:color w:val="202020"/>
          <w:sz w:val="18"/>
          <w:szCs w:val="18"/>
          <w:shd w:val="clear" w:color="auto" w:fill="FFFFFF"/>
          <w:lang w:val="en-GB"/>
        </w:rPr>
        <w:t>-</w:t>
      </w:r>
      <w:r w:rsidRPr="00D403F5">
        <w:rPr>
          <w:color w:val="202020"/>
          <w:sz w:val="18"/>
          <w:szCs w:val="18"/>
          <w:u w:color="202020"/>
          <w:shd w:val="clear" w:color="auto" w:fill="FFFFFF"/>
          <w:lang w:val="en-GB"/>
        </w:rPr>
        <w:t>through tanks.</w:t>
      </w:r>
      <w:r w:rsidRPr="00D403F5">
        <w:rPr>
          <w:sz w:val="18"/>
          <w:szCs w:val="18"/>
          <w:u w:color="202020"/>
          <w:shd w:val="clear" w:color="auto" w:fill="FFFFFF"/>
          <w:lang w:val="en-GB"/>
        </w:rPr>
        <w:t> </w:t>
      </w:r>
    </w:p>
    <w:p w14:paraId="6904EEA2" w14:textId="77777777" w:rsidR="007B3D5C" w:rsidRPr="00D403F5" w:rsidRDefault="007B3D5C" w:rsidP="00D403F5">
      <w:pPr>
        <w:pStyle w:val="Default"/>
        <w:jc w:val="both"/>
        <w:rPr>
          <w:color w:val="202020"/>
          <w:sz w:val="18"/>
          <w:szCs w:val="18"/>
          <w:u w:color="202020"/>
          <w:shd w:val="clear" w:color="auto" w:fill="FFFFFF"/>
          <w:lang w:val="en-GB"/>
        </w:rPr>
      </w:pPr>
      <w:r w:rsidRPr="00D403F5">
        <w:rPr>
          <w:color w:val="202020"/>
          <w:sz w:val="18"/>
          <w:szCs w:val="18"/>
          <w:u w:color="202020"/>
          <w:shd w:val="clear" w:color="auto" w:fill="FFFFFF"/>
          <w:lang w:val="en-GB"/>
        </w:rPr>
        <w:br w:type="page"/>
      </w:r>
    </w:p>
    <w:p w14:paraId="7D43A1C7" w14:textId="0E7B6327" w:rsidR="007B3D5C" w:rsidRPr="00D403F5" w:rsidRDefault="007B3D5C" w:rsidP="0026432A">
      <w:pPr>
        <w:pStyle w:val="2"/>
        <w:tabs>
          <w:tab w:val="clear" w:pos="360"/>
        </w:tabs>
        <w:spacing w:after="480"/>
        <w:ind w:left="0" w:firstLine="0"/>
        <w:jc w:val="right"/>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26A242D6" w14:textId="77777777" w:rsidR="007B3D5C" w:rsidRPr="00D403F5" w:rsidRDefault="007B3D5C" w:rsidP="0026432A">
      <w:pPr>
        <w:pStyle w:val="Default"/>
        <w:spacing w:after="240"/>
        <w:jc w:val="both"/>
        <w:rPr>
          <w:sz w:val="18"/>
          <w:szCs w:val="18"/>
          <w:u w:val="single"/>
          <w:shd w:val="clear" w:color="auto" w:fill="FFFFFF"/>
          <w:lang w:val="en-GB"/>
        </w:rPr>
      </w:pPr>
      <w:r w:rsidRPr="00D403F5">
        <w:rPr>
          <w:color w:val="202020"/>
          <w:sz w:val="18"/>
          <w:szCs w:val="18"/>
          <w:u w:val="single"/>
          <w:shd w:val="clear" w:color="auto" w:fill="FFFFFF"/>
          <w:lang w:val="en-GB"/>
        </w:rPr>
        <w:t>Closed</w:t>
      </w:r>
      <w:r w:rsidRPr="00D403F5">
        <w:rPr>
          <w:sz w:val="18"/>
          <w:szCs w:val="18"/>
          <w:u w:val="single"/>
          <w:shd w:val="clear" w:color="auto" w:fill="FFFFFF"/>
          <w:lang w:val="en-GB"/>
        </w:rPr>
        <w:t> </w:t>
      </w:r>
    </w:p>
    <w:p w14:paraId="39EAC2AA" w14:textId="77777777" w:rsidR="007B3D5C" w:rsidRPr="00D403F5" w:rsidRDefault="007B3D5C" w:rsidP="0026432A">
      <w:pPr>
        <w:pStyle w:val="Default"/>
        <w:spacing w:after="240"/>
        <w:jc w:val="both"/>
        <w:rPr>
          <w:color w:val="202020"/>
          <w:sz w:val="18"/>
          <w:szCs w:val="18"/>
          <w:u w:color="202020"/>
          <w:shd w:val="clear" w:color="auto" w:fill="FFFFFF"/>
          <w:lang w:val="en-GB"/>
        </w:rPr>
      </w:pPr>
      <w:r w:rsidRPr="00D403F5">
        <w:rPr>
          <w:color w:val="202020"/>
          <w:sz w:val="18"/>
          <w:szCs w:val="18"/>
          <w:u w:color="202020"/>
          <w:shd w:val="clear" w:color="auto" w:fill="FFFFFF"/>
          <w:lang w:val="en-GB"/>
        </w:rPr>
        <w:t>In a 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production system, the control of water entering and exiting the system can exclude </w:t>
      </w:r>
      <w:r w:rsidRPr="00D403F5">
        <w:rPr>
          <w:i/>
          <w:color w:val="202020"/>
          <w:sz w:val="18"/>
          <w:szCs w:val="18"/>
          <w:u w:color="202020"/>
          <w:shd w:val="clear" w:color="auto" w:fill="FFFFFF"/>
          <w:lang w:val="en-GB"/>
        </w:rPr>
        <w:t>aquatic animals</w:t>
      </w:r>
      <w:r w:rsidRPr="00D403F5">
        <w:rPr>
          <w:color w:val="202020"/>
          <w:sz w:val="18"/>
          <w:szCs w:val="18"/>
          <w:u w:color="202020"/>
          <w:shd w:val="clear" w:color="auto" w:fill="FFFFFF"/>
          <w:lang w:val="en-GB"/>
        </w:rPr>
        <w:t xml:space="preserve">, </w:t>
      </w:r>
      <w:r w:rsidRPr="00D403F5">
        <w:rPr>
          <w:i/>
          <w:color w:val="202020"/>
          <w:sz w:val="18"/>
          <w:szCs w:val="18"/>
          <w:u w:color="202020"/>
          <w:shd w:val="clear" w:color="auto" w:fill="FFFFFF"/>
          <w:lang w:val="en-GB"/>
        </w:rPr>
        <w:t>vectors</w:t>
      </w:r>
      <w:r w:rsidRPr="00D403F5">
        <w:rPr>
          <w:color w:val="202020"/>
          <w:sz w:val="18"/>
          <w:szCs w:val="18"/>
          <w:u w:color="202020"/>
          <w:shd w:val="clear" w:color="auto" w:fill="FFFFFF"/>
          <w:lang w:val="en-GB"/>
        </w:rPr>
        <w:t xml:space="preserve"> and </w:t>
      </w:r>
      <w:r w:rsidRPr="00D403F5">
        <w:rPr>
          <w:i/>
          <w:color w:val="202020"/>
          <w:sz w:val="18"/>
          <w:szCs w:val="18"/>
          <w:u w:color="202020"/>
          <w:shd w:val="clear" w:color="auto" w:fill="FFFFFF"/>
          <w:lang w:val="en-GB"/>
        </w:rPr>
        <w:t>pathogenic agents</w:t>
      </w:r>
      <w:r w:rsidRPr="00D403F5">
        <w:rPr>
          <w:color w:val="202020"/>
          <w:sz w:val="18"/>
          <w:szCs w:val="18"/>
          <w:u w:color="202020"/>
          <w:shd w:val="clear" w:color="auto" w:fill="FFFFFF"/>
          <w:lang w:val="en-GB"/>
        </w:rPr>
        <w:t>. Examples of 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systems include recirculating </w:t>
      </w:r>
      <w:r w:rsidRPr="00D403F5">
        <w:rPr>
          <w:i/>
          <w:iCs/>
          <w:color w:val="202020"/>
          <w:sz w:val="18"/>
          <w:szCs w:val="18"/>
          <w:u w:color="202020"/>
          <w:shd w:val="clear" w:color="auto" w:fill="FFFFFF"/>
          <w:lang w:val="en-GB"/>
        </w:rPr>
        <w:t>aquaculture</w:t>
      </w:r>
      <w:r w:rsidRPr="00D403F5">
        <w:rPr>
          <w:rFonts w:eastAsia="SimSun" w:hint="eastAsia"/>
          <w:i/>
          <w:iCs/>
          <w:color w:val="202020"/>
          <w:sz w:val="18"/>
          <w:szCs w:val="18"/>
          <w:u w:color="202020"/>
          <w:shd w:val="clear" w:color="auto" w:fill="FFFFFF"/>
          <w:lang w:val="en-GB" w:eastAsia="zh-CN"/>
        </w:rPr>
        <w:t xml:space="preserve"> </w:t>
      </w:r>
      <w:r w:rsidRPr="00D403F5">
        <w:rPr>
          <w:color w:val="202020"/>
          <w:sz w:val="18"/>
          <w:szCs w:val="18"/>
          <w:u w:color="202020"/>
          <w:shd w:val="clear" w:color="auto" w:fill="FFFFFF"/>
          <w:lang w:val="en-GB"/>
        </w:rPr>
        <w:t xml:space="preserve">production systems, production systems with </w:t>
      </w:r>
      <w:r w:rsidRPr="00D403F5">
        <w:rPr>
          <w:color w:val="202020"/>
          <w:sz w:val="18"/>
          <w:szCs w:val="18"/>
          <w:shd w:val="clear" w:color="auto" w:fill="FFFFFF"/>
          <w:lang w:val="en-GB"/>
        </w:rPr>
        <w:t>a</w:t>
      </w:r>
      <w:r w:rsidRPr="00D403F5">
        <w:rPr>
          <w:color w:val="202020"/>
          <w:sz w:val="18"/>
          <w:szCs w:val="18"/>
          <w:u w:color="202020"/>
          <w:shd w:val="clear" w:color="auto" w:fill="FFFFFF"/>
          <w:lang w:val="en-GB"/>
        </w:rPr>
        <w:t xml:space="preserve"> safe water supply free from </w:t>
      </w:r>
      <w:r w:rsidRPr="00D403F5">
        <w:rPr>
          <w:i/>
          <w:color w:val="202020"/>
          <w:sz w:val="18"/>
          <w:szCs w:val="18"/>
          <w:u w:color="202020"/>
          <w:shd w:val="clear" w:color="auto" w:fill="FFFFFF"/>
          <w:lang w:val="en-GB"/>
        </w:rPr>
        <w:t>pathogenic agents</w:t>
      </w:r>
      <w:r w:rsidRPr="00D403F5">
        <w:rPr>
          <w:color w:val="202020"/>
          <w:sz w:val="18"/>
          <w:szCs w:val="18"/>
          <w:u w:color="202020"/>
          <w:shd w:val="clear" w:color="auto" w:fill="FFFFFF"/>
          <w:lang w:val="en-GB"/>
        </w:rPr>
        <w:t xml:space="preserve"> or </w:t>
      </w:r>
      <w:r w:rsidRPr="00D403F5">
        <w:rPr>
          <w:i/>
          <w:color w:val="202020"/>
          <w:sz w:val="18"/>
          <w:szCs w:val="18"/>
          <w:u w:color="202020"/>
          <w:shd w:val="clear" w:color="auto" w:fill="FFFFFF"/>
          <w:lang w:val="en-GB"/>
        </w:rPr>
        <w:t>aquatic animals</w:t>
      </w:r>
      <w:r w:rsidRPr="00D403F5">
        <w:rPr>
          <w:color w:val="202020"/>
          <w:sz w:val="18"/>
          <w:szCs w:val="18"/>
          <w:u w:color="202020"/>
          <w:shd w:val="clear" w:color="auto" w:fill="FFFFFF"/>
          <w:lang w:val="en-GB"/>
        </w:rPr>
        <w:t xml:space="preserve"> (e.g. ground water), or </w:t>
      </w:r>
      <w:r w:rsidRPr="00D403F5">
        <w:rPr>
          <w:color w:val="202020"/>
          <w:sz w:val="18"/>
          <w:szCs w:val="18"/>
          <w:shd w:val="clear" w:color="auto" w:fill="FFFFFF"/>
          <w:lang w:val="en-GB"/>
        </w:rPr>
        <w:t>those</w:t>
      </w:r>
      <w:r w:rsidRPr="00D403F5">
        <w:rPr>
          <w:color w:val="202020"/>
          <w:sz w:val="18"/>
          <w:szCs w:val="18"/>
          <w:u w:color="202020"/>
          <w:shd w:val="clear" w:color="auto" w:fill="FFFFFF"/>
          <w:lang w:val="en-GB"/>
        </w:rPr>
        <w:t xml:space="preserve"> with high levels of treatment (and redundancy) of water entering or exiting the system. Environmental conditions can also be controlled. </w:t>
      </w:r>
    </w:p>
    <w:p w14:paraId="7E3AD310" w14:textId="77777777" w:rsidR="007B3D5C" w:rsidRPr="00D403F5" w:rsidRDefault="007B3D5C" w:rsidP="0026432A">
      <w:pPr>
        <w:pStyle w:val="Default"/>
        <w:spacing w:after="240"/>
        <w:jc w:val="center"/>
        <w:rPr>
          <w:rFonts w:ascii="Ottawa" w:eastAsia="Times New Roman" w:hAnsi="Ottawa"/>
          <w:bCs/>
          <w:color w:val="auto"/>
          <w:sz w:val="18"/>
          <w:szCs w:val="18"/>
          <w:lang w:val="en-GB"/>
        </w:rPr>
      </w:pPr>
      <w:r w:rsidRPr="00D403F5">
        <w:rPr>
          <w:rFonts w:ascii="Ottawa" w:eastAsia="Times New Roman" w:hAnsi="Ottawa"/>
          <w:bCs/>
          <w:color w:val="auto"/>
          <w:sz w:val="18"/>
          <w:szCs w:val="18"/>
          <w:lang w:val="en-GB"/>
        </w:rPr>
        <w:t xml:space="preserve">Article 4.X.5. bis </w:t>
      </w:r>
    </w:p>
    <w:p w14:paraId="31C00ED0" w14:textId="77777777" w:rsidR="007B3D5C" w:rsidRPr="00D403F5" w:rsidRDefault="007B3D5C" w:rsidP="0026432A">
      <w:pPr>
        <w:pStyle w:val="Default"/>
        <w:spacing w:after="240"/>
        <w:rPr>
          <w:rFonts w:ascii="Ottawa" w:eastAsia="Times New Roman" w:hAnsi="Ottawa"/>
          <w:b/>
          <w:bCs/>
          <w:color w:val="auto"/>
          <w:sz w:val="18"/>
          <w:szCs w:val="18"/>
          <w:lang w:val="en-GB"/>
        </w:rPr>
      </w:pPr>
      <w:r w:rsidRPr="00D403F5">
        <w:rPr>
          <w:rFonts w:ascii="Ottawa" w:eastAsia="Times New Roman" w:hAnsi="Ottawa"/>
          <w:b/>
          <w:bCs/>
          <w:color w:val="auto"/>
          <w:sz w:val="18"/>
          <w:szCs w:val="18"/>
          <w:lang w:val="en-GB"/>
        </w:rPr>
        <w:t>Area Management</w:t>
      </w:r>
    </w:p>
    <w:p w14:paraId="30052119" w14:textId="77777777" w:rsidR="007B3D5C" w:rsidRPr="00D403F5" w:rsidRDefault="007B3D5C" w:rsidP="0026432A">
      <w:pPr>
        <w:pStyle w:val="Default"/>
        <w:spacing w:after="240"/>
        <w:jc w:val="both"/>
        <w:rPr>
          <w:color w:val="auto"/>
          <w:sz w:val="18"/>
          <w:szCs w:val="18"/>
          <w:u w:color="202020"/>
          <w:shd w:val="clear" w:color="auto" w:fill="FFFFFF"/>
          <w:lang w:val="en-GB"/>
        </w:rPr>
      </w:pPr>
      <w:r w:rsidRPr="00D403F5">
        <w:rPr>
          <w:color w:val="auto"/>
          <w:sz w:val="18"/>
          <w:szCs w:val="18"/>
          <w:u w:color="202020"/>
          <w:shd w:val="clear" w:color="auto" w:fill="FFFFFF"/>
          <w:lang w:val="en-GB"/>
        </w:rPr>
        <w:t xml:space="preserve">It may not be possible to control the transmission of </w:t>
      </w:r>
      <w:r w:rsidRPr="00D403F5">
        <w:rPr>
          <w:i/>
          <w:color w:val="auto"/>
          <w:sz w:val="18"/>
          <w:szCs w:val="18"/>
          <w:u w:color="202020"/>
          <w:shd w:val="clear" w:color="auto" w:fill="FFFFFF"/>
          <w:lang w:val="en-GB"/>
        </w:rPr>
        <w:t>pathogenic agents</w:t>
      </w:r>
      <w:r w:rsidRPr="00D403F5">
        <w:rPr>
          <w:color w:val="auto"/>
          <w:sz w:val="18"/>
          <w:szCs w:val="18"/>
          <w:u w:color="202020"/>
          <w:shd w:val="clear" w:color="auto" w:fill="FFFFFF"/>
          <w:lang w:val="en-GB"/>
        </w:rPr>
        <w:t xml:space="preserve"> among semi-open or semi-closed </w:t>
      </w:r>
      <w:r w:rsidRPr="00D403F5">
        <w:rPr>
          <w:i/>
          <w:iCs/>
          <w:color w:val="auto"/>
          <w:sz w:val="18"/>
          <w:szCs w:val="18"/>
          <w:u w:color="202020"/>
          <w:shd w:val="clear" w:color="auto" w:fill="FFFFFF"/>
          <w:lang w:val="en-GB"/>
        </w:rPr>
        <w:t>aquaculture establishments</w:t>
      </w:r>
      <w:r w:rsidRPr="00D403F5">
        <w:rPr>
          <w:color w:val="auto"/>
          <w:sz w:val="18"/>
          <w:szCs w:val="18"/>
          <w:u w:color="202020"/>
          <w:shd w:val="clear" w:color="auto" w:fill="FFFFFF"/>
          <w:lang w:val="en-GB"/>
        </w:rPr>
        <w:t xml:space="preserve"> that are in close proximity within shared water bodies. In these circumstances, a consistent set of </w:t>
      </w:r>
      <w:r w:rsidRPr="00D403F5">
        <w:rPr>
          <w:i/>
          <w:iCs/>
          <w:color w:val="auto"/>
          <w:sz w:val="18"/>
          <w:szCs w:val="18"/>
          <w:u w:color="202020"/>
          <w:shd w:val="clear" w:color="auto" w:fill="FFFFFF"/>
          <w:lang w:val="en-GB"/>
        </w:rPr>
        <w:t>biosecurity</w:t>
      </w:r>
      <w:r w:rsidRPr="00D403F5">
        <w:rPr>
          <w:color w:val="auto"/>
          <w:sz w:val="18"/>
          <w:szCs w:val="18"/>
          <w:u w:color="202020"/>
          <w:shd w:val="clear" w:color="auto" w:fill="FFFFFF"/>
          <w:lang w:val="en-GB"/>
        </w:rPr>
        <w:t xml:space="preserve"> measures should be applied by all of the </w:t>
      </w:r>
      <w:r w:rsidRPr="00D403F5">
        <w:rPr>
          <w:i/>
          <w:color w:val="auto"/>
          <w:sz w:val="18"/>
          <w:szCs w:val="18"/>
          <w:u w:color="202020"/>
          <w:shd w:val="clear" w:color="auto" w:fill="FFFFFF"/>
          <w:lang w:val="en-GB"/>
        </w:rPr>
        <w:t>aquaculture establishments</w:t>
      </w:r>
      <w:r w:rsidRPr="00D403F5">
        <w:rPr>
          <w:color w:val="auto"/>
          <w:sz w:val="18"/>
          <w:szCs w:val="18"/>
          <w:u w:color="202020"/>
          <w:shd w:val="clear" w:color="auto" w:fill="FFFFFF"/>
          <w:lang w:val="en-GB"/>
        </w:rPr>
        <w:t xml:space="preserve"> considered to be epidemiologically linked. Area management agreements can formalise the common </w:t>
      </w:r>
      <w:r w:rsidRPr="00D403F5">
        <w:rPr>
          <w:i/>
          <w:iCs/>
          <w:color w:val="auto"/>
          <w:sz w:val="18"/>
          <w:szCs w:val="18"/>
          <w:u w:color="202020"/>
          <w:shd w:val="clear" w:color="auto" w:fill="FFFFFF"/>
          <w:lang w:val="en-GB"/>
        </w:rPr>
        <w:t>biosecurity</w:t>
      </w:r>
      <w:r w:rsidRPr="00D403F5">
        <w:rPr>
          <w:color w:val="auto"/>
          <w:sz w:val="18"/>
          <w:szCs w:val="18"/>
          <w:u w:color="202020"/>
          <w:shd w:val="clear" w:color="auto" w:fill="FFFFFF"/>
          <w:lang w:val="en-GB"/>
        </w:rPr>
        <w:t xml:space="preserve"> measures among all of the epidemiologically linked</w:t>
      </w:r>
      <w:r w:rsidRPr="00D403F5">
        <w:rPr>
          <w:i/>
          <w:color w:val="auto"/>
          <w:sz w:val="18"/>
          <w:szCs w:val="18"/>
          <w:u w:color="202020"/>
          <w:shd w:val="clear" w:color="auto" w:fill="FFFFFF"/>
          <w:lang w:val="en-GB"/>
        </w:rPr>
        <w:t xml:space="preserve"> aquaculture establishments</w:t>
      </w:r>
      <w:r w:rsidRPr="00D403F5">
        <w:rPr>
          <w:color w:val="auto"/>
          <w:sz w:val="18"/>
          <w:szCs w:val="18"/>
          <w:u w:color="202020"/>
          <w:shd w:val="clear" w:color="auto" w:fill="FFFFFF"/>
          <w:lang w:val="en-GB"/>
        </w:rPr>
        <w:t>.</w:t>
      </w:r>
    </w:p>
    <w:p w14:paraId="4FD38643" w14:textId="77777777" w:rsidR="007B3D5C" w:rsidRPr="00D403F5" w:rsidRDefault="007B3D5C" w:rsidP="0026432A">
      <w:pPr>
        <w:spacing w:after="240" w:line="240" w:lineRule="auto"/>
        <w:jc w:val="center"/>
        <w:rPr>
          <w:rFonts w:ascii="Ottawa" w:hAnsi="Ottawa" w:cs="Arial"/>
          <w:sz w:val="18"/>
          <w:szCs w:val="18"/>
        </w:rPr>
      </w:pPr>
      <w:bookmarkStart w:id="32" w:name="_Hlk791469"/>
      <w:bookmarkEnd w:id="31"/>
      <w:r w:rsidRPr="00D403F5">
        <w:rPr>
          <w:rFonts w:ascii="Ottawa" w:hAnsi="Ottawa" w:cs="Arial"/>
          <w:sz w:val="18"/>
          <w:szCs w:val="18"/>
        </w:rPr>
        <w:t>Article 4.X.6.</w:t>
      </w:r>
    </w:p>
    <w:p w14:paraId="00D28B71" w14:textId="77777777" w:rsidR="007B3D5C" w:rsidRPr="00D403F5" w:rsidRDefault="007B3D5C" w:rsidP="0026432A">
      <w:pPr>
        <w:spacing w:after="240" w:line="240" w:lineRule="auto"/>
        <w:jc w:val="both"/>
        <w:rPr>
          <w:rFonts w:ascii="Ottawa" w:hAnsi="Ottawa" w:cs="Arial"/>
          <w:b/>
          <w:sz w:val="18"/>
          <w:szCs w:val="18"/>
        </w:rPr>
      </w:pPr>
      <w:r w:rsidRPr="00D403F5">
        <w:rPr>
          <w:rFonts w:ascii="Ottawa" w:hAnsi="Ottawa" w:cs="Arial"/>
          <w:b/>
          <w:sz w:val="18"/>
          <w:szCs w:val="18"/>
        </w:rPr>
        <w:t>Transmission pathways and mitigation measures</w:t>
      </w:r>
    </w:p>
    <w:p w14:paraId="283C0C06" w14:textId="77777777" w:rsidR="007B3D5C" w:rsidRPr="00D403F5" w:rsidRDefault="007B3D5C" w:rsidP="0026432A">
      <w:pPr>
        <w:spacing w:after="240" w:line="240" w:lineRule="auto"/>
        <w:jc w:val="both"/>
        <w:rPr>
          <w:rFonts w:ascii="Arial" w:hAnsi="Arial" w:cs="Arial"/>
          <w:color w:val="000000"/>
          <w:sz w:val="18"/>
          <w:szCs w:val="18"/>
        </w:rPr>
      </w:pPr>
      <w:bookmarkStart w:id="33" w:name="_Hlk528242877"/>
      <w:r w:rsidRPr="00D403F5">
        <w:rPr>
          <w:rFonts w:ascii="Arial" w:hAnsi="Arial" w:cs="Arial"/>
          <w:i/>
          <w:color w:val="000000"/>
          <w:sz w:val="18"/>
          <w:szCs w:val="18"/>
        </w:rPr>
        <w:t>Pathogenic agents</w:t>
      </w:r>
      <w:r w:rsidRPr="00D403F5">
        <w:rPr>
          <w:rFonts w:ascii="Arial" w:hAnsi="Arial" w:cs="Arial"/>
          <w:color w:val="000000"/>
          <w:sz w:val="18"/>
          <w:szCs w:val="18"/>
        </w:rPr>
        <w:t xml:space="preserve"> can move into, </w:t>
      </w:r>
      <w:r w:rsidRPr="00D403F5">
        <w:rPr>
          <w:rFonts w:ascii="Arial" w:eastAsia="SimSun" w:hAnsi="Arial" w:cs="Arial" w:hint="eastAsia"/>
          <w:color w:val="000000"/>
          <w:sz w:val="18"/>
          <w:szCs w:val="18"/>
          <w:lang w:eastAsia="zh-CN"/>
        </w:rPr>
        <w:t xml:space="preserve">spread </w:t>
      </w:r>
      <w:r w:rsidRPr="00D403F5">
        <w:rPr>
          <w:rFonts w:ascii="Arial" w:hAnsi="Arial" w:cs="Arial"/>
          <w:color w:val="000000"/>
          <w:sz w:val="18"/>
          <w:szCs w:val="18"/>
        </w:rPr>
        <w:t xml:space="preserve">within, and be released from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via various transmission pathways. The identification of all potential transmission pathways is essential for the development of an effective </w:t>
      </w:r>
      <w:r w:rsidRPr="00D403F5">
        <w:rPr>
          <w:rFonts w:ascii="Arial" w:hAnsi="Arial" w:cs="Arial"/>
          <w:i/>
          <w:color w:val="000000"/>
          <w:sz w:val="18"/>
          <w:szCs w:val="18"/>
        </w:rPr>
        <w:t>biosecurity</w:t>
      </w:r>
      <w:r w:rsidRPr="00D403F5">
        <w:rPr>
          <w:rFonts w:ascii="Arial" w:eastAsia="SimSun" w:hAnsi="Arial" w:cs="Arial" w:hint="eastAsia"/>
          <w:i/>
          <w:color w:val="000000"/>
          <w:sz w:val="18"/>
          <w:szCs w:val="18"/>
          <w:lang w:eastAsia="zh-CN"/>
        </w:rPr>
        <w:t xml:space="preserve"> </w:t>
      </w:r>
      <w:r w:rsidRPr="00D403F5">
        <w:rPr>
          <w:rFonts w:ascii="Arial" w:hAnsi="Arial" w:cs="Arial"/>
          <w:i/>
          <w:color w:val="000000"/>
          <w:sz w:val="18"/>
          <w:szCs w:val="18"/>
        </w:rPr>
        <w:t>plan</w:t>
      </w:r>
      <w:r w:rsidRPr="00D403F5">
        <w:rPr>
          <w:rFonts w:ascii="Arial" w:hAnsi="Arial" w:cs="Arial"/>
          <w:color w:val="000000"/>
          <w:sz w:val="18"/>
          <w:szCs w:val="18"/>
        </w:rPr>
        <w:t xml:space="preserve">. Mitigation of pathways that are likely to result in transmission of specific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should be prioritised.</w:t>
      </w:r>
    </w:p>
    <w:p w14:paraId="22A60ED6" w14:textId="77777777" w:rsidR="007B3D5C" w:rsidRPr="00D403F5" w:rsidRDefault="007B3D5C" w:rsidP="0026432A">
      <w:pPr>
        <w:spacing w:after="240" w:line="240" w:lineRule="auto"/>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risks</w:t>
      </w:r>
      <w:r w:rsidRPr="00D403F5">
        <w:rPr>
          <w:rFonts w:ascii="Arial" w:hAnsi="Arial" w:cs="Arial"/>
          <w:color w:val="000000"/>
          <w:sz w:val="18"/>
          <w:szCs w:val="18"/>
        </w:rPr>
        <w:t xml:space="preserve"> associated with introduction, spread, and release </w:t>
      </w:r>
      <w:r w:rsidRPr="00D403F5">
        <w:rPr>
          <w:rStyle w:val="normaltextrun"/>
          <w:rFonts w:ascii="Arial" w:eastAsia="Arial" w:hAnsi="Arial" w:cs="Arial"/>
          <w:color w:val="000000"/>
          <w:sz w:val="18"/>
          <w:szCs w:val="18"/>
        </w:rPr>
        <w:t>of pathogenic agents </w:t>
      </w:r>
      <w:r w:rsidRPr="00D403F5">
        <w:rPr>
          <w:rFonts w:ascii="Arial" w:hAnsi="Arial" w:cs="Arial"/>
          <w:color w:val="000000"/>
          <w:sz w:val="18"/>
          <w:szCs w:val="18"/>
        </w:rPr>
        <w:t xml:space="preserve">from the </w:t>
      </w:r>
      <w:r w:rsidRPr="00D403F5">
        <w:rPr>
          <w:rFonts w:ascii="Arial" w:hAnsi="Arial" w:cs="Arial"/>
          <w:i/>
          <w:color w:val="000000"/>
          <w:sz w:val="18"/>
          <w:szCs w:val="18"/>
        </w:rPr>
        <w:t>aquaculture establishment</w:t>
      </w:r>
      <w:r w:rsidRPr="00D403F5">
        <w:rPr>
          <w:rFonts w:ascii="Arial" w:hAnsi="Arial" w:cs="Arial"/>
          <w:color w:val="000000"/>
          <w:sz w:val="18"/>
          <w:szCs w:val="18"/>
        </w:rPr>
        <w:t xml:space="preserve"> need to be considered for each of the following transmission pathways. </w:t>
      </w:r>
    </w:p>
    <w:p w14:paraId="5793DFC0" w14:textId="77777777" w:rsidR="007B3D5C" w:rsidRPr="00D403F5" w:rsidRDefault="007B3D5C" w:rsidP="0026432A">
      <w:pPr>
        <w:spacing w:after="240" w:line="240" w:lineRule="auto"/>
        <w:ind w:left="426" w:hanging="426"/>
        <w:jc w:val="both"/>
        <w:rPr>
          <w:rFonts w:ascii="Arial" w:hAnsi="Arial" w:cs="Arial"/>
          <w:color w:val="000000"/>
          <w:sz w:val="18"/>
          <w:szCs w:val="18"/>
          <w:u w:val="single"/>
        </w:rPr>
      </w:pPr>
      <w:r w:rsidRPr="00D403F5">
        <w:rPr>
          <w:rFonts w:ascii="Arial" w:hAnsi="Arial" w:cs="Arial"/>
          <w:color w:val="000000"/>
          <w:sz w:val="18"/>
          <w:szCs w:val="18"/>
        </w:rPr>
        <w:t>1.</w:t>
      </w:r>
      <w:r w:rsidRPr="00D403F5">
        <w:rPr>
          <w:rFonts w:ascii="Arial" w:hAnsi="Arial" w:cs="Arial"/>
          <w:i/>
          <w:color w:val="000000"/>
          <w:sz w:val="18"/>
          <w:szCs w:val="18"/>
        </w:rPr>
        <w:t>      </w:t>
      </w:r>
      <w:r w:rsidRPr="00D403F5">
        <w:rPr>
          <w:rFonts w:ascii="Arial" w:hAnsi="Arial" w:cs="Arial"/>
          <w:color w:val="000000"/>
          <w:sz w:val="18"/>
          <w:szCs w:val="18"/>
          <w:u w:val="single"/>
        </w:rPr>
        <w:t>Aquatic animals</w:t>
      </w:r>
    </w:p>
    <w:p w14:paraId="5EFBAD31" w14:textId="77777777" w:rsidR="007B3D5C" w:rsidRPr="00D403F5" w:rsidRDefault="007B3D5C" w:rsidP="0026432A">
      <w:pPr>
        <w:spacing w:after="240" w:line="240" w:lineRule="auto"/>
        <w:ind w:left="426"/>
        <w:jc w:val="both"/>
        <w:rPr>
          <w:rFonts w:ascii="Arial" w:hAnsi="Arial" w:cs="Arial"/>
          <w:color w:val="000000"/>
          <w:sz w:val="18"/>
          <w:szCs w:val="18"/>
        </w:rPr>
      </w:pPr>
      <w:r w:rsidRPr="00D403F5">
        <w:rPr>
          <w:rFonts w:ascii="Arial" w:hAnsi="Arial" w:cs="Arial"/>
          <w:color w:val="000000"/>
          <w:sz w:val="18"/>
          <w:szCs w:val="18"/>
        </w:rPr>
        <w:t xml:space="preserve">Movement of </w:t>
      </w:r>
      <w:r w:rsidRPr="00D403F5">
        <w:rPr>
          <w:rFonts w:ascii="Arial" w:hAnsi="Arial" w:cs="Arial"/>
          <w:i/>
          <w:color w:val="000000"/>
          <w:sz w:val="18"/>
          <w:szCs w:val="18"/>
        </w:rPr>
        <w:t>aquatic animals</w:t>
      </w:r>
      <w:r w:rsidRPr="00D403F5">
        <w:rPr>
          <w:rFonts w:ascii="Arial" w:hAnsi="Arial" w:cs="Arial"/>
          <w:color w:val="000000"/>
          <w:sz w:val="18"/>
          <w:szCs w:val="18"/>
        </w:rPr>
        <w:t xml:space="preserve"> into, within and from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either intentionally or unintentionally, may pose a high likelihood of </w:t>
      </w:r>
      <w:r w:rsidRPr="00D403F5">
        <w:rPr>
          <w:rFonts w:ascii="Arial" w:hAnsi="Arial" w:cs="Arial"/>
          <w:i/>
          <w:color w:val="000000"/>
          <w:sz w:val="18"/>
          <w:szCs w:val="18"/>
        </w:rPr>
        <w:t>pathogenic agent</w:t>
      </w:r>
      <w:r w:rsidRPr="00D403F5">
        <w:rPr>
          <w:rFonts w:ascii="Arial" w:hAnsi="Arial" w:cs="Arial"/>
          <w:color w:val="000000"/>
          <w:sz w:val="18"/>
          <w:szCs w:val="18"/>
        </w:rPr>
        <w:t xml:space="preserve"> transmission. This is particularly the case when clinically and sub-clinically infected </w:t>
      </w:r>
      <w:r w:rsidRPr="00D403F5">
        <w:rPr>
          <w:rFonts w:ascii="Arial" w:hAnsi="Arial" w:cs="Arial"/>
          <w:i/>
          <w:color w:val="000000"/>
          <w:sz w:val="18"/>
          <w:szCs w:val="18"/>
        </w:rPr>
        <w:t>aquatic animals</w:t>
      </w:r>
      <w:r w:rsidRPr="00D403F5">
        <w:rPr>
          <w:rFonts w:ascii="Arial" w:hAnsi="Arial" w:cs="Arial"/>
          <w:color w:val="000000"/>
          <w:sz w:val="18"/>
          <w:szCs w:val="18"/>
        </w:rPr>
        <w:t xml:space="preserve">, or </w:t>
      </w:r>
      <w:r w:rsidRPr="00D403F5">
        <w:rPr>
          <w:rFonts w:ascii="Arial" w:hAnsi="Arial" w:cs="Arial"/>
          <w:i/>
          <w:color w:val="000000"/>
          <w:sz w:val="18"/>
          <w:szCs w:val="18"/>
        </w:rPr>
        <w:t>aquatic animals</w:t>
      </w:r>
      <w:r w:rsidRPr="00D403F5">
        <w:rPr>
          <w:rFonts w:ascii="Arial" w:hAnsi="Arial" w:cs="Arial"/>
          <w:color w:val="000000"/>
          <w:sz w:val="18"/>
          <w:szCs w:val="18"/>
        </w:rPr>
        <w:t xml:space="preserve"> with unknown health status are moved into a susceptible population. </w:t>
      </w:r>
    </w:p>
    <w:p w14:paraId="78300A43" w14:textId="77777777" w:rsidR="007B3D5C" w:rsidRDefault="007B3D5C" w:rsidP="0026432A">
      <w:pPr>
        <w:spacing w:after="240" w:line="240" w:lineRule="auto"/>
        <w:ind w:left="426"/>
        <w:jc w:val="both"/>
        <w:rPr>
          <w:rFonts w:ascii="Arial" w:hAnsi="Arial" w:cs="Arial"/>
          <w:color w:val="000000"/>
          <w:sz w:val="18"/>
          <w:szCs w:val="18"/>
        </w:rPr>
      </w:pPr>
      <w:r w:rsidRPr="00D403F5">
        <w:rPr>
          <w:rFonts w:ascii="Arial" w:hAnsi="Arial" w:cs="Arial"/>
          <w:i/>
          <w:sz w:val="18"/>
          <w:szCs w:val="18"/>
          <w:lang w:val="en-AU"/>
        </w:rPr>
        <w:t>Aquatic animal</w:t>
      </w:r>
      <w:r w:rsidRPr="00D403F5">
        <w:rPr>
          <w:rFonts w:ascii="Arial" w:hAnsi="Arial" w:cs="Arial"/>
          <w:sz w:val="18"/>
          <w:szCs w:val="18"/>
          <w:lang w:val="en-AU"/>
        </w:rPr>
        <w:t xml:space="preserve">s intentionally introduced </w:t>
      </w:r>
      <w:r w:rsidRPr="00D403F5">
        <w:rPr>
          <w:rFonts w:ascii="Arial" w:eastAsia="SimSun" w:hAnsi="Arial" w:cs="Arial" w:hint="eastAsia"/>
          <w:sz w:val="18"/>
          <w:szCs w:val="18"/>
          <w:lang w:val="en-AU" w:eastAsia="zh-CN"/>
        </w:rPr>
        <w:t>i</w:t>
      </w:r>
      <w:r w:rsidRPr="00D403F5">
        <w:rPr>
          <w:rFonts w:ascii="Arial" w:hAnsi="Arial" w:cs="Arial"/>
          <w:sz w:val="18"/>
          <w:szCs w:val="18"/>
          <w:lang w:val="en-AU"/>
        </w:rPr>
        <w:t xml:space="preserve">nto, or moved within, an </w:t>
      </w:r>
      <w:r w:rsidRPr="00D403F5">
        <w:rPr>
          <w:rFonts w:ascii="Arial" w:hAnsi="Arial" w:cs="Arial"/>
          <w:i/>
          <w:sz w:val="18"/>
          <w:szCs w:val="18"/>
          <w:lang w:val="en-AU"/>
        </w:rPr>
        <w:t>aquaculture establishment</w:t>
      </w:r>
      <w:r w:rsidRPr="00D403F5">
        <w:rPr>
          <w:rFonts w:ascii="Arial" w:hAnsi="Arial" w:cs="Arial"/>
          <w:sz w:val="18"/>
          <w:szCs w:val="18"/>
          <w:lang w:val="en-AU"/>
        </w:rPr>
        <w:t xml:space="preserve"> may include broodstock, juvenile stock for on-growing, and genetic material such as eggs. </w:t>
      </w:r>
      <w:r w:rsidRPr="00D403F5">
        <w:rPr>
          <w:rFonts w:ascii="Arial" w:hAnsi="Arial" w:cs="Arial"/>
          <w:sz w:val="18"/>
          <w:szCs w:val="18"/>
        </w:rPr>
        <w:t xml:space="preserve">Both horizontal and vertical transmission mechanisms should be considered for </w:t>
      </w:r>
      <w:r w:rsidRPr="00D403F5">
        <w:rPr>
          <w:rFonts w:ascii="Arial" w:hAnsi="Arial" w:cs="Arial"/>
          <w:i/>
          <w:sz w:val="18"/>
          <w:szCs w:val="18"/>
        </w:rPr>
        <w:t>aquatic animals</w:t>
      </w:r>
      <w:r w:rsidRPr="00D403F5">
        <w:rPr>
          <w:rFonts w:ascii="Arial" w:hAnsi="Arial" w:cs="Arial"/>
          <w:sz w:val="18"/>
          <w:szCs w:val="18"/>
        </w:rPr>
        <w:t xml:space="preserve">. </w:t>
      </w: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
          <w:color w:val="000000"/>
          <w:sz w:val="18"/>
          <w:szCs w:val="18"/>
        </w:rPr>
        <w:t xml:space="preserve">aquatic animals </w:t>
      </w:r>
      <w:r w:rsidRPr="00D403F5">
        <w:rPr>
          <w:rFonts w:ascii="Arial" w:hAnsi="Arial" w:cs="Arial"/>
          <w:sz w:val="18"/>
          <w:szCs w:val="18"/>
          <w:lang w:val="en-CA"/>
        </w:rPr>
        <w:t>should be managed</w:t>
      </w:r>
      <w:r w:rsidRPr="00D403F5">
        <w:rPr>
          <w:rFonts w:ascii="Arial" w:hAnsi="Arial" w:cs="Arial"/>
          <w:strike/>
          <w:sz w:val="18"/>
          <w:szCs w:val="18"/>
          <w:lang w:val="en-CA"/>
        </w:rPr>
        <w:t xml:space="preserve">; </w:t>
      </w:r>
      <w:r w:rsidRPr="00D403F5">
        <w:rPr>
          <w:rFonts w:ascii="Arial" w:hAnsi="Arial" w:cs="Arial"/>
          <w:sz w:val="18"/>
          <w:szCs w:val="18"/>
          <w:lang w:val="en-CA"/>
        </w:rPr>
        <w:t>giving consideration to the following mitigation measures:</w:t>
      </w:r>
      <w:r w:rsidRPr="00D403F5">
        <w:rPr>
          <w:rFonts w:ascii="Arial" w:hAnsi="Arial" w:cs="Arial"/>
          <w:color w:val="000000"/>
          <w:sz w:val="18"/>
          <w:szCs w:val="18"/>
        </w:rPr>
        <w:t xml:space="preserve"> </w:t>
      </w:r>
    </w:p>
    <w:p w14:paraId="6606A7E5" w14:textId="77777777" w:rsidR="007B3D5C" w:rsidRPr="00D403F5" w:rsidRDefault="007B3D5C" w:rsidP="0026432A">
      <w:pPr>
        <w:autoSpaceDE w:val="0"/>
        <w:autoSpaceDN w:val="0"/>
        <w:adjustRightInd w:val="0"/>
        <w:spacing w:after="240" w:line="240" w:lineRule="auto"/>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 xml:space="preserve"> </w:t>
      </w:r>
      <w:r w:rsidRPr="00D403F5">
        <w:rPr>
          <w:rFonts w:ascii="Arial" w:hAnsi="Arial" w:cs="Arial"/>
          <w:sz w:val="18"/>
          <w:szCs w:val="18"/>
          <w:lang w:val="en-AU"/>
        </w:rPr>
        <w:tab/>
        <w:t xml:space="preserve">Only introducing </w:t>
      </w:r>
      <w:r w:rsidRPr="00D403F5">
        <w:rPr>
          <w:rFonts w:ascii="Arial" w:eastAsia="SimSun" w:hAnsi="Arial" w:cs="Arial" w:hint="eastAsia"/>
          <w:sz w:val="18"/>
          <w:szCs w:val="18"/>
          <w:lang w:val="en-AU" w:eastAsia="zh-CN"/>
        </w:rPr>
        <w:t>i</w:t>
      </w:r>
      <w:r w:rsidRPr="00D403F5">
        <w:rPr>
          <w:rFonts w:ascii="Arial" w:hAnsi="Arial" w:cs="Arial"/>
          <w:sz w:val="18"/>
          <w:szCs w:val="18"/>
          <w:lang w:val="en-AU"/>
        </w:rPr>
        <w:t xml:space="preserve">nto the </w:t>
      </w:r>
      <w:r w:rsidRPr="00D403F5">
        <w:rPr>
          <w:rFonts w:ascii="Arial" w:hAnsi="Arial" w:cs="Arial"/>
          <w:i/>
          <w:sz w:val="18"/>
          <w:szCs w:val="18"/>
          <w:lang w:val="en-AU"/>
        </w:rPr>
        <w:t>aquaculture establishment</w:t>
      </w:r>
      <w:r w:rsidRPr="00D403F5">
        <w:rPr>
          <w:rFonts w:ascii="Arial" w:hAnsi="Arial" w:cs="Arial"/>
          <w:sz w:val="18"/>
          <w:szCs w:val="18"/>
          <w:lang w:val="en-AU"/>
        </w:rPr>
        <w:t xml:space="preserve"> </w:t>
      </w:r>
      <w:r w:rsidRPr="00D403F5">
        <w:rPr>
          <w:rFonts w:ascii="Arial" w:hAnsi="Arial" w:cs="Arial"/>
          <w:i/>
          <w:sz w:val="18"/>
          <w:szCs w:val="18"/>
          <w:lang w:val="en-AU"/>
        </w:rPr>
        <w:t xml:space="preserve">aquatic animals </w:t>
      </w:r>
      <w:r w:rsidRPr="00D403F5">
        <w:rPr>
          <w:rFonts w:ascii="Arial" w:eastAsia="SimSun" w:hAnsi="Arial" w:cs="Arial"/>
          <w:sz w:val="18"/>
          <w:szCs w:val="18"/>
          <w:lang w:val="en-AU" w:eastAsia="zh-CN"/>
        </w:rPr>
        <w:t>with</w:t>
      </w:r>
      <w:r w:rsidRPr="00D403F5">
        <w:rPr>
          <w:rFonts w:ascii="Arial" w:hAnsi="Arial" w:cs="Arial"/>
          <w:sz w:val="18"/>
          <w:szCs w:val="18"/>
          <w:lang w:val="en-AU"/>
        </w:rPr>
        <w:t xml:space="preserve"> known health status, which is of equal or higher status than </w:t>
      </w:r>
      <w:r w:rsidRPr="00D403F5">
        <w:rPr>
          <w:rFonts w:ascii="Arial" w:eastAsia="SimSun" w:hAnsi="Arial" w:cs="Arial" w:hint="eastAsia"/>
          <w:sz w:val="18"/>
          <w:szCs w:val="18"/>
          <w:lang w:val="en-AU" w:eastAsia="zh-CN"/>
        </w:rPr>
        <w:t xml:space="preserve">the </w:t>
      </w:r>
      <w:r w:rsidRPr="00D403F5">
        <w:rPr>
          <w:rFonts w:ascii="Arial" w:eastAsia="SimSun" w:hAnsi="Arial" w:cs="Arial"/>
          <w:sz w:val="18"/>
          <w:szCs w:val="18"/>
          <w:lang w:val="en-AU" w:eastAsia="zh-CN"/>
        </w:rPr>
        <w:t xml:space="preserve">existing </w:t>
      </w:r>
      <w:r w:rsidRPr="00D403F5">
        <w:rPr>
          <w:rFonts w:ascii="Arial" w:hAnsi="Arial" w:cs="Arial"/>
          <w:sz w:val="18"/>
          <w:szCs w:val="18"/>
          <w:lang w:val="en-AU"/>
        </w:rPr>
        <w:t xml:space="preserve">animals in the establishment. </w:t>
      </w:r>
    </w:p>
    <w:p w14:paraId="2863EA43" w14:textId="77777777" w:rsidR="007B3D5C" w:rsidRPr="00D403F5" w:rsidRDefault="007B3D5C" w:rsidP="0026432A">
      <w:pPr>
        <w:pStyle w:val="a4"/>
        <w:autoSpaceDE w:val="0"/>
        <w:autoSpaceDN w:val="0"/>
        <w:adjustRightInd w:val="0"/>
        <w:spacing w:after="240" w:line="240" w:lineRule="auto"/>
        <w:ind w:left="850" w:hanging="425"/>
        <w:contextualSpacing w:val="0"/>
        <w:jc w:val="both"/>
        <w:rPr>
          <w:rFonts w:ascii="Arial" w:hAnsi="Arial" w:cs="Arial"/>
          <w:sz w:val="18"/>
          <w:szCs w:val="18"/>
          <w:lang w:val="en-AU"/>
        </w:rPr>
      </w:pPr>
      <w:r w:rsidRPr="00D403F5">
        <w:rPr>
          <w:rFonts w:ascii="Arial" w:hAnsi="Arial" w:cs="Arial"/>
          <w:i/>
          <w:sz w:val="18"/>
          <w:szCs w:val="18"/>
        </w:rPr>
        <w:t>b)</w:t>
      </w:r>
      <w:r w:rsidRPr="00D403F5">
        <w:rPr>
          <w:rFonts w:ascii="Arial" w:hAnsi="Arial" w:cs="Arial"/>
          <w:sz w:val="18"/>
          <w:szCs w:val="18"/>
        </w:rPr>
        <w:tab/>
      </w:r>
      <w:r w:rsidRPr="00D403F5">
        <w:rPr>
          <w:rFonts w:ascii="Arial" w:hAnsi="Arial" w:cs="Arial"/>
          <w:sz w:val="18"/>
          <w:szCs w:val="18"/>
          <w:lang w:val="en-AU"/>
        </w:rPr>
        <w:t xml:space="preserve">Placing introduced </w:t>
      </w:r>
      <w:r w:rsidRPr="00D403F5">
        <w:rPr>
          <w:rFonts w:ascii="Arial" w:hAnsi="Arial" w:cs="Arial"/>
          <w:i/>
          <w:sz w:val="18"/>
          <w:szCs w:val="18"/>
          <w:lang w:val="en-AU"/>
        </w:rPr>
        <w:t>aquatic animals</w:t>
      </w:r>
      <w:r w:rsidRPr="00D403F5">
        <w:rPr>
          <w:rFonts w:ascii="Arial" w:hAnsi="Arial" w:cs="Arial"/>
          <w:sz w:val="18"/>
          <w:szCs w:val="18"/>
          <w:lang w:val="en-AU"/>
        </w:rPr>
        <w:t xml:space="preserve"> of unknown </w:t>
      </w:r>
      <w:r w:rsidRPr="00D403F5">
        <w:rPr>
          <w:rFonts w:ascii="Arial" w:hAnsi="Arial" w:cs="Arial"/>
          <w:i/>
          <w:sz w:val="18"/>
          <w:szCs w:val="18"/>
          <w:lang w:val="en-AU"/>
        </w:rPr>
        <w:t>disease</w:t>
      </w:r>
      <w:r w:rsidRPr="00D403F5">
        <w:rPr>
          <w:rFonts w:ascii="Arial" w:hAnsi="Arial" w:cs="Arial"/>
          <w:sz w:val="18"/>
          <w:szCs w:val="18"/>
          <w:lang w:val="en-AU"/>
        </w:rPr>
        <w:t xml:space="preserve"> status into </w:t>
      </w:r>
      <w:r w:rsidRPr="00D403F5">
        <w:rPr>
          <w:rFonts w:ascii="Arial" w:hAnsi="Arial" w:cs="Arial"/>
          <w:i/>
          <w:sz w:val="18"/>
          <w:szCs w:val="18"/>
          <w:lang w:val="en-AU"/>
        </w:rPr>
        <w:t>quarantine.</w:t>
      </w:r>
      <w:r w:rsidRPr="00D403F5">
        <w:rPr>
          <w:rFonts w:ascii="Arial" w:hAnsi="Arial" w:cs="Arial"/>
          <w:sz w:val="18"/>
          <w:szCs w:val="18"/>
          <w:lang w:val="en-AU"/>
        </w:rPr>
        <w:t xml:space="preserve"> </w:t>
      </w:r>
    </w:p>
    <w:p w14:paraId="1C1EDFAA" w14:textId="77777777" w:rsidR="007B3D5C" w:rsidRPr="00D403F5" w:rsidRDefault="007B3D5C" w:rsidP="0026432A">
      <w:pPr>
        <w:pStyle w:val="a4"/>
        <w:autoSpaceDE w:val="0"/>
        <w:autoSpaceDN w:val="0"/>
        <w:adjustRightInd w:val="0"/>
        <w:spacing w:after="240" w:line="240" w:lineRule="auto"/>
        <w:ind w:left="850" w:hanging="425"/>
        <w:contextualSpacing w:val="0"/>
        <w:jc w:val="both"/>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sz w:val="18"/>
          <w:szCs w:val="18"/>
          <w:lang w:val="en-AU"/>
        </w:rPr>
        <w:tab/>
        <w:t xml:space="preserve">Where appropriate, treating </w:t>
      </w:r>
      <w:r w:rsidRPr="00D403F5">
        <w:rPr>
          <w:rFonts w:ascii="Arial" w:hAnsi="Arial" w:cs="Arial"/>
          <w:i/>
          <w:sz w:val="18"/>
          <w:szCs w:val="18"/>
          <w:lang w:val="en-AU"/>
        </w:rPr>
        <w:t>quarantined</w:t>
      </w:r>
      <w:r w:rsidRPr="00D403F5">
        <w:rPr>
          <w:rFonts w:ascii="Arial" w:hAnsi="Arial" w:cs="Arial"/>
          <w:sz w:val="18"/>
          <w:szCs w:val="18"/>
          <w:lang w:val="en-AU"/>
        </w:rPr>
        <w:t xml:space="preserve"> </w:t>
      </w:r>
      <w:r w:rsidRPr="00D403F5">
        <w:rPr>
          <w:rFonts w:ascii="Arial" w:hAnsi="Arial" w:cs="Arial"/>
          <w:i/>
          <w:sz w:val="18"/>
          <w:szCs w:val="18"/>
          <w:lang w:val="en-AU"/>
        </w:rPr>
        <w:t>aquatic animals</w:t>
      </w:r>
      <w:r w:rsidRPr="00D403F5">
        <w:rPr>
          <w:rFonts w:ascii="Arial" w:hAnsi="Arial" w:cs="Arial"/>
          <w:sz w:val="18"/>
          <w:szCs w:val="18"/>
          <w:lang w:val="en-AU"/>
        </w:rPr>
        <w:t xml:space="preserve"> to mitigate </w:t>
      </w:r>
      <w:r w:rsidRPr="00D403F5">
        <w:rPr>
          <w:rFonts w:ascii="Arial" w:hAnsi="Arial" w:cs="Arial"/>
          <w:i/>
          <w:sz w:val="18"/>
          <w:szCs w:val="18"/>
          <w:lang w:val="en-AU"/>
        </w:rPr>
        <w:t>disease</w:t>
      </w:r>
      <w:r w:rsidRPr="00D403F5">
        <w:rPr>
          <w:rFonts w:ascii="Arial" w:eastAsia="SimSun" w:hAnsi="Arial" w:cs="Arial" w:hint="eastAsia"/>
          <w:i/>
          <w:sz w:val="18"/>
          <w:szCs w:val="18"/>
          <w:lang w:val="en-AU" w:eastAsia="zh-CN"/>
        </w:rPr>
        <w:t xml:space="preserve"> </w:t>
      </w:r>
      <w:r w:rsidRPr="00D403F5">
        <w:rPr>
          <w:rFonts w:ascii="Arial" w:hAnsi="Arial" w:cs="Arial"/>
          <w:i/>
          <w:sz w:val="18"/>
          <w:szCs w:val="18"/>
          <w:lang w:val="en-AU"/>
        </w:rPr>
        <w:t>risks</w:t>
      </w:r>
      <w:r w:rsidRPr="00D403F5">
        <w:rPr>
          <w:rFonts w:ascii="Arial" w:hAnsi="Arial" w:cs="Arial"/>
          <w:sz w:val="18"/>
          <w:szCs w:val="18"/>
          <w:lang w:val="en-AU"/>
        </w:rPr>
        <w:t xml:space="preserve"> (for example, treatment for external parasites). </w:t>
      </w:r>
    </w:p>
    <w:p w14:paraId="67772FA2" w14:textId="77777777" w:rsidR="007B3D5C" w:rsidRPr="00D403F5" w:rsidRDefault="007B3D5C" w:rsidP="0026432A">
      <w:pPr>
        <w:pStyle w:val="a4"/>
        <w:autoSpaceDE w:val="0"/>
        <w:autoSpaceDN w:val="0"/>
        <w:adjustRightInd w:val="0"/>
        <w:spacing w:after="240" w:line="240" w:lineRule="auto"/>
        <w:ind w:left="850" w:hanging="425"/>
        <w:contextualSpacing w:val="0"/>
        <w:jc w:val="both"/>
        <w:rPr>
          <w:rFonts w:ascii="Arial" w:hAnsi="Arial" w:cs="Arial"/>
          <w:sz w:val="18"/>
          <w:szCs w:val="18"/>
          <w:lang w:val="en-AU"/>
        </w:rPr>
      </w:pPr>
      <w:r w:rsidRPr="00D403F5">
        <w:rPr>
          <w:rFonts w:ascii="Arial" w:hAnsi="Arial" w:cs="Arial"/>
          <w:i/>
          <w:sz w:val="18"/>
          <w:szCs w:val="18"/>
          <w:lang w:val="en-AU"/>
        </w:rPr>
        <w:t>d)</w:t>
      </w:r>
      <w:r w:rsidRPr="00D403F5">
        <w:rPr>
          <w:rFonts w:ascii="Arial" w:hAnsi="Arial" w:cs="Arial"/>
          <w:sz w:val="18"/>
          <w:szCs w:val="18"/>
          <w:lang w:val="en-AU"/>
        </w:rPr>
        <w:tab/>
        <w:t xml:space="preserve">Ensuring biosecure transport of </w:t>
      </w:r>
      <w:r w:rsidRPr="00D403F5">
        <w:rPr>
          <w:rFonts w:ascii="Arial" w:hAnsi="Arial" w:cs="Arial"/>
          <w:i/>
          <w:sz w:val="18"/>
          <w:szCs w:val="18"/>
          <w:lang w:val="en-AU"/>
        </w:rPr>
        <w:t xml:space="preserve">aquatic animals </w:t>
      </w:r>
      <w:r w:rsidRPr="00D403F5">
        <w:rPr>
          <w:rFonts w:ascii="Arial" w:hAnsi="Arial" w:cs="Arial"/>
          <w:sz w:val="18"/>
          <w:szCs w:val="18"/>
          <w:lang w:val="en-AU"/>
        </w:rPr>
        <w:t xml:space="preserve">that avoids exposure to </w:t>
      </w:r>
      <w:r w:rsidRPr="00D403F5">
        <w:rPr>
          <w:rFonts w:ascii="Arial" w:hAnsi="Arial" w:cs="Arial"/>
          <w:i/>
          <w:sz w:val="18"/>
          <w:szCs w:val="18"/>
          <w:lang w:val="en-AU"/>
        </w:rPr>
        <w:t>pathogenic agents.</w:t>
      </w:r>
    </w:p>
    <w:p w14:paraId="626B4080" w14:textId="77777777" w:rsidR="007B3D5C" w:rsidRPr="00D403F5" w:rsidRDefault="007B3D5C" w:rsidP="0026432A">
      <w:pPr>
        <w:autoSpaceDE w:val="0"/>
        <w:autoSpaceDN w:val="0"/>
        <w:adjustRightInd w:val="0"/>
        <w:spacing w:after="240" w:line="240" w:lineRule="auto"/>
        <w:ind w:left="850" w:hanging="425"/>
        <w:jc w:val="both"/>
        <w:rPr>
          <w:rFonts w:ascii="Arial" w:hAnsi="Arial" w:cs="Arial"/>
          <w:sz w:val="18"/>
          <w:szCs w:val="18"/>
          <w:lang w:val="en-AU"/>
        </w:rPr>
      </w:pPr>
      <w:r w:rsidRPr="00D403F5">
        <w:rPr>
          <w:rFonts w:ascii="Arial" w:hAnsi="Arial" w:cs="Arial"/>
          <w:i/>
          <w:sz w:val="18"/>
          <w:szCs w:val="18"/>
          <w:lang w:val="en-AU"/>
        </w:rPr>
        <w:t>e)</w:t>
      </w:r>
      <w:r w:rsidRPr="00D403F5">
        <w:rPr>
          <w:rFonts w:ascii="Arial" w:hAnsi="Arial" w:cs="Arial"/>
          <w:sz w:val="18"/>
          <w:szCs w:val="18"/>
          <w:lang w:val="en-AU"/>
        </w:rPr>
        <w:tab/>
        <w:t xml:space="preserve">Only moving </w:t>
      </w:r>
      <w:r w:rsidRPr="00D403F5">
        <w:rPr>
          <w:rFonts w:ascii="Arial" w:hAnsi="Arial" w:cs="Arial"/>
          <w:i/>
          <w:sz w:val="18"/>
          <w:szCs w:val="18"/>
          <w:lang w:val="en-AU"/>
        </w:rPr>
        <w:t>aquatic animals</w:t>
      </w:r>
      <w:r w:rsidRPr="00D403F5">
        <w:rPr>
          <w:rFonts w:ascii="Arial" w:hAnsi="Arial" w:cs="Arial"/>
          <w:sz w:val="18"/>
          <w:szCs w:val="18"/>
          <w:lang w:val="en-AU"/>
        </w:rPr>
        <w:t xml:space="preserve"> between different populations within the establishment following consideration of the </w:t>
      </w:r>
      <w:r w:rsidRPr="00D403F5">
        <w:rPr>
          <w:rFonts w:ascii="Arial" w:hAnsi="Arial" w:cs="Arial"/>
          <w:i/>
          <w:sz w:val="18"/>
          <w:szCs w:val="18"/>
          <w:lang w:val="en-AU"/>
        </w:rPr>
        <w:t>disease</w:t>
      </w:r>
      <w:r w:rsidRPr="00D403F5">
        <w:rPr>
          <w:rFonts w:ascii="Arial" w:eastAsia="SimSun" w:hAnsi="Arial" w:cs="Arial" w:hint="eastAsia"/>
          <w:i/>
          <w:sz w:val="18"/>
          <w:szCs w:val="18"/>
          <w:lang w:val="en-AU" w:eastAsia="zh-CN"/>
        </w:rPr>
        <w:t xml:space="preserve"> </w:t>
      </w:r>
      <w:r w:rsidRPr="00D403F5">
        <w:rPr>
          <w:rFonts w:ascii="Arial" w:hAnsi="Arial" w:cs="Arial"/>
          <w:i/>
          <w:sz w:val="18"/>
          <w:szCs w:val="18"/>
          <w:lang w:val="en-AU"/>
        </w:rPr>
        <w:t>risks</w:t>
      </w:r>
      <w:r w:rsidRPr="00D403F5">
        <w:rPr>
          <w:rFonts w:ascii="Arial" w:hAnsi="Arial" w:cs="Arial"/>
          <w:sz w:val="18"/>
          <w:szCs w:val="18"/>
          <w:lang w:val="en-AU"/>
        </w:rPr>
        <w:t xml:space="preserve"> and with a view to maintaining the high health status of the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w:t>
      </w:r>
    </w:p>
    <w:p w14:paraId="49180533" w14:textId="77777777" w:rsidR="0026432A" w:rsidRDefault="0026432A" w:rsidP="0026432A">
      <w:pPr>
        <w:pStyle w:val="2"/>
        <w:tabs>
          <w:tab w:val="clear" w:pos="360"/>
        </w:tabs>
        <w:spacing w:after="480"/>
        <w:ind w:left="0" w:firstLine="0"/>
        <w:rPr>
          <w:rFonts w:ascii="Times New Roman" w:hAnsi="Times New Roman"/>
          <w:b w:val="0"/>
          <w:sz w:val="18"/>
          <w:szCs w:val="18"/>
          <w:u w:val="single"/>
        </w:rPr>
      </w:pPr>
      <w:r>
        <w:rPr>
          <w:rFonts w:ascii="Times New Roman" w:hAnsi="Times New Roman"/>
          <w:b w:val="0"/>
          <w:sz w:val="18"/>
          <w:szCs w:val="18"/>
          <w:u w:val="single"/>
        </w:rPr>
        <w:br w:type="page"/>
      </w:r>
    </w:p>
    <w:p w14:paraId="479668DC" w14:textId="5E8FAE21" w:rsidR="007B3D5C" w:rsidRPr="00D403F5" w:rsidRDefault="007B3D5C" w:rsidP="0026432A">
      <w:pPr>
        <w:pStyle w:val="2"/>
        <w:tabs>
          <w:tab w:val="clear" w:pos="360"/>
        </w:tabs>
        <w:spacing w:after="480"/>
        <w:ind w:left="0" w:firstLine="0"/>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70418B26" w14:textId="77777777" w:rsidR="007B3D5C" w:rsidRPr="00D403F5" w:rsidRDefault="007B3D5C" w:rsidP="0026432A">
      <w:pPr>
        <w:autoSpaceDE w:val="0"/>
        <w:autoSpaceDN w:val="0"/>
        <w:adjustRightInd w:val="0"/>
        <w:spacing w:after="240" w:line="240" w:lineRule="auto"/>
        <w:ind w:left="850" w:hanging="425"/>
        <w:jc w:val="both"/>
        <w:rPr>
          <w:rFonts w:ascii="Arial" w:hAnsi="Arial" w:cs="Arial"/>
          <w:sz w:val="18"/>
          <w:szCs w:val="18"/>
          <w:lang w:val="en-AU"/>
        </w:rPr>
      </w:pPr>
      <w:r w:rsidRPr="00D403F5">
        <w:rPr>
          <w:rFonts w:ascii="Arial" w:hAnsi="Arial" w:cs="Arial"/>
          <w:i/>
          <w:sz w:val="18"/>
          <w:szCs w:val="18"/>
          <w:lang w:val="en-AU"/>
        </w:rPr>
        <w:t>f)</w:t>
      </w:r>
      <w:r w:rsidRPr="00D403F5">
        <w:rPr>
          <w:rFonts w:ascii="Arial" w:hAnsi="Arial" w:cs="Arial"/>
          <w:sz w:val="18"/>
          <w:szCs w:val="18"/>
          <w:lang w:val="en-AU"/>
        </w:rPr>
        <w:tab/>
        <w:t xml:space="preserve">Isolating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populations that display clinical signs of </w:t>
      </w:r>
      <w:r w:rsidRPr="00D403F5">
        <w:rPr>
          <w:rFonts w:ascii="Arial" w:hAnsi="Arial" w:cs="Arial"/>
          <w:i/>
          <w:sz w:val="18"/>
          <w:szCs w:val="18"/>
          <w:lang w:val="en-AU"/>
        </w:rPr>
        <w:t>disease</w:t>
      </w:r>
      <w:r w:rsidRPr="00D403F5">
        <w:rPr>
          <w:rFonts w:ascii="Arial" w:hAnsi="Arial" w:cs="Arial"/>
          <w:sz w:val="18"/>
          <w:szCs w:val="18"/>
          <w:lang w:val="en-AU"/>
        </w:rPr>
        <w:t xml:space="preserve"> from other populations until the cause is known and the situation </w:t>
      </w:r>
      <w:r w:rsidRPr="00D403F5">
        <w:rPr>
          <w:rFonts w:ascii="Arial" w:eastAsia="SimSun" w:hAnsi="Arial" w:cs="Arial" w:hint="eastAsia"/>
          <w:sz w:val="18"/>
          <w:szCs w:val="18"/>
          <w:lang w:val="en-AU" w:eastAsia="zh-CN"/>
        </w:rPr>
        <w:t xml:space="preserve">is </w:t>
      </w:r>
      <w:r w:rsidRPr="00D403F5">
        <w:rPr>
          <w:rFonts w:ascii="Arial" w:hAnsi="Arial" w:cs="Arial"/>
          <w:sz w:val="18"/>
          <w:szCs w:val="18"/>
          <w:lang w:val="en-AU"/>
        </w:rPr>
        <w:t>resolved.</w:t>
      </w:r>
    </w:p>
    <w:p w14:paraId="1D8418BC" w14:textId="77777777" w:rsidR="007B3D5C" w:rsidRPr="00D403F5" w:rsidRDefault="007B3D5C" w:rsidP="0026432A">
      <w:pPr>
        <w:pStyle w:val="a4"/>
        <w:autoSpaceDE w:val="0"/>
        <w:autoSpaceDN w:val="0"/>
        <w:adjustRightInd w:val="0"/>
        <w:spacing w:after="240" w:line="240" w:lineRule="auto"/>
        <w:ind w:left="850" w:hanging="425"/>
        <w:contextualSpacing w:val="0"/>
        <w:jc w:val="both"/>
        <w:rPr>
          <w:rFonts w:ascii="Arial" w:hAnsi="Arial" w:cs="Arial"/>
          <w:sz w:val="18"/>
          <w:szCs w:val="18"/>
          <w:lang w:val="en-AU"/>
        </w:rPr>
      </w:pPr>
      <w:r w:rsidRPr="00D403F5">
        <w:rPr>
          <w:rFonts w:ascii="Arial" w:hAnsi="Arial" w:cs="Arial"/>
          <w:i/>
          <w:sz w:val="18"/>
          <w:szCs w:val="18"/>
          <w:lang w:val="en-AU"/>
        </w:rPr>
        <w:t>g)</w:t>
      </w:r>
      <w:r w:rsidRPr="00D403F5">
        <w:rPr>
          <w:rFonts w:ascii="Arial" w:hAnsi="Arial" w:cs="Arial"/>
          <w:sz w:val="18"/>
          <w:szCs w:val="18"/>
          <w:lang w:val="en-AU"/>
        </w:rPr>
        <w:tab/>
        <w:t xml:space="preserve">Removing sick or dead </w:t>
      </w:r>
      <w:r w:rsidRPr="00D403F5">
        <w:rPr>
          <w:rFonts w:ascii="Arial" w:hAnsi="Arial" w:cs="Arial"/>
          <w:i/>
          <w:sz w:val="18"/>
          <w:szCs w:val="18"/>
          <w:lang w:val="en-AU"/>
        </w:rPr>
        <w:t>aquatic animals</w:t>
      </w:r>
      <w:r w:rsidRPr="00D403F5">
        <w:rPr>
          <w:rFonts w:ascii="Arial" w:hAnsi="Arial" w:cs="Arial"/>
          <w:sz w:val="18"/>
          <w:szCs w:val="18"/>
          <w:lang w:val="en-AU"/>
        </w:rPr>
        <w:t xml:space="preserve"> from production units as soon as possible and disposing of them in a biosecure manner in accordance with Chapter 4.7. </w:t>
      </w:r>
    </w:p>
    <w:p w14:paraId="6FB5955F" w14:textId="77777777" w:rsidR="007B3D5C" w:rsidRPr="00D403F5" w:rsidRDefault="007B3D5C" w:rsidP="0026432A">
      <w:pPr>
        <w:pStyle w:val="a4"/>
        <w:autoSpaceDE w:val="0"/>
        <w:autoSpaceDN w:val="0"/>
        <w:adjustRightInd w:val="0"/>
        <w:spacing w:after="240" w:line="240" w:lineRule="auto"/>
        <w:ind w:left="850" w:hanging="425"/>
        <w:contextualSpacing w:val="0"/>
        <w:jc w:val="both"/>
        <w:rPr>
          <w:rFonts w:ascii="Arial" w:hAnsi="Arial" w:cs="Arial"/>
          <w:sz w:val="18"/>
          <w:szCs w:val="18"/>
          <w:lang w:val="en-AU"/>
        </w:rPr>
      </w:pPr>
      <w:r w:rsidRPr="00D403F5">
        <w:rPr>
          <w:rFonts w:ascii="Arial" w:hAnsi="Arial" w:cs="Arial"/>
          <w:i/>
          <w:sz w:val="18"/>
          <w:szCs w:val="18"/>
          <w:lang w:val="en-AU"/>
        </w:rPr>
        <w:t>h)</w:t>
      </w:r>
      <w:r w:rsidRPr="00D403F5">
        <w:rPr>
          <w:rFonts w:ascii="Arial" w:hAnsi="Arial" w:cs="Arial"/>
          <w:sz w:val="18"/>
          <w:szCs w:val="18"/>
          <w:lang w:val="en-AU"/>
        </w:rPr>
        <w:tab/>
        <w:t xml:space="preserve">Reporting of unexplained or unusual mortalities, or suspicion of a notifiable </w:t>
      </w:r>
      <w:r w:rsidRPr="00D403F5">
        <w:rPr>
          <w:rFonts w:ascii="Arial" w:hAnsi="Arial" w:cs="Arial"/>
          <w:i/>
          <w:iCs/>
          <w:sz w:val="18"/>
          <w:szCs w:val="18"/>
          <w:lang w:val="en-AU"/>
        </w:rPr>
        <w:t>disease</w:t>
      </w:r>
      <w:r w:rsidRPr="00D403F5">
        <w:rPr>
          <w:rFonts w:ascii="Arial" w:hAnsi="Arial" w:cs="Arial"/>
          <w:sz w:val="18"/>
          <w:szCs w:val="18"/>
          <w:lang w:val="en-AU"/>
        </w:rPr>
        <w:t xml:space="preserve"> in </w:t>
      </w:r>
      <w:r w:rsidRPr="00D403F5">
        <w:rPr>
          <w:rFonts w:ascii="Arial" w:hAnsi="Arial" w:cs="Arial"/>
          <w:i/>
          <w:iCs/>
          <w:sz w:val="18"/>
          <w:szCs w:val="18"/>
          <w:lang w:val="en-AU"/>
        </w:rPr>
        <w:t>aquatic animals</w:t>
      </w:r>
      <w:r w:rsidRPr="00D403F5">
        <w:rPr>
          <w:rFonts w:ascii="Arial" w:hAnsi="Arial" w:cs="Arial"/>
          <w:sz w:val="18"/>
          <w:szCs w:val="18"/>
          <w:lang w:val="en-AU"/>
        </w:rPr>
        <w:t xml:space="preserve"> to the </w:t>
      </w:r>
      <w:r w:rsidRPr="00D403F5">
        <w:rPr>
          <w:rFonts w:ascii="Arial" w:hAnsi="Arial" w:cs="Arial"/>
          <w:i/>
          <w:iCs/>
          <w:sz w:val="18"/>
          <w:szCs w:val="18"/>
          <w:lang w:val="en-AU"/>
        </w:rPr>
        <w:t>Competent Authority</w:t>
      </w:r>
      <w:r w:rsidRPr="00D403F5">
        <w:rPr>
          <w:rFonts w:ascii="Arial" w:hAnsi="Arial" w:cs="Arial"/>
          <w:sz w:val="18"/>
          <w:szCs w:val="18"/>
          <w:lang w:val="en-AU"/>
        </w:rPr>
        <w:t xml:space="preserve"> in accordance with local requirements. Investigation and </w:t>
      </w:r>
      <w:r w:rsidRPr="00D403F5">
        <w:rPr>
          <w:rFonts w:ascii="Arial" w:hAnsi="Arial" w:cs="Arial"/>
          <w:i/>
          <w:sz w:val="18"/>
          <w:szCs w:val="18"/>
          <w:lang w:val="en-AU"/>
        </w:rPr>
        <w:t>diagnosis</w:t>
      </w:r>
      <w:r w:rsidRPr="00D403F5">
        <w:rPr>
          <w:rFonts w:ascii="Arial" w:hAnsi="Arial" w:cs="Arial"/>
          <w:sz w:val="18"/>
          <w:szCs w:val="18"/>
          <w:lang w:val="en-AU"/>
        </w:rPr>
        <w:t xml:space="preserve"> of the cause of mortality should be undertaken.</w:t>
      </w:r>
    </w:p>
    <w:p w14:paraId="24305CBE" w14:textId="77777777" w:rsidR="007B3D5C" w:rsidRPr="00D403F5" w:rsidRDefault="007B3D5C" w:rsidP="0026432A">
      <w:pPr>
        <w:autoSpaceDE w:val="0"/>
        <w:autoSpaceDN w:val="0"/>
        <w:adjustRightInd w:val="0"/>
        <w:spacing w:after="240" w:line="240" w:lineRule="auto"/>
        <w:ind w:left="851" w:hanging="425"/>
        <w:jc w:val="both"/>
        <w:rPr>
          <w:rFonts w:ascii="Arial" w:hAnsi="Arial" w:cs="Arial"/>
          <w:sz w:val="18"/>
          <w:szCs w:val="18"/>
          <w:lang w:val="en-AU"/>
        </w:rPr>
      </w:pPr>
      <w:r w:rsidRPr="00D403F5">
        <w:rPr>
          <w:rFonts w:ascii="Arial" w:hAnsi="Arial" w:cs="Arial"/>
          <w:i/>
          <w:sz w:val="18"/>
          <w:szCs w:val="18"/>
          <w:lang w:val="en-AU"/>
        </w:rPr>
        <w:t xml:space="preserve">i) </w:t>
      </w:r>
      <w:r w:rsidRPr="00D403F5">
        <w:rPr>
          <w:rFonts w:ascii="Arial" w:hAnsi="Arial" w:cs="Arial"/>
          <w:sz w:val="18"/>
          <w:szCs w:val="18"/>
          <w:lang w:val="en-AU"/>
        </w:rPr>
        <w:tab/>
        <w:t xml:space="preserve">If possible, totally depopulating the </w:t>
      </w:r>
      <w:r w:rsidRPr="00D403F5">
        <w:rPr>
          <w:rFonts w:ascii="Arial" w:hAnsi="Arial" w:cs="Arial"/>
          <w:i/>
          <w:iCs/>
          <w:sz w:val="18"/>
          <w:szCs w:val="18"/>
          <w:lang w:val="en-AU"/>
        </w:rPr>
        <w:t>aquaculture establishment</w:t>
      </w:r>
      <w:r w:rsidRPr="00D403F5">
        <w:rPr>
          <w:rFonts w:ascii="Arial" w:hAnsi="Arial" w:cs="Arial"/>
          <w:sz w:val="18"/>
          <w:szCs w:val="18"/>
          <w:lang w:val="en-AU"/>
        </w:rPr>
        <w:t xml:space="preserve"> at intervals, for instance between </w:t>
      </w:r>
      <w:r w:rsidRPr="00D403F5">
        <w:rPr>
          <w:rFonts w:ascii="Arial" w:hAnsi="Arial" w:cs="Arial"/>
          <w:i/>
          <w:iCs/>
          <w:sz w:val="18"/>
          <w:szCs w:val="18"/>
          <w:lang w:val="en-AU"/>
        </w:rPr>
        <w:t>aquatic animal</w:t>
      </w:r>
      <w:r w:rsidRPr="00D403F5">
        <w:rPr>
          <w:rFonts w:ascii="Arial" w:hAnsi="Arial" w:cs="Arial"/>
          <w:sz w:val="18"/>
          <w:szCs w:val="18"/>
          <w:lang w:val="en-AU"/>
        </w:rPr>
        <w:t xml:space="preserve"> generations or production cycles, followed by cleaning and </w:t>
      </w:r>
      <w:r w:rsidRPr="00D403F5">
        <w:rPr>
          <w:rFonts w:ascii="Arial" w:hAnsi="Arial" w:cs="Arial"/>
          <w:i/>
          <w:iCs/>
          <w:sz w:val="18"/>
          <w:szCs w:val="18"/>
          <w:lang w:val="en-AU"/>
        </w:rPr>
        <w:t>disinfection</w:t>
      </w:r>
      <w:r w:rsidRPr="00D403F5">
        <w:rPr>
          <w:rFonts w:ascii="Arial" w:hAnsi="Arial" w:cs="Arial"/>
          <w:sz w:val="18"/>
          <w:szCs w:val="18"/>
          <w:lang w:val="en-AU"/>
        </w:rPr>
        <w:t xml:space="preserve"> of production installations. Sites should be fallowed for a period sufficient to interrupt </w:t>
      </w:r>
      <w:r w:rsidRPr="00D403F5">
        <w:rPr>
          <w:rFonts w:ascii="Arial" w:hAnsi="Arial" w:cs="Arial"/>
          <w:i/>
          <w:sz w:val="18"/>
          <w:szCs w:val="18"/>
          <w:lang w:val="en-AU"/>
        </w:rPr>
        <w:t>infection</w:t>
      </w:r>
      <w:r w:rsidRPr="00D403F5">
        <w:rPr>
          <w:rFonts w:ascii="Arial" w:hAnsi="Arial" w:cs="Arial"/>
          <w:sz w:val="18"/>
          <w:szCs w:val="18"/>
          <w:lang w:val="en-AU"/>
        </w:rPr>
        <w:t xml:space="preserve"> cycles and reduce or eliminate pathogen challenge to restocked </w:t>
      </w:r>
      <w:r w:rsidRPr="00D403F5">
        <w:rPr>
          <w:rFonts w:ascii="Arial" w:hAnsi="Arial" w:cs="Arial"/>
          <w:i/>
          <w:iCs/>
          <w:sz w:val="18"/>
          <w:szCs w:val="18"/>
          <w:lang w:val="en-AU"/>
        </w:rPr>
        <w:t>aquatic animals</w:t>
      </w:r>
      <w:r w:rsidRPr="00D403F5">
        <w:rPr>
          <w:rFonts w:ascii="Arial" w:hAnsi="Arial" w:cs="Arial"/>
          <w:sz w:val="18"/>
          <w:szCs w:val="18"/>
          <w:lang w:val="en-AU"/>
        </w:rPr>
        <w:t xml:space="preserve">. </w:t>
      </w:r>
      <w:r w:rsidRPr="00D403F5">
        <w:rPr>
          <w:rFonts w:ascii="Arial" w:hAnsi="Arial" w:cs="Arial"/>
          <w:i/>
          <w:iCs/>
          <w:sz w:val="18"/>
          <w:szCs w:val="18"/>
          <w:lang w:val="en-AU"/>
        </w:rPr>
        <w:t>Fallowing</w:t>
      </w:r>
      <w:r w:rsidRPr="00D403F5">
        <w:rPr>
          <w:rFonts w:ascii="Arial" w:hAnsi="Arial" w:cs="Arial"/>
          <w:sz w:val="18"/>
          <w:szCs w:val="18"/>
          <w:lang w:val="en-AU"/>
        </w:rPr>
        <w:t xml:space="preserve"> should be coordinated for </w:t>
      </w:r>
      <w:r w:rsidRPr="00D403F5">
        <w:rPr>
          <w:rFonts w:ascii="Arial" w:hAnsi="Arial" w:cs="Arial"/>
          <w:i/>
          <w:iCs/>
          <w:sz w:val="18"/>
          <w:szCs w:val="18"/>
          <w:lang w:val="en-AU"/>
        </w:rPr>
        <w:t>aquaculture establishments</w:t>
      </w:r>
      <w:r w:rsidRPr="00D403F5">
        <w:rPr>
          <w:rFonts w:ascii="Arial" w:hAnsi="Arial" w:cs="Arial"/>
          <w:sz w:val="18"/>
          <w:szCs w:val="18"/>
          <w:lang w:val="en-AU"/>
        </w:rPr>
        <w:t xml:space="preserve"> that are epidemiologically linked through shared water bodies.</w:t>
      </w:r>
    </w:p>
    <w:p w14:paraId="6E62A8D5" w14:textId="77777777" w:rsidR="007B3D5C" w:rsidRPr="00D403F5" w:rsidRDefault="007B3D5C" w:rsidP="0026432A">
      <w:pPr>
        <w:autoSpaceDE w:val="0"/>
        <w:autoSpaceDN w:val="0"/>
        <w:adjustRightInd w:val="0"/>
        <w:spacing w:after="240" w:line="240" w:lineRule="auto"/>
        <w:ind w:left="851" w:hanging="425"/>
        <w:jc w:val="both"/>
        <w:rPr>
          <w:rFonts w:ascii="Arial" w:hAnsi="Arial" w:cs="Arial"/>
          <w:sz w:val="18"/>
          <w:szCs w:val="18"/>
        </w:rPr>
      </w:pPr>
      <w:r w:rsidRPr="00D403F5">
        <w:rPr>
          <w:rFonts w:ascii="Arial" w:hAnsi="Arial" w:cs="Arial"/>
          <w:i/>
          <w:sz w:val="18"/>
          <w:szCs w:val="18"/>
          <w:lang w:val="en-AU"/>
        </w:rPr>
        <w:t>j)</w:t>
      </w:r>
      <w:r w:rsidRPr="00D403F5">
        <w:rPr>
          <w:rFonts w:ascii="Arial" w:hAnsi="Arial" w:cs="Arial"/>
          <w:sz w:val="18"/>
          <w:szCs w:val="18"/>
          <w:lang w:val="en-AU"/>
        </w:rPr>
        <w:tab/>
        <w:t xml:space="preserve">Considering </w:t>
      </w:r>
      <w:r w:rsidRPr="00D403F5">
        <w:rPr>
          <w:rFonts w:ascii="Arial" w:hAnsi="Arial" w:cs="Arial"/>
          <w:sz w:val="18"/>
          <w:szCs w:val="18"/>
        </w:rPr>
        <w:t xml:space="preserve">physical measures to minimise the likelihood of escape of farmed </w:t>
      </w:r>
      <w:r w:rsidRPr="00D403F5">
        <w:rPr>
          <w:rFonts w:ascii="Arial" w:hAnsi="Arial" w:cs="Arial"/>
          <w:i/>
          <w:iCs/>
          <w:sz w:val="18"/>
          <w:szCs w:val="18"/>
        </w:rPr>
        <w:t>aquatic animals</w:t>
      </w:r>
      <w:r w:rsidRPr="00D403F5">
        <w:rPr>
          <w:rFonts w:ascii="Arial" w:hAnsi="Arial" w:cs="Arial"/>
          <w:sz w:val="18"/>
          <w:szCs w:val="18"/>
        </w:rPr>
        <w:t xml:space="preserve"> or the entry of wild </w:t>
      </w:r>
      <w:r w:rsidRPr="00D403F5">
        <w:rPr>
          <w:rFonts w:ascii="Arial" w:hAnsi="Arial" w:cs="Arial"/>
          <w:i/>
          <w:iCs/>
          <w:sz w:val="18"/>
          <w:szCs w:val="18"/>
        </w:rPr>
        <w:t>aquatic animals</w:t>
      </w:r>
      <w:r w:rsidRPr="00D403F5">
        <w:rPr>
          <w:rFonts w:ascii="Arial" w:hAnsi="Arial" w:cs="Arial"/>
          <w:sz w:val="18"/>
          <w:szCs w:val="18"/>
        </w:rPr>
        <w:t xml:space="preserve"> into the </w:t>
      </w:r>
      <w:r w:rsidRPr="00D403F5">
        <w:rPr>
          <w:rFonts w:ascii="Arial" w:hAnsi="Arial" w:cs="Arial"/>
          <w:i/>
          <w:iCs/>
          <w:sz w:val="18"/>
          <w:szCs w:val="18"/>
        </w:rPr>
        <w:t>aquaculture establishment</w:t>
      </w:r>
      <w:r w:rsidRPr="00D403F5">
        <w:rPr>
          <w:rFonts w:ascii="Arial" w:hAnsi="Arial" w:cs="Arial"/>
          <w:sz w:val="18"/>
          <w:szCs w:val="18"/>
        </w:rPr>
        <w:t xml:space="preserve">. The likelihood of entry or escape of </w:t>
      </w:r>
      <w:r w:rsidRPr="00D403F5">
        <w:rPr>
          <w:rFonts w:ascii="Arial" w:hAnsi="Arial" w:cs="Arial"/>
          <w:i/>
          <w:iCs/>
          <w:sz w:val="18"/>
          <w:szCs w:val="18"/>
        </w:rPr>
        <w:t>aquatic animals</w:t>
      </w:r>
      <w:r w:rsidRPr="00D403F5">
        <w:rPr>
          <w:rFonts w:ascii="Arial" w:hAnsi="Arial" w:cs="Arial"/>
          <w:sz w:val="18"/>
          <w:szCs w:val="18"/>
        </w:rPr>
        <w:t xml:space="preserve"> will be higher for semi-open than for closed or semi-closed systems. </w:t>
      </w:r>
    </w:p>
    <w:p w14:paraId="59F3DBFA" w14:textId="77777777" w:rsidR="007B3D5C" w:rsidRPr="00D403F5" w:rsidRDefault="007B3D5C" w:rsidP="0026432A">
      <w:pPr>
        <w:spacing w:after="240" w:line="240" w:lineRule="auto"/>
        <w:ind w:left="425" w:hanging="425"/>
        <w:jc w:val="both"/>
        <w:rPr>
          <w:rFonts w:ascii="Arial" w:hAnsi="Arial" w:cs="Arial"/>
          <w:color w:val="000000"/>
          <w:sz w:val="18"/>
          <w:szCs w:val="18"/>
          <w:u w:val="single"/>
        </w:rPr>
      </w:pPr>
      <w:r w:rsidRPr="00D403F5">
        <w:rPr>
          <w:rFonts w:ascii="Arial" w:hAnsi="Arial" w:cs="Arial"/>
          <w:color w:val="000000"/>
          <w:sz w:val="18"/>
          <w:szCs w:val="18"/>
        </w:rPr>
        <w:t xml:space="preserve">2. </w:t>
      </w:r>
      <w:r w:rsidRPr="00D403F5">
        <w:rPr>
          <w:rFonts w:ascii="Arial" w:hAnsi="Arial" w:cs="Arial"/>
          <w:color w:val="000000"/>
          <w:sz w:val="18"/>
          <w:szCs w:val="18"/>
        </w:rPr>
        <w:tab/>
      </w:r>
      <w:r w:rsidRPr="00D403F5">
        <w:rPr>
          <w:rFonts w:ascii="Arial" w:hAnsi="Arial" w:cs="Arial"/>
          <w:color w:val="000000"/>
          <w:sz w:val="18"/>
          <w:szCs w:val="18"/>
          <w:u w:val="single"/>
        </w:rPr>
        <w:t>Aquatic animal products and aquatic animal waste</w:t>
      </w:r>
    </w:p>
    <w:p w14:paraId="7B4AF589" w14:textId="77777777" w:rsidR="007B3D5C" w:rsidRPr="00D403F5" w:rsidRDefault="007B3D5C" w:rsidP="0026432A">
      <w:pPr>
        <w:spacing w:after="240" w:line="240" w:lineRule="auto"/>
        <w:ind w:left="426"/>
        <w:jc w:val="both"/>
        <w:rPr>
          <w:rFonts w:ascii="Arial" w:hAnsi="Arial" w:cs="Arial"/>
          <w:sz w:val="18"/>
          <w:szCs w:val="18"/>
          <w:lang w:eastAsia="fr-FR"/>
        </w:rPr>
      </w:pPr>
      <w:r w:rsidRPr="00D403F5">
        <w:rPr>
          <w:rFonts w:ascii="Arial" w:hAnsi="Arial" w:cs="Arial"/>
          <w:i/>
          <w:color w:val="000000"/>
          <w:sz w:val="18"/>
          <w:szCs w:val="18"/>
        </w:rPr>
        <w:t>Aquatic animal products</w:t>
      </w:r>
      <w:r w:rsidRPr="00D403F5">
        <w:rPr>
          <w:rFonts w:ascii="Arial" w:hAnsi="Arial" w:cs="Arial"/>
          <w:color w:val="000000"/>
          <w:sz w:val="18"/>
          <w:szCs w:val="18"/>
        </w:rPr>
        <w:t xml:space="preserve"> may also be brought into, moved within or moved out of </w:t>
      </w:r>
      <w:r w:rsidRPr="00D403F5">
        <w:rPr>
          <w:rFonts w:ascii="Arial" w:hAnsi="Arial" w:cs="Arial"/>
          <w:i/>
          <w:color w:val="000000"/>
          <w:sz w:val="18"/>
          <w:szCs w:val="18"/>
        </w:rPr>
        <w:t>aquaculture</w:t>
      </w:r>
      <w:r w:rsidRPr="00D403F5">
        <w:rPr>
          <w:rFonts w:ascii="Arial" w:eastAsia="SimSun" w:hAnsi="Arial" w:cs="Arial"/>
          <w:i/>
          <w:color w:val="000000"/>
          <w:sz w:val="18"/>
          <w:szCs w:val="18"/>
          <w:lang w:eastAsia="zh-CN"/>
        </w:rPr>
        <w:t xml:space="preserve"> </w:t>
      </w:r>
      <w:r w:rsidRPr="00D403F5">
        <w:rPr>
          <w:rFonts w:ascii="Arial" w:hAnsi="Arial" w:cs="Arial"/>
          <w:i/>
          <w:sz w:val="18"/>
          <w:szCs w:val="18"/>
          <w:lang w:val="en-AU"/>
        </w:rPr>
        <w:t>establishments</w:t>
      </w:r>
      <w:r w:rsidRPr="00D403F5">
        <w:rPr>
          <w:rFonts w:ascii="Arial" w:hAnsi="Arial" w:cs="Arial"/>
          <w:color w:val="000000"/>
          <w:sz w:val="18"/>
          <w:szCs w:val="18"/>
        </w:rPr>
        <w:t xml:space="preserve">; for example, </w:t>
      </w:r>
      <w:r w:rsidRPr="00D403F5">
        <w:rPr>
          <w:rFonts w:ascii="Arial" w:hAnsi="Arial" w:cs="Arial"/>
          <w:i/>
          <w:color w:val="000000"/>
          <w:sz w:val="18"/>
          <w:szCs w:val="18"/>
        </w:rPr>
        <w:t>aquatic animal products</w:t>
      </w:r>
      <w:r w:rsidRPr="00D403F5">
        <w:rPr>
          <w:rFonts w:ascii="Arial" w:hAnsi="Arial" w:cs="Arial"/>
          <w:color w:val="000000"/>
          <w:sz w:val="18"/>
          <w:szCs w:val="18"/>
        </w:rPr>
        <w:t xml:space="preserve"> derived from </w:t>
      </w:r>
      <w:r w:rsidRPr="00D403F5">
        <w:rPr>
          <w:rFonts w:ascii="Arial" w:hAnsi="Arial" w:cs="Arial"/>
          <w:i/>
          <w:color w:val="000000"/>
          <w:sz w:val="18"/>
          <w:szCs w:val="18"/>
        </w:rPr>
        <w:t>aquatic animals</w:t>
      </w:r>
      <w:r w:rsidRPr="00D403F5">
        <w:rPr>
          <w:rFonts w:ascii="Arial" w:hAnsi="Arial" w:cs="Arial"/>
          <w:color w:val="000000"/>
          <w:sz w:val="18"/>
          <w:szCs w:val="18"/>
        </w:rPr>
        <w:t xml:space="preserve"> harvested at other sites. </w:t>
      </w:r>
      <w:r w:rsidRPr="00D403F5">
        <w:rPr>
          <w:rFonts w:ascii="Arial" w:hAnsi="Arial" w:cs="Arial"/>
          <w:i/>
          <w:sz w:val="18"/>
          <w:szCs w:val="18"/>
          <w:lang w:eastAsia="fr-FR"/>
        </w:rPr>
        <w:t>Aquatic animal</w:t>
      </w:r>
      <w:r w:rsidRPr="00D403F5">
        <w:rPr>
          <w:rFonts w:ascii="Arial" w:hAnsi="Arial" w:cs="Arial"/>
          <w:sz w:val="18"/>
          <w:szCs w:val="18"/>
          <w:lang w:eastAsia="fr-FR"/>
        </w:rPr>
        <w:t xml:space="preserve"> </w:t>
      </w:r>
      <w:r w:rsidRPr="00D403F5">
        <w:rPr>
          <w:rFonts w:ascii="Arial" w:hAnsi="Arial" w:cs="Arial"/>
          <w:i/>
          <w:iCs/>
          <w:sz w:val="18"/>
          <w:szCs w:val="18"/>
          <w:lang w:eastAsia="fr-FR"/>
        </w:rPr>
        <w:t>waste</w:t>
      </w:r>
      <w:r w:rsidRPr="00D403F5">
        <w:rPr>
          <w:rFonts w:ascii="Arial" w:hAnsi="Arial" w:cs="Arial"/>
          <w:sz w:val="18"/>
          <w:szCs w:val="18"/>
          <w:lang w:eastAsia="fr-FR"/>
        </w:rPr>
        <w:t xml:space="preserve"> may be generated when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have died or been killed for </w:t>
      </w:r>
      <w:r w:rsidRPr="00D403F5">
        <w:rPr>
          <w:rFonts w:ascii="Arial" w:hAnsi="Arial" w:cs="Arial"/>
          <w:i/>
          <w:sz w:val="18"/>
          <w:szCs w:val="18"/>
          <w:lang w:eastAsia="fr-FR"/>
        </w:rPr>
        <w:t>disease</w:t>
      </w:r>
      <w:r w:rsidRPr="00D403F5">
        <w:rPr>
          <w:rFonts w:ascii="Arial" w:hAnsi="Arial" w:cs="Arial"/>
          <w:sz w:val="18"/>
          <w:szCs w:val="18"/>
          <w:lang w:eastAsia="fr-FR"/>
        </w:rPr>
        <w:t xml:space="preserve"> control purposes or through killing and processing well as slaughtered of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for human consumption or other purposes. </w:t>
      </w:r>
    </w:p>
    <w:p w14:paraId="05BA824F" w14:textId="77777777" w:rsidR="007B3D5C" w:rsidRPr="00D403F5" w:rsidRDefault="007B3D5C" w:rsidP="0026432A">
      <w:pPr>
        <w:spacing w:after="240" w:line="240" w:lineRule="auto"/>
        <w:ind w:left="426"/>
        <w:jc w:val="both"/>
        <w:rPr>
          <w:rFonts w:ascii="Arial" w:hAnsi="Arial" w:cs="Arial"/>
          <w:color w:val="000000"/>
          <w:sz w:val="18"/>
          <w:szCs w:val="18"/>
        </w:rPr>
      </w:pPr>
      <w:r w:rsidRPr="00D403F5">
        <w:rPr>
          <w:rFonts w:ascii="Arial" w:hAnsi="Arial" w:cs="Arial"/>
          <w:color w:val="000000"/>
          <w:sz w:val="18"/>
          <w:szCs w:val="18"/>
        </w:rPr>
        <w:t xml:space="preserve">Movement of </w:t>
      </w:r>
      <w:r w:rsidRPr="00D403F5">
        <w:rPr>
          <w:rFonts w:ascii="Arial" w:hAnsi="Arial" w:cs="Arial"/>
          <w:i/>
          <w:color w:val="000000"/>
          <w:sz w:val="18"/>
          <w:szCs w:val="18"/>
        </w:rPr>
        <w:t xml:space="preserve">aquatic animal products </w:t>
      </w:r>
      <w:r w:rsidRPr="00D403F5">
        <w:rPr>
          <w:rFonts w:ascii="Arial" w:hAnsi="Arial" w:cs="Arial"/>
          <w:color w:val="000000"/>
          <w:sz w:val="18"/>
          <w:szCs w:val="18"/>
        </w:rPr>
        <w:t xml:space="preserve">and </w:t>
      </w:r>
      <w:r w:rsidRPr="00D403F5">
        <w:rPr>
          <w:rFonts w:ascii="Arial" w:hAnsi="Arial" w:cs="Arial"/>
          <w:i/>
          <w:color w:val="000000"/>
          <w:sz w:val="18"/>
          <w:szCs w:val="18"/>
        </w:rPr>
        <w:t xml:space="preserve">aquatic animal </w:t>
      </w:r>
      <w:r w:rsidRPr="00D403F5">
        <w:rPr>
          <w:rFonts w:ascii="Arial" w:hAnsi="Arial" w:cs="Arial"/>
          <w:color w:val="000000"/>
          <w:sz w:val="18"/>
          <w:szCs w:val="18"/>
        </w:rPr>
        <w:t xml:space="preserve">waste into, within and out of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may pose a </w:t>
      </w:r>
      <w:r w:rsidRPr="00D403F5">
        <w:rPr>
          <w:rFonts w:ascii="Arial" w:hAnsi="Arial" w:cs="Arial"/>
          <w:i/>
          <w:color w:val="000000"/>
          <w:sz w:val="18"/>
          <w:szCs w:val="18"/>
        </w:rPr>
        <w:t>risk</w:t>
      </w:r>
      <w:r w:rsidRPr="00D403F5">
        <w:rPr>
          <w:rFonts w:ascii="Arial" w:hAnsi="Arial" w:cs="Arial"/>
          <w:color w:val="000000"/>
          <w:sz w:val="18"/>
          <w:szCs w:val="18"/>
        </w:rPr>
        <w:t xml:space="preserve"> of </w:t>
      </w:r>
      <w:r w:rsidRPr="00D403F5">
        <w:rPr>
          <w:rFonts w:ascii="Arial" w:hAnsi="Arial" w:cs="Arial"/>
          <w:i/>
          <w:color w:val="000000"/>
          <w:sz w:val="18"/>
          <w:szCs w:val="18"/>
        </w:rPr>
        <w:t>pathogenic agent</w:t>
      </w:r>
      <w:r w:rsidRPr="00D403F5">
        <w:rPr>
          <w:rFonts w:ascii="Arial" w:hAnsi="Arial" w:cs="Arial"/>
          <w:color w:val="000000"/>
          <w:sz w:val="18"/>
          <w:szCs w:val="18"/>
        </w:rPr>
        <w:t xml:space="preserve"> transmission. This is particularly the case when a susceptible population is exposed to </w:t>
      </w:r>
      <w:r w:rsidRPr="00D403F5">
        <w:rPr>
          <w:rFonts w:ascii="Arial" w:hAnsi="Arial" w:cs="Arial"/>
          <w:i/>
          <w:color w:val="000000"/>
          <w:sz w:val="18"/>
          <w:szCs w:val="18"/>
        </w:rPr>
        <w:t xml:space="preserve">aquatic animal products </w:t>
      </w:r>
      <w:r w:rsidRPr="00D403F5">
        <w:rPr>
          <w:rFonts w:ascii="Arial" w:hAnsi="Arial" w:cs="Arial"/>
          <w:color w:val="000000"/>
          <w:sz w:val="18"/>
          <w:szCs w:val="18"/>
        </w:rPr>
        <w:t xml:space="preserve">and </w:t>
      </w:r>
      <w:r w:rsidRPr="00D403F5">
        <w:rPr>
          <w:rFonts w:ascii="Arial" w:hAnsi="Arial" w:cs="Arial"/>
          <w:i/>
          <w:color w:val="000000"/>
          <w:sz w:val="18"/>
          <w:szCs w:val="18"/>
        </w:rPr>
        <w:t xml:space="preserve">aquatic animal </w:t>
      </w:r>
      <w:r w:rsidRPr="00D403F5">
        <w:rPr>
          <w:rFonts w:ascii="Arial" w:hAnsi="Arial" w:cs="Arial"/>
          <w:i/>
          <w:iCs/>
          <w:sz w:val="18"/>
          <w:szCs w:val="18"/>
          <w:lang w:eastAsia="fr-FR"/>
        </w:rPr>
        <w:t>waste</w:t>
      </w:r>
      <w:r w:rsidRPr="00D403F5">
        <w:rPr>
          <w:rFonts w:ascii="Arial" w:hAnsi="Arial" w:cs="Arial"/>
          <w:color w:val="000000"/>
          <w:sz w:val="18"/>
          <w:szCs w:val="18"/>
        </w:rPr>
        <w:t xml:space="preserve"> derived from clinically or sub-clinically infected </w:t>
      </w:r>
      <w:r w:rsidRPr="00D403F5">
        <w:rPr>
          <w:rFonts w:ascii="Arial" w:hAnsi="Arial" w:cs="Arial"/>
          <w:i/>
          <w:color w:val="000000"/>
          <w:sz w:val="18"/>
          <w:szCs w:val="18"/>
        </w:rPr>
        <w:t>aquatic animals</w:t>
      </w:r>
      <w:r w:rsidRPr="00D403F5">
        <w:rPr>
          <w:rFonts w:ascii="Arial" w:hAnsi="Arial" w:cs="Arial"/>
          <w:color w:val="000000"/>
          <w:sz w:val="18"/>
          <w:szCs w:val="18"/>
        </w:rPr>
        <w:t xml:space="preserve">. </w:t>
      </w:r>
      <w:bookmarkStart w:id="34" w:name="_Hlk20817968"/>
      <w:r w:rsidRPr="00D403F5">
        <w:rPr>
          <w:rFonts w:ascii="Arial" w:hAnsi="Arial" w:cs="Arial"/>
          <w:sz w:val="18"/>
          <w:szCs w:val="18"/>
          <w:lang w:eastAsia="fr-FR"/>
        </w:rPr>
        <w:t xml:space="preserve">High </w:t>
      </w:r>
      <w:r w:rsidRPr="00D403F5">
        <w:rPr>
          <w:rFonts w:ascii="Arial" w:hAnsi="Arial" w:cs="Arial"/>
          <w:i/>
          <w:sz w:val="18"/>
          <w:szCs w:val="18"/>
          <w:lang w:eastAsia="fr-FR"/>
        </w:rPr>
        <w:t>risk</w:t>
      </w:r>
      <w:r w:rsidRPr="00D403F5">
        <w:rPr>
          <w:rFonts w:ascii="Arial" w:hAnsi="Arial" w:cs="Arial"/>
          <w:sz w:val="18"/>
          <w:szCs w:val="18"/>
          <w:lang w:eastAsia="fr-FR"/>
        </w:rPr>
        <w:t xml:space="preserve"> waste includes </w:t>
      </w:r>
      <w:r w:rsidRPr="00D403F5">
        <w:rPr>
          <w:rFonts w:ascii="Arial" w:hAnsi="Arial" w:cs="Arial"/>
          <w:i/>
          <w:sz w:val="18"/>
          <w:szCs w:val="18"/>
          <w:lang w:eastAsia="fr-FR"/>
        </w:rPr>
        <w:t>aquatic animal</w:t>
      </w:r>
      <w:r w:rsidRPr="00D403F5">
        <w:rPr>
          <w:rFonts w:ascii="Arial" w:hAnsi="Arial" w:cs="Arial"/>
          <w:sz w:val="18"/>
          <w:szCs w:val="18"/>
          <w:lang w:eastAsia="fr-FR"/>
        </w:rPr>
        <w:t xml:space="preserve"> </w:t>
      </w:r>
      <w:r w:rsidRPr="00D403F5">
        <w:rPr>
          <w:rFonts w:ascii="Arial" w:hAnsi="Arial" w:cs="Arial"/>
          <w:i/>
          <w:iCs/>
          <w:sz w:val="18"/>
          <w:szCs w:val="18"/>
          <w:lang w:eastAsia="fr-FR"/>
        </w:rPr>
        <w:t>waste</w:t>
      </w:r>
      <w:r w:rsidRPr="00D403F5">
        <w:rPr>
          <w:rFonts w:ascii="Arial" w:hAnsi="Arial" w:cs="Arial"/>
          <w:sz w:val="18"/>
          <w:szCs w:val="18"/>
          <w:lang w:eastAsia="fr-FR"/>
        </w:rPr>
        <w:t xml:space="preserve"> that constitutes, or is suspected of constituting, a significant health </w:t>
      </w:r>
      <w:r w:rsidRPr="00D403F5">
        <w:rPr>
          <w:rFonts w:ascii="Arial" w:hAnsi="Arial" w:cs="Arial"/>
          <w:i/>
          <w:sz w:val="18"/>
          <w:szCs w:val="18"/>
          <w:lang w:eastAsia="fr-FR"/>
        </w:rPr>
        <w:t>risk</w:t>
      </w:r>
      <w:r w:rsidRPr="00D403F5">
        <w:rPr>
          <w:rFonts w:ascii="Arial" w:hAnsi="Arial" w:cs="Arial"/>
          <w:sz w:val="18"/>
          <w:szCs w:val="18"/>
          <w:lang w:eastAsia="fr-FR"/>
        </w:rPr>
        <w:t xml:space="preserve"> to </w:t>
      </w:r>
      <w:r w:rsidRPr="00D403F5">
        <w:rPr>
          <w:rFonts w:ascii="Arial" w:hAnsi="Arial" w:cs="Arial"/>
          <w:i/>
          <w:sz w:val="18"/>
          <w:szCs w:val="18"/>
          <w:lang w:eastAsia="fr-FR"/>
        </w:rPr>
        <w:t>aquatic animals</w:t>
      </w:r>
      <w:bookmarkEnd w:id="34"/>
      <w:r w:rsidRPr="00D403F5">
        <w:rPr>
          <w:rFonts w:ascii="Arial" w:hAnsi="Arial" w:cs="Arial"/>
          <w:sz w:val="18"/>
          <w:szCs w:val="18"/>
          <w:lang w:eastAsia="fr-FR"/>
        </w:rPr>
        <w:t xml:space="preserve">. Movement of </w:t>
      </w:r>
      <w:r w:rsidRPr="00D403F5">
        <w:rPr>
          <w:rFonts w:ascii="Arial" w:hAnsi="Arial" w:cs="Arial"/>
          <w:i/>
          <w:iCs/>
          <w:sz w:val="18"/>
          <w:szCs w:val="18"/>
          <w:lang w:eastAsia="fr-FR"/>
        </w:rPr>
        <w:t>aquatic animal</w:t>
      </w:r>
      <w:r w:rsidRPr="00D403F5">
        <w:rPr>
          <w:rFonts w:ascii="Arial" w:hAnsi="Arial" w:cs="Arial"/>
          <w:sz w:val="18"/>
          <w:szCs w:val="18"/>
          <w:lang w:eastAsia="fr-FR"/>
        </w:rPr>
        <w:t xml:space="preserve"> waste into </w:t>
      </w:r>
      <w:r w:rsidRPr="00D403F5">
        <w:rPr>
          <w:rFonts w:ascii="Arial" w:hAnsi="Arial" w:cs="Arial"/>
          <w:i/>
          <w:iCs/>
          <w:sz w:val="18"/>
          <w:szCs w:val="18"/>
          <w:lang w:eastAsia="fr-FR"/>
        </w:rPr>
        <w:t>aquaculture establishments</w:t>
      </w:r>
      <w:r w:rsidRPr="00D403F5">
        <w:rPr>
          <w:rFonts w:ascii="Arial" w:hAnsi="Arial" w:cs="Arial"/>
          <w:sz w:val="18"/>
          <w:szCs w:val="18"/>
          <w:lang w:eastAsia="fr-FR"/>
        </w:rPr>
        <w:t xml:space="preserve"> should be avoided where possible. Waste should be stored, transported, disposed of and treated following the guidance in Chapter 4.7. Handling, disposal and treatment of </w:t>
      </w:r>
      <w:r w:rsidRPr="00D403F5">
        <w:rPr>
          <w:rFonts w:ascii="Arial" w:hAnsi="Arial" w:cs="Arial"/>
          <w:i/>
          <w:iCs/>
          <w:sz w:val="18"/>
          <w:szCs w:val="18"/>
          <w:lang w:eastAsia="fr-FR"/>
        </w:rPr>
        <w:t>aquatic animal</w:t>
      </w:r>
      <w:r w:rsidRPr="00D403F5">
        <w:rPr>
          <w:rFonts w:ascii="Arial" w:hAnsi="Arial" w:cs="Arial"/>
          <w:sz w:val="18"/>
          <w:szCs w:val="18"/>
          <w:lang w:eastAsia="fr-FR"/>
        </w:rPr>
        <w:t xml:space="preserve"> </w:t>
      </w:r>
      <w:r w:rsidRPr="00D403F5">
        <w:rPr>
          <w:rFonts w:ascii="Arial" w:hAnsi="Arial" w:cs="Arial"/>
          <w:i/>
          <w:iCs/>
          <w:sz w:val="18"/>
          <w:szCs w:val="18"/>
          <w:lang w:eastAsia="fr-FR"/>
        </w:rPr>
        <w:t>waste</w:t>
      </w:r>
      <w:r w:rsidRPr="00D403F5">
        <w:rPr>
          <w:rFonts w:ascii="Arial" w:hAnsi="Arial" w:cs="Arial"/>
          <w:sz w:val="18"/>
          <w:szCs w:val="18"/>
          <w:lang w:eastAsia="fr-FR"/>
        </w:rPr>
        <w:t xml:space="preserve">. </w:t>
      </w:r>
    </w:p>
    <w:p w14:paraId="5F25B5A3" w14:textId="77777777" w:rsidR="007B3D5C" w:rsidRPr="00D403F5" w:rsidRDefault="007B3D5C" w:rsidP="0026432A">
      <w:pPr>
        <w:spacing w:after="240" w:line="240" w:lineRule="auto"/>
        <w:ind w:left="426"/>
        <w:jc w:val="both"/>
        <w:rPr>
          <w:rFonts w:ascii="Arial" w:hAnsi="Arial" w:cs="Arial"/>
          <w:color w:val="000000"/>
          <w:sz w:val="18"/>
          <w:szCs w:val="18"/>
        </w:rPr>
      </w:pPr>
      <w:r w:rsidRPr="00D403F5">
        <w:rPr>
          <w:rFonts w:ascii="Arial" w:hAnsi="Arial" w:cs="Arial"/>
          <w:color w:val="000000"/>
          <w:sz w:val="18"/>
          <w:szCs w:val="18"/>
        </w:rPr>
        <w:t xml:space="preserve">For intentional movements of </w:t>
      </w:r>
      <w:r w:rsidRPr="00D403F5">
        <w:rPr>
          <w:rFonts w:ascii="Arial" w:hAnsi="Arial" w:cs="Arial"/>
          <w:i/>
          <w:color w:val="000000"/>
          <w:sz w:val="18"/>
          <w:szCs w:val="18"/>
        </w:rPr>
        <w:t xml:space="preserve">aquatic animal products </w:t>
      </w:r>
      <w:r w:rsidRPr="00D403F5">
        <w:rPr>
          <w:rFonts w:ascii="Arial" w:hAnsi="Arial" w:cs="Arial"/>
          <w:color w:val="000000"/>
          <w:sz w:val="18"/>
          <w:szCs w:val="18"/>
        </w:rPr>
        <w:t xml:space="preserve">and </w:t>
      </w:r>
      <w:r w:rsidRPr="00D403F5">
        <w:rPr>
          <w:rFonts w:ascii="Arial" w:hAnsi="Arial" w:cs="Arial"/>
          <w:i/>
          <w:color w:val="000000"/>
          <w:sz w:val="18"/>
          <w:szCs w:val="18"/>
        </w:rPr>
        <w:t>aquatic animal</w:t>
      </w:r>
      <w:r w:rsidRPr="00D403F5">
        <w:rPr>
          <w:rFonts w:ascii="Arial" w:hAnsi="Arial" w:cs="Arial"/>
          <w:color w:val="000000"/>
          <w:sz w:val="18"/>
          <w:szCs w:val="18"/>
        </w:rPr>
        <w:t xml:space="preserve"> waste, the likelihood of presence of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in</w:t>
      </w:r>
      <w:r w:rsidRPr="00D403F5">
        <w:rPr>
          <w:rFonts w:ascii="Arial" w:eastAsia="SimSun" w:hAnsi="Arial" w:cs="Arial"/>
          <w:color w:val="000000"/>
          <w:sz w:val="18"/>
          <w:szCs w:val="18"/>
          <w:lang w:eastAsia="zh-CN"/>
        </w:rPr>
        <w:t xml:space="preserve"> </w:t>
      </w:r>
      <w:r w:rsidRPr="00D403F5">
        <w:rPr>
          <w:rFonts w:ascii="Arial" w:hAnsi="Arial" w:cs="Arial"/>
          <w:color w:val="000000"/>
          <w:sz w:val="18"/>
          <w:szCs w:val="18"/>
        </w:rPr>
        <w:t xml:space="preserve">the </w:t>
      </w:r>
      <w:r w:rsidRPr="00D403F5">
        <w:rPr>
          <w:rFonts w:ascii="Arial" w:hAnsi="Arial" w:cs="Arial"/>
          <w:i/>
          <w:color w:val="000000"/>
          <w:sz w:val="18"/>
          <w:szCs w:val="18"/>
        </w:rPr>
        <w:t xml:space="preserve">aquatic animals </w:t>
      </w:r>
      <w:r w:rsidRPr="00D403F5">
        <w:rPr>
          <w:rFonts w:ascii="Arial" w:hAnsi="Arial" w:cs="Arial"/>
          <w:color w:val="000000"/>
          <w:sz w:val="18"/>
          <w:szCs w:val="18"/>
        </w:rPr>
        <w:t xml:space="preserve">from which products and waste are derived should be evaluated giving consideration to the species, source, and health status. </w:t>
      </w:r>
    </w:p>
    <w:p w14:paraId="44B61D1C" w14:textId="77777777" w:rsidR="007B3D5C" w:rsidRPr="00D403F5" w:rsidRDefault="007B3D5C" w:rsidP="0026432A">
      <w:pPr>
        <w:spacing w:after="240" w:line="240" w:lineRule="auto"/>
        <w:ind w:left="426"/>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
          <w:color w:val="000000"/>
          <w:sz w:val="18"/>
          <w:szCs w:val="18"/>
        </w:rPr>
        <w:t>aquatic animal products</w:t>
      </w:r>
      <w:r w:rsidRPr="00D403F5">
        <w:rPr>
          <w:rFonts w:ascii="Arial" w:hAnsi="Arial" w:cs="Arial"/>
          <w:color w:val="000000"/>
          <w:sz w:val="18"/>
          <w:szCs w:val="18"/>
        </w:rPr>
        <w:t xml:space="preserve"> and </w:t>
      </w:r>
      <w:r w:rsidRPr="00D403F5">
        <w:rPr>
          <w:rFonts w:ascii="Arial" w:hAnsi="Arial" w:cs="Arial"/>
          <w:i/>
          <w:color w:val="000000"/>
          <w:sz w:val="18"/>
          <w:szCs w:val="18"/>
        </w:rPr>
        <w:t>aquatic animal</w:t>
      </w:r>
      <w:r w:rsidRPr="00D403F5">
        <w:rPr>
          <w:rFonts w:ascii="Arial" w:hAnsi="Arial" w:cs="Arial"/>
          <w:color w:val="000000"/>
          <w:sz w:val="18"/>
          <w:szCs w:val="18"/>
        </w:rPr>
        <w:t xml:space="preserve"> </w:t>
      </w:r>
      <w:r w:rsidRPr="00D403F5">
        <w:rPr>
          <w:rFonts w:ascii="Arial" w:hAnsi="Arial" w:cs="Arial"/>
          <w:i/>
          <w:iCs/>
          <w:sz w:val="18"/>
          <w:szCs w:val="18"/>
          <w:lang w:eastAsia="fr-FR"/>
        </w:rPr>
        <w:t>waste</w:t>
      </w:r>
      <w:r w:rsidRPr="00D403F5">
        <w:rPr>
          <w:rFonts w:ascii="Arial" w:hAnsi="Arial" w:cs="Arial"/>
          <w:color w:val="000000"/>
          <w:sz w:val="18"/>
          <w:szCs w:val="18"/>
        </w:rPr>
        <w:t xml:space="preserve"> </w:t>
      </w:r>
      <w:r w:rsidRPr="00D403F5">
        <w:rPr>
          <w:rFonts w:ascii="Arial" w:hAnsi="Arial" w:cs="Arial"/>
          <w:sz w:val="18"/>
          <w:szCs w:val="18"/>
          <w:lang w:val="en-CA"/>
        </w:rPr>
        <w:t>should be managed giving consideration to the following mitigation measures</w:t>
      </w:r>
      <w:r w:rsidRPr="00D403F5">
        <w:rPr>
          <w:rFonts w:ascii="Arial" w:hAnsi="Arial" w:cs="Arial"/>
          <w:color w:val="000000"/>
          <w:sz w:val="18"/>
          <w:szCs w:val="18"/>
        </w:rPr>
        <w:t>:</w:t>
      </w:r>
    </w:p>
    <w:p w14:paraId="19878E6B" w14:textId="77777777" w:rsidR="007B3D5C" w:rsidRPr="00D403F5" w:rsidRDefault="007B3D5C" w:rsidP="0026432A">
      <w:pPr>
        <w:autoSpaceDE w:val="0"/>
        <w:autoSpaceDN w:val="0"/>
        <w:adjustRightInd w:val="0"/>
        <w:spacing w:after="240" w:line="240" w:lineRule="auto"/>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ab/>
        <w:t xml:space="preserve">determining the potential </w:t>
      </w:r>
      <w:r w:rsidRPr="00D403F5">
        <w:rPr>
          <w:rFonts w:ascii="Arial" w:hAnsi="Arial" w:cs="Arial"/>
          <w:i/>
          <w:sz w:val="18"/>
          <w:szCs w:val="18"/>
          <w:lang w:val="en-AU"/>
        </w:rPr>
        <w:t>disease</w:t>
      </w:r>
      <w:r w:rsidRPr="00D403F5">
        <w:rPr>
          <w:rFonts w:ascii="Arial" w:eastAsia="SimSun" w:hAnsi="Arial" w:cs="Arial"/>
          <w:i/>
          <w:sz w:val="18"/>
          <w:szCs w:val="18"/>
          <w:lang w:val="en-AU" w:eastAsia="zh-CN"/>
        </w:rPr>
        <w:t xml:space="preserve"> </w:t>
      </w:r>
      <w:r w:rsidRPr="00D403F5">
        <w:rPr>
          <w:rFonts w:ascii="Arial" w:hAnsi="Arial" w:cs="Arial"/>
          <w:i/>
          <w:sz w:val="18"/>
          <w:szCs w:val="18"/>
          <w:lang w:val="en-AU"/>
        </w:rPr>
        <w:t>risk</w:t>
      </w:r>
      <w:r w:rsidRPr="00D403F5">
        <w:rPr>
          <w:rFonts w:ascii="Arial" w:hAnsi="Arial" w:cs="Arial"/>
          <w:sz w:val="18"/>
          <w:szCs w:val="18"/>
          <w:lang w:val="en-AU"/>
        </w:rPr>
        <w:t xml:space="preserve"> of </w:t>
      </w:r>
      <w:r w:rsidRPr="00D403F5">
        <w:rPr>
          <w:rFonts w:ascii="Arial" w:hAnsi="Arial" w:cs="Arial"/>
          <w:i/>
          <w:sz w:val="18"/>
          <w:szCs w:val="18"/>
          <w:lang w:val="en-AU"/>
        </w:rPr>
        <w:t>aquatic animal products</w:t>
      </w:r>
      <w:r w:rsidRPr="00D403F5">
        <w:rPr>
          <w:rFonts w:ascii="Arial" w:hAnsi="Arial" w:cs="Arial"/>
          <w:sz w:val="18"/>
          <w:szCs w:val="18"/>
          <w:lang w:val="en-AU"/>
        </w:rPr>
        <w:t xml:space="preserve"> and </w:t>
      </w:r>
      <w:r w:rsidRPr="00D403F5">
        <w:rPr>
          <w:rFonts w:ascii="Arial" w:hAnsi="Arial" w:cs="Arial"/>
          <w:i/>
          <w:sz w:val="18"/>
          <w:szCs w:val="18"/>
          <w:lang w:val="en-AU"/>
        </w:rPr>
        <w:t xml:space="preserve">aquatic animal </w:t>
      </w:r>
      <w:r w:rsidRPr="00D403F5">
        <w:rPr>
          <w:rFonts w:ascii="Arial" w:hAnsi="Arial" w:cs="Arial"/>
          <w:i/>
          <w:iCs/>
          <w:sz w:val="18"/>
          <w:szCs w:val="18"/>
          <w:lang w:val="en-AU"/>
        </w:rPr>
        <w:t>waste</w:t>
      </w:r>
      <w:r w:rsidRPr="00D403F5">
        <w:rPr>
          <w:rFonts w:ascii="Arial" w:hAnsi="Arial" w:cs="Arial"/>
          <w:sz w:val="18"/>
          <w:szCs w:val="18"/>
          <w:lang w:val="en-AU"/>
        </w:rPr>
        <w:t xml:space="preserve"> to the establishment and the environment;</w:t>
      </w:r>
    </w:p>
    <w:p w14:paraId="006F7126" w14:textId="77777777" w:rsidR="007B3D5C" w:rsidRPr="00D403F5" w:rsidRDefault="007B3D5C" w:rsidP="0026432A">
      <w:pPr>
        <w:autoSpaceDE w:val="0"/>
        <w:autoSpaceDN w:val="0"/>
        <w:adjustRightInd w:val="0"/>
        <w:spacing w:after="240" w:line="240" w:lineRule="auto"/>
        <w:ind w:left="851" w:hanging="425"/>
        <w:jc w:val="both"/>
        <w:rPr>
          <w:rFonts w:ascii="Arial" w:hAnsi="Arial" w:cs="Arial"/>
          <w:sz w:val="18"/>
          <w:szCs w:val="18"/>
          <w:lang w:val="en-AU"/>
        </w:rPr>
      </w:pPr>
      <w:r w:rsidRPr="00D403F5">
        <w:rPr>
          <w:rFonts w:ascii="Arial" w:hAnsi="Arial" w:cs="Arial"/>
          <w:i/>
          <w:sz w:val="18"/>
          <w:szCs w:val="18"/>
          <w:lang w:val="en-AU"/>
        </w:rPr>
        <w:t>b)</w:t>
      </w:r>
      <w:r w:rsidRPr="00D403F5">
        <w:rPr>
          <w:rFonts w:ascii="Arial" w:hAnsi="Arial" w:cs="Arial"/>
          <w:sz w:val="18"/>
          <w:szCs w:val="18"/>
          <w:lang w:val="en-AU"/>
        </w:rPr>
        <w:tab/>
        <w:t xml:space="preserve">managing </w:t>
      </w:r>
      <w:r w:rsidRPr="00D403F5">
        <w:rPr>
          <w:rFonts w:ascii="Arial" w:hAnsi="Arial" w:cs="Arial"/>
          <w:i/>
          <w:iCs/>
          <w:sz w:val="18"/>
          <w:szCs w:val="18"/>
          <w:lang w:val="en-AU"/>
        </w:rPr>
        <w:t xml:space="preserve">aquatic animal products </w:t>
      </w:r>
      <w:r w:rsidRPr="00D403F5">
        <w:rPr>
          <w:rFonts w:ascii="Arial" w:hAnsi="Arial" w:cs="Arial"/>
          <w:sz w:val="18"/>
          <w:szCs w:val="18"/>
          <w:lang w:val="en-AU"/>
        </w:rPr>
        <w:t xml:space="preserve">and </w:t>
      </w:r>
      <w:r w:rsidRPr="00D403F5">
        <w:rPr>
          <w:rFonts w:ascii="Arial" w:hAnsi="Arial" w:cs="Arial"/>
          <w:i/>
          <w:iCs/>
          <w:sz w:val="18"/>
          <w:szCs w:val="18"/>
          <w:lang w:val="en-AU"/>
        </w:rPr>
        <w:t xml:space="preserve">aquatic animal </w:t>
      </w:r>
      <w:r w:rsidRPr="00D403F5">
        <w:rPr>
          <w:rFonts w:ascii="Arial" w:hAnsi="Arial" w:cs="Arial"/>
          <w:sz w:val="18"/>
          <w:szCs w:val="18"/>
          <w:lang w:val="en-AU"/>
        </w:rPr>
        <w:t xml:space="preserve">waste in areas within the </w:t>
      </w:r>
      <w:r w:rsidRPr="00D403F5">
        <w:rPr>
          <w:rFonts w:ascii="Arial" w:hAnsi="Arial" w:cs="Arial"/>
          <w:i/>
          <w:iCs/>
          <w:sz w:val="18"/>
          <w:szCs w:val="18"/>
          <w:lang w:val="en-AU"/>
        </w:rPr>
        <w:t>aquaculture establishment</w:t>
      </w:r>
      <w:r w:rsidRPr="00D403F5">
        <w:rPr>
          <w:rFonts w:ascii="Arial" w:hAnsi="Arial" w:cs="Arial"/>
          <w:sz w:val="18"/>
          <w:szCs w:val="18"/>
          <w:lang w:val="en-AU"/>
        </w:rPr>
        <w:t xml:space="preserve"> that are isolated from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populations to minimise identified disease transmission </w:t>
      </w:r>
      <w:r w:rsidRPr="00D403F5">
        <w:rPr>
          <w:rFonts w:ascii="Arial" w:hAnsi="Arial" w:cs="Arial"/>
          <w:i/>
          <w:sz w:val="18"/>
          <w:szCs w:val="18"/>
          <w:lang w:val="en-AU"/>
        </w:rPr>
        <w:t>risks</w:t>
      </w:r>
      <w:r w:rsidRPr="00D403F5">
        <w:rPr>
          <w:rFonts w:ascii="Arial" w:hAnsi="Arial" w:cs="Arial"/>
          <w:sz w:val="18"/>
          <w:szCs w:val="18"/>
          <w:lang w:val="en-AU"/>
        </w:rPr>
        <w:t>;</w:t>
      </w:r>
    </w:p>
    <w:p w14:paraId="4E545CDA" w14:textId="77777777" w:rsidR="007B3D5C" w:rsidRPr="00D403F5" w:rsidRDefault="007B3D5C" w:rsidP="0026432A">
      <w:pPr>
        <w:autoSpaceDE w:val="0"/>
        <w:autoSpaceDN w:val="0"/>
        <w:adjustRightInd w:val="0"/>
        <w:spacing w:after="240" w:line="240" w:lineRule="auto"/>
        <w:ind w:left="851" w:hanging="425"/>
        <w:jc w:val="both"/>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sz w:val="18"/>
          <w:szCs w:val="18"/>
          <w:lang w:val="en-AU"/>
        </w:rPr>
        <w:tab/>
        <w:t xml:space="preserve">ensuring systems are implemented for </w:t>
      </w:r>
      <w:r w:rsidRPr="00D403F5">
        <w:rPr>
          <w:rFonts w:ascii="Arial" w:eastAsia="SimSun" w:hAnsi="Arial" w:cs="Arial"/>
          <w:sz w:val="18"/>
          <w:szCs w:val="18"/>
          <w:lang w:val="en-AU" w:eastAsia="zh-CN"/>
        </w:rPr>
        <w:t xml:space="preserve">appropriate </w:t>
      </w:r>
      <w:r w:rsidRPr="00D403F5">
        <w:rPr>
          <w:rFonts w:ascii="Arial" w:hAnsi="Arial" w:cs="Arial"/>
          <w:sz w:val="18"/>
          <w:szCs w:val="18"/>
          <w:lang w:val="en-AU"/>
        </w:rPr>
        <w:t xml:space="preserve">collection, treatment (inactivating </w:t>
      </w:r>
      <w:r w:rsidRPr="00D403F5">
        <w:rPr>
          <w:rFonts w:ascii="Arial" w:hAnsi="Arial" w:cs="Arial"/>
          <w:i/>
          <w:sz w:val="18"/>
          <w:szCs w:val="18"/>
          <w:lang w:val="en-AU"/>
        </w:rPr>
        <w:t>pathogenic agents</w:t>
      </w:r>
      <w:r w:rsidRPr="00D403F5">
        <w:rPr>
          <w:rFonts w:ascii="Arial" w:hAnsi="Arial" w:cs="Arial"/>
          <w:sz w:val="18"/>
          <w:szCs w:val="18"/>
          <w:lang w:val="en-AU"/>
        </w:rPr>
        <w:t xml:space="preserve">), transport, storage or disposal of </w:t>
      </w:r>
      <w:r w:rsidRPr="00D403F5">
        <w:rPr>
          <w:rFonts w:ascii="Arial" w:hAnsi="Arial" w:cs="Arial"/>
          <w:i/>
          <w:sz w:val="18"/>
          <w:szCs w:val="18"/>
          <w:lang w:val="en-AU"/>
        </w:rPr>
        <w:t>aquatic animal products</w:t>
      </w:r>
      <w:r w:rsidRPr="00D403F5">
        <w:rPr>
          <w:rFonts w:ascii="Arial" w:hAnsi="Arial" w:cs="Arial"/>
          <w:sz w:val="18"/>
          <w:szCs w:val="18"/>
          <w:lang w:val="en-AU"/>
        </w:rPr>
        <w:t xml:space="preserve"> and </w:t>
      </w:r>
      <w:r w:rsidRPr="00D403F5">
        <w:rPr>
          <w:rFonts w:ascii="Arial" w:hAnsi="Arial" w:cs="Arial"/>
          <w:i/>
          <w:sz w:val="18"/>
          <w:szCs w:val="18"/>
          <w:lang w:val="en-AU"/>
        </w:rPr>
        <w:t xml:space="preserve">aquatic animal </w:t>
      </w:r>
      <w:r w:rsidRPr="00D403F5">
        <w:rPr>
          <w:rFonts w:ascii="Arial" w:hAnsi="Arial" w:cs="Arial"/>
          <w:i/>
          <w:iCs/>
          <w:sz w:val="18"/>
          <w:szCs w:val="18"/>
          <w:lang w:val="en-AU"/>
        </w:rPr>
        <w:t xml:space="preserve">waste </w:t>
      </w:r>
      <w:r w:rsidRPr="00D403F5">
        <w:rPr>
          <w:rFonts w:ascii="Arial" w:hAnsi="Arial" w:cs="Arial"/>
          <w:sz w:val="18"/>
          <w:szCs w:val="18"/>
          <w:lang w:val="en-AU"/>
        </w:rPr>
        <w:t xml:space="preserve">to minimise the </w:t>
      </w:r>
      <w:r w:rsidRPr="00D403F5">
        <w:rPr>
          <w:rFonts w:ascii="Arial" w:hAnsi="Arial" w:cs="Arial"/>
          <w:i/>
          <w:sz w:val="18"/>
          <w:szCs w:val="18"/>
          <w:lang w:val="en-AU"/>
        </w:rPr>
        <w:t>risks</w:t>
      </w:r>
      <w:r w:rsidRPr="00D403F5">
        <w:rPr>
          <w:rFonts w:ascii="Arial" w:hAnsi="Arial" w:cs="Arial"/>
          <w:sz w:val="18"/>
          <w:szCs w:val="18"/>
          <w:lang w:val="en-AU"/>
        </w:rPr>
        <w:t xml:space="preserve"> of transmitting </w:t>
      </w:r>
      <w:r w:rsidRPr="00D403F5">
        <w:rPr>
          <w:rFonts w:ascii="Arial" w:hAnsi="Arial" w:cs="Arial"/>
          <w:i/>
          <w:sz w:val="18"/>
          <w:szCs w:val="18"/>
          <w:lang w:val="en-AU"/>
        </w:rPr>
        <w:t>pathogenic agents</w:t>
      </w:r>
      <w:r w:rsidRPr="00D403F5">
        <w:rPr>
          <w:rFonts w:ascii="Arial" w:hAnsi="Arial" w:cs="Arial"/>
          <w:sz w:val="18"/>
          <w:szCs w:val="18"/>
          <w:lang w:val="en-AU"/>
        </w:rPr>
        <w:t>.</w:t>
      </w:r>
    </w:p>
    <w:p w14:paraId="157AEAD2" w14:textId="77777777" w:rsidR="007B3D5C" w:rsidRPr="00D403F5" w:rsidRDefault="007B3D5C" w:rsidP="00D403F5">
      <w:pPr>
        <w:spacing w:after="0"/>
        <w:ind w:left="426" w:hanging="426"/>
        <w:jc w:val="both"/>
        <w:rPr>
          <w:rFonts w:ascii="Arial" w:hAnsi="Arial" w:cs="Arial"/>
          <w:color w:val="000000"/>
          <w:sz w:val="18"/>
          <w:szCs w:val="18"/>
        </w:rPr>
      </w:pPr>
      <w:r w:rsidRPr="00D403F5">
        <w:rPr>
          <w:rFonts w:ascii="Arial" w:hAnsi="Arial" w:cs="Arial"/>
          <w:color w:val="000000"/>
          <w:sz w:val="18"/>
          <w:szCs w:val="18"/>
        </w:rPr>
        <w:br w:type="page"/>
      </w:r>
    </w:p>
    <w:p w14:paraId="278F2E24" w14:textId="5C37D255" w:rsidR="007B3D5C" w:rsidRPr="00D403F5" w:rsidRDefault="007B3D5C" w:rsidP="0026432A">
      <w:pPr>
        <w:pStyle w:val="2"/>
        <w:tabs>
          <w:tab w:val="clear" w:pos="360"/>
        </w:tabs>
        <w:spacing w:after="480"/>
        <w:ind w:left="0" w:firstLine="0"/>
        <w:jc w:val="right"/>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3AE9E93B" w14:textId="77777777" w:rsidR="007B3D5C" w:rsidRPr="00D403F5" w:rsidRDefault="007B3D5C" w:rsidP="00D403F5">
      <w:pPr>
        <w:spacing w:after="0"/>
        <w:ind w:left="426" w:hanging="426"/>
        <w:jc w:val="both"/>
        <w:rPr>
          <w:rFonts w:ascii="Arial" w:hAnsi="Arial" w:cs="Arial"/>
          <w:color w:val="000000"/>
          <w:sz w:val="18"/>
          <w:szCs w:val="18"/>
        </w:rPr>
      </w:pPr>
      <w:r w:rsidRPr="00D403F5">
        <w:rPr>
          <w:rFonts w:ascii="Arial" w:hAnsi="Arial" w:cs="Arial"/>
          <w:color w:val="000000"/>
          <w:sz w:val="18"/>
          <w:szCs w:val="18"/>
        </w:rPr>
        <w:t>3. </w:t>
      </w:r>
      <w:r w:rsidRPr="00D403F5">
        <w:rPr>
          <w:rFonts w:ascii="Arial" w:hAnsi="Arial" w:cs="Arial"/>
          <w:color w:val="000000"/>
          <w:sz w:val="18"/>
          <w:szCs w:val="18"/>
        </w:rPr>
        <w:tab/>
      </w:r>
      <w:r w:rsidRPr="00D403F5">
        <w:rPr>
          <w:rFonts w:ascii="Arial" w:hAnsi="Arial" w:cs="Arial"/>
          <w:color w:val="000000"/>
          <w:sz w:val="18"/>
          <w:szCs w:val="18"/>
          <w:u w:val="single"/>
        </w:rPr>
        <w:t>Water</w:t>
      </w:r>
    </w:p>
    <w:p w14:paraId="3AA54138" w14:textId="77777777" w:rsidR="007B3D5C" w:rsidRPr="00D403F5" w:rsidRDefault="007B3D5C" w:rsidP="00D403F5">
      <w:pPr>
        <w:pStyle w:val="ae"/>
        <w:spacing w:after="0"/>
        <w:ind w:left="426"/>
        <w:jc w:val="both"/>
        <w:rPr>
          <w:rFonts w:ascii="Arial" w:hAnsi="Arial" w:cs="Arial"/>
          <w:color w:val="000000"/>
          <w:sz w:val="18"/>
          <w:szCs w:val="18"/>
        </w:rPr>
      </w:pPr>
      <w:r w:rsidRPr="00D403F5">
        <w:rPr>
          <w:rFonts w:ascii="Arial" w:hAnsi="Arial" w:cs="Arial"/>
          <w:color w:val="000000"/>
          <w:sz w:val="18"/>
          <w:szCs w:val="18"/>
        </w:rPr>
        <w:t xml:space="preserve">Water is an important asset that </w:t>
      </w:r>
      <w:r w:rsidRPr="00D403F5">
        <w:rPr>
          <w:rFonts w:ascii="Arial" w:hAnsi="Arial" w:cs="Arial"/>
          <w:sz w:val="18"/>
          <w:szCs w:val="18"/>
          <w:lang w:val="en-AU"/>
        </w:rPr>
        <w:t xml:space="preserve">supports productivity and </w:t>
      </w:r>
      <w:r w:rsidRPr="00D403F5">
        <w:rPr>
          <w:rFonts w:ascii="Arial" w:hAnsi="Arial" w:cs="Arial"/>
          <w:i/>
          <w:sz w:val="18"/>
          <w:szCs w:val="18"/>
          <w:lang w:val="en-AU"/>
        </w:rPr>
        <w:t>aquatic animal</w:t>
      </w:r>
      <w:r w:rsidRPr="00D403F5">
        <w:rPr>
          <w:rFonts w:ascii="Arial" w:hAnsi="Arial" w:cs="Arial"/>
          <w:sz w:val="18"/>
          <w:szCs w:val="18"/>
          <w:lang w:val="en-AU"/>
        </w:rPr>
        <w:t xml:space="preserve"> health but</w:t>
      </w:r>
      <w:r w:rsidRPr="00D403F5">
        <w:rPr>
          <w:rFonts w:ascii="Arial" w:hAnsi="Arial" w:cs="Arial"/>
          <w:color w:val="000000"/>
          <w:sz w:val="18"/>
          <w:szCs w:val="18"/>
        </w:rPr>
        <w:t xml:space="preserve"> may present a </w:t>
      </w:r>
      <w:r w:rsidRPr="00D403F5">
        <w:rPr>
          <w:rFonts w:ascii="Arial" w:hAnsi="Arial" w:cs="Arial"/>
          <w:i/>
          <w:color w:val="000000"/>
          <w:sz w:val="18"/>
          <w:szCs w:val="18"/>
        </w:rPr>
        <w:t>risk</w:t>
      </w:r>
      <w:r w:rsidRPr="00D403F5">
        <w:rPr>
          <w:rFonts w:ascii="Arial" w:hAnsi="Arial" w:cs="Arial"/>
          <w:color w:val="000000"/>
          <w:sz w:val="18"/>
          <w:szCs w:val="18"/>
        </w:rPr>
        <w:t xml:space="preserve"> of </w:t>
      </w:r>
      <w:r w:rsidRPr="00D403F5">
        <w:rPr>
          <w:rFonts w:ascii="Arial" w:eastAsia="SimSun" w:hAnsi="Arial" w:cs="Arial"/>
          <w:color w:val="000000"/>
          <w:sz w:val="18"/>
          <w:szCs w:val="18"/>
          <w:lang w:eastAsia="zh-CN"/>
        </w:rPr>
        <w:t>introduction</w:t>
      </w:r>
      <w:r w:rsidRPr="00D403F5">
        <w:rPr>
          <w:rFonts w:ascii="Arial" w:hAnsi="Arial" w:cs="Arial"/>
          <w:color w:val="000000"/>
          <w:sz w:val="18"/>
          <w:szCs w:val="18"/>
        </w:rPr>
        <w:t xml:space="preserve"> of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into, </w:t>
      </w:r>
      <w:r w:rsidRPr="00D403F5">
        <w:rPr>
          <w:rFonts w:ascii="Arial" w:eastAsia="SimSun" w:hAnsi="Arial" w:cs="Arial"/>
          <w:color w:val="000000"/>
          <w:sz w:val="18"/>
          <w:szCs w:val="18"/>
          <w:lang w:eastAsia="zh-CN"/>
        </w:rPr>
        <w:t xml:space="preserve">spread </w:t>
      </w:r>
      <w:r w:rsidRPr="00D403F5">
        <w:rPr>
          <w:rFonts w:ascii="Arial" w:hAnsi="Arial" w:cs="Arial"/>
          <w:color w:val="000000"/>
          <w:sz w:val="18"/>
          <w:szCs w:val="18"/>
        </w:rPr>
        <w:t xml:space="preserve">within, and </w:t>
      </w:r>
      <w:r w:rsidRPr="00D403F5">
        <w:rPr>
          <w:rFonts w:ascii="Arial" w:eastAsia="SimSun" w:hAnsi="Arial" w:cs="Arial"/>
          <w:color w:val="000000"/>
          <w:sz w:val="18"/>
          <w:szCs w:val="18"/>
          <w:lang w:eastAsia="zh-CN"/>
        </w:rPr>
        <w:t xml:space="preserve">release </w:t>
      </w:r>
      <w:r w:rsidRPr="00D403F5">
        <w:rPr>
          <w:rFonts w:ascii="Arial" w:hAnsi="Arial" w:cs="Arial"/>
          <w:color w:val="000000"/>
          <w:sz w:val="18"/>
          <w:szCs w:val="18"/>
        </w:rPr>
        <w:t xml:space="preserve">from </w:t>
      </w:r>
      <w:r w:rsidRPr="00D403F5">
        <w:rPr>
          <w:rFonts w:ascii="Arial" w:hAnsi="Arial" w:cs="Arial"/>
          <w:i/>
          <w:color w:val="000000"/>
          <w:sz w:val="18"/>
          <w:szCs w:val="18"/>
        </w:rPr>
        <w:t xml:space="preserve">aquaculture establishments. </w:t>
      </w:r>
      <w:r w:rsidRPr="00D403F5">
        <w:rPr>
          <w:rFonts w:ascii="Arial" w:hAnsi="Arial" w:cs="Arial"/>
          <w:color w:val="000000"/>
          <w:sz w:val="18"/>
          <w:szCs w:val="18"/>
        </w:rPr>
        <w:t xml:space="preserve">The source of the water, and how it provides an epidemiological link between </w:t>
      </w:r>
      <w:r w:rsidRPr="00D403F5">
        <w:rPr>
          <w:rFonts w:ascii="Arial" w:hAnsi="Arial" w:cs="Arial"/>
          <w:sz w:val="18"/>
          <w:szCs w:val="18"/>
        </w:rPr>
        <w:t xml:space="preserve">the </w:t>
      </w:r>
      <w:r w:rsidRPr="00D403F5">
        <w:rPr>
          <w:rFonts w:ascii="Arial" w:hAnsi="Arial" w:cs="Arial"/>
          <w:i/>
          <w:sz w:val="18"/>
          <w:szCs w:val="18"/>
        </w:rPr>
        <w:t>aquaculture establishment</w:t>
      </w:r>
      <w:r w:rsidRPr="00D403F5">
        <w:rPr>
          <w:rFonts w:ascii="Arial" w:hAnsi="Arial" w:cs="Arial"/>
          <w:sz w:val="18"/>
          <w:szCs w:val="18"/>
        </w:rPr>
        <w:t xml:space="preserve"> and other farmed or wild populations or processing plants, </w:t>
      </w:r>
      <w:r w:rsidRPr="00D403F5">
        <w:rPr>
          <w:rFonts w:ascii="Arial" w:hAnsi="Arial" w:cs="Arial"/>
          <w:color w:val="000000"/>
          <w:sz w:val="18"/>
          <w:szCs w:val="18"/>
        </w:rPr>
        <w:t>should be identified and considered. Exposure to transport water and ballast water should be considered.</w:t>
      </w:r>
    </w:p>
    <w:p w14:paraId="70C3D170" w14:textId="77777777" w:rsidR="007B3D5C" w:rsidRPr="00D403F5" w:rsidRDefault="007B3D5C" w:rsidP="00D403F5">
      <w:pPr>
        <w:spacing w:after="0"/>
        <w:ind w:left="426"/>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the </w:t>
      </w:r>
      <w:r w:rsidRPr="00D403F5">
        <w:rPr>
          <w:rFonts w:ascii="Arial" w:hAnsi="Arial" w:cs="Arial"/>
          <w:i/>
          <w:color w:val="000000"/>
          <w:sz w:val="18"/>
          <w:szCs w:val="18"/>
        </w:rPr>
        <w:t xml:space="preserve">aquaculture establishment </w:t>
      </w:r>
      <w:r w:rsidRPr="00D403F5">
        <w:rPr>
          <w:rFonts w:ascii="Arial" w:hAnsi="Arial" w:cs="Arial"/>
          <w:color w:val="000000"/>
          <w:sz w:val="18"/>
          <w:szCs w:val="18"/>
        </w:rPr>
        <w:t xml:space="preserve">being exposed to water containing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may be influenced by </w:t>
      </w:r>
      <w:r w:rsidRPr="00D403F5">
        <w:rPr>
          <w:rFonts w:ascii="Arial" w:eastAsia="SimSun" w:hAnsi="Arial" w:cs="Arial"/>
          <w:color w:val="000000"/>
          <w:sz w:val="18"/>
          <w:szCs w:val="18"/>
          <w:lang w:eastAsia="zh-CN"/>
        </w:rPr>
        <w:t xml:space="preserve">the </w:t>
      </w:r>
      <w:r w:rsidRPr="00D403F5">
        <w:rPr>
          <w:rFonts w:ascii="Arial" w:hAnsi="Arial" w:cs="Arial"/>
          <w:color w:val="000000"/>
          <w:sz w:val="18"/>
          <w:szCs w:val="18"/>
        </w:rPr>
        <w:t xml:space="preserve">category of </w:t>
      </w:r>
      <w:r w:rsidRPr="00D403F5">
        <w:rPr>
          <w:rFonts w:ascii="Arial" w:hAnsi="Arial" w:cs="Arial"/>
          <w:i/>
          <w:color w:val="000000"/>
          <w:sz w:val="18"/>
          <w:szCs w:val="18"/>
        </w:rPr>
        <w:t>aquaculture</w:t>
      </w:r>
      <w:r w:rsidRPr="00D403F5">
        <w:rPr>
          <w:rFonts w:ascii="Arial" w:eastAsia="SimSun" w:hAnsi="Arial" w:cs="Arial"/>
          <w:i/>
          <w:color w:val="000000"/>
          <w:sz w:val="18"/>
          <w:szCs w:val="18"/>
          <w:lang w:eastAsia="zh-CN"/>
        </w:rPr>
        <w:t xml:space="preserve"> </w:t>
      </w:r>
      <w:r w:rsidRPr="00D403F5">
        <w:rPr>
          <w:rFonts w:ascii="Arial" w:hAnsi="Arial" w:cs="Arial"/>
          <w:color w:val="000000"/>
          <w:sz w:val="18"/>
          <w:szCs w:val="18"/>
        </w:rPr>
        <w:t>production system, the likelihood being higher for semi-open than for closed</w:t>
      </w:r>
      <w:r w:rsidRPr="00D403F5">
        <w:rPr>
          <w:rFonts w:ascii="Arial" w:eastAsia="SimSun" w:hAnsi="Arial" w:cs="Arial"/>
          <w:color w:val="000000"/>
          <w:sz w:val="18"/>
          <w:szCs w:val="18"/>
          <w:lang w:eastAsia="zh-CN"/>
        </w:rPr>
        <w:t xml:space="preserve"> systems</w:t>
      </w:r>
      <w:r w:rsidRPr="00D403F5">
        <w:rPr>
          <w:rFonts w:ascii="Arial" w:hAnsi="Arial" w:cs="Arial"/>
          <w:color w:val="000000"/>
          <w:sz w:val="18"/>
          <w:szCs w:val="18"/>
        </w:rPr>
        <w:t xml:space="preserve">. Any water that is flowing from </w:t>
      </w:r>
      <w:r w:rsidRPr="00D403F5">
        <w:rPr>
          <w:rFonts w:ascii="Arial" w:hAnsi="Arial" w:cs="Arial"/>
          <w:i/>
          <w:color w:val="000000"/>
          <w:sz w:val="18"/>
          <w:szCs w:val="18"/>
        </w:rPr>
        <w:t xml:space="preserve">aquatic animals </w:t>
      </w:r>
      <w:r w:rsidRPr="00D403F5">
        <w:rPr>
          <w:rFonts w:ascii="Arial" w:hAnsi="Arial" w:cs="Arial"/>
          <w:color w:val="000000"/>
          <w:sz w:val="18"/>
          <w:szCs w:val="18"/>
        </w:rPr>
        <w:t xml:space="preserve">with lower or unknown health status presents a potential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to </w:t>
      </w:r>
      <w:r w:rsidRPr="00D403F5">
        <w:rPr>
          <w:rFonts w:ascii="Arial" w:hAnsi="Arial" w:cs="Arial"/>
          <w:i/>
          <w:color w:val="000000"/>
          <w:sz w:val="18"/>
          <w:szCs w:val="18"/>
        </w:rPr>
        <w:t>aquatic animals</w:t>
      </w:r>
      <w:r w:rsidRPr="00D403F5">
        <w:rPr>
          <w:rFonts w:ascii="Arial" w:hAnsi="Arial" w:cs="Arial"/>
          <w:color w:val="000000"/>
          <w:sz w:val="18"/>
          <w:szCs w:val="18"/>
        </w:rPr>
        <w:t xml:space="preserve"> of a higher health status.</w:t>
      </w:r>
    </w:p>
    <w:p w14:paraId="2346BC8F" w14:textId="77777777" w:rsidR="007B3D5C" w:rsidRPr="00D403F5" w:rsidRDefault="007B3D5C" w:rsidP="00D403F5">
      <w:pPr>
        <w:spacing w:after="0"/>
        <w:ind w:left="426"/>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Cs/>
          <w:color w:val="000000"/>
          <w:sz w:val="18"/>
          <w:szCs w:val="18"/>
        </w:rPr>
        <w:t>water</w:t>
      </w:r>
      <w:r w:rsidRPr="00D403F5">
        <w:rPr>
          <w:rFonts w:ascii="Arial" w:hAnsi="Arial" w:cs="Arial"/>
          <w:color w:val="000000"/>
          <w:sz w:val="18"/>
          <w:szCs w:val="18"/>
        </w:rPr>
        <w:t xml:space="preserve"> </w:t>
      </w:r>
      <w:r w:rsidRPr="00D403F5">
        <w:rPr>
          <w:rFonts w:ascii="Arial" w:hAnsi="Arial" w:cs="Arial"/>
          <w:sz w:val="18"/>
          <w:szCs w:val="18"/>
          <w:lang w:val="en-CA"/>
        </w:rPr>
        <w:t>should be managed giving consideration to the following mitigation measures</w:t>
      </w:r>
      <w:r w:rsidRPr="00D403F5">
        <w:rPr>
          <w:rFonts w:ascii="Arial" w:hAnsi="Arial" w:cs="Arial"/>
          <w:color w:val="000000"/>
          <w:sz w:val="18"/>
          <w:szCs w:val="18"/>
        </w:rPr>
        <w:t>:</w:t>
      </w:r>
    </w:p>
    <w:p w14:paraId="6BBC91FD" w14:textId="77777777" w:rsidR="007B3D5C" w:rsidRPr="00D403F5" w:rsidRDefault="007B3D5C" w:rsidP="00D403F5">
      <w:pPr>
        <w:autoSpaceDE w:val="0"/>
        <w:autoSpaceDN w:val="0"/>
        <w:adjustRightInd w:val="0"/>
        <w:spacing w:after="0"/>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ab/>
        <w:t xml:space="preserve">Where possible, choosing water sources that are entirely free of susceptible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populations and </w:t>
      </w:r>
      <w:r w:rsidRPr="00D403F5">
        <w:rPr>
          <w:rFonts w:ascii="Arial" w:hAnsi="Arial" w:cs="Arial"/>
          <w:i/>
          <w:color w:val="000000"/>
          <w:sz w:val="18"/>
          <w:szCs w:val="18"/>
        </w:rPr>
        <w:t>pathogenic agents</w:t>
      </w:r>
      <w:r w:rsidRPr="00D403F5">
        <w:rPr>
          <w:rFonts w:ascii="Arial" w:eastAsia="SimSun" w:hAnsi="Arial" w:cs="Arial"/>
          <w:i/>
          <w:color w:val="000000"/>
          <w:sz w:val="18"/>
          <w:szCs w:val="18"/>
          <w:lang w:eastAsia="zh-CN"/>
        </w:rPr>
        <w:t xml:space="preserve"> </w:t>
      </w:r>
      <w:r w:rsidRPr="00D403F5">
        <w:rPr>
          <w:rFonts w:ascii="Arial" w:hAnsi="Arial" w:cs="Arial"/>
          <w:sz w:val="18"/>
          <w:szCs w:val="18"/>
          <w:lang w:val="en-AU"/>
        </w:rPr>
        <w:t xml:space="preserve">of concern. Such water sources may include saline or fresh groundwater, de-chlorinated municipal water, and artificial seawater. These water sources may be particularly suitable for high health status </w:t>
      </w:r>
      <w:r w:rsidRPr="00D403F5">
        <w:rPr>
          <w:rFonts w:ascii="Arial" w:hAnsi="Arial" w:cs="Arial"/>
          <w:i/>
          <w:sz w:val="18"/>
          <w:szCs w:val="18"/>
          <w:lang w:val="en-AU"/>
        </w:rPr>
        <w:t>aquatic animals</w:t>
      </w:r>
      <w:r w:rsidRPr="00D403F5">
        <w:rPr>
          <w:rFonts w:ascii="Arial" w:hAnsi="Arial" w:cs="Arial"/>
          <w:sz w:val="18"/>
          <w:szCs w:val="18"/>
          <w:lang w:val="en-AU"/>
        </w:rPr>
        <w:t xml:space="preserve"> such as broodstock.</w:t>
      </w:r>
    </w:p>
    <w:p w14:paraId="3C398129" w14:textId="77777777" w:rsidR="007B3D5C" w:rsidRPr="00D403F5" w:rsidRDefault="007B3D5C" w:rsidP="00D403F5">
      <w:pPr>
        <w:autoSpaceDE w:val="0"/>
        <w:autoSpaceDN w:val="0"/>
        <w:adjustRightInd w:val="0"/>
        <w:spacing w:after="0"/>
        <w:ind w:left="851" w:hanging="425"/>
        <w:jc w:val="both"/>
        <w:rPr>
          <w:rFonts w:ascii="Arial" w:hAnsi="Arial" w:cs="Arial"/>
          <w:sz w:val="18"/>
          <w:szCs w:val="18"/>
          <w:lang w:val="en-AU"/>
        </w:rPr>
      </w:pPr>
      <w:r w:rsidRPr="00D403F5">
        <w:rPr>
          <w:rFonts w:ascii="Arial" w:hAnsi="Arial" w:cs="Arial"/>
          <w:i/>
          <w:sz w:val="18"/>
          <w:szCs w:val="18"/>
          <w:lang w:val="en-AU"/>
        </w:rPr>
        <w:t>b)</w:t>
      </w:r>
      <w:r w:rsidRPr="00D403F5">
        <w:rPr>
          <w:rFonts w:ascii="Arial" w:hAnsi="Arial" w:cs="Arial"/>
          <w:sz w:val="18"/>
          <w:szCs w:val="18"/>
          <w:lang w:val="en-AU"/>
        </w:rPr>
        <w:tab/>
        <w:t>Providing an appropriate level of screening, filtration or disinfection (</w:t>
      </w:r>
      <w:r w:rsidRPr="00D403F5">
        <w:rPr>
          <w:rFonts w:ascii="Arial" w:hAnsi="Arial" w:cs="Arial"/>
          <w:color w:val="000000"/>
          <w:sz w:val="18"/>
          <w:szCs w:val="18"/>
        </w:rPr>
        <w:t xml:space="preserve">in accordance with Chapter 4.3.) </w:t>
      </w:r>
      <w:r w:rsidRPr="00D403F5">
        <w:rPr>
          <w:rFonts w:ascii="Arial" w:hAnsi="Arial" w:cs="Arial"/>
          <w:sz w:val="18"/>
          <w:szCs w:val="18"/>
          <w:lang w:val="en-AU"/>
        </w:rPr>
        <w:t xml:space="preserve">of water from sources that are likely to contain </w:t>
      </w:r>
      <w:r w:rsidRPr="00D403F5">
        <w:rPr>
          <w:rFonts w:ascii="Arial" w:hAnsi="Arial" w:cs="Arial"/>
          <w:i/>
          <w:sz w:val="18"/>
          <w:szCs w:val="18"/>
          <w:lang w:val="en-AU"/>
        </w:rPr>
        <w:t>susceptible species</w:t>
      </w:r>
      <w:r w:rsidRPr="00D403F5">
        <w:rPr>
          <w:rFonts w:ascii="Arial" w:hAnsi="Arial" w:cs="Arial"/>
          <w:sz w:val="18"/>
          <w:szCs w:val="18"/>
          <w:lang w:val="en-AU"/>
        </w:rPr>
        <w:t xml:space="preserve"> and may present a </w:t>
      </w:r>
      <w:r w:rsidRPr="00D403F5">
        <w:rPr>
          <w:rFonts w:ascii="Arial" w:hAnsi="Arial" w:cs="Arial"/>
          <w:i/>
          <w:sz w:val="18"/>
          <w:szCs w:val="18"/>
          <w:lang w:val="en-AU"/>
        </w:rPr>
        <w:t>risk</w:t>
      </w:r>
      <w:r w:rsidRPr="00D403F5">
        <w:rPr>
          <w:rFonts w:ascii="Arial" w:hAnsi="Arial" w:cs="Arial"/>
          <w:sz w:val="18"/>
          <w:szCs w:val="18"/>
          <w:lang w:val="en-AU"/>
        </w:rPr>
        <w:t xml:space="preserve"> of </w:t>
      </w:r>
      <w:r w:rsidRPr="00D403F5">
        <w:rPr>
          <w:rFonts w:ascii="Arial" w:hAnsi="Arial" w:cs="Arial"/>
          <w:i/>
          <w:color w:val="000000"/>
          <w:sz w:val="18"/>
          <w:szCs w:val="18"/>
        </w:rPr>
        <w:t xml:space="preserve">pathogenic agent </w:t>
      </w:r>
      <w:r w:rsidRPr="00D403F5">
        <w:rPr>
          <w:rFonts w:ascii="Arial" w:hAnsi="Arial" w:cs="Arial"/>
          <w:sz w:val="18"/>
          <w:szCs w:val="18"/>
          <w:lang w:val="en-AU"/>
        </w:rPr>
        <w:t xml:space="preserve">transmission (e.g. oceans, streams or lakes). The level of treatment required will depend on the identified </w:t>
      </w:r>
      <w:r w:rsidRPr="00D403F5">
        <w:rPr>
          <w:rFonts w:ascii="Arial" w:hAnsi="Arial" w:cs="Arial"/>
          <w:i/>
          <w:sz w:val="18"/>
          <w:szCs w:val="18"/>
          <w:lang w:val="en-AU"/>
        </w:rPr>
        <w:t>risks</w:t>
      </w:r>
      <w:r w:rsidRPr="00D403F5">
        <w:rPr>
          <w:rFonts w:ascii="Arial" w:hAnsi="Arial" w:cs="Arial"/>
          <w:sz w:val="18"/>
          <w:szCs w:val="18"/>
          <w:lang w:val="en-AU"/>
        </w:rPr>
        <w:t xml:space="preserve">. </w:t>
      </w:r>
    </w:p>
    <w:p w14:paraId="051CCB1A" w14:textId="77777777" w:rsidR="007B3D5C" w:rsidRPr="00D403F5" w:rsidRDefault="007B3D5C" w:rsidP="00D403F5">
      <w:pPr>
        <w:autoSpaceDE w:val="0"/>
        <w:autoSpaceDN w:val="0"/>
        <w:adjustRightInd w:val="0"/>
        <w:spacing w:after="0"/>
        <w:ind w:left="851" w:hanging="425"/>
        <w:jc w:val="both"/>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iCs/>
          <w:sz w:val="18"/>
          <w:szCs w:val="18"/>
          <w:lang w:val="en-AU"/>
        </w:rPr>
        <w:tab/>
        <w:t xml:space="preserve">Provide </w:t>
      </w:r>
      <w:r w:rsidRPr="00D403F5">
        <w:rPr>
          <w:rFonts w:ascii="Arial" w:hAnsi="Arial" w:cs="Arial"/>
          <w:sz w:val="18"/>
          <w:szCs w:val="18"/>
          <w:lang w:val="en-AU"/>
        </w:rPr>
        <w:t>an appropriate level of filtration, disinfection or holding (</w:t>
      </w:r>
      <w:r w:rsidRPr="00D403F5">
        <w:rPr>
          <w:rFonts w:ascii="Arial" w:hAnsi="Arial" w:cs="Arial"/>
          <w:color w:val="000000"/>
          <w:sz w:val="18"/>
          <w:szCs w:val="18"/>
        </w:rPr>
        <w:t>in accordance with Chapter 4.3.)</w:t>
      </w:r>
      <w:r w:rsidRPr="00D403F5">
        <w:rPr>
          <w:rFonts w:ascii="Arial" w:hAnsi="Arial" w:cs="Arial"/>
          <w:iCs/>
          <w:sz w:val="18"/>
          <w:szCs w:val="18"/>
          <w:lang w:val="en-AU"/>
        </w:rPr>
        <w:t xml:space="preserve"> of effluent water from </w:t>
      </w:r>
      <w:r w:rsidRPr="00D403F5">
        <w:rPr>
          <w:rFonts w:ascii="Arial" w:hAnsi="Arial" w:cs="Arial"/>
          <w:i/>
          <w:sz w:val="18"/>
          <w:szCs w:val="18"/>
          <w:lang w:val="en-AU"/>
        </w:rPr>
        <w:t>aquaculture establishments</w:t>
      </w:r>
      <w:r w:rsidRPr="00D403F5">
        <w:rPr>
          <w:rFonts w:ascii="Arial" w:hAnsi="Arial" w:cs="Arial"/>
          <w:iCs/>
          <w:sz w:val="18"/>
          <w:szCs w:val="18"/>
          <w:lang w:val="en-AU"/>
        </w:rPr>
        <w:t xml:space="preserve"> (or associated slaughterhouses or processing facilities) where it </w:t>
      </w:r>
      <w:r w:rsidRPr="00D403F5">
        <w:rPr>
          <w:rFonts w:ascii="Arial" w:hAnsi="Arial" w:cs="Arial"/>
          <w:sz w:val="18"/>
          <w:szCs w:val="18"/>
          <w:lang w:val="en-AU"/>
        </w:rPr>
        <w:t xml:space="preserve">may present a </w:t>
      </w:r>
      <w:r w:rsidRPr="00D403F5">
        <w:rPr>
          <w:rFonts w:ascii="Arial" w:hAnsi="Arial" w:cs="Arial"/>
          <w:i/>
          <w:sz w:val="18"/>
          <w:szCs w:val="18"/>
          <w:lang w:val="en-AU"/>
        </w:rPr>
        <w:t>risk</w:t>
      </w:r>
      <w:r w:rsidRPr="00D403F5">
        <w:rPr>
          <w:rFonts w:ascii="Arial" w:hAnsi="Arial" w:cs="Arial"/>
          <w:sz w:val="18"/>
          <w:szCs w:val="18"/>
          <w:lang w:val="en-AU"/>
        </w:rPr>
        <w:t xml:space="preserve"> of </w:t>
      </w:r>
      <w:r w:rsidRPr="00D403F5">
        <w:rPr>
          <w:rFonts w:ascii="Arial" w:hAnsi="Arial" w:cs="Arial"/>
          <w:i/>
          <w:color w:val="000000"/>
          <w:sz w:val="18"/>
          <w:szCs w:val="18"/>
        </w:rPr>
        <w:t xml:space="preserve">pathogenic agent </w:t>
      </w:r>
      <w:r w:rsidRPr="00D403F5">
        <w:rPr>
          <w:rFonts w:ascii="Arial" w:hAnsi="Arial" w:cs="Arial"/>
          <w:sz w:val="18"/>
          <w:szCs w:val="18"/>
          <w:lang w:val="en-AU"/>
        </w:rPr>
        <w:t>transmission to</w:t>
      </w:r>
      <w:r w:rsidRPr="00D403F5">
        <w:rPr>
          <w:rFonts w:ascii="Arial" w:hAnsi="Arial" w:cs="Arial"/>
          <w:iCs/>
          <w:sz w:val="18"/>
          <w:szCs w:val="18"/>
          <w:lang w:val="en-AU"/>
        </w:rPr>
        <w:t xml:space="preserve"> wild </w:t>
      </w:r>
      <w:r w:rsidRPr="00D403F5">
        <w:rPr>
          <w:rFonts w:ascii="Arial" w:hAnsi="Arial" w:cs="Arial"/>
          <w:i/>
          <w:sz w:val="18"/>
          <w:szCs w:val="18"/>
          <w:lang w:val="en-AU"/>
        </w:rPr>
        <w:t>aquatic animals</w:t>
      </w:r>
      <w:r w:rsidRPr="00D403F5">
        <w:rPr>
          <w:rFonts w:ascii="Arial" w:hAnsi="Arial" w:cs="Arial"/>
          <w:iCs/>
          <w:sz w:val="18"/>
          <w:szCs w:val="18"/>
          <w:lang w:val="en-AU"/>
        </w:rPr>
        <w:t xml:space="preserve"> or other </w:t>
      </w:r>
      <w:r w:rsidRPr="00D403F5">
        <w:rPr>
          <w:rFonts w:ascii="Arial" w:hAnsi="Arial" w:cs="Arial"/>
          <w:i/>
          <w:sz w:val="18"/>
          <w:szCs w:val="18"/>
          <w:lang w:val="en-AU"/>
        </w:rPr>
        <w:t>aquaculture establishments</w:t>
      </w:r>
      <w:r w:rsidRPr="00D403F5">
        <w:rPr>
          <w:rFonts w:ascii="Arial" w:hAnsi="Arial" w:cs="Arial"/>
          <w:iCs/>
          <w:sz w:val="18"/>
          <w:szCs w:val="18"/>
          <w:lang w:val="en-AU"/>
        </w:rPr>
        <w:t xml:space="preserve"> with</w:t>
      </w:r>
      <w:r w:rsidRPr="00D403F5">
        <w:rPr>
          <w:rFonts w:ascii="Arial" w:hAnsi="Arial" w:cs="Arial"/>
          <w:i/>
          <w:sz w:val="18"/>
          <w:szCs w:val="18"/>
          <w:lang w:val="en-AU"/>
        </w:rPr>
        <w:t xml:space="preserve"> susceptible species</w:t>
      </w:r>
      <w:r w:rsidRPr="00D403F5">
        <w:rPr>
          <w:rFonts w:ascii="Arial" w:hAnsi="Arial" w:cs="Arial"/>
          <w:color w:val="000000"/>
          <w:sz w:val="18"/>
          <w:szCs w:val="18"/>
        </w:rPr>
        <w:t xml:space="preserve">. </w:t>
      </w:r>
      <w:r w:rsidRPr="00D403F5">
        <w:rPr>
          <w:rFonts w:ascii="Arial" w:hAnsi="Arial" w:cs="Arial"/>
          <w:sz w:val="18"/>
          <w:szCs w:val="18"/>
          <w:lang w:val="en-AU"/>
        </w:rPr>
        <w:t xml:space="preserve">The level of treatment required will depend on the identified </w:t>
      </w:r>
      <w:r w:rsidRPr="00D403F5">
        <w:rPr>
          <w:rFonts w:ascii="Arial" w:hAnsi="Arial" w:cs="Arial"/>
          <w:i/>
          <w:sz w:val="18"/>
          <w:szCs w:val="18"/>
          <w:lang w:val="en-AU"/>
        </w:rPr>
        <w:t>risks</w:t>
      </w:r>
      <w:r w:rsidRPr="00D403F5">
        <w:rPr>
          <w:rFonts w:ascii="Arial" w:hAnsi="Arial" w:cs="Arial"/>
          <w:sz w:val="18"/>
          <w:szCs w:val="18"/>
          <w:lang w:val="en-AU"/>
        </w:rPr>
        <w:t xml:space="preserve">. </w:t>
      </w:r>
    </w:p>
    <w:p w14:paraId="3CA869AE" w14:textId="77777777" w:rsidR="007B3D5C" w:rsidRPr="00D403F5" w:rsidRDefault="007B3D5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sz w:val="18"/>
          <w:szCs w:val="18"/>
          <w:lang w:val="en-AU"/>
        </w:rPr>
        <w:t>d)</w:t>
      </w:r>
      <w:r w:rsidRPr="00D403F5">
        <w:rPr>
          <w:rFonts w:ascii="Arial" w:hAnsi="Arial" w:cs="Arial"/>
          <w:sz w:val="18"/>
          <w:szCs w:val="18"/>
          <w:lang w:val="en-AU"/>
        </w:rPr>
        <w:t xml:space="preserve"> </w:t>
      </w:r>
      <w:r w:rsidRPr="00D403F5">
        <w:rPr>
          <w:rFonts w:ascii="Arial" w:hAnsi="Arial" w:cs="Arial"/>
          <w:sz w:val="18"/>
          <w:szCs w:val="18"/>
          <w:lang w:val="en-AU"/>
        </w:rPr>
        <w:tab/>
        <w:t xml:space="preserve">Ensuring the position of water intakes and outlets for semi-closed and closed </w:t>
      </w:r>
      <w:r w:rsidRPr="00D403F5">
        <w:rPr>
          <w:rFonts w:ascii="Arial" w:hAnsi="Arial" w:cs="Arial"/>
          <w:i/>
          <w:sz w:val="18"/>
          <w:szCs w:val="18"/>
          <w:lang w:val="en-AU"/>
        </w:rPr>
        <w:t>aquaculture establishments</w:t>
      </w:r>
      <w:r w:rsidRPr="00D403F5">
        <w:rPr>
          <w:rFonts w:ascii="Arial" w:hAnsi="Arial" w:cs="Arial"/>
          <w:sz w:val="18"/>
          <w:szCs w:val="18"/>
          <w:lang w:val="en-AU"/>
        </w:rPr>
        <w:t xml:space="preserve">, and the location of semi-open </w:t>
      </w:r>
      <w:r w:rsidRPr="00D403F5">
        <w:rPr>
          <w:rFonts w:ascii="Arial" w:hAnsi="Arial" w:cs="Arial"/>
          <w:i/>
          <w:sz w:val="18"/>
          <w:szCs w:val="18"/>
          <w:lang w:val="en-AU"/>
        </w:rPr>
        <w:t>aquaculture establishments</w:t>
      </w:r>
      <w:r w:rsidRPr="00D403F5">
        <w:rPr>
          <w:rFonts w:ascii="Arial" w:hAnsi="Arial" w:cs="Arial"/>
          <w:sz w:val="18"/>
          <w:szCs w:val="18"/>
          <w:lang w:val="en-AU"/>
        </w:rPr>
        <w:t xml:space="preserve">, minimises contamination from </w:t>
      </w:r>
      <w:r w:rsidRPr="00D403F5">
        <w:rPr>
          <w:rFonts w:ascii="Arial" w:hAnsi="Arial" w:cs="Arial"/>
          <w:sz w:val="18"/>
          <w:szCs w:val="18"/>
        </w:rPr>
        <w:t>other farmed or wild populations or processing plants, taking into account factors such as distance and water currents.</w:t>
      </w:r>
    </w:p>
    <w:p w14:paraId="23EB0BC2" w14:textId="77777777" w:rsidR="007B3D5C" w:rsidRPr="00D403F5" w:rsidRDefault="007B3D5C" w:rsidP="00D403F5">
      <w:pPr>
        <w:autoSpaceDE w:val="0"/>
        <w:autoSpaceDN w:val="0"/>
        <w:adjustRightInd w:val="0"/>
        <w:spacing w:after="0"/>
        <w:ind w:left="851" w:hanging="425"/>
        <w:jc w:val="both"/>
        <w:rPr>
          <w:rFonts w:ascii="Arial" w:hAnsi="Arial" w:cs="Arial"/>
          <w:iCs/>
          <w:sz w:val="18"/>
          <w:szCs w:val="18"/>
        </w:rPr>
      </w:pPr>
      <w:r w:rsidRPr="00D403F5">
        <w:rPr>
          <w:rFonts w:ascii="Arial" w:hAnsi="Arial" w:cs="Arial"/>
          <w:i/>
          <w:sz w:val="18"/>
          <w:szCs w:val="18"/>
          <w:lang w:val="en-AU"/>
        </w:rPr>
        <w:t>e)</w:t>
      </w:r>
      <w:r w:rsidRPr="00D403F5">
        <w:rPr>
          <w:rFonts w:ascii="Arial" w:hAnsi="Arial" w:cs="Arial"/>
          <w:i/>
          <w:sz w:val="18"/>
          <w:szCs w:val="18"/>
          <w:lang w:val="en-AU"/>
        </w:rPr>
        <w:tab/>
      </w:r>
      <w:r w:rsidRPr="00D403F5">
        <w:rPr>
          <w:rFonts w:ascii="Arial" w:hAnsi="Arial" w:cs="Arial"/>
          <w:iCs/>
          <w:sz w:val="18"/>
          <w:szCs w:val="18"/>
          <w:lang w:val="en-AU"/>
        </w:rPr>
        <w:t>The likelihood of ingress of contaminated water either through flooding from external sources or from defective infrastructure (e.g. leaking pipes, blocked drains, bund wall failure) should be assessed and appropriate management or infrastructure measures applied.</w:t>
      </w:r>
    </w:p>
    <w:p w14:paraId="0B2ED943" w14:textId="77777777" w:rsidR="007B3D5C" w:rsidRPr="00D403F5" w:rsidRDefault="007B3D5C" w:rsidP="00D403F5">
      <w:pPr>
        <w:spacing w:after="0"/>
        <w:ind w:left="426" w:hanging="426"/>
        <w:jc w:val="both"/>
        <w:rPr>
          <w:rFonts w:ascii="Arial" w:hAnsi="Arial" w:cs="Arial"/>
          <w:color w:val="000000"/>
          <w:sz w:val="18"/>
          <w:szCs w:val="18"/>
        </w:rPr>
      </w:pPr>
      <w:r w:rsidRPr="00D403F5">
        <w:rPr>
          <w:rFonts w:ascii="Arial" w:hAnsi="Arial" w:cs="Arial"/>
          <w:color w:val="000000"/>
          <w:sz w:val="18"/>
          <w:szCs w:val="18"/>
        </w:rPr>
        <w:t>4.</w:t>
      </w:r>
      <w:r w:rsidRPr="00D403F5">
        <w:rPr>
          <w:rFonts w:ascii="Arial" w:hAnsi="Arial" w:cs="Arial"/>
          <w:color w:val="000000"/>
          <w:sz w:val="18"/>
          <w:szCs w:val="18"/>
        </w:rPr>
        <w:tab/>
      </w:r>
      <w:r w:rsidRPr="00D403F5">
        <w:rPr>
          <w:rFonts w:ascii="Arial" w:hAnsi="Arial" w:cs="Arial"/>
          <w:color w:val="000000"/>
          <w:sz w:val="18"/>
          <w:szCs w:val="18"/>
          <w:u w:val="single"/>
        </w:rPr>
        <w:t>Feed</w:t>
      </w:r>
    </w:p>
    <w:p w14:paraId="1F519344" w14:textId="77777777" w:rsidR="007B3D5C" w:rsidRPr="00D403F5" w:rsidRDefault="007B3D5C" w:rsidP="00D403F5">
      <w:pPr>
        <w:spacing w:after="0"/>
        <w:ind w:left="426"/>
        <w:jc w:val="both"/>
        <w:rPr>
          <w:rFonts w:ascii="Arial" w:hAnsi="Arial" w:cs="Arial"/>
          <w:color w:val="000000"/>
          <w:sz w:val="18"/>
          <w:szCs w:val="18"/>
        </w:rPr>
      </w:pPr>
      <w:r w:rsidRPr="00D403F5">
        <w:rPr>
          <w:rFonts w:ascii="Arial" w:hAnsi="Arial" w:cs="Arial"/>
          <w:i/>
          <w:color w:val="000000"/>
          <w:sz w:val="18"/>
          <w:szCs w:val="18"/>
        </w:rPr>
        <w:t>Feed</w:t>
      </w:r>
      <w:r w:rsidRPr="00D403F5">
        <w:rPr>
          <w:rFonts w:ascii="Arial" w:hAnsi="Arial" w:cs="Arial"/>
          <w:color w:val="000000"/>
          <w:sz w:val="18"/>
          <w:szCs w:val="18"/>
        </w:rPr>
        <w:t xml:space="preserve"> can be an important pathway for transmission of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to </w:t>
      </w:r>
      <w:r w:rsidRPr="00D403F5">
        <w:rPr>
          <w:rFonts w:ascii="Arial" w:hAnsi="Arial" w:cs="Arial"/>
          <w:i/>
          <w:color w:val="000000"/>
          <w:sz w:val="18"/>
          <w:szCs w:val="18"/>
        </w:rPr>
        <w:t>aquatic animals</w:t>
      </w:r>
      <w:r w:rsidRPr="00D403F5">
        <w:rPr>
          <w:rFonts w:ascii="Arial" w:hAnsi="Arial" w:cs="Arial"/>
          <w:color w:val="000000"/>
          <w:sz w:val="18"/>
          <w:szCs w:val="18"/>
        </w:rPr>
        <w:t xml:space="preserve">. </w:t>
      </w:r>
      <w:r w:rsidRPr="00D403F5">
        <w:rPr>
          <w:rFonts w:ascii="Arial" w:hAnsi="Arial" w:cs="Arial"/>
          <w:i/>
          <w:color w:val="000000"/>
          <w:sz w:val="18"/>
          <w:szCs w:val="18"/>
        </w:rPr>
        <w:t>Feed</w:t>
      </w:r>
      <w:r w:rsidRPr="00D403F5">
        <w:rPr>
          <w:rFonts w:ascii="Arial" w:hAnsi="Arial" w:cs="Arial"/>
          <w:color w:val="000000"/>
          <w:sz w:val="18"/>
          <w:szCs w:val="18"/>
        </w:rPr>
        <w:t xml:space="preserve"> may be initially infected with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or</w:t>
      </w:r>
      <w:r w:rsidRPr="00D403F5">
        <w:rPr>
          <w:rFonts w:ascii="Arial" w:hAnsi="Arial" w:cs="Arial"/>
          <w:i/>
          <w:color w:val="000000"/>
          <w:sz w:val="18"/>
          <w:szCs w:val="18"/>
        </w:rPr>
        <w:t xml:space="preserve"> </w:t>
      </w:r>
      <w:r w:rsidRPr="00D403F5">
        <w:rPr>
          <w:rFonts w:ascii="Arial" w:hAnsi="Arial" w:cs="Arial"/>
          <w:color w:val="000000"/>
          <w:sz w:val="18"/>
          <w:szCs w:val="18"/>
        </w:rPr>
        <w:t xml:space="preserve">contaminated during harvest, transport, storage and processing of commodities used as feed ingredients. Poor hygiene may contribute to contamination during manufacture, transport, storage and use of </w:t>
      </w:r>
      <w:r w:rsidRPr="00D403F5">
        <w:rPr>
          <w:rFonts w:ascii="Arial" w:hAnsi="Arial" w:cs="Arial"/>
          <w:i/>
          <w:color w:val="000000"/>
          <w:sz w:val="18"/>
          <w:szCs w:val="18"/>
        </w:rPr>
        <w:t>feed</w:t>
      </w:r>
      <w:r w:rsidRPr="00D403F5">
        <w:rPr>
          <w:rFonts w:ascii="Arial" w:hAnsi="Arial" w:cs="Arial"/>
          <w:color w:val="000000"/>
          <w:sz w:val="18"/>
          <w:szCs w:val="18"/>
        </w:rPr>
        <w:t>.</w:t>
      </w:r>
    </w:p>
    <w:p w14:paraId="178B6CD3" w14:textId="77777777" w:rsidR="007B3D5C" w:rsidRPr="00D403F5" w:rsidRDefault="007B3D5C" w:rsidP="00D403F5">
      <w:pPr>
        <w:spacing w:after="0"/>
        <w:ind w:left="426"/>
        <w:jc w:val="both"/>
        <w:rPr>
          <w:rFonts w:ascii="Arial" w:hAnsi="Arial" w:cs="Arial"/>
          <w:sz w:val="18"/>
          <w:szCs w:val="18"/>
        </w:rPr>
      </w:pPr>
      <w:r w:rsidRPr="00D403F5">
        <w:rPr>
          <w:rFonts w:ascii="Arial" w:hAnsi="Arial" w:cs="Arial"/>
          <w:sz w:val="18"/>
          <w:szCs w:val="18"/>
        </w:rPr>
        <w:t xml:space="preserve">In closed or semi-closed production systems there can be a high level of control on </w:t>
      </w:r>
      <w:r w:rsidRPr="00D403F5">
        <w:rPr>
          <w:rFonts w:ascii="Arial" w:hAnsi="Arial" w:cs="Arial"/>
          <w:i/>
          <w:sz w:val="18"/>
          <w:szCs w:val="18"/>
        </w:rPr>
        <w:t>aquatic animal</w:t>
      </w:r>
      <w:r w:rsidRPr="00D403F5">
        <w:rPr>
          <w:rFonts w:ascii="Arial" w:eastAsia="SimSun" w:hAnsi="Arial" w:cs="Arial"/>
          <w:i/>
          <w:sz w:val="18"/>
          <w:szCs w:val="18"/>
          <w:lang w:eastAsia="zh-CN"/>
        </w:rPr>
        <w:t xml:space="preserve"> </w:t>
      </w:r>
      <w:r w:rsidRPr="00D403F5">
        <w:rPr>
          <w:rFonts w:ascii="Arial" w:hAnsi="Arial" w:cs="Arial"/>
          <w:i/>
          <w:sz w:val="18"/>
          <w:szCs w:val="18"/>
        </w:rPr>
        <w:t>feed</w:t>
      </w:r>
      <w:r w:rsidRPr="00D403F5">
        <w:rPr>
          <w:rFonts w:ascii="Arial" w:hAnsi="Arial" w:cs="Arial"/>
          <w:sz w:val="18"/>
          <w:szCs w:val="18"/>
        </w:rPr>
        <w:t xml:space="preserve">. However, in semi-open production systems, </w:t>
      </w:r>
      <w:r w:rsidRPr="00D403F5">
        <w:rPr>
          <w:rFonts w:ascii="Arial" w:hAnsi="Arial" w:cs="Arial"/>
          <w:i/>
          <w:sz w:val="18"/>
          <w:szCs w:val="18"/>
        </w:rPr>
        <w:t>aquatic animals</w:t>
      </w:r>
      <w:r w:rsidRPr="00D403F5">
        <w:rPr>
          <w:rFonts w:ascii="Arial" w:eastAsia="SimSun" w:hAnsi="Arial" w:cs="Arial"/>
          <w:i/>
          <w:sz w:val="18"/>
          <w:szCs w:val="18"/>
          <w:lang w:eastAsia="zh-CN"/>
        </w:rPr>
        <w:t xml:space="preserve"> </w:t>
      </w:r>
      <w:r w:rsidRPr="00D403F5">
        <w:rPr>
          <w:rFonts w:ascii="Arial" w:hAnsi="Arial" w:cs="Arial"/>
          <w:sz w:val="18"/>
          <w:szCs w:val="18"/>
        </w:rPr>
        <w:t xml:space="preserve">may obtain food from their environment (e.g. filter-feeding molluscs or wild fish which may be preyed on in net pens). </w:t>
      </w:r>
    </w:p>
    <w:p w14:paraId="5ADA9B50" w14:textId="77777777" w:rsidR="007B3D5C" w:rsidRPr="00D403F5" w:rsidRDefault="007B3D5C" w:rsidP="00D403F5">
      <w:pPr>
        <w:spacing w:after="0"/>
        <w:ind w:left="426"/>
        <w:jc w:val="both"/>
        <w:rPr>
          <w:rFonts w:ascii="Arial" w:hAnsi="Arial" w:cs="Arial"/>
          <w:sz w:val="18"/>
          <w:szCs w:val="18"/>
        </w:rPr>
      </w:pPr>
      <w:r w:rsidRPr="00D403F5">
        <w:rPr>
          <w:rFonts w:ascii="Arial" w:hAnsi="Arial" w:cs="Arial"/>
          <w:sz w:val="18"/>
          <w:szCs w:val="18"/>
        </w:rPr>
        <w:t xml:space="preserve">The </w:t>
      </w:r>
      <w:r w:rsidRPr="00D403F5">
        <w:rPr>
          <w:rFonts w:ascii="Arial" w:hAnsi="Arial" w:cs="Arial"/>
          <w:i/>
          <w:sz w:val="18"/>
          <w:szCs w:val="18"/>
        </w:rPr>
        <w:t>risk</w:t>
      </w:r>
      <w:r w:rsidRPr="00D403F5">
        <w:rPr>
          <w:rFonts w:ascii="Arial" w:hAnsi="Arial" w:cs="Arial"/>
          <w:sz w:val="18"/>
          <w:szCs w:val="18"/>
        </w:rPr>
        <w:t xml:space="preserve"> of transmitting </w:t>
      </w:r>
      <w:r w:rsidRPr="00D403F5">
        <w:rPr>
          <w:rFonts w:ascii="Arial" w:hAnsi="Arial" w:cs="Arial"/>
          <w:i/>
          <w:sz w:val="18"/>
          <w:szCs w:val="18"/>
        </w:rPr>
        <w:t>pathogenic agents</w:t>
      </w:r>
      <w:r w:rsidRPr="00D403F5">
        <w:rPr>
          <w:rFonts w:ascii="Arial" w:hAnsi="Arial" w:cs="Arial"/>
          <w:sz w:val="18"/>
          <w:szCs w:val="18"/>
        </w:rPr>
        <w:t xml:space="preserve"> via </w:t>
      </w:r>
      <w:r w:rsidRPr="00D403F5">
        <w:rPr>
          <w:rFonts w:ascii="Arial" w:hAnsi="Arial" w:cs="Arial"/>
          <w:i/>
          <w:sz w:val="18"/>
          <w:szCs w:val="18"/>
        </w:rPr>
        <w:t>aquatic animal feed</w:t>
      </w:r>
      <w:r w:rsidRPr="00D403F5">
        <w:rPr>
          <w:rFonts w:ascii="Arial" w:hAnsi="Arial" w:cs="Arial"/>
          <w:sz w:val="18"/>
          <w:szCs w:val="18"/>
        </w:rPr>
        <w:t xml:space="preserve"> should be managed by mitigation measures as provided in Chapter 4.8., for example using</w:t>
      </w:r>
      <w:r w:rsidRPr="00D403F5">
        <w:rPr>
          <w:rFonts w:ascii="Arial" w:eastAsia="SimSun" w:hAnsi="Arial" w:cs="Arial"/>
          <w:sz w:val="18"/>
          <w:szCs w:val="18"/>
          <w:lang w:eastAsia="zh-CN"/>
        </w:rPr>
        <w:t xml:space="preserve"> </w:t>
      </w:r>
      <w:r w:rsidRPr="00D403F5">
        <w:rPr>
          <w:rFonts w:ascii="Arial" w:hAnsi="Arial" w:cs="Arial"/>
          <w:i/>
          <w:sz w:val="18"/>
          <w:szCs w:val="18"/>
          <w:lang w:val="en-AU"/>
        </w:rPr>
        <w:t>feed</w:t>
      </w:r>
      <w:r w:rsidRPr="00D403F5">
        <w:rPr>
          <w:rFonts w:ascii="Arial" w:hAnsi="Arial" w:cs="Arial"/>
          <w:sz w:val="18"/>
          <w:szCs w:val="18"/>
          <w:lang w:val="en-AU"/>
        </w:rPr>
        <w:t xml:space="preserve"> and </w:t>
      </w:r>
      <w:r w:rsidRPr="00D403F5">
        <w:rPr>
          <w:rFonts w:ascii="Arial" w:hAnsi="Arial" w:cs="Arial"/>
          <w:i/>
          <w:sz w:val="18"/>
          <w:szCs w:val="18"/>
          <w:lang w:val="en-AU"/>
        </w:rPr>
        <w:t>feed</w:t>
      </w:r>
      <w:r w:rsidRPr="00D403F5">
        <w:rPr>
          <w:rFonts w:ascii="Arial" w:hAnsi="Arial" w:cs="Arial"/>
          <w:sz w:val="18"/>
          <w:szCs w:val="18"/>
          <w:lang w:val="en-AU"/>
        </w:rPr>
        <w:t xml:space="preserve"> ingredients that</w:t>
      </w:r>
      <w:r w:rsidRPr="00D403F5">
        <w:rPr>
          <w:rFonts w:ascii="Arial" w:hAnsi="Arial" w:cs="Arial"/>
          <w:sz w:val="18"/>
          <w:szCs w:val="18"/>
        </w:rPr>
        <w:t>:</w:t>
      </w:r>
    </w:p>
    <w:p w14:paraId="06644E8B" w14:textId="77777777" w:rsidR="007B3D5C" w:rsidRPr="00D403F5" w:rsidRDefault="007B3D5C" w:rsidP="00D403F5">
      <w:pPr>
        <w:autoSpaceDE w:val="0"/>
        <w:autoSpaceDN w:val="0"/>
        <w:adjustRightInd w:val="0"/>
        <w:spacing w:after="0"/>
        <w:ind w:left="851" w:hanging="425"/>
        <w:jc w:val="both"/>
        <w:rPr>
          <w:rFonts w:ascii="Arial" w:hAnsi="Arial" w:cs="Arial"/>
          <w:i/>
          <w:sz w:val="18"/>
          <w:szCs w:val="18"/>
          <w:lang w:val="en-AU"/>
        </w:rPr>
      </w:pPr>
      <w:r w:rsidRPr="00D403F5">
        <w:rPr>
          <w:rFonts w:ascii="Arial" w:hAnsi="Arial" w:cs="Arial"/>
          <w:i/>
          <w:sz w:val="18"/>
          <w:szCs w:val="18"/>
          <w:lang w:val="en-AU"/>
        </w:rPr>
        <w:br w:type="page"/>
      </w:r>
    </w:p>
    <w:p w14:paraId="5125EDEE" w14:textId="7D590C3F" w:rsidR="007B3D5C" w:rsidRPr="00D403F5" w:rsidRDefault="007B3D5C" w:rsidP="0026432A">
      <w:pPr>
        <w:pStyle w:val="2"/>
        <w:tabs>
          <w:tab w:val="clear" w:pos="360"/>
        </w:tabs>
        <w:spacing w:after="480"/>
        <w:ind w:left="0" w:firstLine="0"/>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1FDCB32C" w14:textId="77777777" w:rsidR="007B3D5C" w:rsidRPr="00D403F5" w:rsidRDefault="007B3D5C" w:rsidP="00D403F5">
      <w:pPr>
        <w:autoSpaceDE w:val="0"/>
        <w:autoSpaceDN w:val="0"/>
        <w:adjustRightInd w:val="0"/>
        <w:spacing w:after="0" w:line="240" w:lineRule="auto"/>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ab/>
        <w:t xml:space="preserve">have undergone sufficient processing to inactivate </w:t>
      </w:r>
      <w:r w:rsidRPr="00D403F5">
        <w:rPr>
          <w:rFonts w:ascii="Arial" w:hAnsi="Arial" w:cs="Arial"/>
          <w:i/>
          <w:sz w:val="18"/>
          <w:szCs w:val="18"/>
          <w:lang w:val="en-AU"/>
        </w:rPr>
        <w:t>pathogenic agents</w:t>
      </w:r>
      <w:r w:rsidRPr="00D403F5">
        <w:rPr>
          <w:rFonts w:ascii="Arial" w:hAnsi="Arial" w:cs="Arial"/>
          <w:sz w:val="18"/>
          <w:szCs w:val="18"/>
          <w:lang w:val="en-AU"/>
        </w:rPr>
        <w:t xml:space="preserve"> of concern;</w:t>
      </w:r>
    </w:p>
    <w:p w14:paraId="3725AF95" w14:textId="77777777" w:rsidR="007B3D5C" w:rsidRPr="00D403F5" w:rsidRDefault="007B3D5C" w:rsidP="00D403F5">
      <w:pPr>
        <w:autoSpaceDE w:val="0"/>
        <w:autoSpaceDN w:val="0"/>
        <w:adjustRightInd w:val="0"/>
        <w:spacing w:after="0" w:line="240" w:lineRule="auto"/>
        <w:ind w:left="851" w:hanging="425"/>
        <w:jc w:val="both"/>
        <w:rPr>
          <w:rFonts w:ascii="Arial" w:hAnsi="Arial" w:cs="Arial"/>
          <w:sz w:val="18"/>
          <w:szCs w:val="18"/>
          <w:lang w:val="en-AU"/>
        </w:rPr>
      </w:pPr>
      <w:r w:rsidRPr="00D403F5">
        <w:rPr>
          <w:rFonts w:ascii="Arial" w:hAnsi="Arial" w:cs="Arial"/>
          <w:i/>
          <w:sz w:val="18"/>
          <w:szCs w:val="18"/>
          <w:lang w:val="en-AU"/>
        </w:rPr>
        <w:t>b)</w:t>
      </w:r>
      <w:r w:rsidRPr="00D403F5">
        <w:rPr>
          <w:rFonts w:ascii="Arial" w:hAnsi="Arial" w:cs="Arial"/>
          <w:sz w:val="18"/>
          <w:szCs w:val="18"/>
          <w:lang w:val="en-AU"/>
        </w:rPr>
        <w:tab/>
        <w:t xml:space="preserve">are from sources that are declared free from the </w:t>
      </w:r>
      <w:r w:rsidRPr="00D403F5">
        <w:rPr>
          <w:rFonts w:ascii="Arial" w:hAnsi="Arial" w:cs="Arial"/>
          <w:i/>
          <w:sz w:val="18"/>
          <w:szCs w:val="18"/>
          <w:lang w:val="en-AU"/>
        </w:rPr>
        <w:t>pathogenic agents</w:t>
      </w:r>
      <w:r w:rsidRPr="00D403F5">
        <w:rPr>
          <w:rFonts w:ascii="Arial" w:hAnsi="Arial" w:cs="Arial"/>
          <w:sz w:val="18"/>
          <w:szCs w:val="18"/>
          <w:lang w:val="en-AU"/>
        </w:rPr>
        <w:t xml:space="preserve"> of concern or have been confirmed (e.g. by testing) that </w:t>
      </w:r>
      <w:hyperlink r:id="rId36" w:anchor="terme_agent_pathogene" w:history="1">
        <w:r w:rsidRPr="00D403F5">
          <w:rPr>
            <w:rFonts w:ascii="Arial" w:hAnsi="Arial" w:cs="Arial"/>
            <w:i/>
            <w:sz w:val="18"/>
            <w:szCs w:val="18"/>
            <w:lang w:val="en-AU"/>
          </w:rPr>
          <w:t>pathogenic agents</w:t>
        </w:r>
      </w:hyperlink>
      <w:r w:rsidRPr="00D403F5">
        <w:rPr>
          <w:rFonts w:ascii="Arial" w:hAnsi="Arial" w:cs="Arial"/>
          <w:i/>
          <w:sz w:val="18"/>
          <w:szCs w:val="18"/>
          <w:lang w:val="en-AU"/>
        </w:rPr>
        <w:t> </w:t>
      </w:r>
      <w:r w:rsidRPr="00D403F5">
        <w:rPr>
          <w:rFonts w:ascii="Arial" w:hAnsi="Arial" w:cs="Arial"/>
          <w:sz w:val="18"/>
          <w:szCs w:val="18"/>
          <w:lang w:val="en-AU"/>
        </w:rPr>
        <w:t xml:space="preserve">are not present in the </w:t>
      </w:r>
      <w:r w:rsidRPr="00D403F5">
        <w:rPr>
          <w:rFonts w:ascii="Arial" w:hAnsi="Arial" w:cs="Arial"/>
          <w:i/>
          <w:iCs/>
          <w:sz w:val="18"/>
          <w:szCs w:val="18"/>
          <w:lang w:val="en-AU"/>
        </w:rPr>
        <w:t>feed or feed ingredients</w:t>
      </w:r>
      <w:r w:rsidRPr="00D403F5">
        <w:rPr>
          <w:rFonts w:ascii="Arial" w:hAnsi="Arial" w:cs="Arial"/>
          <w:sz w:val="18"/>
          <w:szCs w:val="18"/>
          <w:lang w:val="en-AU"/>
        </w:rPr>
        <w:t> ;</w:t>
      </w:r>
    </w:p>
    <w:p w14:paraId="3BCDC517" w14:textId="77777777" w:rsidR="007B3D5C" w:rsidRPr="00D403F5" w:rsidRDefault="007B3D5C" w:rsidP="00D403F5">
      <w:pPr>
        <w:autoSpaceDE w:val="0"/>
        <w:autoSpaceDN w:val="0"/>
        <w:adjustRightInd w:val="0"/>
        <w:spacing w:after="0" w:line="240" w:lineRule="auto"/>
        <w:ind w:left="851" w:hanging="425"/>
        <w:jc w:val="both"/>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sz w:val="18"/>
          <w:szCs w:val="18"/>
          <w:lang w:val="en-AU"/>
        </w:rPr>
        <w:tab/>
        <w:t xml:space="preserve">have been processed, manufactured, stored, transported and delivered during feeding to </w:t>
      </w:r>
      <w:r w:rsidRPr="00D403F5">
        <w:rPr>
          <w:rFonts w:ascii="Arial" w:hAnsi="Arial" w:cs="Arial"/>
          <w:i/>
          <w:iCs/>
          <w:sz w:val="18"/>
          <w:szCs w:val="18"/>
          <w:lang w:val="en-AU"/>
        </w:rPr>
        <w:t>aquatic animals</w:t>
      </w:r>
      <w:r w:rsidRPr="00D403F5">
        <w:rPr>
          <w:rFonts w:ascii="Arial" w:hAnsi="Arial" w:cs="Arial"/>
          <w:sz w:val="18"/>
          <w:szCs w:val="18"/>
          <w:lang w:val="en-AU"/>
        </w:rPr>
        <w:t xml:space="preserve"> in a manner to prevent contamination by </w:t>
      </w:r>
      <w:hyperlink r:id="rId37" w:anchor="terme_agent_pathogene" w:history="1">
        <w:r w:rsidRPr="00D403F5">
          <w:rPr>
            <w:rFonts w:ascii="Arial" w:hAnsi="Arial" w:cs="Arial"/>
            <w:i/>
            <w:sz w:val="18"/>
            <w:szCs w:val="18"/>
            <w:lang w:val="en-AU"/>
          </w:rPr>
          <w:t>pathogenic agents</w:t>
        </w:r>
      </w:hyperlink>
      <w:r w:rsidRPr="00D403F5">
        <w:rPr>
          <w:rFonts w:ascii="Arial" w:hAnsi="Arial" w:cs="Arial"/>
          <w:sz w:val="18"/>
          <w:szCs w:val="18"/>
          <w:lang w:val="en-AU"/>
        </w:rPr>
        <w:t xml:space="preserve">. </w:t>
      </w:r>
    </w:p>
    <w:p w14:paraId="600ED4A7" w14:textId="77777777" w:rsidR="007B3D5C" w:rsidRPr="00D403F5" w:rsidRDefault="007B3D5C" w:rsidP="00D403F5">
      <w:pPr>
        <w:spacing w:after="0" w:line="240" w:lineRule="auto"/>
        <w:ind w:left="426" w:hanging="426"/>
        <w:jc w:val="both"/>
        <w:rPr>
          <w:rFonts w:ascii="Arial" w:hAnsi="Arial" w:cs="Arial"/>
          <w:color w:val="000000"/>
          <w:sz w:val="18"/>
          <w:szCs w:val="18"/>
          <w:u w:val="single"/>
        </w:rPr>
      </w:pPr>
      <w:r w:rsidRPr="00D403F5">
        <w:rPr>
          <w:rFonts w:ascii="Arial" w:hAnsi="Arial" w:cs="Arial"/>
          <w:color w:val="000000"/>
          <w:sz w:val="18"/>
          <w:szCs w:val="18"/>
        </w:rPr>
        <w:t>5.</w:t>
      </w:r>
      <w:r w:rsidRPr="00D403F5">
        <w:rPr>
          <w:rFonts w:ascii="Arial" w:hAnsi="Arial" w:cs="Arial"/>
          <w:color w:val="000000"/>
          <w:sz w:val="18"/>
          <w:szCs w:val="18"/>
        </w:rPr>
        <w:tab/>
      </w:r>
      <w:r w:rsidRPr="00D403F5">
        <w:rPr>
          <w:rFonts w:ascii="Arial" w:hAnsi="Arial" w:cs="Arial"/>
          <w:color w:val="000000"/>
          <w:sz w:val="18"/>
          <w:szCs w:val="18"/>
          <w:u w:val="single"/>
        </w:rPr>
        <w:t>Fomites</w:t>
      </w:r>
    </w:p>
    <w:p w14:paraId="3400E795" w14:textId="77777777" w:rsidR="007B3D5C" w:rsidRPr="00D403F5" w:rsidRDefault="007B3D5C" w:rsidP="00D403F5">
      <w:pPr>
        <w:spacing w:after="0" w:line="240" w:lineRule="auto"/>
        <w:ind w:left="426"/>
        <w:jc w:val="both"/>
        <w:rPr>
          <w:rFonts w:ascii="Arial" w:hAnsi="Arial" w:cs="Arial"/>
          <w:color w:val="000000"/>
          <w:sz w:val="18"/>
          <w:szCs w:val="18"/>
        </w:rPr>
      </w:pPr>
      <w:r w:rsidRPr="00D403F5">
        <w:rPr>
          <w:rFonts w:ascii="Arial" w:hAnsi="Arial" w:cs="Arial"/>
          <w:color w:val="000000"/>
          <w:sz w:val="18"/>
          <w:szCs w:val="18"/>
        </w:rPr>
        <w:t xml:space="preserve">Equipment, </w:t>
      </w:r>
      <w:r w:rsidRPr="00D403F5">
        <w:rPr>
          <w:rFonts w:ascii="Arial" w:hAnsi="Arial" w:cs="Arial"/>
          <w:i/>
          <w:color w:val="000000"/>
          <w:sz w:val="18"/>
          <w:szCs w:val="18"/>
        </w:rPr>
        <w:t>vehicles</w:t>
      </w:r>
      <w:r w:rsidRPr="00D403F5">
        <w:rPr>
          <w:rFonts w:ascii="Arial" w:hAnsi="Arial" w:cs="Arial"/>
          <w:color w:val="000000"/>
          <w:sz w:val="18"/>
          <w:szCs w:val="18"/>
        </w:rPr>
        <w:t xml:space="preserve">, </w:t>
      </w:r>
      <w:r w:rsidRPr="00D403F5">
        <w:rPr>
          <w:rFonts w:ascii="Arial" w:eastAsia="SimSun" w:hAnsi="Arial" w:cs="Arial"/>
          <w:sz w:val="18"/>
          <w:szCs w:val="18"/>
        </w:rPr>
        <w:t xml:space="preserve">packaging material, </w:t>
      </w:r>
      <w:r w:rsidRPr="00D403F5">
        <w:rPr>
          <w:rFonts w:ascii="Arial" w:hAnsi="Arial" w:cs="Arial"/>
          <w:color w:val="000000"/>
          <w:sz w:val="18"/>
          <w:szCs w:val="18"/>
        </w:rPr>
        <w:t>clothing, footwear</w:t>
      </w:r>
      <w:r w:rsidRPr="00D403F5">
        <w:rPr>
          <w:rFonts w:ascii="Arial" w:hAnsi="Arial" w:cs="Arial"/>
          <w:color w:val="000000"/>
          <w:sz w:val="18"/>
          <w:szCs w:val="18"/>
          <w:u w:val="double"/>
        </w:rPr>
        <w:t>,</w:t>
      </w:r>
      <w:r w:rsidRPr="00D403F5">
        <w:rPr>
          <w:rFonts w:ascii="Arial" w:hAnsi="Arial" w:cs="Arial"/>
          <w:color w:val="000000"/>
          <w:sz w:val="18"/>
          <w:szCs w:val="18"/>
        </w:rPr>
        <w:t xml:space="preserve"> sediments, infrastructure and other fomites can mechanically transfer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within and from an </w:t>
      </w:r>
      <w:r w:rsidRPr="00D403F5">
        <w:rPr>
          <w:rFonts w:ascii="Arial" w:hAnsi="Arial" w:cs="Arial"/>
          <w:i/>
          <w:color w:val="000000"/>
          <w:sz w:val="18"/>
          <w:szCs w:val="18"/>
        </w:rPr>
        <w:t>aquaculture establishment</w:t>
      </w:r>
      <w:r w:rsidRPr="00D403F5">
        <w:rPr>
          <w:rFonts w:ascii="Arial" w:hAnsi="Arial" w:cs="Arial"/>
          <w:color w:val="000000"/>
          <w:sz w:val="18"/>
          <w:szCs w:val="18"/>
        </w:rPr>
        <w:t>.</w:t>
      </w:r>
    </w:p>
    <w:p w14:paraId="21C0FB99" w14:textId="77777777" w:rsidR="007B3D5C" w:rsidRPr="00D403F5" w:rsidRDefault="007B3D5C" w:rsidP="00D403F5">
      <w:pPr>
        <w:spacing w:after="0" w:line="240" w:lineRule="auto"/>
        <w:ind w:left="426"/>
        <w:jc w:val="both"/>
        <w:rPr>
          <w:rFonts w:ascii="Arial" w:hAnsi="Arial" w:cs="Arial"/>
          <w:color w:val="000000"/>
          <w:sz w:val="18"/>
          <w:szCs w:val="18"/>
        </w:rPr>
      </w:pPr>
      <w:r w:rsidRPr="00D403F5">
        <w:rPr>
          <w:rFonts w:ascii="Arial" w:hAnsi="Arial" w:cs="Arial"/>
          <w:color w:val="000000"/>
          <w:sz w:val="18"/>
          <w:szCs w:val="18"/>
        </w:rPr>
        <w:t xml:space="preserve">The likelihood of transferring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will depend on the stability of the pathogenic agent in the environment, the presence and nature of organic matter on the fomite surface, as well as the type of surface and its capacity to hold water. The </w:t>
      </w:r>
      <w:r w:rsidRPr="00D403F5">
        <w:rPr>
          <w:rFonts w:ascii="Arial" w:hAnsi="Arial" w:cs="Arial"/>
          <w:iCs/>
          <w:color w:val="000000"/>
          <w:sz w:val="18"/>
          <w:szCs w:val="18"/>
        </w:rPr>
        <w:t>likelihood</w:t>
      </w:r>
      <w:r w:rsidRPr="00D403F5">
        <w:rPr>
          <w:rFonts w:ascii="Arial" w:hAnsi="Arial" w:cs="Arial"/>
          <w:color w:val="000000"/>
          <w:sz w:val="18"/>
          <w:szCs w:val="18"/>
        </w:rPr>
        <w:t xml:space="preserve"> of transferring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may be higher for fomites which are difficult to clean and disinfect.</w:t>
      </w:r>
      <w:r w:rsidRPr="00D403F5">
        <w:rPr>
          <w:rFonts w:ascii="Arial" w:eastAsia="SimSun" w:hAnsi="Arial" w:cs="Arial"/>
          <w:color w:val="000000"/>
          <w:sz w:val="18"/>
          <w:szCs w:val="18"/>
          <w:lang w:eastAsia="zh-CN"/>
        </w:rPr>
        <w:t xml:space="preserve"> Sharing e</w:t>
      </w:r>
      <w:r w:rsidRPr="00D403F5">
        <w:rPr>
          <w:rFonts w:ascii="Arial" w:hAnsi="Arial" w:cs="Arial"/>
          <w:color w:val="000000"/>
          <w:sz w:val="18"/>
          <w:szCs w:val="18"/>
        </w:rPr>
        <w:t xml:space="preserve">quipment between </w:t>
      </w:r>
      <w:r w:rsidRPr="00D403F5">
        <w:rPr>
          <w:rFonts w:ascii="Arial" w:hAnsi="Arial" w:cs="Arial"/>
          <w:i/>
          <w:color w:val="000000"/>
          <w:sz w:val="18"/>
          <w:szCs w:val="18"/>
        </w:rPr>
        <w:t xml:space="preserve">aquaculture establishments, </w:t>
      </w:r>
      <w:r w:rsidRPr="00D403F5">
        <w:rPr>
          <w:rFonts w:ascii="Arial" w:hAnsi="Arial" w:cs="Arial"/>
          <w:color w:val="000000"/>
          <w:sz w:val="18"/>
          <w:szCs w:val="18"/>
        </w:rPr>
        <w:t>between</w:t>
      </w:r>
      <w:r w:rsidRPr="00D403F5">
        <w:rPr>
          <w:rFonts w:ascii="Arial" w:hAnsi="Arial" w:cs="Arial"/>
          <w:i/>
          <w:color w:val="000000"/>
          <w:sz w:val="18"/>
          <w:szCs w:val="18"/>
        </w:rPr>
        <w:t xml:space="preserve"> aquaculture establishments </w:t>
      </w:r>
      <w:r w:rsidRPr="00D403F5">
        <w:rPr>
          <w:rFonts w:ascii="Arial" w:hAnsi="Arial" w:cs="Arial"/>
          <w:color w:val="000000"/>
          <w:sz w:val="18"/>
          <w:szCs w:val="18"/>
        </w:rPr>
        <w:t>and</w:t>
      </w:r>
      <w:r w:rsidRPr="00D403F5">
        <w:rPr>
          <w:rFonts w:ascii="Arial" w:eastAsia="SimSun" w:hAnsi="Arial" w:cs="Arial"/>
          <w:color w:val="000000"/>
          <w:sz w:val="18"/>
          <w:szCs w:val="18"/>
          <w:lang w:eastAsia="zh-CN"/>
        </w:rPr>
        <w:t xml:space="preserve"> </w:t>
      </w:r>
      <w:r w:rsidRPr="00D403F5">
        <w:rPr>
          <w:rFonts w:ascii="Arial" w:hAnsi="Arial" w:cs="Arial"/>
          <w:color w:val="000000"/>
          <w:sz w:val="18"/>
          <w:szCs w:val="18"/>
        </w:rPr>
        <w:t xml:space="preserve">processing facilities, or between different production units with unequal health status within an </w:t>
      </w:r>
      <w:r w:rsidRPr="00D403F5">
        <w:rPr>
          <w:rFonts w:ascii="Arial" w:hAnsi="Arial" w:cs="Arial"/>
          <w:i/>
          <w:color w:val="000000"/>
          <w:sz w:val="18"/>
          <w:szCs w:val="18"/>
        </w:rPr>
        <w:t>aquaculture establishment</w:t>
      </w:r>
      <w:r w:rsidRPr="00D403F5">
        <w:rPr>
          <w:rFonts w:ascii="Arial" w:hAnsi="Arial" w:cs="Arial"/>
          <w:color w:val="000000"/>
          <w:sz w:val="18"/>
          <w:szCs w:val="18"/>
        </w:rPr>
        <w:t xml:space="preserve"> may result in the spread of </w:t>
      </w:r>
      <w:r w:rsidRPr="00D403F5">
        <w:rPr>
          <w:rFonts w:ascii="Arial" w:hAnsi="Arial" w:cs="Arial"/>
          <w:i/>
          <w:iCs/>
          <w:color w:val="000000"/>
          <w:sz w:val="18"/>
          <w:szCs w:val="18"/>
        </w:rPr>
        <w:t xml:space="preserve">pathogenic agents </w:t>
      </w:r>
      <w:r w:rsidRPr="00D403F5">
        <w:rPr>
          <w:rFonts w:ascii="Arial" w:hAnsi="Arial" w:cs="Arial"/>
          <w:color w:val="000000"/>
          <w:sz w:val="18"/>
          <w:szCs w:val="18"/>
        </w:rPr>
        <w:t xml:space="preserve">The </w:t>
      </w:r>
      <w:r w:rsidRPr="00D403F5">
        <w:rPr>
          <w:rFonts w:ascii="Arial" w:hAnsi="Arial" w:cs="Arial"/>
          <w:iCs/>
          <w:color w:val="000000"/>
          <w:sz w:val="18"/>
          <w:szCs w:val="18"/>
        </w:rPr>
        <w:t xml:space="preserve">likelihood </w:t>
      </w:r>
      <w:r w:rsidRPr="00D403F5">
        <w:rPr>
          <w:rFonts w:ascii="Arial" w:hAnsi="Arial" w:cs="Arial"/>
          <w:color w:val="000000"/>
          <w:sz w:val="18"/>
          <w:szCs w:val="18"/>
        </w:rPr>
        <w:t xml:space="preserve">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Cs/>
          <w:color w:val="000000"/>
          <w:sz w:val="18"/>
          <w:szCs w:val="18"/>
        </w:rPr>
        <w:t>fomites</w:t>
      </w:r>
      <w:r w:rsidRPr="00D403F5">
        <w:rPr>
          <w:rFonts w:ascii="Arial" w:hAnsi="Arial" w:cs="Arial"/>
          <w:i/>
          <w:color w:val="000000"/>
          <w:sz w:val="18"/>
          <w:szCs w:val="18"/>
        </w:rPr>
        <w:t xml:space="preserve"> </w:t>
      </w:r>
      <w:r w:rsidRPr="00D403F5">
        <w:rPr>
          <w:rFonts w:ascii="Arial" w:hAnsi="Arial" w:cs="Arial"/>
          <w:sz w:val="18"/>
          <w:szCs w:val="18"/>
          <w:lang w:val="en-CA"/>
        </w:rPr>
        <w:t>should be managed</w:t>
      </w:r>
      <w:r w:rsidRPr="00D403F5">
        <w:rPr>
          <w:rFonts w:ascii="Arial" w:hAnsi="Arial" w:cs="Arial"/>
          <w:strike/>
          <w:sz w:val="18"/>
          <w:szCs w:val="18"/>
          <w:lang w:val="en-CA"/>
        </w:rPr>
        <w:t xml:space="preserve"> </w:t>
      </w:r>
      <w:r w:rsidRPr="00D403F5">
        <w:rPr>
          <w:rFonts w:ascii="Arial" w:hAnsi="Arial" w:cs="Arial"/>
          <w:sz w:val="18"/>
          <w:szCs w:val="18"/>
          <w:lang w:val="en-CA"/>
        </w:rPr>
        <w:t>giving consideration to the following mitigation measures</w:t>
      </w:r>
      <w:r w:rsidRPr="00D403F5">
        <w:rPr>
          <w:rFonts w:ascii="Arial" w:hAnsi="Arial" w:cs="Arial"/>
          <w:color w:val="000000"/>
          <w:sz w:val="18"/>
          <w:szCs w:val="18"/>
        </w:rPr>
        <w:t>:</w:t>
      </w:r>
    </w:p>
    <w:p w14:paraId="0380E677" w14:textId="77777777" w:rsidR="007B3D5C" w:rsidRPr="00D403F5" w:rsidRDefault="007B3D5C" w:rsidP="00D403F5">
      <w:pPr>
        <w:spacing w:after="0" w:line="240" w:lineRule="auto"/>
        <w:ind w:left="851" w:hanging="425"/>
        <w:jc w:val="both"/>
        <w:rPr>
          <w:rFonts w:ascii="Arial" w:hAnsi="Arial" w:cs="Arial"/>
          <w:sz w:val="18"/>
          <w:szCs w:val="18"/>
        </w:rPr>
      </w:pPr>
      <w:r w:rsidRPr="00D403F5">
        <w:rPr>
          <w:rFonts w:ascii="Arial" w:hAnsi="Arial" w:cs="Arial"/>
          <w:i/>
          <w:sz w:val="18"/>
          <w:szCs w:val="18"/>
        </w:rPr>
        <w:t>a)</w:t>
      </w:r>
      <w:r w:rsidRPr="00D403F5">
        <w:rPr>
          <w:rFonts w:ascii="Arial" w:hAnsi="Arial" w:cs="Arial"/>
          <w:sz w:val="18"/>
          <w:szCs w:val="18"/>
        </w:rPr>
        <w:tab/>
        <w:t xml:space="preserve">Assessing the </w:t>
      </w:r>
      <w:r w:rsidRPr="00D403F5">
        <w:rPr>
          <w:rFonts w:ascii="Arial" w:hAnsi="Arial" w:cs="Arial"/>
          <w:i/>
          <w:iCs/>
          <w:sz w:val="18"/>
          <w:szCs w:val="18"/>
        </w:rPr>
        <w:t xml:space="preserve">disease risk </w:t>
      </w:r>
      <w:r w:rsidRPr="00D403F5">
        <w:rPr>
          <w:rFonts w:ascii="Arial" w:hAnsi="Arial" w:cs="Arial"/>
          <w:sz w:val="18"/>
          <w:szCs w:val="18"/>
        </w:rPr>
        <w:t xml:space="preserve">associated with any fomites brought into the </w:t>
      </w:r>
      <w:r w:rsidRPr="00D403F5">
        <w:rPr>
          <w:rFonts w:ascii="Arial" w:hAnsi="Arial" w:cs="Arial"/>
          <w:i/>
          <w:sz w:val="18"/>
          <w:szCs w:val="18"/>
        </w:rPr>
        <w:t>aquaculture establishment</w:t>
      </w:r>
      <w:r w:rsidRPr="00D403F5">
        <w:rPr>
          <w:rFonts w:ascii="Arial" w:hAnsi="Arial" w:cs="Arial"/>
          <w:sz w:val="18"/>
          <w:szCs w:val="18"/>
        </w:rPr>
        <w:t xml:space="preserve"> </w:t>
      </w:r>
    </w:p>
    <w:p w14:paraId="03161A75" w14:textId="77777777" w:rsidR="007B3D5C" w:rsidRPr="00D403F5" w:rsidRDefault="007B3D5C" w:rsidP="00D403F5">
      <w:pPr>
        <w:spacing w:after="0" w:line="240" w:lineRule="auto"/>
        <w:ind w:left="851" w:hanging="425"/>
        <w:jc w:val="both"/>
        <w:rPr>
          <w:rFonts w:ascii="Arial" w:hAnsi="Arial" w:cs="Arial"/>
          <w:sz w:val="18"/>
          <w:szCs w:val="18"/>
        </w:rPr>
      </w:pPr>
      <w:r w:rsidRPr="00D403F5">
        <w:rPr>
          <w:rFonts w:ascii="Arial" w:hAnsi="Arial" w:cs="Arial"/>
          <w:i/>
          <w:sz w:val="18"/>
          <w:szCs w:val="18"/>
        </w:rPr>
        <w:t>b)</w:t>
      </w:r>
      <w:r w:rsidRPr="00D403F5">
        <w:rPr>
          <w:rFonts w:ascii="Arial" w:hAnsi="Arial" w:cs="Arial"/>
          <w:sz w:val="18"/>
          <w:szCs w:val="18"/>
        </w:rPr>
        <w:tab/>
        <w:t>Ensuring procedures and infrastructure are in place to clean and disinfect fomites, including at designated delivery and loading areas</w:t>
      </w:r>
      <w:r w:rsidRPr="00D403F5">
        <w:rPr>
          <w:rFonts w:ascii="Arial" w:hAnsi="Arial" w:cs="Arial"/>
          <w:sz w:val="18"/>
          <w:szCs w:val="18"/>
          <w:lang w:val="en-AU"/>
        </w:rPr>
        <w:t xml:space="preserve">, prior to entry into the </w:t>
      </w:r>
      <w:r w:rsidRPr="00D403F5">
        <w:rPr>
          <w:rFonts w:ascii="Arial" w:hAnsi="Arial" w:cs="Arial"/>
          <w:i/>
          <w:iCs/>
          <w:sz w:val="18"/>
          <w:szCs w:val="18"/>
          <w:lang w:val="en-AU"/>
        </w:rPr>
        <w:t>aquaculture establishment</w:t>
      </w:r>
      <w:r w:rsidRPr="00D403F5">
        <w:rPr>
          <w:rFonts w:ascii="Arial" w:hAnsi="Arial" w:cs="Arial"/>
          <w:sz w:val="18"/>
          <w:szCs w:val="18"/>
        </w:rPr>
        <w:t xml:space="preserve">. Recommendations for the cleaning and </w:t>
      </w:r>
      <w:r w:rsidRPr="00D403F5">
        <w:rPr>
          <w:rFonts w:ascii="Arial" w:hAnsi="Arial" w:cs="Arial"/>
          <w:i/>
          <w:iCs/>
          <w:sz w:val="18"/>
          <w:szCs w:val="18"/>
        </w:rPr>
        <w:t>disinfection</w:t>
      </w:r>
      <w:r w:rsidRPr="00D403F5">
        <w:rPr>
          <w:rFonts w:ascii="Arial" w:hAnsi="Arial" w:cs="Arial"/>
          <w:sz w:val="18"/>
          <w:szCs w:val="18"/>
        </w:rPr>
        <w:t xml:space="preserve"> of fomites are described in Chapter 4.3.</w:t>
      </w:r>
      <w:r w:rsidRPr="00D403F5">
        <w:rPr>
          <w:rFonts w:ascii="Arial" w:hAnsi="Arial" w:cs="Arial"/>
          <w:strike/>
          <w:sz w:val="18"/>
          <w:szCs w:val="18"/>
        </w:rPr>
        <w:t xml:space="preserve"> </w:t>
      </w:r>
    </w:p>
    <w:p w14:paraId="0201A8F7" w14:textId="77777777" w:rsidR="007B3D5C" w:rsidRPr="00D403F5" w:rsidRDefault="007B3D5C" w:rsidP="00D403F5">
      <w:pPr>
        <w:pStyle w:val="Web"/>
        <w:spacing w:before="0" w:beforeAutospacing="0" w:after="0" w:afterAutospacing="0"/>
        <w:ind w:left="851" w:hanging="425"/>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sz w:val="18"/>
          <w:szCs w:val="18"/>
          <w:lang w:val="en-AU"/>
        </w:rPr>
        <w:tab/>
        <w:t xml:space="preserve">Wherever possible, dedicating items that are difficult to disinfect </w:t>
      </w:r>
      <w:r w:rsidRPr="00D403F5">
        <w:rPr>
          <w:rFonts w:ascii="Arial" w:hAnsi="Arial" w:cs="Arial"/>
          <w:strike/>
          <w:sz w:val="18"/>
          <w:szCs w:val="18"/>
          <w:lang w:val="en-AU"/>
        </w:rPr>
        <w:t>items</w:t>
      </w:r>
      <w:r w:rsidRPr="00D403F5">
        <w:rPr>
          <w:rFonts w:ascii="Arial" w:hAnsi="Arial" w:cs="Arial"/>
          <w:sz w:val="18"/>
          <w:szCs w:val="18"/>
          <w:lang w:val="en-AU"/>
        </w:rPr>
        <w:t xml:space="preserve">, or those with a high likelihood of contamination, to a specific </w:t>
      </w:r>
      <w:r w:rsidRPr="00D403F5">
        <w:rPr>
          <w:rFonts w:ascii="Arial" w:hAnsi="Arial" w:cs="Arial"/>
          <w:i/>
          <w:iCs/>
          <w:sz w:val="18"/>
          <w:szCs w:val="18"/>
          <w:lang w:val="en-AU"/>
        </w:rPr>
        <w:t>aquaculture establishment</w:t>
      </w:r>
      <w:r w:rsidRPr="00D403F5">
        <w:rPr>
          <w:rFonts w:ascii="Arial" w:hAnsi="Arial" w:cs="Arial"/>
          <w:sz w:val="18"/>
          <w:szCs w:val="18"/>
          <w:lang w:val="en-AU"/>
        </w:rPr>
        <w:t xml:space="preserve"> rather than moving them between </w:t>
      </w:r>
      <w:r w:rsidRPr="00D403F5">
        <w:rPr>
          <w:rFonts w:ascii="Arial" w:hAnsi="Arial" w:cs="Arial"/>
          <w:i/>
          <w:iCs/>
          <w:sz w:val="18"/>
          <w:szCs w:val="18"/>
          <w:lang w:val="en-AU"/>
        </w:rPr>
        <w:t xml:space="preserve">aquaculture establishments </w:t>
      </w:r>
      <w:r w:rsidRPr="00D403F5">
        <w:rPr>
          <w:rFonts w:ascii="Arial" w:hAnsi="Arial" w:cs="Arial"/>
          <w:sz w:val="18"/>
          <w:szCs w:val="18"/>
          <w:lang w:val="en-AU"/>
        </w:rPr>
        <w:t xml:space="preserve">after </w:t>
      </w:r>
      <w:r w:rsidRPr="00D403F5">
        <w:rPr>
          <w:rFonts w:ascii="Arial" w:hAnsi="Arial" w:cs="Arial"/>
          <w:i/>
          <w:iCs/>
          <w:sz w:val="18"/>
          <w:szCs w:val="18"/>
          <w:lang w:val="en-AU"/>
        </w:rPr>
        <w:t>disinfection</w:t>
      </w:r>
      <w:r w:rsidRPr="00D403F5">
        <w:rPr>
          <w:rFonts w:ascii="Arial" w:hAnsi="Arial" w:cs="Arial"/>
          <w:sz w:val="18"/>
          <w:szCs w:val="18"/>
          <w:lang w:val="en-AU"/>
        </w:rPr>
        <w:t xml:space="preserve">. </w:t>
      </w:r>
    </w:p>
    <w:p w14:paraId="14BBB087" w14:textId="77777777" w:rsidR="007B3D5C" w:rsidRPr="00D403F5" w:rsidRDefault="007B3D5C" w:rsidP="00D403F5">
      <w:pPr>
        <w:spacing w:after="0" w:line="240" w:lineRule="auto"/>
        <w:ind w:left="851" w:hanging="425"/>
        <w:jc w:val="both"/>
        <w:rPr>
          <w:rFonts w:ascii="Arial" w:hAnsi="Arial" w:cs="Arial"/>
          <w:sz w:val="18"/>
          <w:szCs w:val="18"/>
        </w:rPr>
      </w:pPr>
      <w:r w:rsidRPr="00D403F5">
        <w:rPr>
          <w:rFonts w:ascii="Arial" w:hAnsi="Arial" w:cs="Arial"/>
          <w:i/>
          <w:sz w:val="18"/>
          <w:szCs w:val="18"/>
        </w:rPr>
        <w:t>d)</w:t>
      </w:r>
      <w:r w:rsidRPr="00D403F5">
        <w:rPr>
          <w:rFonts w:ascii="Arial" w:hAnsi="Arial" w:cs="Arial"/>
          <w:sz w:val="18"/>
          <w:szCs w:val="18"/>
        </w:rPr>
        <w:tab/>
        <w:t xml:space="preserve">Applying the mitigation measures described at points a) to c) above to the movement of </w:t>
      </w:r>
      <w:r w:rsidRPr="00D403F5">
        <w:rPr>
          <w:rFonts w:ascii="Arial" w:hAnsi="Arial" w:cs="Arial"/>
          <w:i/>
          <w:iCs/>
          <w:sz w:val="18"/>
          <w:szCs w:val="18"/>
        </w:rPr>
        <w:t>fomites</w:t>
      </w:r>
      <w:r w:rsidRPr="00D403F5">
        <w:rPr>
          <w:rFonts w:ascii="Arial" w:hAnsi="Arial" w:cs="Arial"/>
          <w:sz w:val="18"/>
          <w:szCs w:val="18"/>
        </w:rPr>
        <w:t xml:space="preserve"> between production units within an </w:t>
      </w:r>
      <w:r w:rsidRPr="00D403F5">
        <w:rPr>
          <w:rFonts w:ascii="Arial" w:hAnsi="Arial" w:cs="Arial"/>
          <w:i/>
          <w:iCs/>
          <w:sz w:val="18"/>
          <w:szCs w:val="18"/>
        </w:rPr>
        <w:t>aquaculture establishment</w:t>
      </w:r>
      <w:r w:rsidRPr="00D403F5">
        <w:rPr>
          <w:rFonts w:ascii="Arial" w:hAnsi="Arial" w:cs="Arial"/>
          <w:sz w:val="18"/>
          <w:szCs w:val="18"/>
        </w:rPr>
        <w:t xml:space="preserve"> with the measures determined based on an evaluation of the </w:t>
      </w:r>
      <w:r w:rsidRPr="00D403F5">
        <w:rPr>
          <w:rFonts w:ascii="Arial" w:hAnsi="Arial" w:cs="Arial"/>
          <w:i/>
          <w:iCs/>
          <w:sz w:val="18"/>
          <w:szCs w:val="18"/>
        </w:rPr>
        <w:t>disease risks</w:t>
      </w:r>
      <w:r w:rsidRPr="00D403F5">
        <w:rPr>
          <w:rFonts w:ascii="Arial" w:hAnsi="Arial" w:cs="Arial"/>
          <w:sz w:val="18"/>
          <w:szCs w:val="18"/>
        </w:rPr>
        <w:t>.</w:t>
      </w:r>
    </w:p>
    <w:p w14:paraId="7F6FD645" w14:textId="77777777" w:rsidR="007B3D5C" w:rsidRPr="00D403F5" w:rsidRDefault="007B3D5C" w:rsidP="00D403F5">
      <w:pPr>
        <w:spacing w:after="0" w:line="240" w:lineRule="auto"/>
        <w:ind w:left="426" w:hanging="426"/>
        <w:jc w:val="both"/>
        <w:rPr>
          <w:rFonts w:ascii="Arial" w:hAnsi="Arial" w:cs="Arial"/>
          <w:color w:val="000000"/>
          <w:sz w:val="18"/>
          <w:szCs w:val="18"/>
          <w:u w:val="single"/>
        </w:rPr>
      </w:pPr>
      <w:r w:rsidRPr="00D403F5">
        <w:rPr>
          <w:rFonts w:ascii="Arial" w:hAnsi="Arial" w:cs="Arial"/>
          <w:color w:val="000000"/>
          <w:sz w:val="18"/>
          <w:szCs w:val="18"/>
        </w:rPr>
        <w:t>6. </w:t>
      </w:r>
      <w:r w:rsidRPr="00D403F5">
        <w:rPr>
          <w:rFonts w:ascii="Arial" w:hAnsi="Arial" w:cs="Arial"/>
          <w:color w:val="000000"/>
          <w:sz w:val="18"/>
          <w:szCs w:val="18"/>
        </w:rPr>
        <w:tab/>
      </w:r>
      <w:r w:rsidRPr="00D403F5">
        <w:rPr>
          <w:rFonts w:ascii="Arial" w:hAnsi="Arial" w:cs="Arial"/>
          <w:color w:val="000000"/>
          <w:sz w:val="18"/>
          <w:szCs w:val="18"/>
          <w:u w:val="single"/>
        </w:rPr>
        <w:t>Vectors</w:t>
      </w:r>
    </w:p>
    <w:p w14:paraId="007C063B" w14:textId="77777777" w:rsidR="007B3D5C" w:rsidRPr="00D403F5" w:rsidRDefault="007B3D5C" w:rsidP="00D403F5">
      <w:pPr>
        <w:spacing w:after="0" w:line="240" w:lineRule="auto"/>
        <w:ind w:left="426"/>
        <w:jc w:val="both"/>
        <w:rPr>
          <w:rFonts w:ascii="Arial" w:hAnsi="Arial" w:cs="Arial"/>
          <w:strike/>
          <w:color w:val="000000"/>
          <w:sz w:val="18"/>
          <w:szCs w:val="18"/>
        </w:rPr>
      </w:pPr>
      <w:r w:rsidRPr="00D403F5">
        <w:rPr>
          <w:rFonts w:ascii="Arial" w:hAnsi="Arial" w:cs="Arial"/>
          <w:i/>
          <w:color w:val="000000"/>
          <w:sz w:val="18"/>
          <w:szCs w:val="18"/>
        </w:rPr>
        <w:t>Vectors</w:t>
      </w:r>
      <w:r w:rsidRPr="00D403F5">
        <w:rPr>
          <w:rFonts w:ascii="Arial" w:hAnsi="Arial" w:cs="Arial"/>
          <w:color w:val="000000"/>
          <w:sz w:val="18"/>
          <w:szCs w:val="18"/>
        </w:rPr>
        <w:t xml:space="preserve"> can </w:t>
      </w:r>
      <w:r w:rsidRPr="00D403F5">
        <w:rPr>
          <w:rFonts w:ascii="Arial" w:hAnsi="Arial" w:cs="Arial"/>
          <w:sz w:val="18"/>
          <w:szCs w:val="18"/>
        </w:rPr>
        <w:t xml:space="preserve">transport </w:t>
      </w:r>
      <w:r w:rsidRPr="00D403F5">
        <w:rPr>
          <w:rFonts w:ascii="Arial" w:hAnsi="Arial" w:cs="Arial"/>
          <w:i/>
          <w:color w:val="000000"/>
          <w:sz w:val="18"/>
          <w:szCs w:val="18"/>
        </w:rPr>
        <w:t>pathogenic agents</w:t>
      </w:r>
      <w:r w:rsidRPr="00D403F5">
        <w:rPr>
          <w:rFonts w:ascii="Arial" w:hAnsi="Arial" w:cs="Arial"/>
          <w:sz w:val="18"/>
          <w:szCs w:val="18"/>
        </w:rPr>
        <w:t xml:space="preserve"> to susceptible </w:t>
      </w:r>
      <w:r w:rsidRPr="00D403F5">
        <w:rPr>
          <w:rFonts w:ascii="Arial" w:hAnsi="Arial" w:cs="Arial"/>
          <w:i/>
          <w:color w:val="000000"/>
          <w:sz w:val="18"/>
          <w:szCs w:val="18"/>
        </w:rPr>
        <w:t>aquatic animals</w:t>
      </w:r>
      <w:r w:rsidRPr="00D403F5">
        <w:rPr>
          <w:rFonts w:ascii="Arial" w:eastAsia="SimSun" w:hAnsi="Arial" w:cs="Arial"/>
          <w:i/>
          <w:color w:val="000000"/>
          <w:sz w:val="18"/>
          <w:szCs w:val="18"/>
          <w:lang w:eastAsia="zh-CN"/>
        </w:rPr>
        <w:t xml:space="preserve"> </w:t>
      </w:r>
      <w:r w:rsidRPr="00D403F5">
        <w:rPr>
          <w:rFonts w:ascii="Arial" w:hAnsi="Arial" w:cs="Arial"/>
          <w:color w:val="000000"/>
          <w:sz w:val="18"/>
          <w:szCs w:val="18"/>
        </w:rPr>
        <w:t xml:space="preserve">in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They include wild </w:t>
      </w:r>
      <w:r w:rsidRPr="00D403F5">
        <w:rPr>
          <w:rFonts w:ascii="Arial" w:hAnsi="Arial" w:cs="Arial"/>
          <w:i/>
          <w:color w:val="000000"/>
          <w:sz w:val="18"/>
          <w:szCs w:val="18"/>
        </w:rPr>
        <w:t>aquatic animals</w:t>
      </w:r>
      <w:r w:rsidRPr="00D403F5">
        <w:rPr>
          <w:rFonts w:ascii="Arial" w:hAnsi="Arial" w:cs="Arial"/>
          <w:color w:val="000000"/>
          <w:sz w:val="18"/>
          <w:szCs w:val="18"/>
        </w:rPr>
        <w:t xml:space="preserve"> entering via the water supply, predators, wild birds, scavengers, pest animals such as rodents and people. </w:t>
      </w:r>
      <w:r w:rsidRPr="00D403F5">
        <w:rPr>
          <w:rFonts w:ascii="Arial" w:hAnsi="Arial" w:cs="Arial"/>
          <w:i/>
          <w:color w:val="000000"/>
          <w:sz w:val="18"/>
          <w:szCs w:val="18"/>
        </w:rPr>
        <w:t>Vectors</w:t>
      </w:r>
      <w:r w:rsidRPr="00D403F5">
        <w:rPr>
          <w:rFonts w:ascii="Arial" w:hAnsi="Arial" w:cs="Arial"/>
          <w:color w:val="000000"/>
          <w:sz w:val="18"/>
          <w:szCs w:val="18"/>
        </w:rPr>
        <w:t xml:space="preserve"> can transfer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within and from an </w:t>
      </w:r>
      <w:r w:rsidRPr="00D403F5">
        <w:rPr>
          <w:rFonts w:ascii="Arial" w:hAnsi="Arial" w:cs="Arial"/>
          <w:i/>
          <w:color w:val="000000"/>
          <w:sz w:val="18"/>
          <w:szCs w:val="18"/>
        </w:rPr>
        <w:t>aquaculture establishment</w:t>
      </w:r>
      <w:r w:rsidRPr="00D403F5">
        <w:rPr>
          <w:rFonts w:ascii="Arial" w:hAnsi="Arial" w:cs="Arial"/>
          <w:color w:val="000000"/>
          <w:sz w:val="18"/>
          <w:szCs w:val="18"/>
        </w:rPr>
        <w:t xml:space="preserve">, either by mechanical transfer or as a developmental stage of the </w:t>
      </w:r>
      <w:r w:rsidRPr="00D403F5">
        <w:rPr>
          <w:rFonts w:ascii="Arial" w:hAnsi="Arial" w:cs="Arial"/>
          <w:i/>
          <w:color w:val="000000"/>
          <w:sz w:val="18"/>
          <w:szCs w:val="18"/>
        </w:rPr>
        <w:t xml:space="preserve">pathogenic agent </w:t>
      </w:r>
      <w:r w:rsidRPr="00D403F5">
        <w:rPr>
          <w:rFonts w:ascii="Arial" w:hAnsi="Arial" w:cs="Arial"/>
          <w:color w:val="000000"/>
          <w:sz w:val="18"/>
          <w:szCs w:val="18"/>
        </w:rPr>
        <w:t xml:space="preserve">within the </w:t>
      </w:r>
      <w:r w:rsidRPr="00D403F5">
        <w:rPr>
          <w:rFonts w:ascii="Arial" w:hAnsi="Arial" w:cs="Arial"/>
          <w:i/>
          <w:color w:val="000000"/>
          <w:sz w:val="18"/>
          <w:szCs w:val="18"/>
        </w:rPr>
        <w:t>vector</w:t>
      </w:r>
      <w:r w:rsidRPr="00D403F5">
        <w:rPr>
          <w:rFonts w:ascii="Arial" w:hAnsi="Arial" w:cs="Arial"/>
          <w:color w:val="000000"/>
          <w:sz w:val="18"/>
          <w:szCs w:val="18"/>
        </w:rPr>
        <w:t>.</w:t>
      </w:r>
      <w:r w:rsidRPr="00D403F5">
        <w:rPr>
          <w:rFonts w:ascii="Arial" w:hAnsi="Arial" w:cs="Arial"/>
          <w:sz w:val="18"/>
          <w:szCs w:val="18"/>
          <w:lang w:val="en-CA"/>
        </w:rPr>
        <w:t xml:space="preserve"> </w:t>
      </w:r>
    </w:p>
    <w:p w14:paraId="3107BBC2" w14:textId="77777777" w:rsidR="007B3D5C" w:rsidRPr="00D403F5" w:rsidRDefault="007B3D5C" w:rsidP="00D403F5">
      <w:pPr>
        <w:spacing w:after="0" w:line="240" w:lineRule="auto"/>
        <w:ind w:left="426"/>
        <w:jc w:val="both"/>
        <w:rPr>
          <w:rFonts w:ascii="Arial" w:hAnsi="Arial" w:cs="Arial"/>
          <w:strike/>
          <w:color w:val="000000"/>
          <w:sz w:val="18"/>
          <w:szCs w:val="18"/>
        </w:rPr>
      </w:pPr>
      <w:r w:rsidRPr="00D403F5">
        <w:rPr>
          <w:rFonts w:ascii="Arial" w:hAnsi="Arial" w:cs="Arial"/>
          <w:color w:val="000000"/>
          <w:sz w:val="18"/>
          <w:szCs w:val="18"/>
        </w:rPr>
        <w:t xml:space="preserve">The </w:t>
      </w:r>
      <w:r w:rsidRPr="00D403F5">
        <w:rPr>
          <w:rFonts w:ascii="Arial" w:hAnsi="Arial" w:cs="Arial"/>
          <w:i/>
          <w:iCs/>
          <w:color w:val="000000"/>
          <w:sz w:val="18"/>
          <w:szCs w:val="18"/>
        </w:rPr>
        <w:t>risk</w:t>
      </w:r>
      <w:r w:rsidRPr="00D403F5">
        <w:rPr>
          <w:rFonts w:ascii="Arial" w:hAnsi="Arial" w:cs="Arial"/>
          <w:color w:val="000000"/>
          <w:sz w:val="18"/>
          <w:szCs w:val="18"/>
        </w:rPr>
        <w:t xml:space="preserve"> of transferring </w:t>
      </w:r>
      <w:r w:rsidRPr="00D403F5">
        <w:rPr>
          <w:rFonts w:ascii="Arial" w:hAnsi="Arial" w:cs="Arial"/>
          <w:i/>
          <w:color w:val="000000"/>
          <w:sz w:val="18"/>
          <w:szCs w:val="18"/>
        </w:rPr>
        <w:t>pathogenic</w:t>
      </w:r>
      <w:r w:rsidRPr="00D403F5">
        <w:rPr>
          <w:rFonts w:ascii="Arial" w:eastAsia="SimSun" w:hAnsi="Arial" w:cs="Arial"/>
          <w:i/>
          <w:color w:val="000000"/>
          <w:sz w:val="18"/>
          <w:szCs w:val="18"/>
          <w:lang w:eastAsia="zh-CN"/>
        </w:rPr>
        <w:t xml:space="preserve"> </w:t>
      </w:r>
      <w:r w:rsidRPr="00D403F5">
        <w:rPr>
          <w:rFonts w:ascii="Arial" w:hAnsi="Arial" w:cs="Arial"/>
          <w:i/>
          <w:color w:val="000000"/>
          <w:sz w:val="18"/>
          <w:szCs w:val="18"/>
        </w:rPr>
        <w:t>agents</w:t>
      </w:r>
      <w:r w:rsidRPr="00D403F5">
        <w:rPr>
          <w:rFonts w:ascii="Arial" w:hAnsi="Arial" w:cs="Arial"/>
          <w:color w:val="000000"/>
          <w:sz w:val="18"/>
          <w:szCs w:val="18"/>
        </w:rPr>
        <w:t xml:space="preserve"> via </w:t>
      </w:r>
      <w:r w:rsidRPr="00D403F5">
        <w:rPr>
          <w:rFonts w:ascii="Arial" w:hAnsi="Arial" w:cs="Arial"/>
          <w:i/>
          <w:color w:val="000000"/>
          <w:sz w:val="18"/>
          <w:szCs w:val="18"/>
        </w:rPr>
        <w:t>vectors</w:t>
      </w:r>
      <w:r w:rsidRPr="00D403F5">
        <w:rPr>
          <w:rFonts w:ascii="Arial" w:hAnsi="Arial" w:cs="Arial"/>
          <w:color w:val="000000"/>
          <w:sz w:val="18"/>
          <w:szCs w:val="18"/>
        </w:rPr>
        <w:t xml:space="preserve"> varies with the type of </w:t>
      </w:r>
      <w:r w:rsidRPr="00D403F5">
        <w:rPr>
          <w:rFonts w:ascii="Arial" w:hAnsi="Arial" w:cs="Arial"/>
          <w:i/>
          <w:color w:val="000000"/>
          <w:sz w:val="18"/>
          <w:szCs w:val="18"/>
        </w:rPr>
        <w:t>vector</w:t>
      </w:r>
      <w:r w:rsidRPr="00D403F5">
        <w:rPr>
          <w:rFonts w:ascii="Arial" w:hAnsi="Arial" w:cs="Arial"/>
          <w:color w:val="000000"/>
          <w:sz w:val="18"/>
          <w:szCs w:val="18"/>
        </w:rPr>
        <w:t xml:space="preserve">, the nature of the </w:t>
      </w:r>
      <w:r w:rsidRPr="00D403F5">
        <w:rPr>
          <w:rFonts w:ascii="Arial" w:hAnsi="Arial" w:cs="Arial"/>
          <w:i/>
          <w:color w:val="000000"/>
          <w:sz w:val="18"/>
          <w:szCs w:val="18"/>
        </w:rPr>
        <w:t>pathogenic agent</w:t>
      </w:r>
      <w:r w:rsidRPr="00D403F5">
        <w:rPr>
          <w:rFonts w:ascii="Arial" w:hAnsi="Arial" w:cs="Arial"/>
          <w:color w:val="000000"/>
          <w:sz w:val="18"/>
          <w:szCs w:val="18"/>
        </w:rPr>
        <w:t xml:space="preserve">, the category of </w:t>
      </w:r>
      <w:r w:rsidRPr="00D403F5">
        <w:rPr>
          <w:rFonts w:ascii="Arial" w:hAnsi="Arial" w:cs="Arial"/>
          <w:i/>
          <w:color w:val="000000"/>
          <w:sz w:val="18"/>
          <w:szCs w:val="18"/>
        </w:rPr>
        <w:t>aquaculture</w:t>
      </w:r>
      <w:r w:rsidRPr="00D403F5">
        <w:rPr>
          <w:rFonts w:ascii="Arial" w:eastAsia="SimSun" w:hAnsi="Arial" w:cs="Arial"/>
          <w:i/>
          <w:color w:val="000000"/>
          <w:sz w:val="18"/>
          <w:szCs w:val="18"/>
          <w:lang w:eastAsia="zh-CN"/>
        </w:rPr>
        <w:t xml:space="preserve"> </w:t>
      </w:r>
      <w:r w:rsidRPr="00D403F5">
        <w:rPr>
          <w:rFonts w:ascii="Arial" w:hAnsi="Arial" w:cs="Arial"/>
          <w:color w:val="000000"/>
          <w:sz w:val="18"/>
          <w:szCs w:val="18"/>
        </w:rPr>
        <w:t xml:space="preserve">production system, and the level of </w:t>
      </w:r>
      <w:r w:rsidRPr="00D403F5">
        <w:rPr>
          <w:rFonts w:ascii="Arial" w:hAnsi="Arial" w:cs="Arial"/>
          <w:i/>
          <w:color w:val="000000"/>
          <w:sz w:val="18"/>
          <w:szCs w:val="18"/>
        </w:rPr>
        <w:t>biosecurity</w:t>
      </w:r>
      <w:r w:rsidRPr="00D403F5">
        <w:rPr>
          <w:rFonts w:ascii="Arial" w:hAnsi="Arial" w:cs="Arial"/>
          <w:color w:val="000000"/>
          <w:sz w:val="18"/>
          <w:szCs w:val="18"/>
        </w:rPr>
        <w:t xml:space="preserve">. </w:t>
      </w:r>
    </w:p>
    <w:p w14:paraId="10BACF68" w14:textId="77777777" w:rsidR="007B3D5C" w:rsidRPr="00D403F5" w:rsidRDefault="007B3D5C" w:rsidP="00D403F5">
      <w:pPr>
        <w:spacing w:after="0" w:line="240" w:lineRule="auto"/>
        <w:ind w:left="425"/>
        <w:jc w:val="both"/>
        <w:rPr>
          <w:sz w:val="18"/>
          <w:szCs w:val="18"/>
          <w:lang w:val="en-US"/>
        </w:rPr>
      </w:pPr>
      <w:r w:rsidRPr="00D403F5">
        <w:rPr>
          <w:rFonts w:ascii="Arial" w:hAnsi="Arial" w:cs="Arial"/>
          <w:sz w:val="18"/>
          <w:szCs w:val="18"/>
          <w:lang w:val="en-US"/>
        </w:rPr>
        <w:t xml:space="preserve">The </w:t>
      </w:r>
      <w:r w:rsidRPr="00D403F5">
        <w:rPr>
          <w:rFonts w:ascii="Arial" w:hAnsi="Arial" w:cs="Arial"/>
          <w:i/>
          <w:sz w:val="18"/>
          <w:szCs w:val="18"/>
          <w:lang w:val="en-US"/>
        </w:rPr>
        <w:t>risk</w:t>
      </w:r>
      <w:r w:rsidRPr="00D403F5">
        <w:rPr>
          <w:rFonts w:ascii="Arial" w:hAnsi="Arial" w:cs="Arial"/>
          <w:sz w:val="18"/>
          <w:szCs w:val="18"/>
          <w:lang w:val="en-US"/>
        </w:rPr>
        <w:t xml:space="preserve"> of transmitting </w:t>
      </w:r>
      <w:r w:rsidRPr="00D403F5">
        <w:rPr>
          <w:rFonts w:ascii="Arial" w:hAnsi="Arial" w:cs="Arial"/>
          <w:i/>
          <w:sz w:val="18"/>
          <w:szCs w:val="18"/>
          <w:lang w:val="en-US"/>
        </w:rPr>
        <w:t>pathogenic agents</w:t>
      </w:r>
      <w:r w:rsidRPr="00D403F5">
        <w:rPr>
          <w:rFonts w:ascii="Arial" w:hAnsi="Arial" w:cs="Arial"/>
          <w:sz w:val="18"/>
          <w:szCs w:val="18"/>
          <w:lang w:val="en-US"/>
        </w:rPr>
        <w:t xml:space="preserve"> via </w:t>
      </w:r>
      <w:r w:rsidRPr="00D403F5">
        <w:rPr>
          <w:rFonts w:ascii="Arial" w:hAnsi="Arial" w:cs="Arial"/>
          <w:i/>
          <w:iCs/>
          <w:sz w:val="18"/>
          <w:szCs w:val="18"/>
          <w:lang w:val="en-US"/>
        </w:rPr>
        <w:t>vectors</w:t>
      </w:r>
      <w:r w:rsidRPr="00D403F5">
        <w:rPr>
          <w:rFonts w:ascii="Arial" w:hAnsi="Arial" w:cs="Arial"/>
          <w:sz w:val="18"/>
          <w:szCs w:val="18"/>
          <w:lang w:val="en-US"/>
        </w:rPr>
        <w:t xml:space="preserve"> </w:t>
      </w:r>
      <w:r w:rsidRPr="00D403F5">
        <w:rPr>
          <w:rFonts w:ascii="Arial" w:hAnsi="Arial" w:cs="Arial"/>
          <w:sz w:val="18"/>
          <w:szCs w:val="18"/>
          <w:lang w:val="en-CA"/>
        </w:rPr>
        <w:t>should be managed giving consideration to the following mitigation measures:</w:t>
      </w:r>
    </w:p>
    <w:p w14:paraId="69B38429" w14:textId="77777777" w:rsidR="007B3D5C" w:rsidRPr="00D403F5" w:rsidRDefault="007B3D5C" w:rsidP="00D403F5">
      <w:pPr>
        <w:autoSpaceDE w:val="0"/>
        <w:autoSpaceDN w:val="0"/>
        <w:spacing w:after="0" w:line="240" w:lineRule="auto"/>
        <w:ind w:left="851" w:hanging="425"/>
        <w:jc w:val="both"/>
        <w:rPr>
          <w:rFonts w:ascii="Arial" w:hAnsi="Arial" w:cs="Arial"/>
          <w:sz w:val="18"/>
          <w:szCs w:val="18"/>
          <w:lang w:val="en-US"/>
        </w:rPr>
      </w:pPr>
      <w:r w:rsidRPr="00D403F5">
        <w:rPr>
          <w:rFonts w:ascii="Arial" w:hAnsi="Arial" w:cs="Arial"/>
          <w:i/>
          <w:sz w:val="18"/>
          <w:szCs w:val="18"/>
          <w:lang w:val="en-AU"/>
        </w:rPr>
        <w:t>a)</w:t>
      </w:r>
      <w:r w:rsidRPr="00D403F5">
        <w:rPr>
          <w:rFonts w:ascii="Arial" w:hAnsi="Arial" w:cs="Arial"/>
          <w:sz w:val="18"/>
          <w:szCs w:val="18"/>
          <w:lang w:val="en-AU"/>
        </w:rPr>
        <w:tab/>
        <w:t>P</w:t>
      </w:r>
      <w:r w:rsidRPr="00D403F5">
        <w:rPr>
          <w:rFonts w:ascii="Arial" w:hAnsi="Arial" w:cs="Arial"/>
          <w:sz w:val="18"/>
          <w:szCs w:val="18"/>
          <w:lang w:val="en-US"/>
        </w:rPr>
        <w:t xml:space="preserve">hysical mitigation measures should be used to prevent the access of </w:t>
      </w:r>
      <w:r w:rsidRPr="00D403F5">
        <w:rPr>
          <w:rFonts w:ascii="Arial" w:hAnsi="Arial" w:cs="Arial"/>
          <w:i/>
          <w:iCs/>
          <w:sz w:val="18"/>
          <w:szCs w:val="18"/>
          <w:lang w:val="en-US"/>
        </w:rPr>
        <w:t>vectors</w:t>
      </w:r>
      <w:r w:rsidRPr="00D403F5">
        <w:rPr>
          <w:rFonts w:ascii="Arial" w:hAnsi="Arial" w:cs="Arial"/>
          <w:sz w:val="18"/>
          <w:szCs w:val="18"/>
          <w:lang w:val="en-US"/>
        </w:rPr>
        <w:t xml:space="preserve"> to </w:t>
      </w:r>
      <w:r w:rsidRPr="00D403F5">
        <w:rPr>
          <w:rFonts w:ascii="Arial" w:hAnsi="Arial" w:cs="Arial"/>
          <w:i/>
          <w:iCs/>
          <w:sz w:val="18"/>
          <w:szCs w:val="18"/>
          <w:lang w:val="en-US"/>
        </w:rPr>
        <w:t xml:space="preserve">aquaculture establishments </w:t>
      </w:r>
      <w:r w:rsidRPr="00D403F5">
        <w:rPr>
          <w:rFonts w:ascii="Arial" w:hAnsi="Arial" w:cs="Arial"/>
          <w:sz w:val="18"/>
          <w:szCs w:val="18"/>
          <w:lang w:val="en-US"/>
        </w:rPr>
        <w:t>including</w:t>
      </w:r>
      <w:r w:rsidRPr="00D403F5">
        <w:rPr>
          <w:rFonts w:ascii="Arial" w:hAnsi="Arial" w:cs="Arial"/>
          <w:iCs/>
          <w:sz w:val="18"/>
          <w:szCs w:val="18"/>
          <w:lang w:val="en-US"/>
        </w:rPr>
        <w:t>:</w:t>
      </w:r>
    </w:p>
    <w:p w14:paraId="26E20402" w14:textId="77777777" w:rsidR="007B3D5C" w:rsidRPr="00D403F5" w:rsidRDefault="007B3D5C" w:rsidP="00D403F5">
      <w:pPr>
        <w:autoSpaceDE w:val="0"/>
        <w:autoSpaceDN w:val="0"/>
        <w:spacing w:after="0"/>
        <w:ind w:left="1440" w:hanging="579"/>
        <w:jc w:val="both"/>
        <w:rPr>
          <w:rFonts w:ascii="Arial" w:hAnsi="Arial" w:cs="Arial"/>
          <w:sz w:val="18"/>
          <w:szCs w:val="18"/>
          <w:shd w:val="clear" w:color="auto" w:fill="FFFFFF"/>
        </w:rPr>
      </w:pPr>
      <w:r w:rsidRPr="00D403F5">
        <w:rPr>
          <w:rFonts w:ascii="Arial" w:hAnsi="Arial" w:cs="Arial"/>
          <w:i/>
          <w:sz w:val="18"/>
          <w:szCs w:val="18"/>
          <w:lang w:val="en-AU"/>
        </w:rPr>
        <w:t>i)</w:t>
      </w:r>
      <w:r w:rsidRPr="00D403F5">
        <w:rPr>
          <w:rFonts w:ascii="Arial" w:hAnsi="Arial" w:cs="Arial"/>
          <w:i/>
          <w:sz w:val="18"/>
          <w:szCs w:val="18"/>
          <w:shd w:val="clear" w:color="auto" w:fill="FFFFFF"/>
        </w:rPr>
        <w:t xml:space="preserve"> </w:t>
      </w:r>
      <w:r w:rsidRPr="00D403F5">
        <w:rPr>
          <w:rFonts w:ascii="Arial" w:hAnsi="Arial" w:cs="Arial"/>
          <w:sz w:val="18"/>
          <w:szCs w:val="18"/>
          <w:shd w:val="clear" w:color="auto" w:fill="FFFFFF"/>
        </w:rPr>
        <w:tab/>
        <w:t>filtering or screening of water entering semi-closed and closed </w:t>
      </w:r>
      <w:r w:rsidRPr="00D403F5">
        <w:rPr>
          <w:rFonts w:ascii="Arial" w:hAnsi="Arial" w:cs="Arial"/>
          <w:i/>
          <w:iCs/>
          <w:sz w:val="18"/>
          <w:szCs w:val="18"/>
          <w:shd w:val="clear" w:color="auto" w:fill="FFFFFF"/>
        </w:rPr>
        <w:t>aquaculture</w:t>
      </w:r>
      <w:r w:rsidRPr="00D403F5">
        <w:rPr>
          <w:rFonts w:ascii="Arial" w:hAnsi="Arial" w:cs="Arial"/>
          <w:sz w:val="18"/>
          <w:szCs w:val="18"/>
          <w:shd w:val="clear" w:color="auto" w:fill="FFFFFF"/>
        </w:rPr>
        <w:t xml:space="preserve"> production systems to prevent entry of wild </w:t>
      </w:r>
      <w:r w:rsidRPr="00D403F5">
        <w:rPr>
          <w:rFonts w:ascii="Arial" w:hAnsi="Arial" w:cs="Arial"/>
          <w:i/>
          <w:iCs/>
          <w:sz w:val="18"/>
          <w:szCs w:val="18"/>
          <w:shd w:val="clear" w:color="auto" w:fill="FFFFFF"/>
        </w:rPr>
        <w:t>aquatic animals</w:t>
      </w:r>
      <w:r w:rsidRPr="00D403F5">
        <w:rPr>
          <w:rFonts w:ascii="Arial" w:hAnsi="Arial" w:cs="Arial"/>
          <w:sz w:val="18"/>
          <w:szCs w:val="18"/>
          <w:shd w:val="clear" w:color="auto" w:fill="FFFFFF"/>
        </w:rPr>
        <w:t>;</w:t>
      </w:r>
    </w:p>
    <w:p w14:paraId="47C07A32" w14:textId="77777777" w:rsidR="007B3D5C" w:rsidRPr="00D403F5" w:rsidRDefault="007B3D5C" w:rsidP="00D403F5">
      <w:pPr>
        <w:spacing w:after="0"/>
        <w:ind w:left="1440" w:hanging="589"/>
        <w:jc w:val="both"/>
        <w:rPr>
          <w:rFonts w:ascii="Arial" w:hAnsi="Arial" w:cs="Arial"/>
          <w:iCs/>
          <w:sz w:val="18"/>
          <w:szCs w:val="18"/>
          <w:lang w:val="en-AU"/>
        </w:rPr>
      </w:pPr>
      <w:r w:rsidRPr="00D403F5">
        <w:rPr>
          <w:rFonts w:ascii="Arial" w:hAnsi="Arial" w:cs="Arial"/>
          <w:i/>
          <w:sz w:val="18"/>
          <w:szCs w:val="18"/>
          <w:shd w:val="clear" w:color="auto" w:fill="FFFFFF"/>
        </w:rPr>
        <w:t>ii)</w:t>
      </w:r>
      <w:r w:rsidRPr="00D403F5">
        <w:rPr>
          <w:rFonts w:ascii="Arial" w:hAnsi="Arial" w:cs="Arial"/>
          <w:sz w:val="18"/>
          <w:szCs w:val="18"/>
          <w:shd w:val="clear" w:color="auto" w:fill="FFFFFF"/>
        </w:rPr>
        <w:tab/>
      </w:r>
      <w:r w:rsidRPr="00D403F5">
        <w:rPr>
          <w:rFonts w:ascii="Arial" w:hAnsi="Arial" w:cs="Arial"/>
          <w:iCs/>
          <w:sz w:val="18"/>
          <w:szCs w:val="18"/>
          <w:lang w:val="en-AU"/>
        </w:rPr>
        <w:t>surrounding land-based</w:t>
      </w:r>
      <w:r w:rsidRPr="00D403F5">
        <w:rPr>
          <w:rFonts w:ascii="Arial" w:hAnsi="Arial" w:cs="Arial"/>
          <w:sz w:val="18"/>
          <w:szCs w:val="18"/>
          <w:shd w:val="clear" w:color="auto" w:fill="FFFFFF"/>
        </w:rPr>
        <w:t> </w:t>
      </w:r>
      <w:r w:rsidRPr="00D403F5">
        <w:rPr>
          <w:rFonts w:ascii="Arial" w:hAnsi="Arial" w:cs="Arial"/>
          <w:i/>
          <w:iCs/>
          <w:sz w:val="18"/>
          <w:szCs w:val="18"/>
          <w:shd w:val="clear" w:color="auto" w:fill="FFFFFF"/>
        </w:rPr>
        <w:t>aquaculture</w:t>
      </w:r>
      <w:r w:rsidRPr="00D403F5">
        <w:rPr>
          <w:rFonts w:ascii="Arial" w:hAnsi="Arial" w:cs="Arial"/>
          <w:sz w:val="18"/>
          <w:szCs w:val="18"/>
          <w:shd w:val="clear" w:color="auto" w:fill="FFFFFF"/>
        </w:rPr>
        <w:t> production systems</w:t>
      </w:r>
      <w:r w:rsidRPr="00D403F5">
        <w:rPr>
          <w:rFonts w:ascii="Arial" w:hAnsi="Arial" w:cs="Arial"/>
          <w:iCs/>
          <w:sz w:val="18"/>
          <w:szCs w:val="18"/>
          <w:lang w:val="en-AU"/>
        </w:rPr>
        <w:t xml:space="preserve"> by a fence or a wall to prevent entry of animals and people, with a gate for controlled access;</w:t>
      </w:r>
    </w:p>
    <w:p w14:paraId="6E8744F4" w14:textId="77777777" w:rsidR="007B3D5C" w:rsidRPr="00D403F5" w:rsidRDefault="007B3D5C" w:rsidP="00D403F5">
      <w:pPr>
        <w:autoSpaceDE w:val="0"/>
        <w:autoSpaceDN w:val="0"/>
        <w:spacing w:after="0"/>
        <w:ind w:left="1440" w:hanging="589"/>
        <w:jc w:val="both"/>
        <w:rPr>
          <w:rFonts w:ascii="Arial" w:hAnsi="Arial" w:cs="Arial"/>
          <w:sz w:val="18"/>
          <w:szCs w:val="18"/>
          <w:lang w:val="en-AU"/>
        </w:rPr>
      </w:pPr>
      <w:r w:rsidRPr="00D403F5">
        <w:rPr>
          <w:rFonts w:ascii="Arial" w:hAnsi="Arial" w:cs="Arial"/>
          <w:i/>
          <w:iCs/>
          <w:sz w:val="18"/>
          <w:szCs w:val="18"/>
          <w:lang w:val="en-AU"/>
        </w:rPr>
        <w:t>iii)</w:t>
      </w:r>
      <w:r w:rsidRPr="00D403F5">
        <w:rPr>
          <w:rFonts w:ascii="Arial" w:hAnsi="Arial" w:cs="Arial"/>
          <w:iCs/>
          <w:sz w:val="18"/>
          <w:szCs w:val="18"/>
          <w:lang w:val="en-AU"/>
        </w:rPr>
        <w:tab/>
        <w:t xml:space="preserve">surrounding floating </w:t>
      </w:r>
      <w:r w:rsidRPr="00D403F5">
        <w:rPr>
          <w:rFonts w:ascii="Arial" w:hAnsi="Arial" w:cs="Arial"/>
          <w:i/>
          <w:iCs/>
          <w:sz w:val="18"/>
          <w:szCs w:val="18"/>
          <w:shd w:val="clear" w:color="auto" w:fill="FFFFFF"/>
        </w:rPr>
        <w:t>aquaculture</w:t>
      </w:r>
      <w:r w:rsidRPr="00D403F5">
        <w:rPr>
          <w:rFonts w:ascii="Arial" w:hAnsi="Arial" w:cs="Arial"/>
          <w:sz w:val="18"/>
          <w:szCs w:val="18"/>
          <w:shd w:val="clear" w:color="auto" w:fill="FFFFFF"/>
        </w:rPr>
        <w:t xml:space="preserve"> production systems </w:t>
      </w:r>
      <w:r w:rsidRPr="00D403F5">
        <w:rPr>
          <w:rFonts w:ascii="Arial" w:hAnsi="Arial" w:cs="Arial"/>
          <w:iCs/>
          <w:sz w:val="18"/>
          <w:szCs w:val="18"/>
          <w:lang w:val="en-AU"/>
        </w:rPr>
        <w:t xml:space="preserve">by </w:t>
      </w:r>
      <w:r w:rsidRPr="00D403F5">
        <w:rPr>
          <w:rFonts w:ascii="Arial" w:hAnsi="Arial" w:cs="Arial"/>
          <w:sz w:val="18"/>
          <w:szCs w:val="18"/>
          <w:lang w:val="en-AU"/>
        </w:rPr>
        <w:t xml:space="preserve">barriers on the establishment perimeter to prevent contact with or entry of </w:t>
      </w:r>
      <w:r w:rsidRPr="00D403F5">
        <w:rPr>
          <w:rFonts w:ascii="Arial" w:hAnsi="Arial" w:cs="Arial"/>
          <w:sz w:val="18"/>
          <w:szCs w:val="18"/>
        </w:rPr>
        <w:t xml:space="preserve">wild </w:t>
      </w:r>
      <w:r w:rsidRPr="00D403F5">
        <w:rPr>
          <w:rFonts w:ascii="Arial" w:hAnsi="Arial" w:cs="Arial"/>
          <w:i/>
          <w:sz w:val="18"/>
          <w:szCs w:val="18"/>
        </w:rPr>
        <w:t xml:space="preserve">aquatic animals </w:t>
      </w:r>
      <w:r w:rsidRPr="00D403F5">
        <w:rPr>
          <w:rFonts w:ascii="Arial" w:hAnsi="Arial" w:cs="Arial"/>
          <w:iCs/>
          <w:sz w:val="18"/>
          <w:szCs w:val="18"/>
        </w:rPr>
        <w:t xml:space="preserve">and </w:t>
      </w:r>
      <w:r w:rsidRPr="00D403F5">
        <w:rPr>
          <w:rFonts w:ascii="Arial" w:hAnsi="Arial" w:cs="Arial"/>
          <w:sz w:val="18"/>
          <w:szCs w:val="18"/>
          <w:lang w:val="en-AU"/>
        </w:rPr>
        <w:t>other animals;</w:t>
      </w:r>
    </w:p>
    <w:p w14:paraId="566D30D6" w14:textId="6B139CF6" w:rsidR="007B3D5C" w:rsidRPr="00D403F5" w:rsidRDefault="007B3D5C" w:rsidP="00D403F5">
      <w:pPr>
        <w:autoSpaceDE w:val="0"/>
        <w:autoSpaceDN w:val="0"/>
        <w:spacing w:after="0"/>
        <w:ind w:left="1134" w:hanging="283"/>
        <w:jc w:val="both"/>
        <w:rPr>
          <w:rFonts w:ascii="Arial" w:hAnsi="Arial" w:cs="Arial"/>
          <w:sz w:val="18"/>
          <w:szCs w:val="18"/>
          <w:lang w:val="en-AU"/>
        </w:rPr>
      </w:pPr>
      <w:r w:rsidRPr="00D403F5">
        <w:rPr>
          <w:rFonts w:ascii="Arial" w:hAnsi="Arial" w:cs="Arial"/>
          <w:i/>
          <w:sz w:val="18"/>
          <w:szCs w:val="18"/>
          <w:lang w:val="en-AU"/>
        </w:rPr>
        <w:t>iv)</w:t>
      </w:r>
      <w:r w:rsidRPr="00D403F5">
        <w:rPr>
          <w:rFonts w:ascii="Arial" w:hAnsi="Arial" w:cs="Arial"/>
          <w:i/>
          <w:sz w:val="18"/>
          <w:szCs w:val="18"/>
          <w:lang w:val="en-AU"/>
        </w:rPr>
        <w:tab/>
      </w:r>
      <w:r w:rsidRPr="00D403F5">
        <w:rPr>
          <w:rFonts w:ascii="Arial" w:hAnsi="Arial" w:cs="Arial"/>
          <w:sz w:val="18"/>
          <w:szCs w:val="18"/>
          <w:lang w:val="en-AU"/>
        </w:rPr>
        <w:tab/>
        <w:t xml:space="preserve">covering outdoor </w:t>
      </w:r>
      <w:r w:rsidRPr="00D403F5">
        <w:rPr>
          <w:rFonts w:ascii="Arial" w:hAnsi="Arial" w:cs="Arial"/>
          <w:i/>
          <w:iCs/>
          <w:sz w:val="18"/>
          <w:szCs w:val="18"/>
          <w:shd w:val="clear" w:color="auto" w:fill="FFFFFF"/>
        </w:rPr>
        <w:t>aquaculture</w:t>
      </w:r>
      <w:r w:rsidRPr="00D403F5">
        <w:rPr>
          <w:rFonts w:ascii="Arial" w:hAnsi="Arial" w:cs="Arial"/>
          <w:sz w:val="18"/>
          <w:szCs w:val="18"/>
          <w:shd w:val="clear" w:color="auto" w:fill="FFFFFF"/>
        </w:rPr>
        <w:t> production systems</w:t>
      </w:r>
      <w:r w:rsidRPr="00D403F5">
        <w:rPr>
          <w:rFonts w:ascii="Arial" w:hAnsi="Arial" w:cs="Arial"/>
          <w:sz w:val="18"/>
          <w:szCs w:val="18"/>
          <w:lang w:val="en-AU"/>
        </w:rPr>
        <w:t xml:space="preserve"> with nets to prevent access by birds</w:t>
      </w:r>
    </w:p>
    <w:p w14:paraId="61614151" w14:textId="77777777" w:rsidR="007B3D5C" w:rsidRPr="00D403F5" w:rsidRDefault="007B3D5C" w:rsidP="00D403F5">
      <w:pPr>
        <w:pStyle w:val="2"/>
        <w:tabs>
          <w:tab w:val="clear" w:pos="360"/>
        </w:tabs>
        <w:spacing w:after="0"/>
        <w:ind w:left="0" w:firstLine="0"/>
        <w:jc w:val="right"/>
        <w:rPr>
          <w:rFonts w:ascii="Times New Roman" w:hAnsi="Times New Roman"/>
          <w:b w:val="0"/>
          <w:sz w:val="18"/>
          <w:szCs w:val="18"/>
          <w:u w:val="single"/>
        </w:rPr>
      </w:pPr>
      <w:r w:rsidRPr="00D403F5">
        <w:rPr>
          <w:rFonts w:ascii="Times New Roman" w:hAnsi="Times New Roman"/>
          <w:b w:val="0"/>
          <w:sz w:val="18"/>
          <w:szCs w:val="18"/>
          <w:u w:val="single"/>
        </w:rPr>
        <w:br w:type="page"/>
      </w:r>
    </w:p>
    <w:p w14:paraId="34DC75A5" w14:textId="4A0D5A96" w:rsidR="007B3D5C" w:rsidRPr="00D403F5" w:rsidRDefault="007B3D5C" w:rsidP="0026432A">
      <w:pPr>
        <w:pStyle w:val="2"/>
        <w:tabs>
          <w:tab w:val="clear" w:pos="360"/>
        </w:tabs>
        <w:spacing w:after="480"/>
        <w:ind w:left="0" w:firstLine="0"/>
        <w:jc w:val="right"/>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35F766AC" w14:textId="77777777" w:rsidR="007B3D5C" w:rsidRPr="00D403F5" w:rsidRDefault="007B3D5C" w:rsidP="00D403F5">
      <w:pPr>
        <w:autoSpaceDE w:val="0"/>
        <w:autoSpaceDN w:val="0"/>
        <w:spacing w:after="0"/>
        <w:ind w:left="851" w:hanging="425"/>
        <w:jc w:val="both"/>
        <w:rPr>
          <w:rFonts w:ascii="Arial" w:hAnsi="Arial" w:cs="Arial"/>
          <w:sz w:val="18"/>
          <w:szCs w:val="18"/>
          <w:lang w:val="en-US"/>
        </w:rPr>
      </w:pPr>
      <w:r w:rsidRPr="00D403F5">
        <w:rPr>
          <w:rFonts w:ascii="Arial" w:hAnsi="Arial" w:cs="Arial"/>
          <w:i/>
          <w:iCs/>
          <w:sz w:val="18"/>
          <w:szCs w:val="18"/>
          <w:lang w:val="en-AU"/>
        </w:rPr>
        <w:t>b)</w:t>
      </w:r>
      <w:r w:rsidRPr="00D403F5">
        <w:rPr>
          <w:rFonts w:ascii="Arial" w:hAnsi="Arial" w:cs="Arial"/>
          <w:i/>
          <w:iCs/>
          <w:sz w:val="18"/>
          <w:szCs w:val="18"/>
          <w:lang w:val="en-AU"/>
        </w:rPr>
        <w:tab/>
      </w:r>
      <w:r w:rsidRPr="00D403F5">
        <w:rPr>
          <w:rFonts w:ascii="Arial" w:hAnsi="Arial" w:cs="Arial"/>
          <w:iCs/>
          <w:sz w:val="18"/>
          <w:szCs w:val="18"/>
          <w:lang w:val="en-AU"/>
        </w:rPr>
        <w:t>A</w:t>
      </w:r>
      <w:r w:rsidRPr="00D403F5">
        <w:rPr>
          <w:rFonts w:ascii="Arial" w:hAnsi="Arial" w:cs="Arial"/>
          <w:sz w:val="18"/>
          <w:szCs w:val="18"/>
          <w:lang w:val="en-AU"/>
        </w:rPr>
        <w:t xml:space="preserve">ccess of personnel to </w:t>
      </w:r>
      <w:r w:rsidRPr="00D403F5">
        <w:rPr>
          <w:rFonts w:ascii="Arial" w:hAnsi="Arial" w:cs="Arial"/>
          <w:i/>
          <w:iCs/>
          <w:sz w:val="18"/>
          <w:szCs w:val="18"/>
          <w:lang w:val="en-US"/>
        </w:rPr>
        <w:t>aquaculture establishments</w:t>
      </w:r>
      <w:r w:rsidRPr="00D403F5">
        <w:rPr>
          <w:rFonts w:ascii="Arial" w:hAnsi="Arial" w:cs="Arial"/>
          <w:sz w:val="18"/>
          <w:szCs w:val="18"/>
          <w:lang w:val="en-US"/>
        </w:rPr>
        <w:t xml:space="preserve"> should be controlled by creating a </w:t>
      </w:r>
      <w:r w:rsidRPr="00D403F5">
        <w:rPr>
          <w:rFonts w:ascii="Arial" w:hAnsi="Arial" w:cs="Arial"/>
          <w:sz w:val="18"/>
          <w:szCs w:val="18"/>
          <w:lang w:val="en-US" w:eastAsia="nb-NO"/>
        </w:rPr>
        <w:t>defined border between the outer risk area and the inner biosecure area comprising facilities for</w:t>
      </w:r>
      <w:r w:rsidRPr="00D403F5">
        <w:rPr>
          <w:rFonts w:ascii="Arial" w:hAnsi="Arial" w:cs="Arial"/>
          <w:sz w:val="18"/>
          <w:szCs w:val="18"/>
          <w:lang w:val="en-US"/>
        </w:rPr>
        <w:t>:</w:t>
      </w:r>
    </w:p>
    <w:p w14:paraId="6F2AA1A8" w14:textId="77777777" w:rsidR="007B3D5C" w:rsidRPr="00D403F5" w:rsidRDefault="007B3D5C" w:rsidP="00D403F5">
      <w:pPr>
        <w:autoSpaceDE w:val="0"/>
        <w:autoSpaceDN w:val="0"/>
        <w:spacing w:after="0"/>
        <w:ind w:left="1276" w:hanging="425"/>
        <w:jc w:val="both"/>
        <w:rPr>
          <w:rFonts w:ascii="Arial" w:hAnsi="Arial" w:cs="Arial"/>
          <w:sz w:val="18"/>
          <w:szCs w:val="18"/>
          <w:lang w:val="en-AU"/>
        </w:rPr>
      </w:pPr>
      <w:r w:rsidRPr="00D403F5">
        <w:rPr>
          <w:rFonts w:ascii="Arial" w:hAnsi="Arial" w:cs="Arial"/>
          <w:i/>
          <w:sz w:val="18"/>
          <w:szCs w:val="18"/>
          <w:lang w:val="en-AU"/>
        </w:rPr>
        <w:t xml:space="preserve">i) </w:t>
      </w:r>
      <w:r w:rsidRPr="00D403F5">
        <w:rPr>
          <w:rFonts w:ascii="Arial" w:hAnsi="Arial" w:cs="Arial"/>
          <w:sz w:val="18"/>
          <w:szCs w:val="18"/>
          <w:lang w:val="en-AU"/>
        </w:rPr>
        <w:tab/>
        <w:t>changing of clothes and shoes, or use of disposal coverings (hoods, coats, shoe coverings);</w:t>
      </w:r>
    </w:p>
    <w:p w14:paraId="5188ADAE" w14:textId="77777777" w:rsidR="007B3D5C" w:rsidRPr="00D403F5" w:rsidRDefault="007B3D5C" w:rsidP="00D403F5">
      <w:pPr>
        <w:autoSpaceDE w:val="0"/>
        <w:autoSpaceDN w:val="0"/>
        <w:spacing w:after="0"/>
        <w:ind w:left="1276" w:hanging="425"/>
        <w:jc w:val="both"/>
        <w:rPr>
          <w:rFonts w:ascii="Arial" w:hAnsi="Arial" w:cs="Arial"/>
          <w:sz w:val="18"/>
          <w:szCs w:val="18"/>
          <w:lang w:val="en-AU"/>
        </w:rPr>
      </w:pPr>
      <w:r w:rsidRPr="00D403F5">
        <w:rPr>
          <w:rFonts w:ascii="Arial" w:hAnsi="Arial" w:cs="Arial"/>
          <w:i/>
          <w:sz w:val="18"/>
          <w:szCs w:val="18"/>
          <w:lang w:val="en-AU"/>
        </w:rPr>
        <w:t>ii)</w:t>
      </w:r>
      <w:r w:rsidRPr="00D403F5">
        <w:rPr>
          <w:rFonts w:ascii="Arial" w:hAnsi="Arial" w:cs="Arial"/>
          <w:sz w:val="18"/>
          <w:szCs w:val="18"/>
          <w:lang w:val="en-AU"/>
        </w:rPr>
        <w:tab/>
        <w:t xml:space="preserve">cleaning and </w:t>
      </w:r>
      <w:r w:rsidRPr="00D403F5">
        <w:rPr>
          <w:rFonts w:ascii="Arial" w:hAnsi="Arial" w:cs="Arial"/>
          <w:i/>
          <w:sz w:val="18"/>
          <w:szCs w:val="18"/>
          <w:lang w:val="en-AU"/>
        </w:rPr>
        <w:t>disinfection</w:t>
      </w:r>
      <w:r w:rsidRPr="00D403F5">
        <w:rPr>
          <w:rFonts w:ascii="Arial" w:hAnsi="Arial" w:cs="Arial"/>
          <w:sz w:val="18"/>
          <w:szCs w:val="18"/>
          <w:lang w:val="en-AU"/>
        </w:rPr>
        <w:t xml:space="preserve"> of hands, and the use of foot baths;</w:t>
      </w:r>
    </w:p>
    <w:p w14:paraId="037BCB99" w14:textId="77777777" w:rsidR="007B3D5C" w:rsidRPr="00D403F5" w:rsidRDefault="007B3D5C" w:rsidP="00D403F5">
      <w:pPr>
        <w:autoSpaceDE w:val="0"/>
        <w:autoSpaceDN w:val="0"/>
        <w:spacing w:after="0"/>
        <w:ind w:left="851" w:hanging="425"/>
        <w:jc w:val="both"/>
        <w:rPr>
          <w:rFonts w:ascii="Arial" w:hAnsi="Arial" w:cs="Arial"/>
          <w:sz w:val="18"/>
          <w:szCs w:val="18"/>
          <w:lang w:val="fr-FR"/>
        </w:rPr>
      </w:pPr>
      <w:r w:rsidRPr="00D403F5">
        <w:rPr>
          <w:rFonts w:ascii="Arial" w:hAnsi="Arial" w:cs="Arial"/>
          <w:i/>
          <w:sz w:val="18"/>
          <w:szCs w:val="18"/>
          <w:lang w:val="fr-FR"/>
        </w:rPr>
        <w:t>c)</w:t>
      </w:r>
      <w:r w:rsidRPr="00D403F5">
        <w:rPr>
          <w:rFonts w:ascii="Arial" w:hAnsi="Arial" w:cs="Arial"/>
          <w:sz w:val="18"/>
          <w:szCs w:val="18"/>
          <w:lang w:val="fr-FR"/>
        </w:rPr>
        <w:tab/>
        <w:t>Pest control.</w:t>
      </w:r>
    </w:p>
    <w:bookmarkEnd w:id="32"/>
    <w:bookmarkEnd w:id="33"/>
    <w:p w14:paraId="3F3E68D3" w14:textId="77777777" w:rsidR="007B3D5C" w:rsidRPr="00D403F5" w:rsidRDefault="007B3D5C" w:rsidP="00D403F5">
      <w:pPr>
        <w:spacing w:after="0"/>
        <w:jc w:val="center"/>
        <w:rPr>
          <w:rFonts w:ascii="Ottawa" w:hAnsi="Ottawa" w:cs="Arial"/>
          <w:sz w:val="18"/>
          <w:szCs w:val="18"/>
          <w:lang w:val="fr-FR"/>
        </w:rPr>
      </w:pPr>
      <w:r w:rsidRPr="00D403F5">
        <w:rPr>
          <w:rFonts w:ascii="Ottawa" w:hAnsi="Ottawa" w:cs="Arial"/>
          <w:sz w:val="18"/>
          <w:szCs w:val="18"/>
          <w:lang w:val="fr-FR"/>
        </w:rPr>
        <w:t>Article 4.X.7.</w:t>
      </w:r>
    </w:p>
    <w:p w14:paraId="584841FD" w14:textId="77777777" w:rsidR="007B3D5C" w:rsidRPr="00D403F5" w:rsidRDefault="007B3D5C" w:rsidP="00D403F5">
      <w:pPr>
        <w:spacing w:after="0"/>
        <w:jc w:val="both"/>
        <w:rPr>
          <w:rFonts w:ascii="Ottawa" w:hAnsi="Ottawa" w:cs="Arial"/>
          <w:b/>
          <w:color w:val="000000"/>
          <w:sz w:val="18"/>
          <w:szCs w:val="18"/>
        </w:rPr>
      </w:pPr>
      <w:r w:rsidRPr="00D403F5">
        <w:rPr>
          <w:rFonts w:ascii="Ottawa" w:hAnsi="Ottawa" w:cs="Arial"/>
          <w:b/>
          <w:color w:val="000000"/>
          <w:sz w:val="18"/>
          <w:szCs w:val="18"/>
        </w:rPr>
        <w:t xml:space="preserve">Risk analysis </w:t>
      </w:r>
    </w:p>
    <w:p w14:paraId="671870DB" w14:textId="77777777" w:rsidR="007B3D5C" w:rsidRPr="00D403F5" w:rsidRDefault="007B3D5C" w:rsidP="00D403F5">
      <w:pPr>
        <w:pStyle w:val="Web"/>
        <w:spacing w:before="0" w:beforeAutospacing="0" w:after="0" w:afterAutospacing="0"/>
        <w:jc w:val="both"/>
        <w:rPr>
          <w:rFonts w:ascii="Arial" w:hAnsi="Arial" w:cs="Arial"/>
          <w:sz w:val="18"/>
          <w:szCs w:val="18"/>
          <w:lang w:val="en-US"/>
        </w:rPr>
      </w:pPr>
      <w:bookmarkStart w:id="35" w:name="_Hlk528242924"/>
      <w:r w:rsidRPr="00D403F5">
        <w:rPr>
          <w:rFonts w:ascii="Arial" w:hAnsi="Arial" w:cs="Arial"/>
          <w:i/>
          <w:sz w:val="18"/>
          <w:szCs w:val="18"/>
          <w:lang w:val="en-US"/>
        </w:rPr>
        <w:t>Risk analysis</w:t>
      </w:r>
      <w:r w:rsidRPr="00D403F5">
        <w:rPr>
          <w:rFonts w:ascii="Arial" w:hAnsi="Arial" w:cs="Arial"/>
          <w:sz w:val="18"/>
          <w:szCs w:val="18"/>
          <w:lang w:val="en-US"/>
        </w:rPr>
        <w:t xml:space="preserve"> is an accepted approach for evaluating </w:t>
      </w:r>
      <w:r w:rsidRPr="00D403F5">
        <w:rPr>
          <w:rFonts w:ascii="Arial" w:hAnsi="Arial" w:cs="Arial"/>
          <w:i/>
          <w:sz w:val="18"/>
          <w:szCs w:val="18"/>
          <w:lang w:val="en-US"/>
        </w:rPr>
        <w:t>biosecurity</w:t>
      </w:r>
      <w:r w:rsidRPr="00D403F5">
        <w:rPr>
          <w:rFonts w:ascii="Arial" w:hAnsi="Arial" w:cs="Arial"/>
          <w:sz w:val="18"/>
          <w:szCs w:val="18"/>
          <w:lang w:val="en-US"/>
        </w:rPr>
        <w:t xml:space="preserve"> threats and is used to support the development of mitigation measures. A formal </w:t>
      </w:r>
      <w:r w:rsidRPr="00D403F5">
        <w:rPr>
          <w:rFonts w:ascii="Arial" w:hAnsi="Arial" w:cs="Arial"/>
          <w:i/>
          <w:sz w:val="18"/>
          <w:szCs w:val="18"/>
          <w:lang w:val="en-US"/>
        </w:rPr>
        <w:t xml:space="preserve">risk analysis </w:t>
      </w:r>
      <w:r w:rsidRPr="00D403F5">
        <w:rPr>
          <w:rFonts w:ascii="Arial" w:hAnsi="Arial" w:cs="Arial"/>
          <w:sz w:val="18"/>
          <w:szCs w:val="18"/>
          <w:lang w:val="en-US"/>
        </w:rPr>
        <w:t xml:space="preserve">has four components: </w:t>
      </w:r>
      <w:r w:rsidRPr="00D403F5">
        <w:rPr>
          <w:rFonts w:ascii="Arial" w:hAnsi="Arial" w:cs="Arial"/>
          <w:i/>
          <w:sz w:val="18"/>
          <w:szCs w:val="18"/>
          <w:lang w:val="en-US"/>
        </w:rPr>
        <w:t>hazard</w:t>
      </w:r>
      <w:r w:rsidRPr="00D403F5">
        <w:rPr>
          <w:rFonts w:ascii="Arial" w:hAnsi="Arial" w:cs="Arial"/>
          <w:sz w:val="18"/>
          <w:szCs w:val="18"/>
          <w:lang w:val="en-US"/>
        </w:rPr>
        <w:t xml:space="preserve"> identification, </w:t>
      </w:r>
      <w:r w:rsidRPr="00D403F5">
        <w:rPr>
          <w:rFonts w:ascii="Arial" w:hAnsi="Arial" w:cs="Arial"/>
          <w:i/>
          <w:sz w:val="18"/>
          <w:szCs w:val="18"/>
          <w:lang w:val="en-US"/>
        </w:rPr>
        <w:t>risk assessment</w:t>
      </w:r>
      <w:r w:rsidRPr="00D403F5">
        <w:rPr>
          <w:rFonts w:ascii="Arial" w:hAnsi="Arial" w:cs="Arial"/>
          <w:sz w:val="18"/>
          <w:szCs w:val="18"/>
          <w:lang w:val="en-US"/>
        </w:rPr>
        <w:t xml:space="preserve">, </w:t>
      </w:r>
      <w:r w:rsidRPr="00D403F5">
        <w:rPr>
          <w:rFonts w:ascii="Arial" w:hAnsi="Arial" w:cs="Arial"/>
          <w:i/>
          <w:sz w:val="18"/>
          <w:szCs w:val="18"/>
          <w:lang w:val="en-US"/>
        </w:rPr>
        <w:t>risk management</w:t>
      </w:r>
      <w:r w:rsidRPr="00D403F5">
        <w:rPr>
          <w:rFonts w:ascii="Arial" w:hAnsi="Arial" w:cs="Arial"/>
          <w:sz w:val="18"/>
          <w:szCs w:val="18"/>
          <w:lang w:val="en-US"/>
        </w:rPr>
        <w:t xml:space="preserve"> and </w:t>
      </w:r>
      <w:r w:rsidRPr="00D403F5">
        <w:rPr>
          <w:rFonts w:ascii="Arial" w:hAnsi="Arial" w:cs="Arial"/>
          <w:i/>
          <w:sz w:val="18"/>
          <w:szCs w:val="18"/>
          <w:lang w:val="en-US"/>
        </w:rPr>
        <w:t>risk communication</w:t>
      </w:r>
      <w:r w:rsidRPr="00D403F5">
        <w:rPr>
          <w:rFonts w:ascii="Arial" w:hAnsi="Arial" w:cs="Arial"/>
          <w:sz w:val="18"/>
          <w:szCs w:val="18"/>
          <w:lang w:val="en-US"/>
        </w:rPr>
        <w:t xml:space="preserve">. This article elaborates the principles in Chapter 2.1. and applies them for the development of </w:t>
      </w:r>
      <w:r w:rsidRPr="00D403F5">
        <w:rPr>
          <w:rFonts w:ascii="Arial" w:hAnsi="Arial" w:cs="Arial"/>
          <w:i/>
          <w:sz w:val="18"/>
          <w:szCs w:val="18"/>
          <w:lang w:val="en-US"/>
        </w:rPr>
        <w:t>biosecurity</w:t>
      </w:r>
      <w:r w:rsidRPr="00D403F5">
        <w:rPr>
          <w:rFonts w:ascii="Arial" w:hAnsi="Arial" w:cs="Arial"/>
          <w:sz w:val="18"/>
          <w:szCs w:val="18"/>
          <w:lang w:val="en-US"/>
        </w:rPr>
        <w:t xml:space="preserve"> </w:t>
      </w:r>
      <w:r w:rsidRPr="00D403F5">
        <w:rPr>
          <w:rFonts w:ascii="Arial" w:hAnsi="Arial" w:cs="Arial"/>
          <w:i/>
          <w:sz w:val="18"/>
          <w:szCs w:val="18"/>
          <w:lang w:val="en-US"/>
        </w:rPr>
        <w:t>plans</w:t>
      </w:r>
      <w:r w:rsidRPr="00D403F5">
        <w:rPr>
          <w:rFonts w:ascii="Arial" w:hAnsi="Arial" w:cs="Arial"/>
          <w:sz w:val="18"/>
          <w:szCs w:val="18"/>
          <w:lang w:val="en-US"/>
        </w:rPr>
        <w:t xml:space="preserve"> for </w:t>
      </w:r>
      <w:r w:rsidRPr="00D403F5">
        <w:rPr>
          <w:rFonts w:ascii="Arial" w:hAnsi="Arial" w:cs="Arial"/>
          <w:i/>
          <w:sz w:val="18"/>
          <w:szCs w:val="18"/>
          <w:lang w:val="en-US"/>
        </w:rPr>
        <w:t>aquaculture establishments</w:t>
      </w:r>
      <w:r w:rsidRPr="00D403F5">
        <w:rPr>
          <w:rFonts w:ascii="Arial" w:hAnsi="Arial" w:cs="Arial"/>
          <w:sz w:val="18"/>
          <w:szCs w:val="18"/>
          <w:lang w:val="en-US"/>
        </w:rPr>
        <w:t xml:space="preserve">. </w:t>
      </w:r>
    </w:p>
    <w:p w14:paraId="2FAE7B9E" w14:textId="77777777" w:rsidR="007B3D5C" w:rsidRPr="00D403F5" w:rsidRDefault="007B3D5C" w:rsidP="00D403F5">
      <w:pPr>
        <w:pStyle w:val="Web"/>
        <w:spacing w:before="0" w:beforeAutospacing="0" w:after="0" w:afterAutospacing="0"/>
        <w:jc w:val="both"/>
        <w:rPr>
          <w:rFonts w:ascii="Arial" w:hAnsi="Arial" w:cs="Arial"/>
          <w:sz w:val="18"/>
          <w:szCs w:val="18"/>
          <w:lang w:val="en-US"/>
        </w:rPr>
      </w:pPr>
      <w:r w:rsidRPr="00D403F5">
        <w:rPr>
          <w:rFonts w:ascii="Arial" w:hAnsi="Arial" w:cs="Arial"/>
          <w:sz w:val="18"/>
          <w:szCs w:val="18"/>
          <w:lang w:val="en-US"/>
        </w:rPr>
        <w:t xml:space="preserve">A </w:t>
      </w:r>
      <w:r w:rsidRPr="00D403F5">
        <w:rPr>
          <w:rFonts w:ascii="Arial" w:hAnsi="Arial" w:cs="Arial"/>
          <w:i/>
          <w:sz w:val="18"/>
          <w:szCs w:val="18"/>
          <w:lang w:val="en-US"/>
        </w:rPr>
        <w:t>biosecurity plan</w:t>
      </w:r>
      <w:r w:rsidRPr="00D403F5">
        <w:rPr>
          <w:rFonts w:ascii="Arial" w:hAnsi="Arial" w:cs="Arial"/>
          <w:sz w:val="18"/>
          <w:szCs w:val="18"/>
          <w:lang w:val="en-US"/>
        </w:rPr>
        <w:t xml:space="preserve"> may not necessarily require a comprehensive </w:t>
      </w:r>
      <w:r w:rsidRPr="00D403F5">
        <w:rPr>
          <w:rFonts w:ascii="Arial" w:hAnsi="Arial" w:cs="Arial"/>
          <w:i/>
          <w:sz w:val="18"/>
          <w:szCs w:val="18"/>
          <w:lang w:val="en-US"/>
        </w:rPr>
        <w:t>risk analysis</w:t>
      </w:r>
      <w:r w:rsidRPr="00D403F5">
        <w:rPr>
          <w:rFonts w:ascii="Arial" w:hAnsi="Arial" w:cs="Arial"/>
          <w:sz w:val="18"/>
          <w:szCs w:val="18"/>
          <w:lang w:val="en-US"/>
        </w:rPr>
        <w:t xml:space="preserve"> to evaluate </w:t>
      </w:r>
      <w:r w:rsidRPr="00D403F5">
        <w:rPr>
          <w:rFonts w:ascii="Arial" w:hAnsi="Arial" w:cs="Arial"/>
          <w:i/>
          <w:sz w:val="18"/>
          <w:szCs w:val="18"/>
          <w:lang w:val="en-US"/>
        </w:rPr>
        <w:t>disease risks</w:t>
      </w:r>
      <w:r w:rsidRPr="00D403F5">
        <w:rPr>
          <w:rFonts w:ascii="Arial" w:hAnsi="Arial" w:cs="Arial"/>
          <w:sz w:val="18"/>
          <w:szCs w:val="18"/>
          <w:lang w:val="en-US"/>
        </w:rPr>
        <w:t xml:space="preserve"> linked to transmission pathways. The chosen approach may depend on the objectives of the </w:t>
      </w:r>
      <w:r w:rsidRPr="00D403F5">
        <w:rPr>
          <w:rFonts w:ascii="Arial" w:hAnsi="Arial" w:cs="Arial"/>
          <w:i/>
          <w:sz w:val="18"/>
          <w:szCs w:val="18"/>
          <w:lang w:val="en-US"/>
        </w:rPr>
        <w:t>biosecurity plan</w:t>
      </w:r>
      <w:r w:rsidRPr="00D403F5">
        <w:rPr>
          <w:rFonts w:ascii="Arial" w:eastAsia="SimSun" w:hAnsi="Arial" w:cs="Arial" w:hint="eastAsia"/>
          <w:sz w:val="18"/>
          <w:szCs w:val="18"/>
          <w:lang w:val="en-US" w:eastAsia="zh-CN"/>
        </w:rPr>
        <w:t>,</w:t>
      </w:r>
      <w:r w:rsidRPr="00D403F5">
        <w:rPr>
          <w:rFonts w:ascii="Arial" w:hAnsi="Arial" w:cs="Arial"/>
          <w:sz w:val="18"/>
          <w:szCs w:val="18"/>
          <w:lang w:val="en-US"/>
        </w:rPr>
        <w:t xml:space="preserve"> the level of </w:t>
      </w:r>
      <w:r w:rsidRPr="00D403F5">
        <w:rPr>
          <w:rFonts w:ascii="Arial" w:hAnsi="Arial" w:cs="Arial"/>
          <w:i/>
          <w:sz w:val="18"/>
          <w:szCs w:val="18"/>
          <w:lang w:val="en-US"/>
        </w:rPr>
        <w:t>biosecurity</w:t>
      </w:r>
      <w:r w:rsidRPr="00D403F5">
        <w:rPr>
          <w:rFonts w:ascii="Arial" w:hAnsi="Arial" w:cs="Arial"/>
          <w:sz w:val="18"/>
          <w:szCs w:val="18"/>
          <w:lang w:val="en-US"/>
        </w:rPr>
        <w:t xml:space="preserve"> that is appropriate for the specific production requirements of the </w:t>
      </w:r>
      <w:r w:rsidRPr="00D403F5">
        <w:rPr>
          <w:rFonts w:ascii="Arial" w:hAnsi="Arial" w:cs="Arial"/>
          <w:i/>
          <w:sz w:val="18"/>
          <w:szCs w:val="18"/>
          <w:lang w:val="en-US"/>
        </w:rPr>
        <w:t>aquaculture establishment</w:t>
      </w:r>
      <w:r w:rsidRPr="00D403F5">
        <w:rPr>
          <w:rFonts w:ascii="Arial" w:hAnsi="Arial" w:cs="Arial"/>
          <w:sz w:val="18"/>
          <w:szCs w:val="18"/>
          <w:lang w:val="en-US"/>
        </w:rPr>
        <w:t xml:space="preserve">, the complexity of the threats to be addressed, and </w:t>
      </w:r>
      <w:r w:rsidRPr="00D403F5">
        <w:rPr>
          <w:rFonts w:ascii="Arial" w:eastAsia="SimSun" w:hAnsi="Arial" w:cs="Arial" w:hint="eastAsia"/>
          <w:sz w:val="18"/>
          <w:szCs w:val="18"/>
          <w:lang w:val="en-US" w:eastAsia="zh-CN"/>
        </w:rPr>
        <w:t xml:space="preserve">the </w:t>
      </w:r>
      <w:r w:rsidRPr="00D403F5">
        <w:rPr>
          <w:rFonts w:ascii="Arial" w:hAnsi="Arial" w:cs="Arial"/>
          <w:sz w:val="18"/>
          <w:szCs w:val="18"/>
          <w:lang w:val="en-US"/>
        </w:rPr>
        <w:t xml:space="preserve">availability of information and resources. Depending on these circumstances, a partial analysis may be appropriate, and can build on previous experiences to identify the </w:t>
      </w:r>
      <w:r w:rsidRPr="00D403F5">
        <w:rPr>
          <w:rFonts w:ascii="Arial" w:hAnsi="Arial" w:cs="Arial"/>
          <w:i/>
          <w:sz w:val="18"/>
          <w:szCs w:val="18"/>
          <w:lang w:val="en-US"/>
        </w:rPr>
        <w:t>hazards</w:t>
      </w:r>
      <w:r w:rsidRPr="00D403F5">
        <w:rPr>
          <w:rFonts w:ascii="Arial" w:hAnsi="Arial" w:cs="Arial"/>
          <w:sz w:val="18"/>
          <w:szCs w:val="18"/>
          <w:lang w:val="en-US"/>
        </w:rPr>
        <w:t xml:space="preserve"> associated with relevant transmission pathways.</w:t>
      </w:r>
    </w:p>
    <w:p w14:paraId="53C9321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The three formal steps of the </w:t>
      </w:r>
      <w:r w:rsidRPr="00D403F5">
        <w:rPr>
          <w:rFonts w:ascii="Arial" w:hAnsi="Arial" w:cs="Arial"/>
          <w:i/>
          <w:sz w:val="18"/>
          <w:szCs w:val="18"/>
        </w:rPr>
        <w:t>risk analysis</w:t>
      </w:r>
      <w:r w:rsidRPr="00D403F5">
        <w:rPr>
          <w:rFonts w:ascii="Arial" w:hAnsi="Arial" w:cs="Arial"/>
          <w:sz w:val="18"/>
          <w:szCs w:val="18"/>
        </w:rPr>
        <w:t xml:space="preserve"> process to underpin a </w:t>
      </w:r>
      <w:r w:rsidRPr="00D403F5">
        <w:rPr>
          <w:rFonts w:ascii="Arial" w:hAnsi="Arial" w:cs="Arial"/>
          <w:i/>
          <w:sz w:val="18"/>
          <w:szCs w:val="18"/>
        </w:rPr>
        <w:t>biosecurity plan</w:t>
      </w:r>
      <w:r w:rsidRPr="00D403F5">
        <w:rPr>
          <w:rFonts w:ascii="Arial" w:hAnsi="Arial" w:cs="Arial"/>
          <w:sz w:val="18"/>
          <w:szCs w:val="18"/>
        </w:rPr>
        <w:t xml:space="preserve"> are: </w:t>
      </w:r>
    </w:p>
    <w:p w14:paraId="68947AF1" w14:textId="77777777" w:rsidR="007B3D5C" w:rsidRPr="00D403F5" w:rsidRDefault="007B3D5C" w:rsidP="00D403F5">
      <w:pPr>
        <w:spacing w:after="0"/>
        <w:rPr>
          <w:rFonts w:ascii="Ottawa" w:hAnsi="Ottawa" w:cs="Arial"/>
          <w:b/>
          <w:color w:val="000000"/>
          <w:sz w:val="18"/>
          <w:szCs w:val="18"/>
        </w:rPr>
      </w:pPr>
      <w:bookmarkStart w:id="36" w:name="_Hlk1662554"/>
      <w:r w:rsidRPr="00D403F5">
        <w:rPr>
          <w:rFonts w:ascii="Ottawa" w:hAnsi="Ottawa" w:cs="Arial"/>
          <w:b/>
          <w:color w:val="000000"/>
          <w:sz w:val="18"/>
          <w:szCs w:val="18"/>
        </w:rPr>
        <w:t xml:space="preserve">Step 1 </w:t>
      </w:r>
      <w:r w:rsidRPr="00D403F5">
        <w:rPr>
          <w:rFonts w:ascii="Arial" w:hAnsi="Arial" w:cs="Arial"/>
          <w:b/>
          <w:color w:val="000000"/>
          <w:sz w:val="18"/>
          <w:szCs w:val="18"/>
        </w:rPr>
        <w:t>‒</w:t>
      </w:r>
      <w:r w:rsidRPr="00D403F5">
        <w:rPr>
          <w:rFonts w:ascii="Ottawa" w:hAnsi="Ottawa" w:cs="Arial"/>
          <w:b/>
          <w:color w:val="000000"/>
          <w:sz w:val="18"/>
          <w:szCs w:val="18"/>
        </w:rPr>
        <w:t xml:space="preserve"> Hazard identification</w:t>
      </w:r>
    </w:p>
    <w:bookmarkEnd w:id="36"/>
    <w:p w14:paraId="233D6BC9" w14:textId="77777777" w:rsidR="007B3D5C" w:rsidRPr="00D403F5" w:rsidRDefault="007B3D5C" w:rsidP="00D403F5">
      <w:pPr>
        <w:shd w:val="clear" w:color="auto" w:fill="FFFFFF"/>
        <w:spacing w:after="0"/>
        <w:jc w:val="both"/>
        <w:rPr>
          <w:rFonts w:ascii="Arial" w:hAnsi="Arial" w:cs="Arial"/>
          <w:sz w:val="18"/>
          <w:szCs w:val="18"/>
        </w:rPr>
      </w:pPr>
      <w:r w:rsidRPr="00D403F5">
        <w:rPr>
          <w:rFonts w:ascii="Arial" w:hAnsi="Arial" w:cs="Arial"/>
          <w:i/>
          <w:sz w:val="18"/>
          <w:szCs w:val="18"/>
        </w:rPr>
        <w:t xml:space="preserve">Hazard </w:t>
      </w:r>
      <w:r w:rsidRPr="00D403F5">
        <w:rPr>
          <w:rFonts w:ascii="Arial" w:hAnsi="Arial" w:cs="Arial"/>
          <w:sz w:val="18"/>
          <w:szCs w:val="18"/>
        </w:rPr>
        <w:t xml:space="preserve">identification determines which </w:t>
      </w:r>
      <w:r w:rsidRPr="00D403F5">
        <w:rPr>
          <w:rFonts w:ascii="Arial" w:hAnsi="Arial" w:cs="Arial"/>
          <w:i/>
          <w:sz w:val="18"/>
          <w:szCs w:val="18"/>
        </w:rPr>
        <w:t>pathogenic agents</w:t>
      </w:r>
      <w:r w:rsidRPr="00D403F5">
        <w:rPr>
          <w:rFonts w:ascii="Arial" w:hAnsi="Arial" w:cs="Arial"/>
          <w:sz w:val="18"/>
          <w:szCs w:val="18"/>
        </w:rPr>
        <w:t xml:space="preserve"> should be the subject of the </w:t>
      </w:r>
      <w:r w:rsidRPr="00D403F5">
        <w:rPr>
          <w:rFonts w:ascii="Arial" w:hAnsi="Arial" w:cs="Arial"/>
          <w:i/>
          <w:sz w:val="18"/>
          <w:szCs w:val="18"/>
        </w:rPr>
        <w:t>risk assessment</w:t>
      </w:r>
      <w:r w:rsidRPr="00D403F5">
        <w:rPr>
          <w:rFonts w:ascii="Arial" w:hAnsi="Arial" w:cs="Arial"/>
          <w:sz w:val="18"/>
          <w:szCs w:val="18"/>
        </w:rPr>
        <w:t xml:space="preserve">. A </w:t>
      </w:r>
      <w:r w:rsidRPr="00D403F5">
        <w:rPr>
          <w:rFonts w:ascii="Arial" w:hAnsi="Arial" w:cs="Arial"/>
          <w:i/>
          <w:sz w:val="18"/>
          <w:szCs w:val="18"/>
        </w:rPr>
        <w:t>hazard</w:t>
      </w:r>
      <w:r w:rsidRPr="00D403F5">
        <w:rPr>
          <w:rFonts w:ascii="Arial" w:hAnsi="Arial" w:cs="Arial"/>
          <w:sz w:val="18"/>
          <w:szCs w:val="18"/>
        </w:rPr>
        <w:t xml:space="preserve"> may include a specific </w:t>
      </w:r>
      <w:r w:rsidRPr="00D403F5">
        <w:rPr>
          <w:rFonts w:ascii="Arial" w:hAnsi="Arial" w:cs="Arial"/>
          <w:i/>
          <w:sz w:val="18"/>
          <w:szCs w:val="18"/>
        </w:rPr>
        <w:t>pathogenic agent</w:t>
      </w:r>
      <w:r w:rsidRPr="00D403F5">
        <w:rPr>
          <w:rFonts w:ascii="Arial" w:hAnsi="Arial" w:cs="Arial"/>
          <w:sz w:val="18"/>
          <w:szCs w:val="18"/>
        </w:rPr>
        <w:t xml:space="preserve"> or be defined in more general terms as a group of </w:t>
      </w:r>
      <w:r w:rsidRPr="00D403F5">
        <w:rPr>
          <w:rFonts w:ascii="Arial" w:hAnsi="Arial" w:cs="Arial"/>
          <w:i/>
          <w:sz w:val="18"/>
          <w:szCs w:val="18"/>
        </w:rPr>
        <w:t xml:space="preserve">pathogenic agents. </w:t>
      </w:r>
      <w:r w:rsidRPr="00D403F5">
        <w:rPr>
          <w:rFonts w:ascii="Arial" w:hAnsi="Arial" w:cs="Arial"/>
          <w:sz w:val="18"/>
          <w:szCs w:val="18"/>
        </w:rPr>
        <w:t xml:space="preserve">This step includes identifying and collecting relevant information on the </w:t>
      </w:r>
      <w:r w:rsidRPr="00D403F5">
        <w:rPr>
          <w:rFonts w:ascii="Arial" w:hAnsi="Arial" w:cs="Arial"/>
          <w:i/>
          <w:sz w:val="18"/>
          <w:szCs w:val="18"/>
        </w:rPr>
        <w:t>pathogenic agents</w:t>
      </w:r>
      <w:r w:rsidRPr="00D403F5">
        <w:rPr>
          <w:rFonts w:ascii="Arial" w:hAnsi="Arial" w:cs="Arial"/>
          <w:sz w:val="18"/>
          <w:szCs w:val="18"/>
        </w:rPr>
        <w:t xml:space="preserve"> that have potential to cause </w:t>
      </w:r>
      <w:r w:rsidRPr="00D403F5">
        <w:rPr>
          <w:rFonts w:ascii="Arial" w:hAnsi="Arial" w:cs="Arial"/>
          <w:i/>
          <w:sz w:val="18"/>
          <w:szCs w:val="18"/>
        </w:rPr>
        <w:t>diseases</w:t>
      </w:r>
      <w:r w:rsidRPr="00D403F5">
        <w:rPr>
          <w:rFonts w:ascii="Arial" w:hAnsi="Arial" w:cs="Arial"/>
          <w:sz w:val="18"/>
          <w:szCs w:val="18"/>
        </w:rPr>
        <w:t xml:space="preserve"> in</w:t>
      </w:r>
      <w:r w:rsidRPr="00D403F5">
        <w:rPr>
          <w:rFonts w:ascii="Arial" w:eastAsia="SimSun" w:hAnsi="Arial" w:cs="Arial" w:hint="eastAsia"/>
          <w:sz w:val="18"/>
          <w:szCs w:val="18"/>
          <w:lang w:eastAsia="zh-CN"/>
        </w:rPr>
        <w:t xml:space="preserve"> </w:t>
      </w:r>
      <w:r w:rsidRPr="00D403F5">
        <w:rPr>
          <w:rFonts w:ascii="Arial" w:hAnsi="Arial" w:cs="Arial"/>
          <w:i/>
          <w:sz w:val="18"/>
          <w:szCs w:val="18"/>
        </w:rPr>
        <w:t>aquatic animal</w:t>
      </w:r>
      <w:r w:rsidRPr="00D403F5">
        <w:rPr>
          <w:rFonts w:ascii="Arial" w:hAnsi="Arial" w:cs="Arial"/>
          <w:sz w:val="18"/>
          <w:szCs w:val="18"/>
        </w:rPr>
        <w:t xml:space="preserve"> populations within an </w:t>
      </w:r>
      <w:r w:rsidRPr="00D403F5">
        <w:rPr>
          <w:rFonts w:ascii="Arial" w:hAnsi="Arial" w:cs="Arial"/>
          <w:i/>
          <w:sz w:val="18"/>
          <w:szCs w:val="18"/>
        </w:rPr>
        <w:t>aquaculture establishment</w:t>
      </w:r>
      <w:r w:rsidRPr="00D403F5">
        <w:rPr>
          <w:rFonts w:ascii="Arial" w:hAnsi="Arial" w:cs="Arial"/>
          <w:sz w:val="18"/>
          <w:szCs w:val="18"/>
        </w:rPr>
        <w:t xml:space="preserve">. This process must consider the </w:t>
      </w:r>
      <w:r w:rsidRPr="00D403F5">
        <w:rPr>
          <w:rFonts w:ascii="Arial" w:hAnsi="Arial" w:cs="Arial"/>
          <w:i/>
          <w:sz w:val="18"/>
          <w:szCs w:val="18"/>
        </w:rPr>
        <w:t>aquatic animal health</w:t>
      </w:r>
      <w:r w:rsidRPr="00D403F5">
        <w:rPr>
          <w:rFonts w:ascii="Arial" w:eastAsia="SimSun" w:hAnsi="Arial" w:cs="Arial" w:hint="eastAsia"/>
          <w:i/>
          <w:sz w:val="18"/>
          <w:szCs w:val="18"/>
          <w:lang w:eastAsia="zh-CN"/>
        </w:rPr>
        <w:t xml:space="preserve"> </w:t>
      </w:r>
      <w:r w:rsidRPr="00D403F5">
        <w:rPr>
          <w:rFonts w:ascii="Arial" w:hAnsi="Arial" w:cs="Arial"/>
          <w:i/>
          <w:sz w:val="18"/>
          <w:szCs w:val="18"/>
        </w:rPr>
        <w:t>status</w:t>
      </w:r>
      <w:r w:rsidRPr="00D403F5">
        <w:rPr>
          <w:rFonts w:ascii="Arial" w:hAnsi="Arial" w:cs="Arial"/>
          <w:sz w:val="18"/>
          <w:szCs w:val="18"/>
        </w:rPr>
        <w:t xml:space="preserve"> of the establishment and, for semi-open and semi-closed </w:t>
      </w:r>
      <w:r w:rsidRPr="00D403F5">
        <w:rPr>
          <w:rFonts w:ascii="Arial" w:hAnsi="Arial" w:cs="Arial"/>
          <w:i/>
          <w:sz w:val="18"/>
          <w:szCs w:val="18"/>
        </w:rPr>
        <w:t>aquaculture</w:t>
      </w:r>
      <w:r w:rsidRPr="00D403F5">
        <w:rPr>
          <w:rFonts w:ascii="Arial" w:hAnsi="Arial" w:cs="Arial"/>
          <w:sz w:val="18"/>
          <w:szCs w:val="18"/>
        </w:rPr>
        <w:t xml:space="preserve"> production systems, the </w:t>
      </w:r>
      <w:r w:rsidRPr="00D403F5">
        <w:rPr>
          <w:rFonts w:ascii="Arial" w:hAnsi="Arial" w:cs="Arial"/>
          <w:i/>
          <w:sz w:val="18"/>
          <w:szCs w:val="18"/>
        </w:rPr>
        <w:t>aquatic animal health</w:t>
      </w:r>
      <w:r w:rsidRPr="00D403F5">
        <w:rPr>
          <w:rFonts w:ascii="Arial" w:eastAsia="SimSun" w:hAnsi="Arial" w:cs="Arial" w:hint="eastAsia"/>
          <w:i/>
          <w:sz w:val="18"/>
          <w:szCs w:val="18"/>
          <w:lang w:eastAsia="zh-CN"/>
        </w:rPr>
        <w:t xml:space="preserve"> </w:t>
      </w:r>
      <w:r w:rsidRPr="00D403F5">
        <w:rPr>
          <w:rFonts w:ascii="Arial" w:hAnsi="Arial" w:cs="Arial"/>
          <w:i/>
          <w:sz w:val="18"/>
          <w:szCs w:val="18"/>
        </w:rPr>
        <w:t>status</w:t>
      </w:r>
      <w:r w:rsidRPr="00D403F5">
        <w:rPr>
          <w:rFonts w:ascii="Arial" w:hAnsi="Arial" w:cs="Arial"/>
          <w:sz w:val="18"/>
          <w:szCs w:val="18"/>
        </w:rPr>
        <w:t xml:space="preserve"> of the epidemiologically linked environments. The following step is to identify both known and </w:t>
      </w:r>
      <w:r w:rsidRPr="00D403F5">
        <w:rPr>
          <w:rFonts w:ascii="Arial" w:hAnsi="Arial" w:cs="Arial"/>
          <w:i/>
          <w:sz w:val="18"/>
          <w:szCs w:val="18"/>
        </w:rPr>
        <w:t>emerging diseases</w:t>
      </w:r>
      <w:r w:rsidRPr="00D403F5">
        <w:rPr>
          <w:rFonts w:ascii="Arial" w:hAnsi="Arial" w:cs="Arial"/>
          <w:sz w:val="18"/>
          <w:szCs w:val="18"/>
        </w:rPr>
        <w:t xml:space="preserve">, not present in the </w:t>
      </w:r>
      <w:r w:rsidRPr="00D403F5">
        <w:rPr>
          <w:rFonts w:ascii="Arial" w:hAnsi="Arial" w:cs="Arial"/>
          <w:i/>
          <w:sz w:val="18"/>
          <w:szCs w:val="18"/>
        </w:rPr>
        <w:t xml:space="preserve">aquaculture </w:t>
      </w:r>
      <w:r w:rsidRPr="00D403F5">
        <w:rPr>
          <w:rFonts w:ascii="Arial" w:hAnsi="Arial" w:cs="Arial"/>
          <w:i/>
          <w:sz w:val="18"/>
          <w:szCs w:val="18"/>
          <w:lang w:val="en-AU"/>
        </w:rPr>
        <w:t>establishment</w:t>
      </w:r>
      <w:r w:rsidRPr="00D403F5">
        <w:rPr>
          <w:rFonts w:ascii="Arial" w:hAnsi="Arial" w:cs="Arial"/>
          <w:sz w:val="18"/>
          <w:szCs w:val="18"/>
        </w:rPr>
        <w:t xml:space="preserve">, which may negatively impact the farmed population. </w:t>
      </w:r>
    </w:p>
    <w:p w14:paraId="065CB7A5" w14:textId="77777777" w:rsidR="007B3D5C" w:rsidRPr="00D403F5" w:rsidRDefault="007B3D5C" w:rsidP="00D403F5">
      <w:pPr>
        <w:spacing w:after="0"/>
        <w:jc w:val="both"/>
        <w:rPr>
          <w:rFonts w:ascii="Arial" w:hAnsi="Arial" w:cs="Arial"/>
          <w:i/>
          <w:sz w:val="18"/>
          <w:szCs w:val="18"/>
        </w:rPr>
      </w:pPr>
      <w:r w:rsidRPr="00D403F5">
        <w:rPr>
          <w:rFonts w:ascii="Arial" w:hAnsi="Arial" w:cs="Arial"/>
          <w:sz w:val="18"/>
          <w:szCs w:val="18"/>
        </w:rPr>
        <w:t xml:space="preserve">To complete the next steps of the </w:t>
      </w:r>
      <w:r w:rsidRPr="00D403F5">
        <w:rPr>
          <w:rFonts w:ascii="Arial" w:hAnsi="Arial" w:cs="Arial"/>
          <w:i/>
          <w:sz w:val="18"/>
          <w:szCs w:val="18"/>
        </w:rPr>
        <w:t>risk assessment</w:t>
      </w:r>
      <w:r w:rsidRPr="00D403F5">
        <w:rPr>
          <w:rFonts w:ascii="Arial" w:hAnsi="Arial" w:cs="Arial"/>
          <w:sz w:val="18"/>
          <w:szCs w:val="18"/>
        </w:rPr>
        <w:t xml:space="preserve">, information on the identified </w:t>
      </w:r>
      <w:r w:rsidRPr="00D403F5">
        <w:rPr>
          <w:rFonts w:ascii="Arial" w:hAnsi="Arial" w:cs="Arial"/>
          <w:i/>
          <w:sz w:val="18"/>
          <w:szCs w:val="18"/>
        </w:rPr>
        <w:t>hazards</w:t>
      </w:r>
      <w:r w:rsidRPr="00D403F5">
        <w:rPr>
          <w:rFonts w:ascii="Arial" w:hAnsi="Arial" w:cs="Arial"/>
          <w:sz w:val="18"/>
          <w:szCs w:val="18"/>
        </w:rPr>
        <w:t xml:space="preserve"> is required and includes: i) the frequency of occurrence, ii) </w:t>
      </w:r>
      <w:r w:rsidRPr="00D403F5">
        <w:rPr>
          <w:rFonts w:ascii="Arial" w:eastAsia="SimSun" w:hAnsi="Arial" w:cs="Arial" w:hint="eastAsia"/>
          <w:sz w:val="18"/>
          <w:szCs w:val="18"/>
          <w:lang w:eastAsia="zh-CN"/>
        </w:rPr>
        <w:t xml:space="preserve">the </w:t>
      </w:r>
      <w:r w:rsidRPr="00D403F5">
        <w:rPr>
          <w:rFonts w:ascii="Arial" w:hAnsi="Arial" w:cs="Arial"/>
          <w:sz w:val="18"/>
          <w:szCs w:val="18"/>
        </w:rPr>
        <w:t xml:space="preserve">biophysical characteristics, iii) </w:t>
      </w:r>
      <w:r w:rsidRPr="00D403F5">
        <w:rPr>
          <w:rFonts w:ascii="Arial" w:eastAsia="SimSun" w:hAnsi="Arial" w:cs="Arial" w:hint="eastAsia"/>
          <w:sz w:val="18"/>
          <w:szCs w:val="18"/>
          <w:lang w:eastAsia="zh-CN"/>
        </w:rPr>
        <w:t xml:space="preserve">the </w:t>
      </w:r>
      <w:r w:rsidRPr="00D403F5">
        <w:rPr>
          <w:rFonts w:ascii="Arial" w:hAnsi="Arial" w:cs="Arial"/>
          <w:sz w:val="18"/>
          <w:szCs w:val="18"/>
        </w:rPr>
        <w:t xml:space="preserve">likelihood of detection if present and iv) </w:t>
      </w:r>
      <w:r w:rsidRPr="00D403F5">
        <w:rPr>
          <w:rFonts w:ascii="Arial" w:eastAsia="SimSun" w:hAnsi="Arial" w:cs="Arial" w:hint="eastAsia"/>
          <w:sz w:val="18"/>
          <w:szCs w:val="18"/>
          <w:lang w:eastAsia="zh-CN"/>
        </w:rPr>
        <w:t xml:space="preserve">the </w:t>
      </w:r>
      <w:r w:rsidRPr="00D403F5">
        <w:rPr>
          <w:rFonts w:ascii="Arial" w:hAnsi="Arial" w:cs="Arial"/>
          <w:sz w:val="18"/>
          <w:szCs w:val="18"/>
        </w:rPr>
        <w:t xml:space="preserve">possible transmission pathways (described in Article 4.X.6.). Many of the </w:t>
      </w:r>
      <w:r w:rsidRPr="00D403F5">
        <w:rPr>
          <w:rFonts w:ascii="Arial" w:hAnsi="Arial" w:cs="Arial"/>
          <w:i/>
          <w:iCs/>
          <w:sz w:val="18"/>
          <w:szCs w:val="18"/>
        </w:rPr>
        <w:t>hazards</w:t>
      </w:r>
      <w:r w:rsidRPr="00D403F5">
        <w:rPr>
          <w:rFonts w:ascii="Arial" w:hAnsi="Arial" w:cs="Arial"/>
          <w:sz w:val="18"/>
          <w:szCs w:val="18"/>
        </w:rPr>
        <w:t xml:space="preserve"> will share the same pathways. </w:t>
      </w:r>
    </w:p>
    <w:p w14:paraId="2DFDDC35" w14:textId="77777777" w:rsidR="007B3D5C" w:rsidRPr="00D403F5" w:rsidRDefault="007B3D5C" w:rsidP="00D403F5">
      <w:pPr>
        <w:spacing w:after="0"/>
        <w:jc w:val="both"/>
        <w:rPr>
          <w:rFonts w:ascii="Ottawa" w:hAnsi="Ottawa" w:cs="Arial"/>
          <w:b/>
          <w:color w:val="000000"/>
          <w:sz w:val="18"/>
          <w:szCs w:val="18"/>
        </w:rPr>
      </w:pPr>
      <w:bookmarkStart w:id="37" w:name="_Hlk1662587"/>
      <w:r w:rsidRPr="00D403F5">
        <w:rPr>
          <w:rFonts w:ascii="Ottawa" w:hAnsi="Ottawa" w:cs="Arial"/>
          <w:b/>
          <w:color w:val="000000"/>
          <w:sz w:val="18"/>
          <w:szCs w:val="18"/>
        </w:rPr>
        <w:t>Step 2 – Risk assessment</w:t>
      </w:r>
    </w:p>
    <w:bookmarkEnd w:id="37"/>
    <w:p w14:paraId="7EF5979F"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 </w:t>
      </w:r>
      <w:r w:rsidRPr="00D403F5">
        <w:rPr>
          <w:rFonts w:ascii="Arial" w:hAnsi="Arial" w:cs="Arial"/>
          <w:i/>
          <w:sz w:val="18"/>
          <w:szCs w:val="18"/>
        </w:rPr>
        <w:t>risk assessment</w:t>
      </w:r>
      <w:r w:rsidRPr="00D403F5">
        <w:rPr>
          <w:rFonts w:ascii="Arial" w:hAnsi="Arial" w:cs="Arial"/>
          <w:sz w:val="18"/>
          <w:szCs w:val="18"/>
        </w:rPr>
        <w:t xml:space="preserve"> can be initiated once it has been identified that a </w:t>
      </w:r>
      <w:r w:rsidRPr="00D403F5">
        <w:rPr>
          <w:rFonts w:ascii="Arial" w:hAnsi="Arial" w:cs="Arial"/>
          <w:i/>
          <w:sz w:val="18"/>
          <w:szCs w:val="18"/>
        </w:rPr>
        <w:t>hazard</w:t>
      </w:r>
      <w:r w:rsidRPr="00D403F5">
        <w:rPr>
          <w:rFonts w:ascii="Arial" w:hAnsi="Arial" w:cs="Arial"/>
          <w:sz w:val="18"/>
          <w:szCs w:val="18"/>
        </w:rPr>
        <w:t xml:space="preserve"> exists and the required information listed under step 1 has been gathered. The aim of the </w:t>
      </w:r>
      <w:r w:rsidRPr="00D403F5">
        <w:rPr>
          <w:rFonts w:ascii="Arial" w:hAnsi="Arial" w:cs="Arial"/>
          <w:i/>
          <w:sz w:val="18"/>
          <w:szCs w:val="18"/>
        </w:rPr>
        <w:t>risk assessment</w:t>
      </w:r>
      <w:r w:rsidRPr="00D403F5">
        <w:rPr>
          <w:rFonts w:ascii="Arial" w:hAnsi="Arial" w:cs="Arial"/>
          <w:sz w:val="18"/>
          <w:szCs w:val="18"/>
        </w:rPr>
        <w:t xml:space="preserve"> is to establish a </w:t>
      </w:r>
      <w:r w:rsidRPr="00D403F5">
        <w:rPr>
          <w:rFonts w:ascii="Arial" w:hAnsi="Arial" w:cs="Arial"/>
          <w:i/>
          <w:sz w:val="18"/>
          <w:szCs w:val="18"/>
        </w:rPr>
        <w:t>risk</w:t>
      </w:r>
      <w:r w:rsidRPr="00D403F5">
        <w:rPr>
          <w:rFonts w:ascii="Arial" w:hAnsi="Arial" w:cs="Arial"/>
          <w:sz w:val="18"/>
          <w:szCs w:val="18"/>
        </w:rPr>
        <w:t xml:space="preserve"> estimate, which is the product of the likelihood and consequences of entry of a </w:t>
      </w:r>
      <w:r w:rsidRPr="00D403F5">
        <w:rPr>
          <w:rFonts w:ascii="Arial" w:hAnsi="Arial" w:cs="Arial"/>
          <w:i/>
          <w:sz w:val="18"/>
          <w:szCs w:val="18"/>
        </w:rPr>
        <w:t>pathogenic agent</w:t>
      </w:r>
      <w:r w:rsidRPr="00D403F5">
        <w:rPr>
          <w:rFonts w:ascii="Arial" w:hAnsi="Arial" w:cs="Arial"/>
          <w:sz w:val="18"/>
          <w:szCs w:val="18"/>
        </w:rPr>
        <w:t xml:space="preserve"> into, spread within or release from the </w:t>
      </w:r>
      <w:r w:rsidRPr="00D403F5">
        <w:rPr>
          <w:rFonts w:ascii="Arial" w:hAnsi="Arial" w:cs="Arial"/>
          <w:i/>
          <w:sz w:val="18"/>
          <w:szCs w:val="18"/>
        </w:rPr>
        <w:t>aquaculture establishment</w:t>
      </w:r>
      <w:r w:rsidRPr="00D403F5">
        <w:rPr>
          <w:rFonts w:ascii="Arial" w:hAnsi="Arial" w:cs="Arial"/>
          <w:sz w:val="18"/>
          <w:szCs w:val="18"/>
        </w:rPr>
        <w:t xml:space="preserve">. </w:t>
      </w:r>
    </w:p>
    <w:p w14:paraId="6798F9E8"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 </w:t>
      </w:r>
      <w:r w:rsidRPr="00D403F5">
        <w:rPr>
          <w:rFonts w:ascii="Arial" w:hAnsi="Arial" w:cs="Arial"/>
          <w:i/>
          <w:sz w:val="18"/>
          <w:szCs w:val="18"/>
        </w:rPr>
        <w:t>risk assessment</w:t>
      </w:r>
      <w:r w:rsidRPr="00D403F5">
        <w:rPr>
          <w:rFonts w:ascii="Arial" w:hAnsi="Arial" w:cs="Arial"/>
          <w:sz w:val="18"/>
          <w:szCs w:val="18"/>
        </w:rPr>
        <w:t xml:space="preserve"> can be quantitative or qualitative. Both methods require the same conceptual pathway which identifies the necessary steps for </w:t>
      </w:r>
      <w:r w:rsidRPr="00D403F5">
        <w:rPr>
          <w:rFonts w:ascii="Arial" w:hAnsi="Arial" w:cs="Arial"/>
          <w:i/>
          <w:sz w:val="18"/>
          <w:szCs w:val="18"/>
        </w:rPr>
        <w:t>hazard</w:t>
      </w:r>
      <w:r w:rsidRPr="00D403F5">
        <w:rPr>
          <w:rFonts w:ascii="Arial" w:hAnsi="Arial" w:cs="Arial"/>
          <w:sz w:val="18"/>
          <w:szCs w:val="18"/>
        </w:rPr>
        <w:t xml:space="preserve"> introduction, establishment and spread to be constructed. In a qualitative assessment, introduction and establishment are estimated using descriptors of likelihood. A quantitative assessment requires data on which to estimate likelihood. In most circumstances, transmission pathways will be assessed qualitatively but within a formal </w:t>
      </w:r>
      <w:r w:rsidRPr="00D403F5">
        <w:rPr>
          <w:rFonts w:ascii="Arial" w:hAnsi="Arial" w:cs="Arial"/>
          <w:i/>
          <w:sz w:val="18"/>
          <w:szCs w:val="18"/>
        </w:rPr>
        <w:t>risk assessment</w:t>
      </w:r>
      <w:r w:rsidRPr="00D403F5">
        <w:rPr>
          <w:rFonts w:ascii="Arial" w:hAnsi="Arial" w:cs="Arial"/>
          <w:sz w:val="18"/>
          <w:szCs w:val="18"/>
        </w:rPr>
        <w:t xml:space="preserve"> framework. Examples of descriptors for qualitative estimates of likelihood and consequence are given in Tables 1 and 2. Table 3 illustrates how estimates of likelihood and consequence can be combined in a matrix to give an estimate of </w:t>
      </w:r>
      <w:r w:rsidRPr="00D403F5">
        <w:rPr>
          <w:rFonts w:ascii="Arial" w:hAnsi="Arial" w:cs="Arial"/>
          <w:i/>
          <w:sz w:val="18"/>
          <w:szCs w:val="18"/>
        </w:rPr>
        <w:t>risk</w:t>
      </w:r>
      <w:r w:rsidRPr="00D403F5">
        <w:rPr>
          <w:rFonts w:ascii="Arial" w:hAnsi="Arial" w:cs="Arial"/>
          <w:sz w:val="18"/>
          <w:szCs w:val="18"/>
        </w:rPr>
        <w:t xml:space="preserve">. </w:t>
      </w:r>
    </w:p>
    <w:p w14:paraId="2784E580" w14:textId="77777777" w:rsidR="007B3D5C" w:rsidRPr="00D403F5" w:rsidRDefault="007B3D5C" w:rsidP="00D403F5">
      <w:pPr>
        <w:spacing w:after="0"/>
        <w:ind w:left="709" w:hanging="709"/>
        <w:jc w:val="both"/>
        <w:rPr>
          <w:rFonts w:ascii="Arial" w:hAnsi="Arial" w:cs="Arial"/>
          <w:b/>
          <w:sz w:val="18"/>
          <w:szCs w:val="18"/>
        </w:rPr>
      </w:pPr>
      <w:r w:rsidRPr="00D403F5">
        <w:rPr>
          <w:rFonts w:ascii="Arial" w:hAnsi="Arial" w:cs="Arial"/>
          <w:b/>
          <w:sz w:val="18"/>
          <w:szCs w:val="18"/>
        </w:rPr>
        <w:br w:type="page"/>
      </w:r>
    </w:p>
    <w:p w14:paraId="30651E97" w14:textId="524C094B" w:rsidR="007B3D5C" w:rsidRPr="00D403F5" w:rsidRDefault="007B3D5C" w:rsidP="0026432A">
      <w:pPr>
        <w:pStyle w:val="2"/>
        <w:tabs>
          <w:tab w:val="clear" w:pos="360"/>
        </w:tabs>
        <w:spacing w:after="480"/>
        <w:ind w:left="0" w:firstLine="0"/>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72B81A50" w14:textId="0ADBA63B" w:rsidR="007B3D5C" w:rsidRPr="00D403F5" w:rsidRDefault="007B3D5C" w:rsidP="0026432A">
      <w:pPr>
        <w:spacing w:after="240"/>
        <w:ind w:left="709" w:hanging="709"/>
        <w:jc w:val="both"/>
        <w:rPr>
          <w:rFonts w:ascii="Arial" w:hAnsi="Arial" w:cs="Arial"/>
          <w:b/>
          <w:sz w:val="18"/>
          <w:szCs w:val="18"/>
        </w:rPr>
      </w:pPr>
      <w:r w:rsidRPr="00D403F5">
        <w:rPr>
          <w:rFonts w:ascii="Arial" w:hAnsi="Arial" w:cs="Arial"/>
          <w:b/>
          <w:sz w:val="18"/>
          <w:szCs w:val="18"/>
        </w:rPr>
        <w:t>Table 1. Qualitative descriptors of likelihood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7B3D5C" w:rsidRPr="00D403F5" w14:paraId="55E0E6AC" w14:textId="77777777" w:rsidTr="007B3D5C">
        <w:tc>
          <w:tcPr>
            <w:tcW w:w="1560" w:type="dxa"/>
            <w:shd w:val="clear" w:color="auto" w:fill="auto"/>
          </w:tcPr>
          <w:p w14:paraId="1BD65185"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Estimate</w:t>
            </w:r>
          </w:p>
        </w:tc>
        <w:tc>
          <w:tcPr>
            <w:tcW w:w="7796" w:type="dxa"/>
            <w:shd w:val="clear" w:color="auto" w:fill="auto"/>
          </w:tcPr>
          <w:p w14:paraId="080228B9"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Descriptor</w:t>
            </w:r>
          </w:p>
        </w:tc>
      </w:tr>
      <w:tr w:rsidR="007B3D5C" w:rsidRPr="00D403F5" w14:paraId="3A39251A" w14:textId="77777777" w:rsidTr="007B3D5C">
        <w:tc>
          <w:tcPr>
            <w:tcW w:w="1560" w:type="dxa"/>
            <w:shd w:val="clear" w:color="auto" w:fill="auto"/>
          </w:tcPr>
          <w:p w14:paraId="2FFE276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Remote</w:t>
            </w:r>
          </w:p>
        </w:tc>
        <w:tc>
          <w:tcPr>
            <w:tcW w:w="7796" w:type="dxa"/>
            <w:shd w:val="clear" w:color="auto" w:fill="auto"/>
          </w:tcPr>
          <w:p w14:paraId="443B83B9"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Never heard of, but not impossible.</w:t>
            </w:r>
          </w:p>
        </w:tc>
      </w:tr>
      <w:tr w:rsidR="007B3D5C" w:rsidRPr="00D403F5" w14:paraId="005BC075" w14:textId="77777777" w:rsidTr="007B3D5C">
        <w:tc>
          <w:tcPr>
            <w:tcW w:w="1560" w:type="dxa"/>
            <w:shd w:val="clear" w:color="auto" w:fill="auto"/>
          </w:tcPr>
          <w:p w14:paraId="3D512891"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Unlikely</w:t>
            </w:r>
          </w:p>
        </w:tc>
        <w:tc>
          <w:tcPr>
            <w:tcW w:w="7796" w:type="dxa"/>
            <w:shd w:val="clear" w:color="auto" w:fill="auto"/>
          </w:tcPr>
          <w:p w14:paraId="6D8E1F82"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May occur here, but only in rare circumstances.</w:t>
            </w:r>
          </w:p>
        </w:tc>
      </w:tr>
      <w:tr w:rsidR="007B3D5C" w:rsidRPr="00D403F5" w14:paraId="7A74679B" w14:textId="77777777" w:rsidTr="007B3D5C">
        <w:tc>
          <w:tcPr>
            <w:tcW w:w="1560" w:type="dxa"/>
            <w:shd w:val="clear" w:color="auto" w:fill="auto"/>
          </w:tcPr>
          <w:p w14:paraId="5AF2F024"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Possible</w:t>
            </w:r>
          </w:p>
        </w:tc>
        <w:tc>
          <w:tcPr>
            <w:tcW w:w="7796" w:type="dxa"/>
            <w:shd w:val="clear" w:color="auto" w:fill="auto"/>
          </w:tcPr>
          <w:p w14:paraId="34F3724B"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Clear evidence to suggest this is possible in this situation.</w:t>
            </w:r>
          </w:p>
        </w:tc>
      </w:tr>
      <w:tr w:rsidR="007B3D5C" w:rsidRPr="00D403F5" w14:paraId="4B146C17" w14:textId="77777777" w:rsidTr="007B3D5C">
        <w:tc>
          <w:tcPr>
            <w:tcW w:w="1560" w:type="dxa"/>
            <w:shd w:val="clear" w:color="auto" w:fill="auto"/>
          </w:tcPr>
          <w:p w14:paraId="5EB7A6A2"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Likely</w:t>
            </w:r>
          </w:p>
        </w:tc>
        <w:tc>
          <w:tcPr>
            <w:tcW w:w="7796" w:type="dxa"/>
            <w:shd w:val="clear" w:color="auto" w:fill="auto"/>
          </w:tcPr>
          <w:p w14:paraId="46808252"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It is likely, but not certain, to occur here.</w:t>
            </w:r>
          </w:p>
        </w:tc>
      </w:tr>
      <w:tr w:rsidR="007B3D5C" w:rsidRPr="00D403F5" w14:paraId="6AF44EE0" w14:textId="77777777" w:rsidTr="007B3D5C">
        <w:tc>
          <w:tcPr>
            <w:tcW w:w="1560" w:type="dxa"/>
            <w:shd w:val="clear" w:color="auto" w:fill="auto"/>
          </w:tcPr>
          <w:p w14:paraId="69838233"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Certain</w:t>
            </w:r>
          </w:p>
        </w:tc>
        <w:tc>
          <w:tcPr>
            <w:tcW w:w="7796" w:type="dxa"/>
            <w:shd w:val="clear" w:color="auto" w:fill="auto"/>
          </w:tcPr>
          <w:p w14:paraId="7526C22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It is certain to occur.</w:t>
            </w:r>
          </w:p>
        </w:tc>
      </w:tr>
    </w:tbl>
    <w:p w14:paraId="3982E46E" w14:textId="77777777" w:rsidR="007B3D5C" w:rsidRPr="00D403F5" w:rsidRDefault="007B3D5C" w:rsidP="00D403F5">
      <w:pPr>
        <w:spacing w:after="0"/>
        <w:rPr>
          <w:color w:val="000000"/>
          <w:sz w:val="18"/>
          <w:szCs w:val="18"/>
          <w:lang w:val="en-US" w:eastAsia="en-AU"/>
        </w:rPr>
      </w:pPr>
    </w:p>
    <w:p w14:paraId="6D822FF1" w14:textId="77777777" w:rsidR="007B3D5C" w:rsidRPr="00D403F5" w:rsidRDefault="007B3D5C" w:rsidP="0026432A">
      <w:pPr>
        <w:spacing w:after="240"/>
        <w:ind w:left="709" w:hanging="709"/>
        <w:jc w:val="both"/>
        <w:rPr>
          <w:rFonts w:ascii="Arial" w:hAnsi="Arial" w:cs="Arial"/>
          <w:b/>
          <w:color w:val="FF0000"/>
          <w:sz w:val="18"/>
          <w:szCs w:val="18"/>
        </w:rPr>
      </w:pPr>
      <w:bookmarkStart w:id="38" w:name="_Hlk1662826"/>
      <w:r w:rsidRPr="00D403F5">
        <w:rPr>
          <w:rFonts w:ascii="Arial" w:hAnsi="Arial" w:cs="Arial"/>
          <w:b/>
          <w:sz w:val="18"/>
          <w:szCs w:val="18"/>
        </w:rPr>
        <w:t xml:space="preserve">Table 2. Qualitative descriptors of consequences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7B3D5C" w:rsidRPr="00D403F5" w14:paraId="48C8E53B" w14:textId="77777777" w:rsidTr="007B3D5C">
        <w:trPr>
          <w:trHeight w:val="361"/>
        </w:trPr>
        <w:tc>
          <w:tcPr>
            <w:tcW w:w="1560" w:type="dxa"/>
            <w:shd w:val="clear" w:color="auto" w:fill="auto"/>
          </w:tcPr>
          <w:bookmarkEnd w:id="38"/>
          <w:p w14:paraId="3676248A"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Estimate</w:t>
            </w:r>
          </w:p>
        </w:tc>
        <w:tc>
          <w:tcPr>
            <w:tcW w:w="7796" w:type="dxa"/>
            <w:shd w:val="clear" w:color="auto" w:fill="auto"/>
          </w:tcPr>
          <w:p w14:paraId="6D64A2DD"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 xml:space="preserve">Descriptor </w:t>
            </w:r>
            <w:r w:rsidRPr="00D403F5">
              <w:rPr>
                <w:rFonts w:ascii="Arial" w:hAnsi="Arial" w:cs="Arial"/>
                <w:b/>
                <w:bCs/>
                <w:sz w:val="18"/>
                <w:szCs w:val="18"/>
              </w:rPr>
              <w:t>of consequences at level of the aquaculture establishment</w:t>
            </w:r>
          </w:p>
        </w:tc>
      </w:tr>
      <w:tr w:rsidR="007B3D5C" w:rsidRPr="00D403F5" w14:paraId="1FA639EF" w14:textId="77777777" w:rsidTr="007B3D5C">
        <w:tc>
          <w:tcPr>
            <w:tcW w:w="1560" w:type="dxa"/>
            <w:shd w:val="clear" w:color="auto" w:fill="auto"/>
          </w:tcPr>
          <w:p w14:paraId="5E0EE651"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Insignificant</w:t>
            </w:r>
          </w:p>
        </w:tc>
        <w:tc>
          <w:tcPr>
            <w:tcW w:w="7796" w:type="dxa"/>
            <w:shd w:val="clear" w:color="auto" w:fill="auto"/>
          </w:tcPr>
          <w:p w14:paraId="7CA6A21D"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Impact not detectable or minimal. No trade impact.</w:t>
            </w:r>
          </w:p>
        </w:tc>
      </w:tr>
      <w:tr w:rsidR="007B3D5C" w:rsidRPr="00D403F5" w14:paraId="24BB5EA6" w14:textId="77777777" w:rsidTr="007B3D5C">
        <w:tc>
          <w:tcPr>
            <w:tcW w:w="1560" w:type="dxa"/>
            <w:shd w:val="clear" w:color="auto" w:fill="auto"/>
          </w:tcPr>
          <w:p w14:paraId="470941F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Minor</w:t>
            </w:r>
          </w:p>
        </w:tc>
        <w:tc>
          <w:tcPr>
            <w:tcW w:w="7796" w:type="dxa"/>
            <w:shd w:val="clear" w:color="auto" w:fill="auto"/>
          </w:tcPr>
          <w:p w14:paraId="493581A4"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Limited decreased production affecting only a small number of units or short-term, and/or very limited and transitory disruption to trade.</w:t>
            </w:r>
          </w:p>
        </w:tc>
      </w:tr>
      <w:tr w:rsidR="007B3D5C" w:rsidRPr="00D403F5" w14:paraId="34A6DE70" w14:textId="77777777" w:rsidTr="007B3D5C">
        <w:tc>
          <w:tcPr>
            <w:tcW w:w="1560" w:type="dxa"/>
            <w:shd w:val="clear" w:color="auto" w:fill="auto"/>
          </w:tcPr>
          <w:p w14:paraId="432AD9A0"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Moderate</w:t>
            </w:r>
          </w:p>
        </w:tc>
        <w:tc>
          <w:tcPr>
            <w:tcW w:w="7796" w:type="dxa"/>
            <w:shd w:val="clear" w:color="auto" w:fill="auto"/>
          </w:tcPr>
          <w:p w14:paraId="5DEBA85D"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Decreased production (e.g. sustained increased mortality or decreased growth rate) and/or some short -term to medium-term disruption to trade, resulting in financial loss. </w:t>
            </w:r>
          </w:p>
        </w:tc>
      </w:tr>
      <w:tr w:rsidR="007B3D5C" w:rsidRPr="00D403F5" w14:paraId="2C0DE667" w14:textId="77777777" w:rsidTr="007B3D5C">
        <w:tc>
          <w:tcPr>
            <w:tcW w:w="1560" w:type="dxa"/>
            <w:shd w:val="clear" w:color="auto" w:fill="auto"/>
          </w:tcPr>
          <w:p w14:paraId="00B042B0"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Major</w:t>
            </w:r>
          </w:p>
        </w:tc>
        <w:tc>
          <w:tcPr>
            <w:tcW w:w="7796" w:type="dxa"/>
            <w:shd w:val="clear" w:color="auto" w:fill="auto"/>
          </w:tcPr>
          <w:p w14:paraId="04FAFEC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Considerable, decreased production, and/or some medium-term to long-term disruption to trade, resulting in significant financial loss.</w:t>
            </w:r>
          </w:p>
        </w:tc>
      </w:tr>
      <w:tr w:rsidR="007B3D5C" w:rsidRPr="00D403F5" w14:paraId="18A45981" w14:textId="77777777" w:rsidTr="007B3D5C">
        <w:tc>
          <w:tcPr>
            <w:tcW w:w="1560" w:type="dxa"/>
            <w:shd w:val="clear" w:color="auto" w:fill="auto"/>
          </w:tcPr>
          <w:p w14:paraId="2C4CB9ED"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Catastrophic</w:t>
            </w:r>
          </w:p>
        </w:tc>
        <w:tc>
          <w:tcPr>
            <w:tcW w:w="7796" w:type="dxa"/>
            <w:shd w:val="clear" w:color="auto" w:fill="auto"/>
          </w:tcPr>
          <w:p w14:paraId="16857348"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Complete production loss, possibly barriers to resumption of production, and/or complete loss of trade, resulting in extreme financial loss.</w:t>
            </w:r>
          </w:p>
        </w:tc>
      </w:tr>
    </w:tbl>
    <w:p w14:paraId="740A5881" w14:textId="77777777" w:rsidR="007B3D5C" w:rsidRPr="00D403F5" w:rsidRDefault="007B3D5C" w:rsidP="0026432A">
      <w:pPr>
        <w:spacing w:before="240" w:after="240"/>
        <w:ind w:left="709" w:hanging="709"/>
        <w:jc w:val="both"/>
        <w:rPr>
          <w:rFonts w:ascii="Arial" w:hAnsi="Arial" w:cs="Arial"/>
          <w:b/>
          <w:sz w:val="18"/>
          <w:szCs w:val="18"/>
        </w:rPr>
      </w:pPr>
      <w:r w:rsidRPr="00D403F5">
        <w:rPr>
          <w:rFonts w:ascii="Arial" w:hAnsi="Arial" w:cs="Arial"/>
          <w:b/>
          <w:sz w:val="18"/>
          <w:szCs w:val="18"/>
        </w:rPr>
        <w:t xml:space="preserve">Table 3. Matrix for assessing risk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1316"/>
        <w:gridCol w:w="1316"/>
        <w:gridCol w:w="1316"/>
        <w:gridCol w:w="1316"/>
        <w:gridCol w:w="1316"/>
        <w:gridCol w:w="1569"/>
      </w:tblGrid>
      <w:tr w:rsidR="007B3D5C" w:rsidRPr="00D403F5" w14:paraId="21494129" w14:textId="77777777" w:rsidTr="007B3D5C">
        <w:tc>
          <w:tcPr>
            <w:tcW w:w="1315" w:type="dxa"/>
            <w:vMerge w:val="restart"/>
            <w:shd w:val="clear" w:color="auto" w:fill="auto"/>
            <w:textDirection w:val="btLr"/>
          </w:tcPr>
          <w:p w14:paraId="4BF23C9E" w14:textId="77777777" w:rsidR="007B3D5C" w:rsidRPr="00D403F5" w:rsidRDefault="007B3D5C" w:rsidP="00D403F5">
            <w:pPr>
              <w:spacing w:after="0"/>
              <w:ind w:left="113" w:right="113"/>
              <w:jc w:val="both"/>
              <w:rPr>
                <w:rFonts w:ascii="Arial" w:hAnsi="Arial" w:cs="Arial"/>
                <w:b/>
                <w:sz w:val="18"/>
                <w:szCs w:val="18"/>
              </w:rPr>
            </w:pPr>
            <w:r w:rsidRPr="00D403F5">
              <w:rPr>
                <w:rFonts w:ascii="Arial" w:hAnsi="Arial" w:cs="Arial"/>
                <w:b/>
                <w:sz w:val="18"/>
                <w:szCs w:val="18"/>
              </w:rPr>
              <w:t>Likelihood estimate</w:t>
            </w:r>
          </w:p>
        </w:tc>
        <w:tc>
          <w:tcPr>
            <w:tcW w:w="8149" w:type="dxa"/>
            <w:gridSpan w:val="6"/>
            <w:shd w:val="clear" w:color="auto" w:fill="auto"/>
          </w:tcPr>
          <w:p w14:paraId="270C6346" w14:textId="77777777" w:rsidR="007B3D5C" w:rsidRPr="00D403F5" w:rsidRDefault="007B3D5C" w:rsidP="00D403F5">
            <w:pPr>
              <w:spacing w:after="0"/>
              <w:jc w:val="center"/>
              <w:rPr>
                <w:rFonts w:ascii="Arial" w:hAnsi="Arial" w:cs="Arial"/>
                <w:b/>
                <w:sz w:val="18"/>
                <w:szCs w:val="18"/>
              </w:rPr>
            </w:pPr>
            <w:r w:rsidRPr="00D403F5">
              <w:rPr>
                <w:rFonts w:ascii="Arial" w:hAnsi="Arial" w:cs="Arial"/>
                <w:sz w:val="18"/>
                <w:szCs w:val="18"/>
              </w:rPr>
              <w:t>Consequence rating</w:t>
            </w:r>
          </w:p>
        </w:tc>
      </w:tr>
      <w:tr w:rsidR="007B3D5C" w:rsidRPr="00D403F5" w14:paraId="274BF692" w14:textId="77777777" w:rsidTr="007B3D5C">
        <w:tc>
          <w:tcPr>
            <w:tcW w:w="1315" w:type="dxa"/>
            <w:vMerge/>
            <w:shd w:val="clear" w:color="auto" w:fill="auto"/>
          </w:tcPr>
          <w:p w14:paraId="12557560"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73848F2E" w14:textId="77777777" w:rsidR="007B3D5C" w:rsidRPr="00D403F5" w:rsidRDefault="007B3D5C" w:rsidP="00D403F5">
            <w:pPr>
              <w:spacing w:after="0"/>
              <w:jc w:val="both"/>
              <w:rPr>
                <w:rFonts w:ascii="Arial" w:hAnsi="Arial" w:cs="Arial"/>
                <w:b/>
                <w:sz w:val="18"/>
                <w:szCs w:val="18"/>
              </w:rPr>
            </w:pPr>
          </w:p>
        </w:tc>
        <w:tc>
          <w:tcPr>
            <w:tcW w:w="1316" w:type="dxa"/>
            <w:tcBorders>
              <w:bottom w:val="single" w:sz="4" w:space="0" w:color="auto"/>
            </w:tcBorders>
            <w:shd w:val="clear" w:color="auto" w:fill="auto"/>
          </w:tcPr>
          <w:p w14:paraId="3F75D777"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insignificant</w:t>
            </w:r>
          </w:p>
        </w:tc>
        <w:tc>
          <w:tcPr>
            <w:tcW w:w="1316" w:type="dxa"/>
            <w:tcBorders>
              <w:bottom w:val="single" w:sz="4" w:space="0" w:color="auto"/>
            </w:tcBorders>
            <w:shd w:val="clear" w:color="auto" w:fill="auto"/>
          </w:tcPr>
          <w:p w14:paraId="26D7BE88"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minor</w:t>
            </w:r>
          </w:p>
        </w:tc>
        <w:tc>
          <w:tcPr>
            <w:tcW w:w="1316" w:type="dxa"/>
            <w:tcBorders>
              <w:bottom w:val="single" w:sz="4" w:space="0" w:color="auto"/>
            </w:tcBorders>
            <w:shd w:val="clear" w:color="auto" w:fill="auto"/>
          </w:tcPr>
          <w:p w14:paraId="3DB53A21"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moderate</w:t>
            </w:r>
          </w:p>
        </w:tc>
        <w:tc>
          <w:tcPr>
            <w:tcW w:w="1316" w:type="dxa"/>
            <w:tcBorders>
              <w:bottom w:val="single" w:sz="4" w:space="0" w:color="auto"/>
            </w:tcBorders>
            <w:shd w:val="clear" w:color="auto" w:fill="auto"/>
          </w:tcPr>
          <w:p w14:paraId="6C83CBD8"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major</w:t>
            </w:r>
          </w:p>
        </w:tc>
        <w:tc>
          <w:tcPr>
            <w:tcW w:w="1569" w:type="dxa"/>
            <w:tcBorders>
              <w:bottom w:val="single" w:sz="4" w:space="0" w:color="auto"/>
            </w:tcBorders>
            <w:shd w:val="clear" w:color="auto" w:fill="auto"/>
          </w:tcPr>
          <w:p w14:paraId="172FFEBA"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catastrophic</w:t>
            </w:r>
          </w:p>
        </w:tc>
      </w:tr>
      <w:tr w:rsidR="007B3D5C" w:rsidRPr="00D403F5" w14:paraId="0C08F131" w14:textId="77777777" w:rsidTr="007B3D5C">
        <w:tc>
          <w:tcPr>
            <w:tcW w:w="1315" w:type="dxa"/>
            <w:vMerge/>
            <w:shd w:val="clear" w:color="auto" w:fill="auto"/>
          </w:tcPr>
          <w:p w14:paraId="283F0014"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13F2CC38"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remote</w:t>
            </w:r>
          </w:p>
        </w:tc>
        <w:tc>
          <w:tcPr>
            <w:tcW w:w="1316" w:type="dxa"/>
            <w:tcBorders>
              <w:bottom w:val="single" w:sz="4" w:space="0" w:color="auto"/>
            </w:tcBorders>
            <w:shd w:val="clear" w:color="auto" w:fill="F2F2F2"/>
          </w:tcPr>
          <w:p w14:paraId="649148B9"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negligible</w:t>
            </w:r>
          </w:p>
        </w:tc>
        <w:tc>
          <w:tcPr>
            <w:tcW w:w="1316" w:type="dxa"/>
            <w:shd w:val="clear" w:color="auto" w:fill="F2F2F2"/>
          </w:tcPr>
          <w:p w14:paraId="349FCCE1"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F2F2F2"/>
          </w:tcPr>
          <w:p w14:paraId="7183AE40"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F2F2F2"/>
          </w:tcPr>
          <w:p w14:paraId="63C0B746"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569" w:type="dxa"/>
            <w:tcBorders>
              <w:bottom w:val="single" w:sz="4" w:space="0" w:color="auto"/>
            </w:tcBorders>
            <w:shd w:val="clear" w:color="auto" w:fill="D9D9D9"/>
          </w:tcPr>
          <w:p w14:paraId="7343D32A"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r>
      <w:tr w:rsidR="007B3D5C" w:rsidRPr="00D403F5" w14:paraId="03198E27" w14:textId="77777777" w:rsidTr="007B3D5C">
        <w:tc>
          <w:tcPr>
            <w:tcW w:w="1315" w:type="dxa"/>
            <w:vMerge/>
            <w:shd w:val="clear" w:color="auto" w:fill="auto"/>
          </w:tcPr>
          <w:p w14:paraId="4E198CBD"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45390162"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unlikely</w:t>
            </w:r>
          </w:p>
        </w:tc>
        <w:tc>
          <w:tcPr>
            <w:tcW w:w="1316" w:type="dxa"/>
            <w:shd w:val="clear" w:color="auto" w:fill="F2F2F2"/>
          </w:tcPr>
          <w:p w14:paraId="36F6D475"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F2F2F2"/>
          </w:tcPr>
          <w:p w14:paraId="36416DC3"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D9D9D9"/>
          </w:tcPr>
          <w:p w14:paraId="071CA2D7"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tcBorders>
              <w:bottom w:val="single" w:sz="4" w:space="0" w:color="auto"/>
            </w:tcBorders>
            <w:shd w:val="clear" w:color="auto" w:fill="D9D9D9"/>
          </w:tcPr>
          <w:p w14:paraId="709FD324"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569" w:type="dxa"/>
            <w:shd w:val="clear" w:color="auto" w:fill="BFBFBF"/>
          </w:tcPr>
          <w:p w14:paraId="3E73FF65"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r>
      <w:tr w:rsidR="007B3D5C" w:rsidRPr="00D403F5" w14:paraId="4D591EF1" w14:textId="77777777" w:rsidTr="007B3D5C">
        <w:tc>
          <w:tcPr>
            <w:tcW w:w="1315" w:type="dxa"/>
            <w:vMerge/>
            <w:shd w:val="clear" w:color="auto" w:fill="auto"/>
          </w:tcPr>
          <w:p w14:paraId="066F1416"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6E624005"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possible</w:t>
            </w:r>
          </w:p>
        </w:tc>
        <w:tc>
          <w:tcPr>
            <w:tcW w:w="1316" w:type="dxa"/>
            <w:shd w:val="clear" w:color="auto" w:fill="F2F2F2"/>
          </w:tcPr>
          <w:p w14:paraId="4A3F0136"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D9D9D9"/>
          </w:tcPr>
          <w:p w14:paraId="6E1E617C"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tcBorders>
              <w:top w:val="single" w:sz="4" w:space="0" w:color="auto"/>
              <w:bottom w:val="single" w:sz="4" w:space="0" w:color="auto"/>
            </w:tcBorders>
            <w:shd w:val="clear" w:color="auto" w:fill="D9D9D9"/>
          </w:tcPr>
          <w:p w14:paraId="1E8ECF54"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shd w:val="clear" w:color="auto" w:fill="BFBFBF"/>
          </w:tcPr>
          <w:p w14:paraId="67B497F7"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569" w:type="dxa"/>
            <w:tcBorders>
              <w:bottom w:val="single" w:sz="4" w:space="0" w:color="auto"/>
            </w:tcBorders>
            <w:shd w:val="clear" w:color="auto" w:fill="BFBFBF"/>
          </w:tcPr>
          <w:p w14:paraId="1636BF64"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r>
      <w:tr w:rsidR="007B3D5C" w:rsidRPr="00D403F5" w14:paraId="69BB1635" w14:textId="77777777" w:rsidTr="007B3D5C">
        <w:tc>
          <w:tcPr>
            <w:tcW w:w="1315" w:type="dxa"/>
            <w:vMerge/>
            <w:shd w:val="clear" w:color="auto" w:fill="auto"/>
          </w:tcPr>
          <w:p w14:paraId="6F04E58E"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29E768E8"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likely</w:t>
            </w:r>
          </w:p>
        </w:tc>
        <w:tc>
          <w:tcPr>
            <w:tcW w:w="1316" w:type="dxa"/>
            <w:tcBorders>
              <w:bottom w:val="single" w:sz="4" w:space="0" w:color="auto"/>
            </w:tcBorders>
            <w:shd w:val="clear" w:color="auto" w:fill="F2F2F2"/>
          </w:tcPr>
          <w:p w14:paraId="2DB04A8C"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top w:val="single" w:sz="4" w:space="0" w:color="auto"/>
              <w:bottom w:val="single" w:sz="4" w:space="0" w:color="auto"/>
            </w:tcBorders>
            <w:shd w:val="clear" w:color="auto" w:fill="D9D9D9"/>
          </w:tcPr>
          <w:p w14:paraId="5F28B486"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shd w:val="clear" w:color="auto" w:fill="BFBFBF"/>
          </w:tcPr>
          <w:p w14:paraId="37A26673"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tcBorders>
              <w:bottom w:val="single" w:sz="4" w:space="0" w:color="auto"/>
            </w:tcBorders>
            <w:shd w:val="clear" w:color="auto" w:fill="BFBFBF"/>
          </w:tcPr>
          <w:p w14:paraId="6C412796"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569" w:type="dxa"/>
            <w:tcBorders>
              <w:bottom w:val="single" w:sz="4" w:space="0" w:color="auto"/>
            </w:tcBorders>
            <w:shd w:val="clear" w:color="auto" w:fill="A6A6A6"/>
          </w:tcPr>
          <w:p w14:paraId="1A988F38"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extreme</w:t>
            </w:r>
          </w:p>
        </w:tc>
      </w:tr>
      <w:tr w:rsidR="007B3D5C" w:rsidRPr="00D403F5" w14:paraId="65F833C4" w14:textId="77777777" w:rsidTr="007B3D5C">
        <w:tc>
          <w:tcPr>
            <w:tcW w:w="1315" w:type="dxa"/>
            <w:vMerge/>
            <w:shd w:val="clear" w:color="auto" w:fill="auto"/>
          </w:tcPr>
          <w:p w14:paraId="494FD84E"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1729F524"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certain</w:t>
            </w:r>
          </w:p>
        </w:tc>
        <w:tc>
          <w:tcPr>
            <w:tcW w:w="1316" w:type="dxa"/>
            <w:shd w:val="clear" w:color="auto" w:fill="D9D9D9"/>
          </w:tcPr>
          <w:p w14:paraId="3FAE2086"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shd w:val="clear" w:color="auto" w:fill="BFBFBF"/>
          </w:tcPr>
          <w:p w14:paraId="1622823C"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shd w:val="clear" w:color="auto" w:fill="BFBFBF"/>
          </w:tcPr>
          <w:p w14:paraId="44EAEB33"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shd w:val="clear" w:color="auto" w:fill="A6A6A6"/>
          </w:tcPr>
          <w:p w14:paraId="034DCE3C"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extreme</w:t>
            </w:r>
          </w:p>
        </w:tc>
        <w:tc>
          <w:tcPr>
            <w:tcW w:w="1569" w:type="dxa"/>
            <w:shd w:val="clear" w:color="auto" w:fill="A6A6A6"/>
          </w:tcPr>
          <w:p w14:paraId="5AED8AF1"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extreme</w:t>
            </w:r>
          </w:p>
        </w:tc>
      </w:tr>
    </w:tbl>
    <w:p w14:paraId="7DE6CC7A" w14:textId="1465FE3A" w:rsidR="007B3D5C" w:rsidRPr="00D403F5" w:rsidRDefault="007B3D5C" w:rsidP="00D403F5">
      <w:pPr>
        <w:pStyle w:val="2"/>
        <w:tabs>
          <w:tab w:val="clear" w:pos="360"/>
        </w:tabs>
        <w:spacing w:after="0"/>
        <w:ind w:left="0" w:firstLine="0"/>
        <w:jc w:val="right"/>
        <w:rPr>
          <w:rFonts w:ascii="Times New Roman" w:hAnsi="Times New Roman"/>
          <w:sz w:val="18"/>
          <w:szCs w:val="18"/>
        </w:rPr>
      </w:pPr>
    </w:p>
    <w:p w14:paraId="1A3F6234" w14:textId="77777777" w:rsidR="007B3D5C" w:rsidRPr="00D403F5" w:rsidRDefault="007B3D5C" w:rsidP="00A46DAE">
      <w:pPr>
        <w:spacing w:after="240"/>
        <w:jc w:val="both"/>
        <w:rPr>
          <w:rFonts w:ascii="Arial" w:hAnsi="Arial" w:cs="Arial"/>
          <w:sz w:val="18"/>
          <w:szCs w:val="18"/>
        </w:rPr>
      </w:pPr>
      <w:r w:rsidRPr="00D403F5">
        <w:rPr>
          <w:rFonts w:ascii="Arial" w:hAnsi="Arial" w:cs="Arial"/>
          <w:i/>
          <w:sz w:val="18"/>
          <w:szCs w:val="18"/>
        </w:rPr>
        <w:t xml:space="preserve">Risk assessments </w:t>
      </w:r>
      <w:r w:rsidRPr="00D403F5">
        <w:rPr>
          <w:rFonts w:ascii="Arial" w:hAnsi="Arial" w:cs="Arial"/>
          <w:sz w:val="18"/>
          <w:szCs w:val="18"/>
        </w:rPr>
        <w:t xml:space="preserve">inform which biological </w:t>
      </w:r>
      <w:r w:rsidRPr="00D403F5">
        <w:rPr>
          <w:rFonts w:ascii="Arial" w:hAnsi="Arial" w:cs="Arial"/>
          <w:i/>
          <w:sz w:val="18"/>
          <w:szCs w:val="18"/>
        </w:rPr>
        <w:t>hazards</w:t>
      </w:r>
      <w:r w:rsidRPr="00D403F5">
        <w:rPr>
          <w:rFonts w:ascii="Arial" w:hAnsi="Arial" w:cs="Arial"/>
          <w:sz w:val="18"/>
          <w:szCs w:val="18"/>
        </w:rPr>
        <w:t xml:space="preserve"> need to be addressed, which critical control points on the transmission pathway should be targeted, and the measures that are most likely to be effective in reducing </w:t>
      </w:r>
      <w:r w:rsidRPr="00D403F5">
        <w:rPr>
          <w:rFonts w:ascii="Arial" w:hAnsi="Arial" w:cs="Arial"/>
          <w:i/>
          <w:sz w:val="18"/>
          <w:szCs w:val="18"/>
        </w:rPr>
        <w:t>risk</w:t>
      </w:r>
      <w:r w:rsidRPr="00D403F5">
        <w:rPr>
          <w:rFonts w:ascii="Arial" w:hAnsi="Arial" w:cs="Arial"/>
          <w:sz w:val="18"/>
          <w:szCs w:val="18"/>
        </w:rPr>
        <w:t xml:space="preserve">. </w:t>
      </w:r>
    </w:p>
    <w:p w14:paraId="0CA71E5D" w14:textId="77777777" w:rsidR="007B3D5C" w:rsidRPr="00D403F5" w:rsidRDefault="007B3D5C" w:rsidP="00A46DAE">
      <w:pPr>
        <w:spacing w:after="240"/>
        <w:ind w:left="709" w:hanging="709"/>
        <w:jc w:val="both"/>
        <w:rPr>
          <w:rFonts w:ascii="Arial" w:hAnsi="Arial" w:cs="Arial"/>
          <w:b/>
          <w:sz w:val="18"/>
          <w:szCs w:val="18"/>
        </w:rPr>
      </w:pPr>
      <w:r w:rsidRPr="00D403F5">
        <w:rPr>
          <w:rFonts w:ascii="Arial" w:hAnsi="Arial" w:cs="Arial"/>
          <w:b/>
          <w:sz w:val="18"/>
          <w:szCs w:val="18"/>
        </w:rPr>
        <w:t>Table 4. Interpretation of risk estimates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796"/>
      </w:tblGrid>
      <w:tr w:rsidR="007B3D5C" w:rsidRPr="00D403F5" w14:paraId="25CD35A9" w14:textId="77777777" w:rsidTr="007B3D5C">
        <w:tc>
          <w:tcPr>
            <w:tcW w:w="1668" w:type="dxa"/>
            <w:shd w:val="clear" w:color="auto" w:fill="auto"/>
          </w:tcPr>
          <w:p w14:paraId="0244957A" w14:textId="77777777" w:rsidR="007B3D5C" w:rsidRPr="00D403F5" w:rsidRDefault="007B3D5C" w:rsidP="00D403F5">
            <w:pPr>
              <w:spacing w:after="0"/>
              <w:jc w:val="both"/>
              <w:rPr>
                <w:rFonts w:ascii="Arial" w:hAnsi="Arial" w:cs="Arial"/>
                <w:b/>
                <w:sz w:val="18"/>
                <w:szCs w:val="18"/>
              </w:rPr>
            </w:pPr>
            <w:r w:rsidRPr="00D403F5">
              <w:rPr>
                <w:rFonts w:ascii="Arial" w:hAnsi="Arial" w:cs="Arial"/>
                <w:b/>
                <w:i/>
                <w:sz w:val="18"/>
                <w:szCs w:val="18"/>
              </w:rPr>
              <w:t>Risk</w:t>
            </w:r>
            <w:r w:rsidRPr="00D403F5">
              <w:rPr>
                <w:rFonts w:ascii="Arial" w:hAnsi="Arial" w:cs="Arial"/>
                <w:b/>
                <w:sz w:val="18"/>
                <w:szCs w:val="18"/>
              </w:rPr>
              <w:t xml:space="preserve"> level*</w:t>
            </w:r>
          </w:p>
        </w:tc>
        <w:tc>
          <w:tcPr>
            <w:tcW w:w="7796" w:type="dxa"/>
            <w:shd w:val="clear" w:color="auto" w:fill="auto"/>
          </w:tcPr>
          <w:p w14:paraId="1C272BEF"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Explanation and management response</w:t>
            </w:r>
          </w:p>
        </w:tc>
      </w:tr>
      <w:tr w:rsidR="007B3D5C" w:rsidRPr="00D403F5" w14:paraId="71B3D236" w14:textId="77777777" w:rsidTr="007B3D5C">
        <w:tc>
          <w:tcPr>
            <w:tcW w:w="1668" w:type="dxa"/>
            <w:shd w:val="clear" w:color="auto" w:fill="auto"/>
          </w:tcPr>
          <w:p w14:paraId="4C9069F6"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Negligible</w:t>
            </w:r>
          </w:p>
        </w:tc>
        <w:tc>
          <w:tcPr>
            <w:tcW w:w="7796" w:type="dxa"/>
            <w:shd w:val="clear" w:color="auto" w:fill="auto"/>
          </w:tcPr>
          <w:p w14:paraId="5B3DECD7"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Acceptable level of </w:t>
            </w:r>
            <w:r w:rsidRPr="00D403F5">
              <w:rPr>
                <w:rFonts w:ascii="Arial" w:hAnsi="Arial" w:cs="Arial"/>
                <w:i/>
                <w:sz w:val="18"/>
                <w:szCs w:val="18"/>
              </w:rPr>
              <w:t>risk</w:t>
            </w:r>
            <w:r w:rsidRPr="00D403F5">
              <w:rPr>
                <w:rFonts w:ascii="Arial" w:hAnsi="Arial" w:cs="Arial"/>
                <w:sz w:val="18"/>
                <w:szCs w:val="18"/>
              </w:rPr>
              <w:t>. No action required.</w:t>
            </w:r>
          </w:p>
        </w:tc>
      </w:tr>
      <w:tr w:rsidR="007B3D5C" w:rsidRPr="00D403F5" w14:paraId="5A0C0CC1" w14:textId="77777777" w:rsidTr="007B3D5C">
        <w:tc>
          <w:tcPr>
            <w:tcW w:w="1668" w:type="dxa"/>
            <w:shd w:val="clear" w:color="auto" w:fill="auto"/>
          </w:tcPr>
          <w:p w14:paraId="1A946738"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Low</w:t>
            </w:r>
          </w:p>
        </w:tc>
        <w:tc>
          <w:tcPr>
            <w:tcW w:w="7796" w:type="dxa"/>
            <w:shd w:val="clear" w:color="auto" w:fill="auto"/>
          </w:tcPr>
          <w:p w14:paraId="4A487DB9"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Acceptable level of </w:t>
            </w:r>
            <w:r w:rsidRPr="00D403F5">
              <w:rPr>
                <w:rFonts w:ascii="Arial" w:hAnsi="Arial" w:cs="Arial"/>
                <w:i/>
                <w:sz w:val="18"/>
                <w:szCs w:val="18"/>
              </w:rPr>
              <w:t>risk</w:t>
            </w:r>
            <w:r w:rsidRPr="00D403F5">
              <w:rPr>
                <w:rFonts w:ascii="Arial" w:hAnsi="Arial" w:cs="Arial"/>
                <w:sz w:val="18"/>
                <w:szCs w:val="18"/>
              </w:rPr>
              <w:t>. On-going monitoring may be required.</w:t>
            </w:r>
          </w:p>
        </w:tc>
      </w:tr>
      <w:tr w:rsidR="007B3D5C" w:rsidRPr="00D403F5" w14:paraId="22B0650E" w14:textId="77777777" w:rsidTr="007B3D5C">
        <w:tc>
          <w:tcPr>
            <w:tcW w:w="1668" w:type="dxa"/>
            <w:shd w:val="clear" w:color="auto" w:fill="auto"/>
          </w:tcPr>
          <w:p w14:paraId="1B522D32"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Medium</w:t>
            </w:r>
          </w:p>
        </w:tc>
        <w:tc>
          <w:tcPr>
            <w:tcW w:w="7796" w:type="dxa"/>
            <w:shd w:val="clear" w:color="auto" w:fill="auto"/>
          </w:tcPr>
          <w:p w14:paraId="3A9C8BEA"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Unacceptable level of </w:t>
            </w:r>
            <w:r w:rsidRPr="00D403F5">
              <w:rPr>
                <w:rFonts w:ascii="Arial" w:hAnsi="Arial" w:cs="Arial"/>
                <w:i/>
                <w:sz w:val="18"/>
                <w:szCs w:val="18"/>
              </w:rPr>
              <w:t>risk</w:t>
            </w:r>
            <w:r w:rsidRPr="00D403F5">
              <w:rPr>
                <w:rFonts w:ascii="Arial" w:hAnsi="Arial" w:cs="Arial"/>
                <w:sz w:val="18"/>
                <w:szCs w:val="18"/>
              </w:rPr>
              <w:t>. Review and strengthen the risk mitigation measures</w:t>
            </w:r>
            <w:r w:rsidRPr="00D403F5">
              <w:rPr>
                <w:rFonts w:ascii="Arial" w:hAnsi="Arial" w:cs="Arial"/>
                <w:i/>
                <w:sz w:val="18"/>
                <w:szCs w:val="18"/>
              </w:rPr>
              <w:t>.</w:t>
            </w:r>
          </w:p>
        </w:tc>
      </w:tr>
      <w:tr w:rsidR="007B3D5C" w:rsidRPr="00D403F5" w14:paraId="6D17C7DC" w14:textId="77777777" w:rsidTr="007B3D5C">
        <w:trPr>
          <w:trHeight w:val="575"/>
        </w:trPr>
        <w:tc>
          <w:tcPr>
            <w:tcW w:w="1668" w:type="dxa"/>
            <w:shd w:val="clear" w:color="auto" w:fill="auto"/>
          </w:tcPr>
          <w:p w14:paraId="642183C7"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High</w:t>
            </w:r>
          </w:p>
        </w:tc>
        <w:tc>
          <w:tcPr>
            <w:tcW w:w="7796" w:type="dxa"/>
            <w:shd w:val="clear" w:color="auto" w:fill="auto"/>
          </w:tcPr>
          <w:p w14:paraId="74C9643F"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Unacceptable level of </w:t>
            </w:r>
            <w:r w:rsidRPr="00D403F5">
              <w:rPr>
                <w:rFonts w:ascii="Arial" w:hAnsi="Arial" w:cs="Arial"/>
                <w:i/>
                <w:sz w:val="18"/>
                <w:szCs w:val="18"/>
              </w:rPr>
              <w:t>risk</w:t>
            </w:r>
            <w:r w:rsidRPr="00D403F5">
              <w:rPr>
                <w:rFonts w:ascii="Arial" w:hAnsi="Arial" w:cs="Arial"/>
                <w:sz w:val="18"/>
                <w:szCs w:val="18"/>
              </w:rPr>
              <w:t>. Identify and implement additional mitigation measures</w:t>
            </w:r>
            <w:r w:rsidRPr="00D403F5">
              <w:rPr>
                <w:rFonts w:ascii="Arial" w:hAnsi="Arial" w:cs="Arial"/>
                <w:i/>
                <w:sz w:val="18"/>
                <w:szCs w:val="18"/>
              </w:rPr>
              <w:t>.</w:t>
            </w:r>
          </w:p>
        </w:tc>
      </w:tr>
      <w:tr w:rsidR="007B3D5C" w:rsidRPr="00D403F5" w14:paraId="099D846D" w14:textId="77777777" w:rsidTr="007B3D5C">
        <w:tc>
          <w:tcPr>
            <w:tcW w:w="1668" w:type="dxa"/>
            <w:shd w:val="clear" w:color="auto" w:fill="auto"/>
          </w:tcPr>
          <w:p w14:paraId="445B303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Extreme</w:t>
            </w:r>
          </w:p>
        </w:tc>
        <w:tc>
          <w:tcPr>
            <w:tcW w:w="7796" w:type="dxa"/>
            <w:shd w:val="clear" w:color="auto" w:fill="auto"/>
          </w:tcPr>
          <w:p w14:paraId="795694F5"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Unacceptable level of </w:t>
            </w:r>
            <w:r w:rsidRPr="00D403F5">
              <w:rPr>
                <w:rFonts w:ascii="Arial" w:hAnsi="Arial" w:cs="Arial"/>
                <w:i/>
                <w:sz w:val="18"/>
                <w:szCs w:val="18"/>
              </w:rPr>
              <w:t>risk</w:t>
            </w:r>
            <w:r w:rsidRPr="00D403F5">
              <w:rPr>
                <w:rFonts w:ascii="Arial" w:hAnsi="Arial" w:cs="Arial"/>
                <w:sz w:val="18"/>
                <w:szCs w:val="18"/>
              </w:rPr>
              <w:t xml:space="preserve">. Take immediate action to mitigate the risk. </w:t>
            </w:r>
          </w:p>
        </w:tc>
      </w:tr>
    </w:tbl>
    <w:p w14:paraId="7AEE0204" w14:textId="77777777" w:rsidR="007B3D5C" w:rsidRPr="00D403F5" w:rsidRDefault="007B3D5C" w:rsidP="00A46DAE">
      <w:pPr>
        <w:spacing w:after="240" w:line="240" w:lineRule="auto"/>
        <w:jc w:val="both"/>
        <w:rPr>
          <w:rFonts w:ascii="Arial" w:hAnsi="Arial" w:cs="Arial"/>
          <w:sz w:val="18"/>
          <w:szCs w:val="18"/>
        </w:rPr>
      </w:pPr>
      <w:r w:rsidRPr="00D403F5">
        <w:rPr>
          <w:rFonts w:ascii="Arial" w:hAnsi="Arial" w:cs="Arial"/>
          <w:sz w:val="18"/>
          <w:szCs w:val="18"/>
        </w:rPr>
        <w:t xml:space="preserve">*The </w:t>
      </w:r>
      <w:r w:rsidRPr="00D403F5">
        <w:rPr>
          <w:rFonts w:ascii="Arial" w:hAnsi="Arial" w:cs="Arial"/>
          <w:i/>
          <w:sz w:val="18"/>
          <w:szCs w:val="18"/>
        </w:rPr>
        <w:t>risk</w:t>
      </w:r>
      <w:r w:rsidRPr="00D403F5">
        <w:rPr>
          <w:rFonts w:ascii="Arial" w:hAnsi="Arial" w:cs="Arial"/>
          <w:sz w:val="18"/>
          <w:szCs w:val="18"/>
        </w:rPr>
        <w:t xml:space="preserve"> level is determined from a combination of the likelihood and consequence scores obtained using the </w:t>
      </w:r>
      <w:r w:rsidRPr="00D403F5">
        <w:rPr>
          <w:rFonts w:ascii="Arial" w:hAnsi="Arial" w:cs="Arial"/>
          <w:i/>
          <w:sz w:val="18"/>
          <w:szCs w:val="18"/>
        </w:rPr>
        <w:t>risk</w:t>
      </w:r>
      <w:r w:rsidRPr="00D403F5">
        <w:rPr>
          <w:rFonts w:ascii="Arial" w:hAnsi="Arial" w:cs="Arial"/>
          <w:sz w:val="18"/>
          <w:szCs w:val="18"/>
        </w:rPr>
        <w:t xml:space="preserve"> matrix (Table 3).</w:t>
      </w:r>
    </w:p>
    <w:p w14:paraId="41909FFF" w14:textId="77777777" w:rsidR="00A46DAE" w:rsidRDefault="00A46DAE" w:rsidP="00A46DAE">
      <w:pPr>
        <w:spacing w:after="240" w:line="240" w:lineRule="auto"/>
        <w:rPr>
          <w:rFonts w:ascii="Arial" w:hAnsi="Arial" w:cs="Arial"/>
          <w:b/>
          <w:sz w:val="18"/>
          <w:szCs w:val="18"/>
        </w:rPr>
      </w:pPr>
      <w:bookmarkStart w:id="39" w:name="_Hlk1662877"/>
      <w:r>
        <w:rPr>
          <w:rFonts w:ascii="Arial" w:hAnsi="Arial" w:cs="Arial"/>
          <w:b/>
          <w:sz w:val="18"/>
          <w:szCs w:val="18"/>
        </w:rPr>
        <w:br w:type="page"/>
      </w:r>
    </w:p>
    <w:p w14:paraId="6456CB9B" w14:textId="77777777" w:rsidR="00A46DAE" w:rsidRPr="00D403F5" w:rsidRDefault="00A46DAE" w:rsidP="00A46DAE">
      <w:pPr>
        <w:pStyle w:val="2"/>
        <w:tabs>
          <w:tab w:val="clear" w:pos="360"/>
        </w:tabs>
        <w:spacing w:after="480"/>
        <w:ind w:left="0" w:firstLine="0"/>
        <w:jc w:val="right"/>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17D04B0B" w14:textId="4BFCF004" w:rsidR="007B3D5C" w:rsidRPr="00D403F5" w:rsidRDefault="007B3D5C" w:rsidP="00A46DAE">
      <w:pPr>
        <w:spacing w:after="240" w:line="240" w:lineRule="auto"/>
        <w:rPr>
          <w:rFonts w:ascii="Arial" w:hAnsi="Arial" w:cs="Arial"/>
          <w:b/>
          <w:sz w:val="18"/>
          <w:szCs w:val="18"/>
        </w:rPr>
      </w:pPr>
      <w:r w:rsidRPr="00D403F5">
        <w:rPr>
          <w:rFonts w:ascii="Arial" w:hAnsi="Arial" w:cs="Arial"/>
          <w:b/>
          <w:sz w:val="18"/>
          <w:szCs w:val="18"/>
        </w:rPr>
        <w:t>Step 3 ‒ Risk Management</w:t>
      </w:r>
      <w:bookmarkEnd w:id="39"/>
    </w:p>
    <w:p w14:paraId="2CDB9494" w14:textId="77777777" w:rsidR="007B3D5C" w:rsidRPr="00D403F5" w:rsidRDefault="007B3D5C" w:rsidP="00A46DAE">
      <w:pPr>
        <w:spacing w:after="240" w:line="240" w:lineRule="auto"/>
        <w:jc w:val="both"/>
        <w:rPr>
          <w:rFonts w:ascii="Arial" w:hAnsi="Arial" w:cs="Arial"/>
          <w:b/>
          <w:sz w:val="18"/>
          <w:szCs w:val="18"/>
        </w:rPr>
      </w:pPr>
      <w:r w:rsidRPr="00D403F5">
        <w:rPr>
          <w:rFonts w:ascii="Arial" w:hAnsi="Arial" w:cs="Arial"/>
          <w:i/>
          <w:iCs/>
          <w:sz w:val="18"/>
          <w:szCs w:val="18"/>
        </w:rPr>
        <w:t>Risk management</w:t>
      </w:r>
      <w:r w:rsidRPr="00D403F5">
        <w:rPr>
          <w:rFonts w:ascii="Arial" w:hAnsi="Arial" w:cs="Arial"/>
          <w:sz w:val="18"/>
          <w:szCs w:val="18"/>
        </w:rPr>
        <w:t> is used to determine the appropriate management</w:t>
      </w:r>
      <w:r w:rsidRPr="00D403F5">
        <w:rPr>
          <w:rFonts w:ascii="Arial" w:eastAsia="SimSun" w:hAnsi="Arial" w:cs="Arial" w:hint="eastAsia"/>
          <w:sz w:val="18"/>
          <w:szCs w:val="18"/>
          <w:lang w:eastAsia="zh-CN"/>
        </w:rPr>
        <w:t xml:space="preserve"> </w:t>
      </w:r>
      <w:r w:rsidRPr="00D403F5">
        <w:rPr>
          <w:rFonts w:ascii="Arial" w:hAnsi="Arial" w:cs="Arial"/>
          <w:sz w:val="18"/>
          <w:szCs w:val="18"/>
        </w:rPr>
        <w:t xml:space="preserve">response for the assessed level of </w:t>
      </w:r>
      <w:r w:rsidRPr="00D403F5">
        <w:rPr>
          <w:rFonts w:ascii="Arial" w:hAnsi="Arial" w:cs="Arial"/>
          <w:i/>
          <w:sz w:val="18"/>
          <w:szCs w:val="18"/>
        </w:rPr>
        <w:t>risk</w:t>
      </w:r>
      <w:r w:rsidRPr="00D403F5">
        <w:rPr>
          <w:rFonts w:ascii="Arial" w:hAnsi="Arial" w:cs="Arial"/>
          <w:sz w:val="18"/>
          <w:szCs w:val="18"/>
        </w:rPr>
        <w:t xml:space="preserve"> as described in Table 4. The </w:t>
      </w:r>
      <w:r w:rsidRPr="00D403F5">
        <w:rPr>
          <w:rFonts w:ascii="Arial" w:hAnsi="Arial" w:cs="Arial"/>
          <w:i/>
          <w:sz w:val="18"/>
          <w:szCs w:val="18"/>
        </w:rPr>
        <w:t>risk assessment</w:t>
      </w:r>
      <w:r w:rsidRPr="00D403F5">
        <w:rPr>
          <w:rFonts w:ascii="Arial" w:hAnsi="Arial" w:cs="Arial"/>
          <w:sz w:val="18"/>
          <w:szCs w:val="18"/>
        </w:rPr>
        <w:t xml:space="preserve"> process identifies the steps within transmission pathways necessary for a </w:t>
      </w:r>
      <w:r w:rsidRPr="00D403F5">
        <w:rPr>
          <w:rFonts w:ascii="Arial" w:hAnsi="Arial" w:cs="Arial"/>
          <w:i/>
          <w:sz w:val="18"/>
          <w:szCs w:val="18"/>
        </w:rPr>
        <w:t>risk</w:t>
      </w:r>
      <w:r w:rsidRPr="00D403F5">
        <w:rPr>
          <w:rFonts w:ascii="Arial" w:hAnsi="Arial" w:cs="Arial"/>
          <w:sz w:val="18"/>
          <w:szCs w:val="18"/>
        </w:rPr>
        <w:t xml:space="preserve"> to be realised</w:t>
      </w:r>
      <w:r w:rsidRPr="00D403F5">
        <w:rPr>
          <w:rFonts w:ascii="Arial" w:eastAsia="SimSun" w:hAnsi="Arial" w:cs="Arial" w:hint="eastAsia"/>
          <w:sz w:val="18"/>
          <w:szCs w:val="18"/>
          <w:lang w:eastAsia="zh-CN"/>
        </w:rPr>
        <w:t xml:space="preserve"> </w:t>
      </w:r>
      <w:r w:rsidRPr="00D403F5">
        <w:rPr>
          <w:rFonts w:ascii="Arial" w:hAnsi="Arial" w:cs="Arial"/>
          <w:sz w:val="18"/>
          <w:szCs w:val="18"/>
        </w:rPr>
        <w:t xml:space="preserve">and thus allows the most effective mitigation measures to be determined. Many of the </w:t>
      </w:r>
      <w:r w:rsidRPr="00D403F5">
        <w:rPr>
          <w:rFonts w:ascii="Arial" w:hAnsi="Arial" w:cs="Arial"/>
          <w:i/>
          <w:sz w:val="18"/>
          <w:szCs w:val="18"/>
        </w:rPr>
        <w:t>hazards</w:t>
      </w:r>
      <w:r w:rsidRPr="00D403F5">
        <w:rPr>
          <w:rFonts w:ascii="Arial" w:hAnsi="Arial" w:cs="Arial"/>
          <w:sz w:val="18"/>
          <w:szCs w:val="18"/>
        </w:rPr>
        <w:t xml:space="preserve"> will share the same pathways and therefore mitigation measures may be effective against more than one </w:t>
      </w:r>
      <w:r w:rsidRPr="00D403F5">
        <w:rPr>
          <w:rFonts w:ascii="Arial" w:hAnsi="Arial" w:cs="Arial"/>
          <w:i/>
          <w:sz w:val="18"/>
          <w:szCs w:val="18"/>
        </w:rPr>
        <w:t>hazard</w:t>
      </w:r>
      <w:r w:rsidRPr="00D403F5">
        <w:rPr>
          <w:rFonts w:ascii="Arial" w:hAnsi="Arial" w:cs="Arial"/>
          <w:sz w:val="18"/>
          <w:szCs w:val="18"/>
        </w:rPr>
        <w:t xml:space="preserve">. Information on hazards and their pathways of introduction (step 1) should be combined with the assessment of the pathways (step 2) to identify the most appropriate and cost-effective risk mitigation measures. </w:t>
      </w:r>
    </w:p>
    <w:p w14:paraId="7EDFB25A" w14:textId="77777777" w:rsidR="007B3D5C" w:rsidRPr="00D403F5" w:rsidRDefault="007B3D5C" w:rsidP="00A46DAE">
      <w:pPr>
        <w:spacing w:after="240" w:line="240" w:lineRule="auto"/>
        <w:jc w:val="both"/>
        <w:rPr>
          <w:rFonts w:ascii="Arial" w:hAnsi="Arial" w:cs="Arial"/>
          <w:sz w:val="18"/>
          <w:szCs w:val="18"/>
        </w:rPr>
      </w:pPr>
      <w:r w:rsidRPr="00D403F5">
        <w:rPr>
          <w:rFonts w:ascii="Arial" w:hAnsi="Arial" w:cs="Arial"/>
          <w:sz w:val="18"/>
          <w:szCs w:val="18"/>
        </w:rPr>
        <w:t xml:space="preserve">Article X.X.6. describes some possible mitigation measures relevant to different transmission pathways. The most appropriate mitigation measures for a specific </w:t>
      </w:r>
      <w:r w:rsidRPr="00D403F5">
        <w:rPr>
          <w:rFonts w:ascii="Arial" w:hAnsi="Arial" w:cs="Arial"/>
          <w:i/>
          <w:sz w:val="18"/>
          <w:szCs w:val="18"/>
        </w:rPr>
        <w:t>aquaculture establishment</w:t>
      </w:r>
      <w:r w:rsidRPr="00D403F5">
        <w:rPr>
          <w:rFonts w:ascii="Arial" w:hAnsi="Arial" w:cs="Arial"/>
          <w:sz w:val="18"/>
          <w:szCs w:val="18"/>
        </w:rPr>
        <w:t xml:space="preserve"> will depend on the </w:t>
      </w:r>
      <w:r w:rsidRPr="00D403F5">
        <w:rPr>
          <w:rFonts w:ascii="Arial" w:hAnsi="Arial" w:cs="Arial"/>
          <w:i/>
          <w:sz w:val="18"/>
          <w:szCs w:val="18"/>
        </w:rPr>
        <w:t>hazards</w:t>
      </w:r>
      <w:r w:rsidRPr="00D403F5">
        <w:rPr>
          <w:rFonts w:ascii="Arial" w:hAnsi="Arial" w:cs="Arial"/>
          <w:sz w:val="18"/>
          <w:szCs w:val="18"/>
        </w:rPr>
        <w:t xml:space="preserve"> identified, the effectiveness and reliability of the mitigation measure, the category of </w:t>
      </w:r>
      <w:r w:rsidRPr="00D403F5">
        <w:rPr>
          <w:rFonts w:ascii="Arial" w:hAnsi="Arial" w:cs="Arial"/>
          <w:i/>
          <w:sz w:val="18"/>
          <w:szCs w:val="18"/>
        </w:rPr>
        <w:t>aquaculture</w:t>
      </w:r>
      <w:r w:rsidRPr="00D403F5">
        <w:rPr>
          <w:rFonts w:ascii="Arial" w:hAnsi="Arial" w:cs="Arial"/>
          <w:sz w:val="18"/>
          <w:szCs w:val="18"/>
        </w:rPr>
        <w:t xml:space="preserve"> production system and cost.</w:t>
      </w:r>
    </w:p>
    <w:p w14:paraId="66CA1690" w14:textId="77777777" w:rsidR="007B3D5C" w:rsidRPr="00D403F5" w:rsidRDefault="007B3D5C" w:rsidP="00A46DAE">
      <w:pPr>
        <w:spacing w:after="240" w:line="240" w:lineRule="auto"/>
        <w:jc w:val="both"/>
        <w:rPr>
          <w:rFonts w:ascii="Arial" w:hAnsi="Arial" w:cs="Arial"/>
          <w:sz w:val="18"/>
          <w:szCs w:val="18"/>
        </w:rPr>
      </w:pPr>
      <w:r w:rsidRPr="00D403F5">
        <w:rPr>
          <w:rFonts w:ascii="Arial" w:hAnsi="Arial" w:cs="Arial"/>
          <w:sz w:val="18"/>
          <w:szCs w:val="18"/>
        </w:rPr>
        <w:t xml:space="preserve">After the implementation of the </w:t>
      </w:r>
      <w:r w:rsidRPr="00D403F5">
        <w:rPr>
          <w:rFonts w:ascii="Arial" w:hAnsi="Arial" w:cs="Arial"/>
          <w:i/>
          <w:sz w:val="18"/>
          <w:szCs w:val="18"/>
        </w:rPr>
        <w:t>biosecurity plan</w:t>
      </w:r>
      <w:r w:rsidRPr="00D403F5">
        <w:rPr>
          <w:rFonts w:ascii="Arial" w:hAnsi="Arial" w:cs="Arial"/>
          <w:sz w:val="18"/>
          <w:szCs w:val="18"/>
        </w:rPr>
        <w:t xml:space="preserve">, </w:t>
      </w:r>
      <w:r w:rsidRPr="00D403F5">
        <w:rPr>
          <w:rFonts w:ascii="Arial" w:hAnsi="Arial" w:cs="Arial"/>
          <w:i/>
          <w:sz w:val="18"/>
          <w:szCs w:val="18"/>
        </w:rPr>
        <w:t>hazards</w:t>
      </w:r>
      <w:r w:rsidRPr="00D403F5">
        <w:rPr>
          <w:rFonts w:ascii="Arial" w:hAnsi="Arial" w:cs="Arial"/>
          <w:sz w:val="18"/>
          <w:szCs w:val="18"/>
        </w:rPr>
        <w:t xml:space="preserve"> should be regularly reassessed, and measures adjusted according to any changed </w:t>
      </w:r>
      <w:r w:rsidRPr="00D403F5">
        <w:rPr>
          <w:rFonts w:ascii="Arial" w:hAnsi="Arial" w:cs="Arial"/>
          <w:i/>
          <w:sz w:val="18"/>
          <w:szCs w:val="18"/>
        </w:rPr>
        <w:t>risk</w:t>
      </w:r>
      <w:r w:rsidRPr="00D403F5">
        <w:rPr>
          <w:rFonts w:ascii="Arial" w:hAnsi="Arial" w:cs="Arial"/>
          <w:sz w:val="18"/>
          <w:szCs w:val="18"/>
        </w:rPr>
        <w:t xml:space="preserve"> estimates.</w:t>
      </w:r>
    </w:p>
    <w:bookmarkEnd w:id="35"/>
    <w:p w14:paraId="71D0737E" w14:textId="77777777" w:rsidR="007B3D5C" w:rsidRPr="00D403F5" w:rsidRDefault="007B3D5C" w:rsidP="00A46DAE">
      <w:pPr>
        <w:spacing w:after="240"/>
        <w:jc w:val="center"/>
        <w:rPr>
          <w:rFonts w:ascii="Ottawa" w:hAnsi="Ottawa" w:cs="Arial"/>
          <w:sz w:val="18"/>
          <w:szCs w:val="18"/>
        </w:rPr>
      </w:pPr>
      <w:r w:rsidRPr="00D403F5">
        <w:rPr>
          <w:rFonts w:ascii="Ottawa" w:hAnsi="Ottawa" w:cs="Arial"/>
          <w:sz w:val="18"/>
          <w:szCs w:val="18"/>
        </w:rPr>
        <w:t>Article 4.X.8.</w:t>
      </w:r>
    </w:p>
    <w:p w14:paraId="64EB992A" w14:textId="77777777" w:rsidR="007B3D5C" w:rsidRPr="00D403F5" w:rsidRDefault="007B3D5C" w:rsidP="00A46DAE">
      <w:pPr>
        <w:spacing w:after="240"/>
        <w:jc w:val="both"/>
        <w:rPr>
          <w:rFonts w:ascii="Ottawa" w:hAnsi="Ottawa" w:cs="Arial"/>
          <w:b/>
          <w:color w:val="000000"/>
          <w:sz w:val="18"/>
          <w:szCs w:val="18"/>
        </w:rPr>
      </w:pPr>
      <w:r w:rsidRPr="00D403F5">
        <w:rPr>
          <w:rFonts w:ascii="Ottawa" w:hAnsi="Ottawa" w:cs="Arial"/>
          <w:b/>
          <w:color w:val="000000"/>
          <w:sz w:val="18"/>
          <w:szCs w:val="18"/>
        </w:rPr>
        <w:t>Biosecurity plan development</w:t>
      </w:r>
    </w:p>
    <w:p w14:paraId="3D5FCBC8" w14:textId="77777777" w:rsidR="007B3D5C" w:rsidRPr="00D403F5" w:rsidRDefault="007B3D5C" w:rsidP="00A46DAE">
      <w:pPr>
        <w:spacing w:after="240"/>
        <w:jc w:val="both"/>
        <w:rPr>
          <w:rFonts w:ascii="Arial" w:hAnsi="Arial" w:cs="Arial"/>
          <w:i/>
          <w:color w:val="000000"/>
          <w:sz w:val="18"/>
          <w:szCs w:val="18"/>
          <w:shd w:val="clear" w:color="auto" w:fill="FFFFFF"/>
        </w:rPr>
      </w:pPr>
      <w:r w:rsidRPr="00D403F5">
        <w:rPr>
          <w:rFonts w:ascii="Arial" w:hAnsi="Arial" w:cs="Arial"/>
          <w:sz w:val="18"/>
          <w:szCs w:val="18"/>
          <w:lang w:eastAsia="fr-FR"/>
        </w:rPr>
        <w:t xml:space="preserve">The purpose of a </w:t>
      </w:r>
      <w:r w:rsidRPr="00D403F5">
        <w:rPr>
          <w:rFonts w:ascii="Arial" w:hAnsi="Arial" w:cs="Arial"/>
          <w:i/>
          <w:sz w:val="18"/>
          <w:szCs w:val="18"/>
          <w:lang w:eastAsia="fr-FR"/>
        </w:rPr>
        <w:t>biosecurity</w:t>
      </w:r>
      <w:r w:rsidRPr="00D403F5">
        <w:rPr>
          <w:rFonts w:ascii="Arial" w:eastAsia="SimSun" w:hAnsi="Arial" w:cs="Arial" w:hint="eastAsia"/>
          <w:i/>
          <w:sz w:val="18"/>
          <w:szCs w:val="18"/>
          <w:lang w:eastAsia="zh-CN"/>
        </w:rPr>
        <w:t xml:space="preserve"> </w:t>
      </w:r>
      <w:r w:rsidRPr="00D403F5">
        <w:rPr>
          <w:rFonts w:ascii="Arial" w:hAnsi="Arial" w:cs="Arial"/>
          <w:i/>
          <w:sz w:val="18"/>
          <w:szCs w:val="18"/>
          <w:lang w:eastAsia="fr-FR"/>
        </w:rPr>
        <w:t>plan</w:t>
      </w:r>
      <w:r w:rsidRPr="00D403F5">
        <w:rPr>
          <w:rFonts w:ascii="Arial" w:hAnsi="Arial" w:cs="Arial"/>
          <w:sz w:val="18"/>
          <w:szCs w:val="18"/>
          <w:lang w:eastAsia="fr-FR"/>
        </w:rPr>
        <w:t xml:space="preserve"> is </w:t>
      </w:r>
      <w:r w:rsidRPr="00D403F5">
        <w:rPr>
          <w:rStyle w:val="normaltextrun"/>
          <w:rFonts w:ascii="Arial" w:hAnsi="Arial" w:cs="Arial"/>
          <w:color w:val="000000"/>
          <w:sz w:val="18"/>
          <w:szCs w:val="18"/>
          <w:shd w:val="clear" w:color="auto" w:fill="FFFFFF"/>
        </w:rPr>
        <w:t xml:space="preserve">primarily </w:t>
      </w:r>
      <w:r w:rsidRPr="00D403F5">
        <w:rPr>
          <w:rFonts w:ascii="Arial" w:hAnsi="Arial" w:cs="Arial"/>
          <w:sz w:val="18"/>
          <w:szCs w:val="18"/>
          <w:lang w:eastAsia="fr-FR"/>
        </w:rPr>
        <w:t xml:space="preserve">to reduce the </w:t>
      </w:r>
      <w:bookmarkStart w:id="40" w:name="_Hlk524969908"/>
      <w:bookmarkStart w:id="41" w:name="_Hlk524968266"/>
      <w:r w:rsidRPr="00D403F5">
        <w:rPr>
          <w:rFonts w:ascii="Arial" w:hAnsi="Arial" w:cs="Arial"/>
          <w:i/>
          <w:sz w:val="18"/>
          <w:szCs w:val="18"/>
          <w:lang w:eastAsia="fr-FR"/>
        </w:rPr>
        <w:t>risk</w:t>
      </w:r>
      <w:r w:rsidRPr="00D403F5">
        <w:rPr>
          <w:rFonts w:ascii="Arial" w:hAnsi="Arial" w:cs="Arial"/>
          <w:sz w:val="18"/>
          <w:szCs w:val="18"/>
          <w:lang w:eastAsia="fr-FR"/>
        </w:rPr>
        <w:t xml:space="preserve"> of introducing </w:t>
      </w:r>
      <w:r w:rsidRPr="00D403F5">
        <w:rPr>
          <w:rFonts w:ascii="Arial" w:hAnsi="Arial" w:cs="Arial"/>
          <w:i/>
          <w:sz w:val="18"/>
          <w:szCs w:val="18"/>
          <w:lang w:eastAsia="fr-FR"/>
        </w:rPr>
        <w:t xml:space="preserve">pathogenic agents </w:t>
      </w:r>
      <w:r w:rsidRPr="00D403F5">
        <w:rPr>
          <w:rFonts w:ascii="Arial" w:hAnsi="Arial" w:cs="Arial"/>
          <w:sz w:val="18"/>
          <w:szCs w:val="18"/>
          <w:lang w:eastAsia="fr-FR"/>
        </w:rPr>
        <w:t>into</w:t>
      </w:r>
      <w:r w:rsidRPr="00D403F5">
        <w:rPr>
          <w:rFonts w:ascii="Arial" w:hAnsi="Arial" w:cs="Arial"/>
          <w:i/>
          <w:color w:val="000000"/>
          <w:sz w:val="18"/>
          <w:szCs w:val="18"/>
        </w:rPr>
        <w:t xml:space="preserve"> </w:t>
      </w:r>
      <w:r w:rsidRPr="00D403F5">
        <w:rPr>
          <w:rFonts w:ascii="Arial" w:hAnsi="Arial" w:cs="Arial"/>
          <w:color w:val="000000"/>
          <w:sz w:val="18"/>
          <w:szCs w:val="18"/>
        </w:rPr>
        <w:t>an</w:t>
      </w:r>
      <w:r w:rsidRPr="00D403F5">
        <w:rPr>
          <w:rFonts w:ascii="Arial" w:hAnsi="Arial" w:cs="Arial"/>
          <w:i/>
          <w:color w:val="000000"/>
          <w:sz w:val="18"/>
          <w:szCs w:val="18"/>
        </w:rPr>
        <w:t xml:space="preserve"> aquacultur</w:t>
      </w:r>
      <w:r w:rsidRPr="00D403F5">
        <w:rPr>
          <w:rFonts w:ascii="Arial" w:hAnsi="Arial" w:cs="Arial"/>
          <w:color w:val="000000"/>
          <w:sz w:val="18"/>
          <w:szCs w:val="18"/>
        </w:rPr>
        <w:t>e</w:t>
      </w:r>
      <w:r w:rsidRPr="00D403F5">
        <w:rPr>
          <w:rStyle w:val="normaltextrun"/>
          <w:rFonts w:ascii="Arial" w:hAnsi="Arial" w:cs="Arial"/>
          <w:color w:val="000000"/>
          <w:sz w:val="18"/>
          <w:szCs w:val="18"/>
          <w:shd w:val="clear" w:color="auto" w:fill="FFFFFF"/>
        </w:rPr>
        <w:t xml:space="preserve"> establishment</w:t>
      </w:r>
      <w:r w:rsidRPr="00D403F5">
        <w:rPr>
          <w:rFonts w:ascii="Arial" w:hAnsi="Arial" w:cs="Arial"/>
          <w:sz w:val="18"/>
          <w:szCs w:val="18"/>
          <w:lang w:eastAsia="fr-FR"/>
        </w:rPr>
        <w:t xml:space="preserve">, </w:t>
      </w:r>
      <w:r w:rsidRPr="00D403F5">
        <w:rPr>
          <w:rFonts w:ascii="Arial" w:hAnsi="Arial" w:cs="Arial"/>
          <w:color w:val="000000"/>
          <w:sz w:val="18"/>
          <w:szCs w:val="18"/>
        </w:rPr>
        <w:t xml:space="preserve">and if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are introduced, to reduce the </w:t>
      </w:r>
      <w:r w:rsidRPr="00D403F5">
        <w:rPr>
          <w:rFonts w:ascii="Arial" w:hAnsi="Arial" w:cs="Arial"/>
          <w:i/>
          <w:color w:val="000000"/>
          <w:sz w:val="18"/>
          <w:szCs w:val="18"/>
        </w:rPr>
        <w:t>risk</w:t>
      </w:r>
      <w:r w:rsidRPr="00D403F5">
        <w:rPr>
          <w:rFonts w:ascii="Arial" w:hAnsi="Arial" w:cs="Arial"/>
          <w:color w:val="000000"/>
          <w:sz w:val="18"/>
          <w:szCs w:val="18"/>
        </w:rPr>
        <w:t xml:space="preserve"> of further </w:t>
      </w:r>
      <w:r w:rsidRPr="00D403F5">
        <w:rPr>
          <w:rFonts w:ascii="Arial" w:hAnsi="Arial" w:cs="Arial"/>
          <w:sz w:val="18"/>
          <w:szCs w:val="18"/>
          <w:lang w:eastAsia="fr-FR"/>
        </w:rPr>
        <w:t xml:space="preserve">spread within or release from the </w:t>
      </w:r>
      <w:r w:rsidRPr="00D403F5">
        <w:rPr>
          <w:rFonts w:ascii="Arial" w:hAnsi="Arial" w:cs="Arial"/>
          <w:i/>
          <w:sz w:val="18"/>
          <w:szCs w:val="18"/>
          <w:lang w:eastAsia="fr-FR"/>
        </w:rPr>
        <w:t>aquaculture establishment</w:t>
      </w:r>
      <w:bookmarkEnd w:id="40"/>
      <w:r w:rsidRPr="00D403F5">
        <w:rPr>
          <w:rFonts w:ascii="Arial" w:hAnsi="Arial" w:cs="Arial"/>
          <w:sz w:val="18"/>
          <w:szCs w:val="18"/>
          <w:lang w:eastAsia="fr-FR"/>
        </w:rPr>
        <w:t>.</w:t>
      </w:r>
      <w:bookmarkEnd w:id="41"/>
      <w:r w:rsidRPr="00D403F5">
        <w:rPr>
          <w:rFonts w:ascii="Arial" w:hAnsi="Arial" w:cs="Arial"/>
          <w:sz w:val="18"/>
          <w:szCs w:val="18"/>
          <w:lang w:eastAsia="fr-FR"/>
        </w:rPr>
        <w:t xml:space="preserve"> The plan will document identified transmission pathways and the outputs of any </w:t>
      </w:r>
      <w:r w:rsidRPr="00D403F5">
        <w:rPr>
          <w:rFonts w:ascii="Arial" w:hAnsi="Arial" w:cs="Arial"/>
          <w:i/>
          <w:sz w:val="18"/>
          <w:szCs w:val="18"/>
          <w:lang w:eastAsia="fr-FR"/>
        </w:rPr>
        <w:t>risk analysis</w:t>
      </w:r>
      <w:r w:rsidRPr="00D403F5">
        <w:rPr>
          <w:rFonts w:ascii="Arial" w:hAnsi="Arial" w:cs="Arial"/>
          <w:sz w:val="18"/>
          <w:szCs w:val="18"/>
          <w:lang w:eastAsia="fr-FR"/>
        </w:rPr>
        <w:t xml:space="preserve"> performed (</w:t>
      </w:r>
      <w:r w:rsidRPr="00D403F5">
        <w:rPr>
          <w:rFonts w:ascii="Arial" w:hAnsi="Arial" w:cs="Arial"/>
          <w:i/>
          <w:sz w:val="18"/>
          <w:szCs w:val="18"/>
          <w:lang w:eastAsia="fr-FR"/>
        </w:rPr>
        <w:t>hazards, risk</w:t>
      </w:r>
      <w:r w:rsidRPr="00D403F5">
        <w:rPr>
          <w:rFonts w:ascii="Arial" w:hAnsi="Arial" w:cs="Arial"/>
          <w:sz w:val="18"/>
          <w:szCs w:val="18"/>
          <w:lang w:eastAsia="fr-FR"/>
        </w:rPr>
        <w:t xml:space="preserve"> estimate and mitigation measures), and information relevant to ongoing implementation, monitoring and review of the plan.</w:t>
      </w:r>
      <w:r w:rsidRPr="00D403F5">
        <w:rPr>
          <w:rStyle w:val="normaltextrun"/>
          <w:rFonts w:ascii="Arial" w:hAnsi="Arial" w:cs="Arial"/>
          <w:color w:val="000000"/>
          <w:sz w:val="18"/>
          <w:szCs w:val="18"/>
          <w:shd w:val="clear" w:color="auto" w:fill="FFFFFF"/>
        </w:rPr>
        <w:t xml:space="preserve"> </w:t>
      </w:r>
    </w:p>
    <w:p w14:paraId="1F19843C" w14:textId="77777777" w:rsidR="007B3D5C" w:rsidRPr="00D403F5" w:rsidRDefault="007B3D5C" w:rsidP="00A46DAE">
      <w:pPr>
        <w:spacing w:after="240"/>
        <w:ind w:left="426" w:hanging="426"/>
        <w:jc w:val="both"/>
        <w:rPr>
          <w:rFonts w:ascii="Arial" w:hAnsi="Arial" w:cs="Arial"/>
          <w:sz w:val="18"/>
          <w:szCs w:val="18"/>
          <w:u w:val="single"/>
          <w:lang w:eastAsia="fr-FR"/>
        </w:rPr>
      </w:pPr>
      <w:r w:rsidRPr="00D403F5">
        <w:rPr>
          <w:rFonts w:ascii="Arial" w:hAnsi="Arial" w:cs="Arial"/>
          <w:sz w:val="18"/>
          <w:szCs w:val="18"/>
          <w:lang w:eastAsia="fr-FR"/>
        </w:rPr>
        <w:t>1.</w:t>
      </w:r>
      <w:r w:rsidRPr="00D403F5">
        <w:rPr>
          <w:rFonts w:ascii="Arial" w:hAnsi="Arial" w:cs="Arial"/>
          <w:sz w:val="18"/>
          <w:szCs w:val="18"/>
          <w:lang w:eastAsia="fr-FR"/>
        </w:rPr>
        <w:tab/>
      </w:r>
      <w:r w:rsidRPr="00D403F5">
        <w:rPr>
          <w:rFonts w:ascii="Arial" w:hAnsi="Arial" w:cs="Arial"/>
          <w:sz w:val="18"/>
          <w:szCs w:val="18"/>
          <w:u w:val="single"/>
          <w:lang w:eastAsia="fr-FR"/>
        </w:rPr>
        <w:t>Development of a biosecurity plan</w:t>
      </w:r>
    </w:p>
    <w:p w14:paraId="30F2BDB3" w14:textId="77777777" w:rsidR="007B3D5C" w:rsidRPr="00D403F5" w:rsidRDefault="007B3D5C" w:rsidP="00A46DAE">
      <w:pPr>
        <w:spacing w:after="240"/>
        <w:ind w:left="426"/>
        <w:jc w:val="both"/>
        <w:rPr>
          <w:rFonts w:ascii="Arial" w:hAnsi="Arial" w:cs="Arial"/>
          <w:sz w:val="18"/>
          <w:szCs w:val="18"/>
          <w:lang w:eastAsia="fr-FR"/>
        </w:rPr>
      </w:pPr>
      <w:r w:rsidRPr="00D403F5">
        <w:rPr>
          <w:rFonts w:ascii="Arial" w:hAnsi="Arial" w:cs="Arial"/>
          <w:sz w:val="18"/>
          <w:szCs w:val="18"/>
          <w:lang w:eastAsia="fr-FR"/>
        </w:rPr>
        <w:t xml:space="preserve">The process of developing a </w:t>
      </w:r>
      <w:r w:rsidRPr="00D403F5">
        <w:rPr>
          <w:rFonts w:ascii="Arial" w:hAnsi="Arial" w:cs="Arial"/>
          <w:i/>
          <w:sz w:val="18"/>
          <w:szCs w:val="18"/>
          <w:lang w:eastAsia="fr-FR"/>
        </w:rPr>
        <w:t>biosecurity plan</w:t>
      </w:r>
      <w:r w:rsidRPr="00D403F5">
        <w:rPr>
          <w:rFonts w:ascii="Arial" w:eastAsia="SimSun" w:hAnsi="Arial" w:cs="Arial" w:hint="eastAsia"/>
          <w:i/>
          <w:sz w:val="18"/>
          <w:szCs w:val="18"/>
          <w:lang w:eastAsia="zh-CN"/>
        </w:rPr>
        <w:t xml:space="preserve"> </w:t>
      </w:r>
      <w:r w:rsidRPr="00D403F5">
        <w:rPr>
          <w:rFonts w:ascii="Arial" w:hAnsi="Arial" w:cs="Arial"/>
          <w:sz w:val="18"/>
          <w:szCs w:val="18"/>
          <w:lang w:eastAsia="fr-FR"/>
        </w:rPr>
        <w:t xml:space="preserve">will vary depending on its objectives, the level of </w:t>
      </w:r>
      <w:r w:rsidRPr="00D403F5">
        <w:rPr>
          <w:rFonts w:ascii="Arial" w:hAnsi="Arial" w:cs="Arial"/>
          <w:i/>
          <w:sz w:val="18"/>
          <w:szCs w:val="18"/>
          <w:lang w:eastAsia="fr-FR"/>
        </w:rPr>
        <w:t>biosecurity</w:t>
      </w:r>
      <w:r w:rsidRPr="00D403F5">
        <w:rPr>
          <w:rFonts w:ascii="Arial" w:eastAsia="SimSun" w:hAnsi="Arial" w:cs="Arial" w:hint="eastAsia"/>
          <w:i/>
          <w:sz w:val="18"/>
          <w:szCs w:val="18"/>
          <w:lang w:eastAsia="zh-CN"/>
        </w:rPr>
        <w:t xml:space="preserve"> </w:t>
      </w:r>
      <w:r w:rsidRPr="00D403F5">
        <w:rPr>
          <w:rFonts w:ascii="Arial" w:hAnsi="Arial" w:cs="Arial"/>
          <w:sz w:val="18"/>
          <w:szCs w:val="18"/>
          <w:lang w:eastAsia="fr-FR"/>
        </w:rPr>
        <w:t>appropriate</w:t>
      </w:r>
      <w:r w:rsidRPr="00D403F5">
        <w:rPr>
          <w:rFonts w:ascii="Arial" w:eastAsia="SimSun" w:hAnsi="Arial" w:cs="Arial" w:hint="eastAsia"/>
          <w:sz w:val="18"/>
          <w:szCs w:val="18"/>
          <w:lang w:eastAsia="zh-CN"/>
        </w:rPr>
        <w:t xml:space="preserve"> </w:t>
      </w:r>
      <w:r w:rsidRPr="00D403F5">
        <w:rPr>
          <w:rFonts w:ascii="Arial" w:hAnsi="Arial" w:cs="Arial"/>
          <w:sz w:val="18"/>
          <w:szCs w:val="18"/>
          <w:lang w:eastAsia="fr-FR"/>
        </w:rPr>
        <w:t xml:space="preserve">to the specific production system requirements, the complexity of the </w:t>
      </w:r>
      <w:r w:rsidRPr="00D403F5">
        <w:rPr>
          <w:rFonts w:ascii="Arial" w:hAnsi="Arial" w:cs="Arial"/>
          <w:i/>
          <w:sz w:val="18"/>
          <w:szCs w:val="18"/>
          <w:lang w:eastAsia="fr-FR"/>
        </w:rPr>
        <w:t>disease risks</w:t>
      </w:r>
      <w:r w:rsidRPr="00D403F5">
        <w:rPr>
          <w:rFonts w:ascii="Arial" w:hAnsi="Arial" w:cs="Arial"/>
          <w:sz w:val="18"/>
          <w:szCs w:val="18"/>
          <w:lang w:eastAsia="fr-FR"/>
        </w:rPr>
        <w:t xml:space="preserve"> to be addressed, and availability of information and resources. Consideration and documentation of the following issues are recommended:</w:t>
      </w:r>
    </w:p>
    <w:p w14:paraId="0FE94826" w14:textId="77777777" w:rsidR="007B3D5C" w:rsidRPr="00D403F5" w:rsidRDefault="007B3D5C" w:rsidP="00A46DAE">
      <w:pPr>
        <w:spacing w:after="240"/>
        <w:ind w:left="851" w:hanging="425"/>
        <w:jc w:val="both"/>
        <w:rPr>
          <w:rFonts w:ascii="Arial" w:hAnsi="Arial" w:cs="Arial"/>
          <w:sz w:val="18"/>
          <w:szCs w:val="18"/>
          <w:lang w:eastAsia="fr-FR"/>
        </w:rPr>
      </w:pPr>
      <w:r w:rsidRPr="00D403F5">
        <w:rPr>
          <w:rFonts w:ascii="Arial" w:hAnsi="Arial" w:cs="Arial"/>
          <w:i/>
          <w:sz w:val="18"/>
          <w:szCs w:val="18"/>
          <w:lang w:eastAsia="fr-FR"/>
        </w:rPr>
        <w:t>a)</w:t>
      </w:r>
      <w:r w:rsidRPr="00D403F5">
        <w:rPr>
          <w:rFonts w:ascii="Arial" w:hAnsi="Arial" w:cs="Arial"/>
          <w:sz w:val="18"/>
          <w:szCs w:val="18"/>
          <w:lang w:eastAsia="fr-FR"/>
        </w:rPr>
        <w:tab/>
        <w:t xml:space="preserve">objectives and regulatory requirements for the </w:t>
      </w:r>
      <w:r w:rsidRPr="00D403F5">
        <w:rPr>
          <w:rFonts w:ascii="Arial" w:hAnsi="Arial" w:cs="Arial"/>
          <w:i/>
          <w:sz w:val="18"/>
          <w:szCs w:val="18"/>
          <w:lang w:eastAsia="fr-FR"/>
        </w:rPr>
        <w:t>biosecurity plan</w:t>
      </w:r>
      <w:r w:rsidRPr="00D403F5">
        <w:rPr>
          <w:rFonts w:ascii="Arial" w:hAnsi="Arial" w:cs="Arial"/>
          <w:sz w:val="18"/>
          <w:szCs w:val="18"/>
          <w:lang w:eastAsia="fr-FR"/>
        </w:rPr>
        <w:t>;</w:t>
      </w:r>
    </w:p>
    <w:p w14:paraId="03818904" w14:textId="77777777" w:rsidR="007B3D5C" w:rsidRPr="00D403F5" w:rsidRDefault="007B3D5C" w:rsidP="00A46DAE">
      <w:pPr>
        <w:spacing w:after="240"/>
        <w:ind w:left="851" w:hanging="425"/>
        <w:jc w:val="both"/>
        <w:rPr>
          <w:rFonts w:ascii="Arial" w:hAnsi="Arial" w:cs="Arial"/>
          <w:sz w:val="18"/>
          <w:szCs w:val="18"/>
          <w:lang w:eastAsia="fr-FR"/>
        </w:rPr>
      </w:pPr>
      <w:r w:rsidRPr="00D403F5">
        <w:rPr>
          <w:rFonts w:ascii="Arial" w:hAnsi="Arial" w:cs="Arial"/>
          <w:i/>
          <w:sz w:val="18"/>
          <w:szCs w:val="18"/>
          <w:lang w:eastAsia="fr-FR"/>
        </w:rPr>
        <w:t>b)</w:t>
      </w:r>
      <w:r w:rsidRPr="00D403F5">
        <w:rPr>
          <w:rFonts w:ascii="Arial" w:hAnsi="Arial" w:cs="Arial"/>
          <w:sz w:val="18"/>
          <w:szCs w:val="18"/>
          <w:lang w:eastAsia="fr-FR"/>
        </w:rPr>
        <w:tab/>
        <w:t xml:space="preserve">information about the </w:t>
      </w:r>
      <w:r w:rsidRPr="00D403F5">
        <w:rPr>
          <w:rFonts w:ascii="Arial" w:hAnsi="Arial" w:cs="Arial"/>
          <w:i/>
          <w:sz w:val="18"/>
          <w:szCs w:val="18"/>
          <w:lang w:eastAsia="fr-FR"/>
        </w:rPr>
        <w:t>aquaculture establishment</w:t>
      </w:r>
      <w:r w:rsidRPr="00D403F5">
        <w:rPr>
          <w:rFonts w:ascii="Arial" w:hAnsi="Arial" w:cs="Arial"/>
          <w:sz w:val="18"/>
          <w:szCs w:val="18"/>
          <w:lang w:eastAsia="fr-FR"/>
        </w:rPr>
        <w:t xml:space="preserve"> including an up-to-date plan of the layout of buildings and production units (including </w:t>
      </w:r>
      <w:r w:rsidRPr="00D403F5">
        <w:rPr>
          <w:rFonts w:ascii="Arial" w:hAnsi="Arial" w:cs="Arial"/>
          <w:i/>
          <w:sz w:val="18"/>
          <w:szCs w:val="18"/>
          <w:lang w:eastAsia="fr-FR"/>
        </w:rPr>
        <w:t>epidemiological units</w:t>
      </w:r>
      <w:r w:rsidRPr="00D403F5">
        <w:rPr>
          <w:rFonts w:ascii="Arial" w:hAnsi="Arial" w:cs="Arial"/>
          <w:sz w:val="18"/>
          <w:szCs w:val="18"/>
          <w:lang w:eastAsia="fr-FR"/>
        </w:rPr>
        <w:t xml:space="preserve">, if any, and structures and processes to maintain separation), loading/ unloading, unpacking, processing, feed storage, waste storage, reception areas, and maps showing major movements of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w:t>
      </w:r>
      <w:r w:rsidRPr="00D403F5">
        <w:rPr>
          <w:rFonts w:ascii="Arial" w:hAnsi="Arial" w:cs="Arial"/>
          <w:i/>
          <w:sz w:val="18"/>
          <w:szCs w:val="18"/>
          <w:lang w:eastAsia="fr-FR"/>
        </w:rPr>
        <w:t>aquatic animal products</w:t>
      </w:r>
      <w:r w:rsidRPr="00D403F5">
        <w:rPr>
          <w:rFonts w:ascii="Arial" w:hAnsi="Arial" w:cs="Arial"/>
          <w:sz w:val="18"/>
          <w:szCs w:val="18"/>
          <w:lang w:eastAsia="fr-FR"/>
        </w:rPr>
        <w:t xml:space="preserve"> and </w:t>
      </w:r>
      <w:r w:rsidRPr="00D403F5">
        <w:rPr>
          <w:rFonts w:ascii="Arial" w:hAnsi="Arial" w:cs="Arial"/>
          <w:i/>
          <w:sz w:val="18"/>
          <w:szCs w:val="18"/>
          <w:lang w:eastAsia="fr-FR"/>
        </w:rPr>
        <w:t xml:space="preserve">aquatic animal </w:t>
      </w:r>
      <w:r w:rsidRPr="00D403F5">
        <w:rPr>
          <w:rFonts w:ascii="Arial" w:hAnsi="Arial" w:cs="Arial"/>
          <w:i/>
          <w:iCs/>
          <w:sz w:val="18"/>
          <w:szCs w:val="18"/>
          <w:lang w:eastAsia="fr-FR"/>
        </w:rPr>
        <w:t>waste</w:t>
      </w:r>
      <w:r w:rsidRPr="00D403F5">
        <w:rPr>
          <w:rFonts w:ascii="Arial" w:hAnsi="Arial" w:cs="Arial"/>
          <w:sz w:val="18"/>
          <w:szCs w:val="18"/>
          <w:lang w:eastAsia="fr-FR"/>
        </w:rPr>
        <w:t xml:space="preserve">, water, </w:t>
      </w:r>
      <w:r w:rsidRPr="00D403F5">
        <w:rPr>
          <w:rFonts w:ascii="Arial" w:hAnsi="Arial" w:cs="Arial"/>
          <w:i/>
          <w:sz w:val="18"/>
          <w:szCs w:val="18"/>
          <w:lang w:eastAsia="fr-FR"/>
        </w:rPr>
        <w:t>feed</w:t>
      </w:r>
      <w:r w:rsidRPr="00D403F5">
        <w:rPr>
          <w:rFonts w:ascii="Arial" w:hAnsi="Arial" w:cs="Arial"/>
          <w:sz w:val="18"/>
          <w:szCs w:val="18"/>
          <w:lang w:eastAsia="fr-FR"/>
        </w:rPr>
        <w:t xml:space="preserve"> and fomites; </w:t>
      </w:r>
    </w:p>
    <w:p w14:paraId="1B721335" w14:textId="77777777" w:rsidR="007B3D5C" w:rsidRPr="00D403F5" w:rsidRDefault="007B3D5C" w:rsidP="00A46DAE">
      <w:pPr>
        <w:spacing w:after="240"/>
        <w:ind w:left="851" w:hanging="425"/>
        <w:jc w:val="both"/>
        <w:rPr>
          <w:rFonts w:ascii="Arial" w:hAnsi="Arial" w:cs="Arial"/>
          <w:sz w:val="18"/>
          <w:szCs w:val="18"/>
          <w:lang w:eastAsia="fr-FR"/>
        </w:rPr>
      </w:pPr>
      <w:r w:rsidRPr="00D403F5">
        <w:rPr>
          <w:rFonts w:ascii="Arial" w:hAnsi="Arial" w:cs="Arial"/>
          <w:i/>
          <w:sz w:val="18"/>
          <w:szCs w:val="18"/>
          <w:lang w:eastAsia="fr-FR"/>
        </w:rPr>
        <w:t>c)</w:t>
      </w:r>
      <w:r w:rsidRPr="00D403F5">
        <w:rPr>
          <w:rFonts w:ascii="Arial" w:hAnsi="Arial" w:cs="Arial"/>
          <w:sz w:val="18"/>
          <w:szCs w:val="18"/>
          <w:lang w:eastAsia="fr-FR"/>
        </w:rPr>
        <w:tab/>
        <w:t xml:space="preserve">the potential pathways for entry of </w:t>
      </w:r>
      <w:r w:rsidRPr="00D403F5">
        <w:rPr>
          <w:rFonts w:ascii="Arial" w:hAnsi="Arial" w:cs="Arial"/>
          <w:i/>
          <w:sz w:val="18"/>
          <w:szCs w:val="18"/>
          <w:lang w:eastAsia="fr-FR"/>
        </w:rPr>
        <w:t>pathogenic agents</w:t>
      </w:r>
      <w:r w:rsidRPr="00D403F5">
        <w:rPr>
          <w:rFonts w:ascii="Arial" w:hAnsi="Arial" w:cs="Arial"/>
          <w:sz w:val="18"/>
          <w:szCs w:val="18"/>
          <w:lang w:eastAsia="fr-FR"/>
        </w:rPr>
        <w:t xml:space="preserve"> into, spread within or release from the </w:t>
      </w:r>
      <w:r w:rsidRPr="00D403F5">
        <w:rPr>
          <w:rFonts w:ascii="Arial" w:hAnsi="Arial" w:cs="Arial"/>
          <w:i/>
          <w:sz w:val="18"/>
          <w:szCs w:val="18"/>
          <w:lang w:eastAsia="fr-FR"/>
        </w:rPr>
        <w:t xml:space="preserve">aquaculture establishment </w:t>
      </w:r>
      <w:r w:rsidRPr="00D403F5">
        <w:rPr>
          <w:rFonts w:ascii="Arial" w:hAnsi="Arial" w:cs="Arial"/>
          <w:sz w:val="18"/>
          <w:szCs w:val="18"/>
          <w:lang w:eastAsia="fr-FR"/>
        </w:rPr>
        <w:t>(refer to Article X.X.6. above);</w:t>
      </w:r>
    </w:p>
    <w:p w14:paraId="025786F0" w14:textId="77777777" w:rsidR="007B3D5C" w:rsidRPr="00D403F5" w:rsidRDefault="007B3D5C" w:rsidP="00A46DAE">
      <w:pPr>
        <w:spacing w:after="240"/>
        <w:ind w:left="851" w:hanging="425"/>
        <w:jc w:val="both"/>
        <w:rPr>
          <w:rFonts w:ascii="Arial" w:hAnsi="Arial" w:cs="Arial"/>
          <w:sz w:val="18"/>
          <w:szCs w:val="18"/>
          <w:lang w:eastAsia="fr-FR"/>
        </w:rPr>
      </w:pPr>
      <w:r w:rsidRPr="00D403F5">
        <w:rPr>
          <w:rFonts w:ascii="Arial" w:hAnsi="Arial" w:cs="Arial"/>
          <w:i/>
          <w:sz w:val="18"/>
          <w:szCs w:val="18"/>
          <w:lang w:eastAsia="fr-FR"/>
        </w:rPr>
        <w:t>d)</w:t>
      </w:r>
      <w:r w:rsidRPr="00D403F5">
        <w:rPr>
          <w:rFonts w:ascii="Arial" w:hAnsi="Arial" w:cs="Arial"/>
          <w:sz w:val="18"/>
          <w:szCs w:val="18"/>
          <w:lang w:eastAsia="fr-FR"/>
        </w:rPr>
        <w:tab/>
        <w:t xml:space="preserve">a </w:t>
      </w:r>
      <w:r w:rsidRPr="00D403F5">
        <w:rPr>
          <w:rFonts w:ascii="Arial" w:hAnsi="Arial" w:cs="Arial"/>
          <w:i/>
          <w:sz w:val="18"/>
          <w:szCs w:val="18"/>
          <w:lang w:eastAsia="fr-FR"/>
        </w:rPr>
        <w:t>risk analysis</w:t>
      </w:r>
      <w:r w:rsidRPr="00D403F5">
        <w:rPr>
          <w:rFonts w:ascii="Arial" w:hAnsi="Arial" w:cs="Arial"/>
          <w:sz w:val="18"/>
          <w:szCs w:val="18"/>
          <w:lang w:eastAsia="fr-FR"/>
        </w:rPr>
        <w:t xml:space="preserve">, including identification of the major </w:t>
      </w:r>
      <w:r w:rsidRPr="00D403F5">
        <w:rPr>
          <w:rFonts w:ascii="Arial" w:hAnsi="Arial" w:cs="Arial"/>
          <w:i/>
          <w:sz w:val="18"/>
          <w:szCs w:val="18"/>
          <w:lang w:eastAsia="fr-FR"/>
        </w:rPr>
        <w:t>disease hazards</w:t>
      </w:r>
      <w:r w:rsidRPr="00D403F5">
        <w:rPr>
          <w:rFonts w:ascii="Arial" w:hAnsi="Arial" w:cs="Arial"/>
          <w:sz w:val="18"/>
          <w:szCs w:val="18"/>
          <w:lang w:eastAsia="fr-FR"/>
        </w:rPr>
        <w:t xml:space="preserve"> to the </w:t>
      </w:r>
      <w:r w:rsidRPr="00D403F5">
        <w:rPr>
          <w:rFonts w:ascii="Arial" w:hAnsi="Arial" w:cs="Arial"/>
          <w:i/>
          <w:sz w:val="18"/>
          <w:szCs w:val="18"/>
          <w:lang w:eastAsia="fr-FR"/>
        </w:rPr>
        <w:t>aquaculture establishment</w:t>
      </w:r>
      <w:r w:rsidRPr="00D403F5">
        <w:rPr>
          <w:rFonts w:ascii="Arial" w:hAnsi="Arial" w:cs="Arial"/>
          <w:sz w:val="18"/>
          <w:szCs w:val="18"/>
          <w:lang w:eastAsia="fr-FR"/>
        </w:rPr>
        <w:t xml:space="preserve"> (refer to Article X.X.7. above);</w:t>
      </w:r>
    </w:p>
    <w:p w14:paraId="72E05EE1" w14:textId="77777777" w:rsidR="007B3D5C" w:rsidRPr="00D403F5" w:rsidRDefault="007B3D5C" w:rsidP="00A46DAE">
      <w:pPr>
        <w:spacing w:after="240"/>
        <w:ind w:left="851" w:hanging="425"/>
        <w:jc w:val="both"/>
        <w:rPr>
          <w:rFonts w:ascii="Arial" w:hAnsi="Arial" w:cs="Arial"/>
          <w:sz w:val="18"/>
          <w:szCs w:val="18"/>
          <w:lang w:eastAsia="fr-FR"/>
        </w:rPr>
      </w:pPr>
      <w:r w:rsidRPr="00D403F5">
        <w:rPr>
          <w:rFonts w:ascii="Arial" w:hAnsi="Arial" w:cs="Arial"/>
          <w:i/>
          <w:sz w:val="18"/>
          <w:szCs w:val="18"/>
          <w:lang w:eastAsia="fr-FR"/>
        </w:rPr>
        <w:t>e)</w:t>
      </w:r>
      <w:r w:rsidRPr="00D403F5">
        <w:rPr>
          <w:rFonts w:ascii="Arial" w:hAnsi="Arial" w:cs="Arial"/>
          <w:sz w:val="18"/>
          <w:szCs w:val="18"/>
          <w:lang w:eastAsia="fr-FR"/>
        </w:rPr>
        <w:tab/>
        <w:t xml:space="preserve">the mitigation measures that have been determined to address identified </w:t>
      </w:r>
      <w:r w:rsidRPr="00D403F5">
        <w:rPr>
          <w:rFonts w:ascii="Arial" w:hAnsi="Arial" w:cs="Arial"/>
          <w:i/>
          <w:sz w:val="18"/>
          <w:szCs w:val="18"/>
          <w:lang w:eastAsia="fr-FR"/>
        </w:rPr>
        <w:t>risks</w:t>
      </w:r>
      <w:r w:rsidRPr="00D403F5">
        <w:rPr>
          <w:rFonts w:ascii="Arial" w:hAnsi="Arial" w:cs="Arial"/>
          <w:sz w:val="18"/>
          <w:szCs w:val="18"/>
          <w:lang w:eastAsia="fr-FR"/>
        </w:rPr>
        <w:t>;</w:t>
      </w:r>
    </w:p>
    <w:p w14:paraId="24A4D8B3" w14:textId="77777777" w:rsidR="007B3D5C" w:rsidRPr="00D403F5" w:rsidRDefault="007B3D5C" w:rsidP="00A46DAE">
      <w:pPr>
        <w:spacing w:after="240"/>
        <w:ind w:left="851" w:hanging="425"/>
        <w:jc w:val="both"/>
        <w:rPr>
          <w:rFonts w:ascii="Arial" w:hAnsi="Arial" w:cs="Arial"/>
          <w:sz w:val="18"/>
          <w:szCs w:val="18"/>
          <w:lang w:eastAsia="fr-FR"/>
        </w:rPr>
      </w:pPr>
      <w:r w:rsidRPr="00D403F5">
        <w:rPr>
          <w:rFonts w:ascii="Arial" w:hAnsi="Arial" w:cs="Arial"/>
          <w:i/>
          <w:sz w:val="18"/>
          <w:szCs w:val="18"/>
          <w:lang w:eastAsia="fr-FR"/>
        </w:rPr>
        <w:t>f)</w:t>
      </w:r>
      <w:r w:rsidRPr="00D403F5">
        <w:rPr>
          <w:rFonts w:ascii="Arial" w:hAnsi="Arial" w:cs="Arial"/>
          <w:sz w:val="18"/>
          <w:szCs w:val="18"/>
          <w:lang w:eastAsia="fr-FR"/>
        </w:rPr>
        <w:tab/>
        <w:t xml:space="preserve">emergency procedures in the event of a </w:t>
      </w:r>
      <w:r w:rsidRPr="00D403F5">
        <w:rPr>
          <w:rFonts w:ascii="Arial" w:hAnsi="Arial" w:cs="Arial"/>
          <w:i/>
          <w:sz w:val="18"/>
          <w:szCs w:val="18"/>
          <w:lang w:eastAsia="fr-FR"/>
        </w:rPr>
        <w:t>biosecurity</w:t>
      </w:r>
      <w:r w:rsidRPr="00D403F5">
        <w:rPr>
          <w:rFonts w:ascii="Arial" w:hAnsi="Arial" w:cs="Arial"/>
          <w:sz w:val="18"/>
          <w:szCs w:val="18"/>
          <w:lang w:eastAsia="fr-FR"/>
        </w:rPr>
        <w:t xml:space="preserve"> failure. </w:t>
      </w:r>
      <w:r w:rsidRPr="00D403F5">
        <w:rPr>
          <w:rFonts w:ascii="Arial" w:hAnsi="Arial" w:cs="Arial"/>
          <w:sz w:val="18"/>
          <w:szCs w:val="18"/>
        </w:rPr>
        <w:t xml:space="preserve">These may include reporting requirements, emergency measures to eradicate </w:t>
      </w:r>
      <w:r w:rsidRPr="00D403F5">
        <w:rPr>
          <w:rFonts w:ascii="Arial" w:hAnsi="Arial" w:cs="Arial"/>
          <w:i/>
          <w:sz w:val="18"/>
          <w:szCs w:val="18"/>
        </w:rPr>
        <w:t>pathogenic agents</w:t>
      </w:r>
      <w:r w:rsidRPr="00D403F5">
        <w:rPr>
          <w:rFonts w:ascii="Arial" w:hAnsi="Arial" w:cs="Arial"/>
          <w:sz w:val="18"/>
          <w:szCs w:val="18"/>
        </w:rPr>
        <w:t xml:space="preserve"> such as </w:t>
      </w:r>
      <w:r w:rsidRPr="00D403F5">
        <w:rPr>
          <w:rFonts w:ascii="Arial" w:hAnsi="Arial" w:cs="Arial"/>
          <w:i/>
          <w:iCs/>
          <w:sz w:val="18"/>
          <w:szCs w:val="18"/>
        </w:rPr>
        <w:t>aquatic animal</w:t>
      </w:r>
      <w:r w:rsidRPr="00D403F5">
        <w:rPr>
          <w:rFonts w:ascii="Arial" w:hAnsi="Arial" w:cs="Arial"/>
          <w:sz w:val="18"/>
          <w:szCs w:val="18"/>
        </w:rPr>
        <w:t xml:space="preserve"> depopulation and disposal, and site </w:t>
      </w:r>
      <w:r w:rsidRPr="00D403F5">
        <w:rPr>
          <w:rFonts w:ascii="Arial" w:hAnsi="Arial" w:cs="Arial"/>
          <w:i/>
          <w:iCs/>
          <w:sz w:val="18"/>
          <w:szCs w:val="18"/>
        </w:rPr>
        <w:t>disinfection</w:t>
      </w:r>
      <w:r w:rsidRPr="00D403F5">
        <w:rPr>
          <w:rFonts w:ascii="Arial" w:hAnsi="Arial" w:cs="Arial"/>
          <w:sz w:val="18"/>
          <w:szCs w:val="18"/>
        </w:rPr>
        <w:t>, in accordance with Chapters 4.3. and 7.4.</w:t>
      </w:r>
      <w:r w:rsidRPr="00D403F5">
        <w:rPr>
          <w:rFonts w:ascii="Arial" w:hAnsi="Arial" w:cs="Arial"/>
          <w:sz w:val="18"/>
          <w:szCs w:val="18"/>
          <w:lang w:eastAsia="fr-FR"/>
        </w:rPr>
        <w:t>;</w:t>
      </w:r>
    </w:p>
    <w:p w14:paraId="54374B56" w14:textId="77777777" w:rsidR="00A46DAE" w:rsidRDefault="00A46DAE" w:rsidP="00A46DAE">
      <w:pPr>
        <w:pStyle w:val="2"/>
        <w:tabs>
          <w:tab w:val="clear" w:pos="360"/>
        </w:tabs>
        <w:spacing w:after="480"/>
        <w:ind w:left="0" w:firstLine="0"/>
        <w:jc w:val="right"/>
        <w:rPr>
          <w:rFonts w:ascii="Times New Roman" w:hAnsi="Times New Roman"/>
          <w:b w:val="0"/>
          <w:sz w:val="18"/>
          <w:szCs w:val="18"/>
          <w:u w:val="single"/>
        </w:rPr>
      </w:pPr>
      <w:r>
        <w:rPr>
          <w:rFonts w:ascii="Times New Roman" w:hAnsi="Times New Roman"/>
          <w:b w:val="0"/>
          <w:sz w:val="18"/>
          <w:szCs w:val="18"/>
          <w:u w:val="single"/>
        </w:rPr>
        <w:br w:type="page"/>
      </w:r>
    </w:p>
    <w:p w14:paraId="215D543C" w14:textId="6FE58BF6" w:rsidR="00A46DAE" w:rsidRPr="00D403F5" w:rsidRDefault="00A46DAE" w:rsidP="00A46DAE">
      <w:pPr>
        <w:pStyle w:val="2"/>
        <w:tabs>
          <w:tab w:val="clear" w:pos="360"/>
        </w:tabs>
        <w:spacing w:after="480"/>
        <w:ind w:left="0" w:firstLine="0"/>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631A1847" w14:textId="77777777" w:rsidR="007B3D5C" w:rsidRPr="00D403F5" w:rsidRDefault="007B3D5C" w:rsidP="00A46DAE">
      <w:pPr>
        <w:spacing w:after="240" w:line="240" w:lineRule="auto"/>
        <w:ind w:left="851" w:hanging="425"/>
        <w:jc w:val="both"/>
        <w:rPr>
          <w:rFonts w:ascii="Arial" w:hAnsi="Arial" w:cs="Arial"/>
          <w:sz w:val="18"/>
          <w:szCs w:val="18"/>
          <w:lang w:eastAsia="fr-FR"/>
        </w:rPr>
      </w:pPr>
      <w:r w:rsidRPr="00D403F5">
        <w:rPr>
          <w:rFonts w:ascii="Arial" w:hAnsi="Arial" w:cs="Arial"/>
          <w:i/>
          <w:sz w:val="18"/>
          <w:szCs w:val="18"/>
          <w:lang w:eastAsia="fr-FR"/>
        </w:rPr>
        <w:t>g)</w:t>
      </w:r>
      <w:r w:rsidRPr="00D403F5">
        <w:rPr>
          <w:rFonts w:ascii="Arial" w:hAnsi="Arial" w:cs="Arial"/>
          <w:sz w:val="18"/>
          <w:szCs w:val="18"/>
          <w:lang w:eastAsia="fr-FR"/>
        </w:rPr>
        <w:tab/>
        <w:t xml:space="preserve">internal and external communication procedures, roles and responsibilities of </w:t>
      </w:r>
      <w:r w:rsidRPr="00D403F5">
        <w:rPr>
          <w:rFonts w:ascii="Arial" w:hAnsi="Arial" w:cs="Arial"/>
          <w:i/>
          <w:iCs/>
          <w:sz w:val="18"/>
          <w:szCs w:val="18"/>
          <w:lang w:eastAsia="fr-FR"/>
        </w:rPr>
        <w:t xml:space="preserve">aquaculture establishment </w:t>
      </w:r>
      <w:r w:rsidRPr="00D403F5">
        <w:rPr>
          <w:rFonts w:ascii="Arial" w:hAnsi="Arial" w:cs="Arial"/>
          <w:sz w:val="18"/>
          <w:szCs w:val="18"/>
          <w:lang w:eastAsia="fr-FR"/>
        </w:rPr>
        <w:t xml:space="preserve">staff </w:t>
      </w:r>
      <w:r w:rsidRPr="00D403F5">
        <w:rPr>
          <w:rFonts w:ascii="Arial" w:hAnsi="Arial" w:cs="Arial"/>
          <w:sz w:val="18"/>
          <w:szCs w:val="18"/>
        </w:rPr>
        <w:t xml:space="preserve">and essential contact information, e.g. for staff, farm </w:t>
      </w:r>
      <w:r w:rsidRPr="00D403F5">
        <w:rPr>
          <w:rFonts w:ascii="Arial" w:hAnsi="Arial" w:cs="Arial"/>
          <w:i/>
          <w:iCs/>
          <w:sz w:val="18"/>
          <w:szCs w:val="18"/>
        </w:rPr>
        <w:t>veterinarian</w:t>
      </w:r>
      <w:r w:rsidRPr="00D403F5">
        <w:rPr>
          <w:rFonts w:ascii="Arial" w:hAnsi="Arial" w:cs="Arial"/>
          <w:sz w:val="18"/>
          <w:szCs w:val="18"/>
        </w:rPr>
        <w:t xml:space="preserve"> and the </w:t>
      </w:r>
      <w:r w:rsidRPr="00D403F5">
        <w:rPr>
          <w:rFonts w:ascii="Arial" w:hAnsi="Arial" w:cs="Arial"/>
          <w:i/>
          <w:iCs/>
          <w:sz w:val="18"/>
          <w:szCs w:val="18"/>
        </w:rPr>
        <w:t>Competent Authority</w:t>
      </w:r>
      <w:r w:rsidRPr="00D403F5">
        <w:rPr>
          <w:rFonts w:ascii="Arial" w:hAnsi="Arial" w:cs="Arial"/>
          <w:sz w:val="18"/>
          <w:szCs w:val="18"/>
          <w:lang w:eastAsia="fr-FR"/>
        </w:rPr>
        <w:t>;</w:t>
      </w:r>
    </w:p>
    <w:p w14:paraId="7B22400B" w14:textId="77777777" w:rsidR="007B3D5C" w:rsidRPr="00D403F5" w:rsidRDefault="007B3D5C" w:rsidP="00A46DAE">
      <w:pPr>
        <w:spacing w:after="240" w:line="240" w:lineRule="auto"/>
        <w:ind w:left="851" w:hanging="425"/>
        <w:jc w:val="both"/>
        <w:rPr>
          <w:rFonts w:ascii="Arial" w:hAnsi="Arial" w:cs="Arial"/>
          <w:sz w:val="18"/>
          <w:szCs w:val="18"/>
          <w:lang w:eastAsia="fr-FR"/>
        </w:rPr>
      </w:pPr>
      <w:r w:rsidRPr="00D403F5">
        <w:rPr>
          <w:rFonts w:ascii="Arial" w:hAnsi="Arial" w:cs="Arial"/>
          <w:i/>
          <w:sz w:val="18"/>
          <w:szCs w:val="18"/>
          <w:lang w:eastAsia="fr-FR"/>
        </w:rPr>
        <w:t>h)</w:t>
      </w:r>
      <w:r w:rsidRPr="00D403F5">
        <w:rPr>
          <w:rFonts w:ascii="Arial" w:hAnsi="Arial" w:cs="Arial"/>
          <w:sz w:val="18"/>
          <w:szCs w:val="18"/>
          <w:lang w:eastAsia="fr-FR"/>
        </w:rPr>
        <w:tab/>
        <w:t>monitoring and audit schedule;</w:t>
      </w:r>
    </w:p>
    <w:p w14:paraId="6BFFE78B" w14:textId="77777777" w:rsidR="007B3D5C" w:rsidRPr="00D403F5" w:rsidRDefault="007B3D5C" w:rsidP="00A46DAE">
      <w:pPr>
        <w:spacing w:after="240" w:line="240" w:lineRule="auto"/>
        <w:ind w:left="851" w:hanging="425"/>
        <w:jc w:val="both"/>
        <w:rPr>
          <w:rFonts w:ascii="Arial" w:hAnsi="Arial" w:cs="Arial"/>
          <w:sz w:val="18"/>
          <w:szCs w:val="18"/>
          <w:lang w:eastAsia="fr-FR"/>
        </w:rPr>
      </w:pPr>
      <w:r w:rsidRPr="00D403F5">
        <w:rPr>
          <w:rFonts w:ascii="Arial" w:hAnsi="Arial" w:cs="Arial"/>
          <w:i/>
          <w:sz w:val="18"/>
          <w:szCs w:val="18"/>
          <w:lang w:eastAsia="fr-FR"/>
        </w:rPr>
        <w:t>i</w:t>
      </w:r>
      <w:r w:rsidRPr="00D403F5">
        <w:rPr>
          <w:rFonts w:ascii="Arial" w:hAnsi="Arial" w:cs="Arial"/>
          <w:i/>
          <w:strike/>
          <w:sz w:val="18"/>
          <w:szCs w:val="18"/>
          <w:lang w:eastAsia="fr-FR"/>
        </w:rPr>
        <w:t>j</w:t>
      </w:r>
      <w:r w:rsidRPr="00D403F5">
        <w:rPr>
          <w:rFonts w:ascii="Arial" w:hAnsi="Arial" w:cs="Arial"/>
          <w:i/>
          <w:sz w:val="18"/>
          <w:szCs w:val="18"/>
          <w:lang w:eastAsia="fr-FR"/>
        </w:rPr>
        <w:t>)</w:t>
      </w:r>
      <w:r w:rsidRPr="00D403F5">
        <w:rPr>
          <w:rFonts w:ascii="Arial" w:hAnsi="Arial" w:cs="Arial"/>
          <w:sz w:val="18"/>
          <w:szCs w:val="18"/>
          <w:lang w:eastAsia="fr-FR"/>
        </w:rPr>
        <w:tab/>
        <w:t>performance evaluation;</w:t>
      </w:r>
    </w:p>
    <w:p w14:paraId="5362C1F2" w14:textId="77777777" w:rsidR="007B3D5C" w:rsidRPr="00D403F5" w:rsidRDefault="007B3D5C" w:rsidP="00A46DAE">
      <w:pPr>
        <w:spacing w:after="240" w:line="240" w:lineRule="auto"/>
        <w:ind w:left="851" w:hanging="425"/>
        <w:jc w:val="both"/>
        <w:rPr>
          <w:rFonts w:ascii="Arial" w:hAnsi="Arial" w:cs="Arial"/>
          <w:sz w:val="18"/>
          <w:szCs w:val="18"/>
          <w:lang w:eastAsia="fr-FR"/>
        </w:rPr>
      </w:pPr>
      <w:r w:rsidRPr="00D403F5">
        <w:rPr>
          <w:rFonts w:ascii="Arial" w:hAnsi="Arial" w:cs="Arial"/>
          <w:i/>
          <w:sz w:val="18"/>
          <w:szCs w:val="18"/>
          <w:lang w:eastAsia="fr-FR"/>
        </w:rPr>
        <w:t>j)</w:t>
      </w:r>
      <w:r w:rsidRPr="00D403F5">
        <w:rPr>
          <w:rFonts w:ascii="Arial" w:hAnsi="Arial" w:cs="Arial"/>
          <w:sz w:val="18"/>
          <w:szCs w:val="18"/>
          <w:lang w:eastAsia="fr-FR"/>
        </w:rPr>
        <w:tab/>
        <w:t>standard operating procedures required to support implementation of the mitigation measures, emergency procedures and the training requirements of personnel.</w:t>
      </w:r>
    </w:p>
    <w:p w14:paraId="0EB743E6" w14:textId="77777777" w:rsidR="007B3D5C" w:rsidRPr="00D403F5" w:rsidRDefault="007B3D5C" w:rsidP="00A46DAE">
      <w:pPr>
        <w:spacing w:after="240" w:line="240" w:lineRule="auto"/>
        <w:ind w:left="426" w:hanging="426"/>
        <w:jc w:val="both"/>
        <w:rPr>
          <w:rFonts w:ascii="Arial" w:hAnsi="Arial" w:cs="Arial"/>
          <w:sz w:val="18"/>
          <w:szCs w:val="18"/>
          <w:lang w:eastAsia="fr-FR"/>
        </w:rPr>
      </w:pPr>
      <w:bookmarkStart w:id="42" w:name="_Hlk1663558"/>
      <w:r w:rsidRPr="00D403F5">
        <w:rPr>
          <w:rFonts w:ascii="Arial" w:hAnsi="Arial" w:cs="Arial"/>
          <w:sz w:val="18"/>
          <w:szCs w:val="18"/>
          <w:lang w:eastAsia="fr-FR"/>
        </w:rPr>
        <w:t>2.</w:t>
      </w:r>
      <w:r w:rsidRPr="00D403F5">
        <w:rPr>
          <w:rFonts w:ascii="Arial" w:hAnsi="Arial" w:cs="Arial"/>
          <w:sz w:val="18"/>
          <w:szCs w:val="18"/>
          <w:lang w:eastAsia="fr-FR"/>
        </w:rPr>
        <w:tab/>
      </w:r>
      <w:r w:rsidRPr="00D403F5">
        <w:rPr>
          <w:rFonts w:ascii="Arial" w:hAnsi="Arial" w:cs="Arial"/>
          <w:sz w:val="18"/>
          <w:szCs w:val="18"/>
          <w:u w:val="single"/>
          <w:lang w:eastAsia="fr-FR"/>
        </w:rPr>
        <w:t>Key components of a biosecurity plan</w:t>
      </w:r>
    </w:p>
    <w:bookmarkEnd w:id="42"/>
    <w:p w14:paraId="27B48002" w14:textId="77777777" w:rsidR="007B3D5C" w:rsidRPr="00D403F5" w:rsidRDefault="007B3D5C" w:rsidP="00A46DAE">
      <w:pPr>
        <w:spacing w:after="240" w:line="240" w:lineRule="auto"/>
        <w:ind w:left="851" w:hanging="425"/>
        <w:jc w:val="both"/>
        <w:rPr>
          <w:rFonts w:ascii="Arial" w:hAnsi="Arial" w:cs="Arial"/>
          <w:sz w:val="18"/>
          <w:szCs w:val="18"/>
          <w:lang w:eastAsia="fr-FR"/>
        </w:rPr>
      </w:pPr>
      <w:r w:rsidRPr="00D403F5">
        <w:rPr>
          <w:rFonts w:ascii="Arial" w:hAnsi="Arial" w:cs="Arial"/>
          <w:i/>
          <w:sz w:val="18"/>
          <w:szCs w:val="18"/>
          <w:lang w:eastAsia="fr-FR"/>
        </w:rPr>
        <w:t>a)</w:t>
      </w:r>
      <w:r w:rsidRPr="00D403F5">
        <w:rPr>
          <w:rFonts w:ascii="Arial" w:hAnsi="Arial" w:cs="Arial"/>
          <w:sz w:val="18"/>
          <w:szCs w:val="18"/>
          <w:lang w:eastAsia="fr-FR"/>
        </w:rPr>
        <w:tab/>
        <w:t xml:space="preserve">Standard operating procedures (SOPs) </w:t>
      </w:r>
    </w:p>
    <w:p w14:paraId="529FA212" w14:textId="77777777"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SOPs describe routine management processes that must be performed to support the effectiveness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Each SOP should clearly describe its objectives, staff responsibilities, the procedure (including record keeping), precautions and a review date. </w:t>
      </w:r>
    </w:p>
    <w:p w14:paraId="5119621B" w14:textId="77777777"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Staff should be trained in the application of the SOPs including completion of forms, checklists and other records associated with each procedure, as well as routine communication requirements. </w:t>
      </w:r>
    </w:p>
    <w:p w14:paraId="55D59048" w14:textId="77777777" w:rsidR="007B3D5C" w:rsidRPr="00D403F5" w:rsidRDefault="007B3D5C" w:rsidP="00A46DAE">
      <w:pPr>
        <w:spacing w:after="240" w:line="240" w:lineRule="auto"/>
        <w:ind w:left="851" w:hanging="403"/>
        <w:jc w:val="both"/>
        <w:rPr>
          <w:rFonts w:ascii="Arial" w:hAnsi="Arial" w:cs="Arial"/>
          <w:sz w:val="18"/>
          <w:szCs w:val="18"/>
          <w:lang w:eastAsia="fr-FR"/>
        </w:rPr>
      </w:pPr>
      <w:r w:rsidRPr="00D403F5">
        <w:rPr>
          <w:rFonts w:ascii="Arial" w:hAnsi="Arial" w:cs="Arial"/>
          <w:i/>
          <w:sz w:val="18"/>
          <w:szCs w:val="18"/>
          <w:lang w:eastAsia="fr-FR"/>
        </w:rPr>
        <w:t>b)</w:t>
      </w:r>
      <w:r w:rsidRPr="00D403F5">
        <w:rPr>
          <w:rFonts w:ascii="Arial" w:hAnsi="Arial" w:cs="Arial"/>
          <w:sz w:val="18"/>
          <w:szCs w:val="18"/>
          <w:lang w:eastAsia="fr-FR"/>
        </w:rPr>
        <w:tab/>
        <w:t>Documentation and record keeping</w:t>
      </w:r>
    </w:p>
    <w:p w14:paraId="7D0CF843" w14:textId="77777777"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describes the documentation necessary to provide evidence of compliance with the mitigation measures. The level of detail required in the documentation depends on the outcomes of the transmission pathway assessment. </w:t>
      </w:r>
    </w:p>
    <w:p w14:paraId="759D27EF" w14:textId="77777777"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Examples </w:t>
      </w:r>
      <w:bookmarkStart w:id="43" w:name="_Hlk1663710"/>
      <w:r w:rsidRPr="00D403F5">
        <w:rPr>
          <w:rFonts w:ascii="Arial" w:hAnsi="Arial" w:cs="Arial"/>
          <w:sz w:val="18"/>
          <w:szCs w:val="18"/>
          <w:lang w:eastAsia="fr-FR"/>
        </w:rPr>
        <w:t xml:space="preserve">of documentation required </w:t>
      </w:r>
      <w:bookmarkEnd w:id="43"/>
      <w:r w:rsidRPr="00D403F5">
        <w:rPr>
          <w:rFonts w:ascii="Arial" w:hAnsi="Arial" w:cs="Arial"/>
          <w:sz w:val="18"/>
          <w:szCs w:val="18"/>
          <w:lang w:eastAsia="fr-FR"/>
        </w:rPr>
        <w:t xml:space="preserve">include: </w:t>
      </w:r>
      <w:r w:rsidRPr="00D403F5">
        <w:rPr>
          <w:rFonts w:ascii="Arial" w:hAnsi="Arial" w:cs="Arial"/>
          <w:i/>
          <w:sz w:val="18"/>
          <w:szCs w:val="18"/>
          <w:lang w:eastAsia="fr-FR"/>
        </w:rPr>
        <w:t>aquaculture establishment</w:t>
      </w:r>
      <w:r w:rsidRPr="00D403F5">
        <w:rPr>
          <w:rFonts w:ascii="Arial" w:hAnsi="Arial" w:cs="Arial"/>
          <w:sz w:val="18"/>
          <w:szCs w:val="18"/>
          <w:lang w:eastAsia="fr-FR"/>
        </w:rPr>
        <w:t xml:space="preserve"> layout, movements of </w:t>
      </w:r>
      <w:r w:rsidRPr="00D403F5">
        <w:rPr>
          <w:rFonts w:ascii="Arial" w:hAnsi="Arial" w:cs="Arial"/>
          <w:i/>
          <w:sz w:val="18"/>
          <w:szCs w:val="18"/>
          <w:lang w:eastAsia="fr-FR"/>
        </w:rPr>
        <w:t>aquatic animals</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origin and destination and health status of the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introduced to the </w:t>
      </w:r>
      <w:r w:rsidRPr="00D403F5">
        <w:rPr>
          <w:rFonts w:ascii="Arial" w:hAnsi="Arial" w:cs="Arial"/>
          <w:i/>
          <w:sz w:val="18"/>
          <w:szCs w:val="18"/>
          <w:lang w:eastAsia="fr-FR"/>
        </w:rPr>
        <w:t>aquaculture establishment</w:t>
      </w:r>
      <w:r w:rsidRPr="00D403F5">
        <w:rPr>
          <w:rFonts w:ascii="Arial" w:eastAsia="SimSun" w:hAnsi="Arial" w:cs="Arial" w:hint="eastAsia"/>
          <w:sz w:val="18"/>
          <w:szCs w:val="18"/>
          <w:lang w:eastAsia="zh-CN"/>
        </w:rPr>
        <w:t>,</w:t>
      </w:r>
      <w:r w:rsidRPr="00D403F5">
        <w:rPr>
          <w:rFonts w:ascii="Arial" w:eastAsia="SimSun" w:hAnsi="Arial" w:cs="Arial"/>
          <w:sz w:val="18"/>
          <w:szCs w:val="18"/>
          <w:lang w:eastAsia="zh-CN"/>
        </w:rPr>
        <w:t xml:space="preserve"> records of visitors to the establishment,</w:t>
      </w:r>
      <w:r w:rsidRPr="00D403F5">
        <w:rPr>
          <w:rFonts w:ascii="Arial" w:hAnsi="Arial" w:cs="Arial"/>
          <w:sz w:val="18"/>
          <w:szCs w:val="18"/>
          <w:lang w:eastAsia="fr-FR"/>
        </w:rPr>
        <w:t xml:space="preserve"> escapees, stocking densities</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feeding and growth rates, records of staff training</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treatments/vaccination</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water quality</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cleaning and </w:t>
      </w:r>
      <w:r w:rsidRPr="00D403F5">
        <w:rPr>
          <w:rFonts w:ascii="Arial" w:hAnsi="Arial" w:cs="Arial"/>
          <w:i/>
          <w:sz w:val="18"/>
          <w:szCs w:val="18"/>
          <w:lang w:eastAsia="fr-FR"/>
        </w:rPr>
        <w:t>disinfection</w:t>
      </w:r>
      <w:r w:rsidRPr="00D403F5">
        <w:rPr>
          <w:rFonts w:ascii="Arial" w:hAnsi="Arial" w:cs="Arial"/>
          <w:sz w:val="18"/>
          <w:szCs w:val="18"/>
          <w:lang w:eastAsia="fr-FR"/>
        </w:rPr>
        <w:t xml:space="preserve"> events, morbidity and mortality (including removal and disposal of mortalities)</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w:t>
      </w:r>
      <w:r w:rsidRPr="00D403F5">
        <w:rPr>
          <w:rFonts w:ascii="Arial" w:hAnsi="Arial" w:cs="Arial"/>
          <w:i/>
          <w:sz w:val="18"/>
          <w:szCs w:val="18"/>
          <w:lang w:eastAsia="fr-FR"/>
        </w:rPr>
        <w:t>surveillance</w:t>
      </w:r>
      <w:r w:rsidRPr="00D403F5">
        <w:rPr>
          <w:rFonts w:ascii="Arial" w:hAnsi="Arial" w:cs="Arial"/>
          <w:sz w:val="18"/>
          <w:szCs w:val="18"/>
          <w:lang w:eastAsia="fr-FR"/>
        </w:rPr>
        <w:t xml:space="preserve"> and laboratory records. </w:t>
      </w:r>
    </w:p>
    <w:p w14:paraId="3D8C58AD" w14:textId="77777777" w:rsidR="007B3D5C" w:rsidRPr="00D403F5" w:rsidRDefault="007B3D5C" w:rsidP="00A46DAE">
      <w:pPr>
        <w:spacing w:after="240" w:line="240" w:lineRule="auto"/>
        <w:ind w:left="851" w:hanging="401"/>
        <w:jc w:val="both"/>
        <w:rPr>
          <w:rFonts w:ascii="Arial" w:hAnsi="Arial" w:cs="Arial"/>
          <w:sz w:val="18"/>
          <w:szCs w:val="18"/>
          <w:lang w:eastAsia="fr-FR"/>
        </w:rPr>
      </w:pPr>
      <w:r w:rsidRPr="00D403F5">
        <w:rPr>
          <w:rFonts w:ascii="Arial" w:hAnsi="Arial" w:cs="Arial"/>
          <w:i/>
          <w:sz w:val="18"/>
          <w:szCs w:val="18"/>
          <w:lang w:eastAsia="fr-FR"/>
        </w:rPr>
        <w:t>c)</w:t>
      </w:r>
      <w:r w:rsidRPr="00D403F5">
        <w:rPr>
          <w:rFonts w:ascii="Arial" w:hAnsi="Arial" w:cs="Arial"/>
          <w:sz w:val="18"/>
          <w:szCs w:val="18"/>
          <w:lang w:eastAsia="fr-FR"/>
        </w:rPr>
        <w:tab/>
        <w:t>Emergency procedures</w:t>
      </w:r>
    </w:p>
    <w:p w14:paraId="4C32BBD7" w14:textId="77777777"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Procedures should be developed and, when necessary, implemented to minimise the impact of emergencies, </w:t>
      </w:r>
      <w:r w:rsidRPr="00D403F5">
        <w:rPr>
          <w:rFonts w:ascii="Arial" w:hAnsi="Arial" w:cs="Arial"/>
          <w:i/>
          <w:sz w:val="18"/>
          <w:szCs w:val="18"/>
          <w:lang w:eastAsia="fr-FR"/>
        </w:rPr>
        <w:t>disease</w:t>
      </w:r>
      <w:r w:rsidRPr="00D403F5">
        <w:rPr>
          <w:rFonts w:ascii="Arial" w:hAnsi="Arial" w:cs="Arial"/>
          <w:sz w:val="18"/>
          <w:szCs w:val="18"/>
          <w:lang w:eastAsia="fr-FR"/>
        </w:rPr>
        <w:t xml:space="preserve"> events, or unexplained mortality in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These procedures should include clearly defined thresholds that help to identify an emergency incident and activate response protocols, including reporting requirements. </w:t>
      </w:r>
    </w:p>
    <w:p w14:paraId="515CFC86" w14:textId="77777777" w:rsidR="007B3D5C" w:rsidRPr="00D403F5" w:rsidRDefault="007B3D5C" w:rsidP="00A46DAE">
      <w:pPr>
        <w:spacing w:after="240" w:line="240" w:lineRule="auto"/>
        <w:ind w:left="851" w:hanging="401"/>
        <w:jc w:val="both"/>
        <w:rPr>
          <w:rFonts w:ascii="Arial" w:hAnsi="Arial" w:cs="Arial"/>
          <w:sz w:val="18"/>
          <w:szCs w:val="18"/>
          <w:lang w:eastAsia="fr-FR"/>
        </w:rPr>
      </w:pPr>
      <w:r w:rsidRPr="00D403F5">
        <w:rPr>
          <w:rFonts w:ascii="Arial" w:hAnsi="Arial" w:cs="Arial"/>
          <w:i/>
          <w:sz w:val="18"/>
          <w:szCs w:val="18"/>
          <w:lang w:eastAsia="fr-FR"/>
        </w:rPr>
        <w:t>d)</w:t>
      </w:r>
      <w:r w:rsidRPr="00D403F5">
        <w:rPr>
          <w:rFonts w:ascii="Arial" w:hAnsi="Arial" w:cs="Arial"/>
          <w:i/>
          <w:sz w:val="18"/>
          <w:szCs w:val="18"/>
          <w:lang w:eastAsia="fr-FR"/>
        </w:rPr>
        <w:tab/>
      </w:r>
      <w:r w:rsidRPr="00D403F5">
        <w:rPr>
          <w:rFonts w:ascii="Arial" w:hAnsi="Arial" w:cs="Arial"/>
          <w:sz w:val="18"/>
          <w:szCs w:val="18"/>
          <w:lang w:eastAsia="fr-FR"/>
        </w:rPr>
        <w:t>Health monitoring</w:t>
      </w:r>
    </w:p>
    <w:p w14:paraId="77507D37" w14:textId="77777777"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Health monitoring as part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involves monitoring</w:t>
      </w:r>
      <w:bookmarkStart w:id="44" w:name="_Hlk524970097"/>
      <w:r w:rsidRPr="00D403F5">
        <w:rPr>
          <w:rFonts w:ascii="Arial" w:hAnsi="Arial" w:cs="Arial"/>
          <w:sz w:val="18"/>
          <w:szCs w:val="18"/>
          <w:lang w:eastAsia="fr-FR"/>
        </w:rPr>
        <w:t xml:space="preserve"> of the health status of </w:t>
      </w:r>
      <w:r w:rsidRPr="00D403F5">
        <w:rPr>
          <w:rFonts w:ascii="Arial" w:hAnsi="Arial" w:cs="Arial"/>
          <w:i/>
          <w:sz w:val="18"/>
          <w:szCs w:val="18"/>
          <w:lang w:eastAsia="fr-FR"/>
        </w:rPr>
        <w:t>aquatic animals</w:t>
      </w:r>
      <w:bookmarkEnd w:id="44"/>
      <w:r w:rsidRPr="00D403F5">
        <w:rPr>
          <w:rFonts w:ascii="Arial" w:eastAsia="SimSun" w:hAnsi="Arial" w:cs="Arial" w:hint="eastAsia"/>
          <w:i/>
          <w:sz w:val="18"/>
          <w:szCs w:val="18"/>
          <w:lang w:eastAsia="zh-CN"/>
        </w:rPr>
        <w:t xml:space="preserve"> </w:t>
      </w:r>
      <w:r w:rsidRPr="00D403F5">
        <w:rPr>
          <w:rFonts w:ascii="Arial" w:hAnsi="Arial" w:cs="Arial"/>
          <w:sz w:val="18"/>
          <w:szCs w:val="18"/>
          <w:lang w:eastAsia="fr-FR"/>
        </w:rPr>
        <w:t xml:space="preserve">in </w:t>
      </w:r>
      <w:r w:rsidRPr="00D403F5">
        <w:rPr>
          <w:rFonts w:ascii="Arial" w:hAnsi="Arial" w:cs="Arial"/>
          <w:i/>
          <w:sz w:val="18"/>
          <w:szCs w:val="18"/>
          <w:lang w:eastAsia="fr-FR"/>
        </w:rPr>
        <w:t>aquaculture establishments</w:t>
      </w:r>
      <w:r w:rsidRPr="00D403F5">
        <w:rPr>
          <w:rFonts w:ascii="Arial" w:hAnsi="Arial" w:cs="Arial"/>
          <w:sz w:val="18"/>
          <w:szCs w:val="18"/>
          <w:lang w:eastAsia="fr-FR"/>
        </w:rPr>
        <w:t xml:space="preserve">. Activities may include </w:t>
      </w:r>
      <w:r w:rsidRPr="00D403F5">
        <w:rPr>
          <w:rFonts w:ascii="Arial" w:hAnsi="Arial" w:cs="Arial"/>
          <w:i/>
          <w:sz w:val="18"/>
          <w:szCs w:val="18"/>
          <w:lang w:eastAsia="fr-FR"/>
        </w:rPr>
        <w:t>disease</w:t>
      </w:r>
      <w:r w:rsidRPr="00D403F5">
        <w:rPr>
          <w:rFonts w:ascii="Arial" w:eastAsia="SimSun" w:hAnsi="Arial" w:cs="Arial" w:hint="eastAsia"/>
          <w:i/>
          <w:sz w:val="18"/>
          <w:szCs w:val="18"/>
          <w:lang w:eastAsia="zh-CN"/>
        </w:rPr>
        <w:t xml:space="preserve"> </w:t>
      </w:r>
      <w:r w:rsidRPr="00D403F5">
        <w:rPr>
          <w:rFonts w:ascii="Arial" w:hAnsi="Arial" w:cs="Arial"/>
          <w:i/>
          <w:sz w:val="18"/>
          <w:szCs w:val="18"/>
          <w:lang w:eastAsia="fr-FR"/>
        </w:rPr>
        <w:t>surveillance</w:t>
      </w:r>
      <w:r w:rsidRPr="00D403F5">
        <w:rPr>
          <w:rFonts w:ascii="Arial" w:hAnsi="Arial" w:cs="Arial"/>
          <w:sz w:val="18"/>
          <w:szCs w:val="18"/>
          <w:lang w:eastAsia="fr-FR"/>
        </w:rPr>
        <w:t xml:space="preserve">, </w:t>
      </w:r>
      <w:bookmarkStart w:id="45" w:name="_Hlk1663893"/>
      <w:r w:rsidRPr="00D403F5">
        <w:rPr>
          <w:rFonts w:ascii="Arial" w:hAnsi="Arial" w:cs="Arial"/>
          <w:sz w:val="18"/>
          <w:szCs w:val="18"/>
          <w:lang w:eastAsia="fr-FR"/>
        </w:rPr>
        <w:t>routine monitoring of stock for important health and production parameters</w:t>
      </w:r>
      <w:bookmarkEnd w:id="45"/>
      <w:r w:rsidRPr="00D403F5">
        <w:rPr>
          <w:rFonts w:ascii="Arial" w:hAnsi="Arial" w:cs="Arial"/>
          <w:sz w:val="18"/>
          <w:szCs w:val="18"/>
          <w:lang w:eastAsia="fr-FR"/>
        </w:rPr>
        <w:t xml:space="preserve"> (e.g. by staff, an </w:t>
      </w:r>
      <w:r w:rsidRPr="00D403F5">
        <w:rPr>
          <w:rFonts w:ascii="Arial" w:hAnsi="Arial" w:cs="Arial"/>
          <w:i/>
          <w:sz w:val="18"/>
          <w:szCs w:val="18"/>
          <w:lang w:eastAsia="fr-FR"/>
        </w:rPr>
        <w:t>aquatic animal health professional</w:t>
      </w:r>
      <w:r w:rsidRPr="00D403F5">
        <w:rPr>
          <w:rFonts w:ascii="Arial" w:hAnsi="Arial" w:cs="Arial"/>
          <w:sz w:val="18"/>
          <w:szCs w:val="18"/>
          <w:lang w:eastAsia="fr-FR"/>
        </w:rPr>
        <w:t xml:space="preserve"> or a </w:t>
      </w:r>
      <w:r w:rsidRPr="00D403F5">
        <w:rPr>
          <w:rFonts w:ascii="Arial" w:hAnsi="Arial" w:cs="Arial"/>
          <w:i/>
          <w:sz w:val="18"/>
          <w:szCs w:val="18"/>
          <w:lang w:eastAsia="fr-FR"/>
        </w:rPr>
        <w:t>veterinarian</w:t>
      </w:r>
      <w:r w:rsidRPr="00D403F5">
        <w:rPr>
          <w:rFonts w:ascii="Arial" w:hAnsi="Arial" w:cs="Arial"/>
          <w:sz w:val="18"/>
          <w:szCs w:val="18"/>
          <w:lang w:eastAsia="fr-FR"/>
        </w:rPr>
        <w:t xml:space="preserve">), recording of clinical signs of </w:t>
      </w:r>
      <w:r w:rsidRPr="00D403F5">
        <w:rPr>
          <w:rFonts w:ascii="Arial" w:hAnsi="Arial" w:cs="Arial"/>
          <w:i/>
          <w:sz w:val="18"/>
          <w:szCs w:val="18"/>
          <w:lang w:eastAsia="fr-FR"/>
        </w:rPr>
        <w:t>disease</w:t>
      </w:r>
      <w:r w:rsidRPr="00D403F5">
        <w:rPr>
          <w:rFonts w:ascii="Arial" w:hAnsi="Arial" w:cs="Arial"/>
          <w:sz w:val="18"/>
          <w:szCs w:val="18"/>
          <w:lang w:eastAsia="fr-FR"/>
        </w:rPr>
        <w:t xml:space="preserve">, morbidity and mortality, and analysis of these data (e.g. calculation of rates of morbidity and mortality). </w:t>
      </w:r>
    </w:p>
    <w:p w14:paraId="65E08D55" w14:textId="77777777" w:rsidR="007B3D5C" w:rsidRPr="00D403F5" w:rsidRDefault="007B3D5C" w:rsidP="00A46DAE">
      <w:pPr>
        <w:spacing w:after="240" w:line="240" w:lineRule="auto"/>
        <w:ind w:left="851" w:hanging="401"/>
        <w:jc w:val="both"/>
        <w:rPr>
          <w:rFonts w:ascii="Arial" w:hAnsi="Arial" w:cs="Arial"/>
          <w:sz w:val="18"/>
          <w:szCs w:val="18"/>
          <w:lang w:eastAsia="fr-FR"/>
        </w:rPr>
      </w:pPr>
      <w:r w:rsidRPr="00D403F5">
        <w:rPr>
          <w:rFonts w:ascii="Arial" w:hAnsi="Arial" w:cs="Arial"/>
          <w:i/>
          <w:sz w:val="18"/>
          <w:szCs w:val="18"/>
          <w:lang w:eastAsia="fr-FR"/>
        </w:rPr>
        <w:t>e)</w:t>
      </w:r>
      <w:r w:rsidRPr="00D403F5">
        <w:rPr>
          <w:rFonts w:ascii="Arial" w:hAnsi="Arial" w:cs="Arial"/>
          <w:sz w:val="18"/>
          <w:szCs w:val="18"/>
          <w:lang w:eastAsia="fr-FR"/>
        </w:rPr>
        <w:tab/>
        <w:t>Routine review and auditing</w:t>
      </w:r>
    </w:p>
    <w:p w14:paraId="729AD45C" w14:textId="77777777"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should describe a systematic auditing schedule to verify implementation and compliance with the requirements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Routine revision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is necessary to ensure that it continues to effectively address </w:t>
      </w:r>
      <w:r w:rsidRPr="00D403F5">
        <w:rPr>
          <w:rFonts w:ascii="Arial" w:hAnsi="Arial" w:cs="Arial"/>
          <w:i/>
          <w:sz w:val="18"/>
          <w:szCs w:val="18"/>
          <w:lang w:eastAsia="fr-FR"/>
        </w:rPr>
        <w:t>biosecurity</w:t>
      </w:r>
      <w:r w:rsidRPr="00D403F5">
        <w:rPr>
          <w:rFonts w:ascii="Arial" w:eastAsia="SimSun" w:hAnsi="Arial" w:cs="Arial" w:hint="eastAsia"/>
          <w:i/>
          <w:sz w:val="18"/>
          <w:szCs w:val="18"/>
          <w:lang w:eastAsia="zh-CN"/>
        </w:rPr>
        <w:t xml:space="preserve"> </w:t>
      </w:r>
      <w:r w:rsidRPr="00D403F5">
        <w:rPr>
          <w:rFonts w:ascii="Arial" w:hAnsi="Arial" w:cs="Arial"/>
          <w:i/>
          <w:sz w:val="18"/>
          <w:szCs w:val="18"/>
          <w:lang w:eastAsia="fr-FR"/>
        </w:rPr>
        <w:t>risks</w:t>
      </w:r>
      <w:r w:rsidRPr="00D403F5">
        <w:rPr>
          <w:rFonts w:ascii="Arial" w:hAnsi="Arial" w:cs="Arial"/>
          <w:sz w:val="18"/>
          <w:szCs w:val="18"/>
          <w:lang w:eastAsia="fr-FR"/>
        </w:rPr>
        <w:t xml:space="preserve">. </w:t>
      </w:r>
    </w:p>
    <w:p w14:paraId="5F5263AA" w14:textId="77777777" w:rsidR="00A46DAE" w:rsidRDefault="00A46DAE" w:rsidP="00A46DAE">
      <w:pPr>
        <w:spacing w:after="240" w:line="240" w:lineRule="auto"/>
        <w:ind w:left="851"/>
        <w:jc w:val="both"/>
        <w:rPr>
          <w:rFonts w:ascii="Arial" w:hAnsi="Arial" w:cs="Arial"/>
          <w:sz w:val="18"/>
          <w:szCs w:val="18"/>
          <w:lang w:eastAsia="fr-FR"/>
        </w:rPr>
      </w:pPr>
      <w:r>
        <w:rPr>
          <w:rFonts w:ascii="Arial" w:hAnsi="Arial" w:cs="Arial"/>
          <w:sz w:val="18"/>
          <w:szCs w:val="18"/>
          <w:lang w:eastAsia="fr-FR"/>
        </w:rPr>
        <w:br w:type="page"/>
      </w:r>
    </w:p>
    <w:p w14:paraId="76C6686A" w14:textId="77777777" w:rsidR="00A46DAE" w:rsidRPr="00D403F5" w:rsidRDefault="00A46DAE" w:rsidP="00A46DAE">
      <w:pPr>
        <w:pStyle w:val="2"/>
        <w:tabs>
          <w:tab w:val="clear" w:pos="360"/>
        </w:tabs>
        <w:spacing w:after="480"/>
        <w:ind w:left="0" w:firstLine="0"/>
        <w:jc w:val="right"/>
        <w:rPr>
          <w:rFonts w:ascii="Times New Roman" w:hAnsi="Times New Roman"/>
          <w:b w:val="0"/>
          <w:sz w:val="18"/>
          <w:szCs w:val="18"/>
        </w:rPr>
      </w:pPr>
      <w:r w:rsidRPr="00D403F5">
        <w:rPr>
          <w:rFonts w:ascii="Times New Roman" w:hAnsi="Times New Roman"/>
          <w:b w:val="0"/>
          <w:sz w:val="18"/>
          <w:szCs w:val="18"/>
          <w:u w:val="single"/>
        </w:rPr>
        <w:t>Annex 3 A</w:t>
      </w:r>
      <w:r w:rsidRPr="00D403F5">
        <w:rPr>
          <w:rFonts w:ascii="Times New Roman" w:hAnsi="Times New Roman"/>
          <w:b w:val="0"/>
          <w:sz w:val="18"/>
          <w:szCs w:val="18"/>
        </w:rPr>
        <w:t xml:space="preserve"> (contd)</w:t>
      </w:r>
    </w:p>
    <w:p w14:paraId="38D1CF80" w14:textId="0E0B373A" w:rsidR="007B3D5C" w:rsidRPr="00D403F5" w:rsidRDefault="007B3D5C" w:rsidP="00A46DAE">
      <w:pPr>
        <w:spacing w:after="240" w:line="240" w:lineRule="auto"/>
        <w:ind w:left="851"/>
        <w:jc w:val="both"/>
        <w:rPr>
          <w:rFonts w:ascii="Arial" w:hAnsi="Arial" w:cs="Arial"/>
          <w:sz w:val="18"/>
          <w:szCs w:val="18"/>
          <w:lang w:eastAsia="fr-FR"/>
        </w:rPr>
      </w:pPr>
      <w:r w:rsidRPr="00D403F5">
        <w:rPr>
          <w:rFonts w:ascii="Arial" w:hAnsi="Arial" w:cs="Arial"/>
          <w:sz w:val="18"/>
          <w:szCs w:val="18"/>
          <w:lang w:eastAsia="fr-FR"/>
        </w:rPr>
        <w:t xml:space="preserve">The </w:t>
      </w:r>
      <w:r w:rsidRPr="00D403F5">
        <w:rPr>
          <w:rFonts w:ascii="Arial" w:hAnsi="Arial" w:cs="Arial"/>
          <w:i/>
          <w:sz w:val="18"/>
          <w:szCs w:val="18"/>
          <w:lang w:eastAsia="fr-FR"/>
        </w:rPr>
        <w:t xml:space="preserve">biosecurity plan </w:t>
      </w:r>
      <w:r w:rsidRPr="00D403F5">
        <w:rPr>
          <w:rFonts w:ascii="Arial" w:hAnsi="Arial" w:cs="Arial"/>
          <w:sz w:val="18"/>
          <w:szCs w:val="18"/>
          <w:lang w:eastAsia="fr-FR"/>
        </w:rPr>
        <w:t xml:space="preserve">should also be reviewed at least annually or in response to changes to the </w:t>
      </w:r>
      <w:r w:rsidRPr="00D403F5">
        <w:rPr>
          <w:rFonts w:ascii="Arial" w:hAnsi="Arial" w:cs="Arial"/>
          <w:i/>
          <w:sz w:val="18"/>
          <w:szCs w:val="18"/>
          <w:lang w:eastAsia="fr-FR"/>
        </w:rPr>
        <w:t xml:space="preserve">aquaculture establishment </w:t>
      </w:r>
      <w:r w:rsidRPr="00D403F5">
        <w:rPr>
          <w:rFonts w:ascii="Arial" w:hAnsi="Arial" w:cs="Arial"/>
          <w:sz w:val="18"/>
          <w:szCs w:val="18"/>
          <w:lang w:eastAsia="fr-FR"/>
        </w:rPr>
        <w:t xml:space="preserve">operations, changes in facility design, changes in husbandry approaches, identification of a new </w:t>
      </w:r>
      <w:r w:rsidRPr="00D403F5">
        <w:rPr>
          <w:rFonts w:ascii="Arial" w:hAnsi="Arial" w:cs="Arial"/>
          <w:i/>
          <w:sz w:val="18"/>
          <w:szCs w:val="18"/>
          <w:lang w:eastAsia="fr-FR"/>
        </w:rPr>
        <w:t>disease risk</w:t>
      </w:r>
      <w:r w:rsidRPr="00D403F5">
        <w:rPr>
          <w:rFonts w:ascii="Arial" w:hAnsi="Arial" w:cs="Arial"/>
          <w:sz w:val="18"/>
          <w:szCs w:val="18"/>
          <w:lang w:eastAsia="fr-FR"/>
        </w:rPr>
        <w:t xml:space="preserve">, or the occurrence of a </w:t>
      </w:r>
      <w:r w:rsidRPr="00D403F5">
        <w:rPr>
          <w:rFonts w:ascii="Arial" w:hAnsi="Arial" w:cs="Arial"/>
          <w:i/>
          <w:sz w:val="18"/>
          <w:szCs w:val="18"/>
          <w:lang w:eastAsia="fr-FR"/>
        </w:rPr>
        <w:t>biosecurity</w:t>
      </w:r>
      <w:r w:rsidRPr="00D403F5">
        <w:rPr>
          <w:rFonts w:ascii="Arial" w:hAnsi="Arial" w:cs="Arial"/>
          <w:sz w:val="18"/>
          <w:szCs w:val="18"/>
          <w:lang w:eastAsia="fr-FR"/>
        </w:rPr>
        <w:t xml:space="preserve"> incident. </w:t>
      </w:r>
      <w:r w:rsidRPr="00D403F5">
        <w:rPr>
          <w:rFonts w:ascii="Arial" w:hAnsi="Arial" w:cs="Arial"/>
          <w:i/>
          <w:sz w:val="18"/>
          <w:szCs w:val="18"/>
          <w:lang w:eastAsia="fr-FR"/>
        </w:rPr>
        <w:t>Biosecurity</w:t>
      </w:r>
      <w:r w:rsidRPr="00D403F5">
        <w:rPr>
          <w:rFonts w:ascii="Arial" w:hAnsi="Arial" w:cs="Arial"/>
          <w:sz w:val="18"/>
          <w:szCs w:val="18"/>
          <w:lang w:eastAsia="fr-FR"/>
        </w:rPr>
        <w:t xml:space="preserve"> incidents, and actions taken to remedy them, should be documented to enable re-assessments of SOPs.</w:t>
      </w:r>
    </w:p>
    <w:p w14:paraId="730AE2BE" w14:textId="77777777" w:rsidR="000E0A30" w:rsidRPr="00D403F5" w:rsidRDefault="000E0A30"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269E76C4" w14:textId="77777777" w:rsidR="007B3D5C" w:rsidRPr="00D403F5" w:rsidRDefault="007B3D5C" w:rsidP="00D403F5">
      <w:pPr>
        <w:pStyle w:val="Web"/>
        <w:spacing w:before="0" w:beforeAutospacing="0" w:after="0" w:afterAutospacing="0"/>
        <w:jc w:val="center"/>
        <w:rPr>
          <w:sz w:val="18"/>
          <w:szCs w:val="18"/>
          <w:lang w:val="en-US"/>
        </w:rPr>
      </w:pPr>
    </w:p>
    <w:p w14:paraId="283F14CC" w14:textId="77777777" w:rsidR="007B3D5C" w:rsidRPr="00D403F5" w:rsidRDefault="007B3D5C" w:rsidP="00D403F5">
      <w:pPr>
        <w:pStyle w:val="Web"/>
        <w:spacing w:before="0" w:beforeAutospacing="0" w:after="0" w:afterAutospacing="0"/>
        <w:jc w:val="center"/>
        <w:rPr>
          <w:sz w:val="18"/>
          <w:szCs w:val="18"/>
          <w:lang w:val="en-US"/>
        </w:rPr>
      </w:pPr>
    </w:p>
    <w:p w14:paraId="170D968D" w14:textId="77777777" w:rsidR="007B3D5C" w:rsidRPr="00D403F5" w:rsidRDefault="007B3D5C" w:rsidP="00D403F5">
      <w:pPr>
        <w:pStyle w:val="Web"/>
        <w:spacing w:before="0" w:beforeAutospacing="0" w:after="0" w:afterAutospacing="0"/>
        <w:jc w:val="center"/>
        <w:rPr>
          <w:sz w:val="18"/>
          <w:szCs w:val="18"/>
          <w:lang w:val="en-US"/>
        </w:rPr>
      </w:pPr>
    </w:p>
    <w:p w14:paraId="7F555ACA" w14:textId="77777777" w:rsidR="007B3D5C" w:rsidRPr="00D403F5" w:rsidRDefault="007B3D5C" w:rsidP="00D403F5">
      <w:pPr>
        <w:pStyle w:val="Web"/>
        <w:spacing w:before="0" w:beforeAutospacing="0" w:after="0" w:afterAutospacing="0"/>
        <w:jc w:val="center"/>
        <w:rPr>
          <w:sz w:val="18"/>
          <w:szCs w:val="18"/>
          <w:lang w:val="en-US"/>
        </w:rPr>
      </w:pPr>
    </w:p>
    <w:p w14:paraId="0888E0BC" w14:textId="77777777" w:rsidR="007B3D5C" w:rsidRPr="00D403F5" w:rsidRDefault="007B3D5C" w:rsidP="00D403F5">
      <w:pPr>
        <w:pStyle w:val="Web"/>
        <w:spacing w:before="0" w:beforeAutospacing="0" w:after="0" w:afterAutospacing="0"/>
        <w:jc w:val="center"/>
        <w:rPr>
          <w:sz w:val="18"/>
          <w:szCs w:val="18"/>
          <w:lang w:val="en-US"/>
        </w:rPr>
      </w:pPr>
    </w:p>
    <w:p w14:paraId="06224E9D" w14:textId="77777777" w:rsidR="007B3D5C" w:rsidRPr="00D403F5" w:rsidRDefault="007B3D5C" w:rsidP="00D403F5">
      <w:pPr>
        <w:pStyle w:val="Web"/>
        <w:spacing w:before="0" w:beforeAutospacing="0" w:after="0" w:afterAutospacing="0"/>
        <w:jc w:val="center"/>
        <w:rPr>
          <w:sz w:val="18"/>
          <w:szCs w:val="18"/>
          <w:lang w:val="en-US"/>
        </w:rPr>
      </w:pPr>
    </w:p>
    <w:p w14:paraId="6D2E86FE" w14:textId="77777777" w:rsidR="007B3D5C" w:rsidRPr="00D403F5" w:rsidRDefault="007B3D5C" w:rsidP="00D403F5">
      <w:pPr>
        <w:pStyle w:val="Web"/>
        <w:spacing w:before="0" w:beforeAutospacing="0" w:after="0" w:afterAutospacing="0"/>
        <w:jc w:val="center"/>
        <w:rPr>
          <w:sz w:val="18"/>
          <w:szCs w:val="18"/>
          <w:lang w:val="en-US"/>
        </w:rPr>
      </w:pPr>
    </w:p>
    <w:p w14:paraId="2CFDB3B0" w14:textId="77777777" w:rsidR="007B3D5C" w:rsidRPr="00D403F5" w:rsidRDefault="007B3D5C" w:rsidP="00D403F5">
      <w:pPr>
        <w:pStyle w:val="Web"/>
        <w:spacing w:before="0" w:beforeAutospacing="0" w:after="0" w:afterAutospacing="0"/>
        <w:jc w:val="center"/>
        <w:rPr>
          <w:sz w:val="18"/>
          <w:szCs w:val="18"/>
          <w:lang w:val="en-US"/>
        </w:rPr>
      </w:pPr>
    </w:p>
    <w:p w14:paraId="1BE332B1" w14:textId="77777777" w:rsidR="007B3D5C" w:rsidRPr="00D403F5" w:rsidRDefault="007B3D5C" w:rsidP="00D403F5">
      <w:pPr>
        <w:pStyle w:val="Web"/>
        <w:spacing w:before="0" w:beforeAutospacing="0" w:after="0" w:afterAutospacing="0"/>
        <w:jc w:val="center"/>
        <w:rPr>
          <w:sz w:val="18"/>
          <w:szCs w:val="18"/>
          <w:lang w:val="en-US"/>
        </w:rPr>
      </w:pPr>
    </w:p>
    <w:p w14:paraId="7717BDA5" w14:textId="77777777" w:rsidR="007B3D5C" w:rsidRPr="00D403F5" w:rsidRDefault="007B3D5C" w:rsidP="00D403F5">
      <w:pPr>
        <w:pStyle w:val="Web"/>
        <w:spacing w:before="0" w:beforeAutospacing="0" w:after="0" w:afterAutospacing="0"/>
        <w:jc w:val="center"/>
        <w:rPr>
          <w:sz w:val="18"/>
          <w:szCs w:val="18"/>
          <w:lang w:val="en-US"/>
        </w:rPr>
        <w:sectPr w:rsidR="007B3D5C" w:rsidRPr="00D403F5" w:rsidSect="007B3D5C">
          <w:headerReference w:type="even" r:id="rId38"/>
          <w:headerReference w:type="default" r:id="rId39"/>
          <w:footerReference w:type="even" r:id="rId40"/>
          <w:footerReference w:type="default" r:id="rId41"/>
          <w:headerReference w:type="first" r:id="rId42"/>
          <w:footerReference w:type="first" r:id="rId43"/>
          <w:type w:val="oddPage"/>
          <w:pgSz w:w="12240" w:h="15840" w:code="1"/>
          <w:pgMar w:top="1418" w:right="1418" w:bottom="1418" w:left="1418" w:header="709" w:footer="709" w:gutter="0"/>
          <w:cols w:space="720"/>
          <w:vAlign w:val="both"/>
          <w:docGrid w:linePitch="360"/>
        </w:sectPr>
      </w:pPr>
    </w:p>
    <w:p w14:paraId="3BDE9537" w14:textId="77777777" w:rsidR="007B3D5C" w:rsidRPr="00D403F5" w:rsidRDefault="007B3D5C" w:rsidP="00456872">
      <w:pPr>
        <w:pStyle w:val="2"/>
        <w:tabs>
          <w:tab w:val="clear" w:pos="360"/>
        </w:tabs>
        <w:spacing w:after="480"/>
        <w:ind w:left="0" w:firstLine="0"/>
        <w:jc w:val="right"/>
        <w:rPr>
          <w:rFonts w:ascii="Times New Roman" w:hAnsi="Times New Roman"/>
          <w:b w:val="0"/>
          <w:sz w:val="18"/>
          <w:szCs w:val="18"/>
          <w:u w:val="single"/>
        </w:rPr>
      </w:pPr>
      <w:r w:rsidRPr="00D403F5">
        <w:rPr>
          <w:rFonts w:ascii="Times New Roman" w:hAnsi="Times New Roman"/>
          <w:b w:val="0"/>
          <w:sz w:val="18"/>
          <w:szCs w:val="18"/>
          <w:u w:val="single"/>
        </w:rPr>
        <w:t>Annex 3 B</w:t>
      </w:r>
    </w:p>
    <w:p w14:paraId="650F2B41" w14:textId="77777777" w:rsidR="007B3D5C" w:rsidRPr="00456872" w:rsidRDefault="007B3D5C" w:rsidP="00456872">
      <w:pPr>
        <w:pStyle w:val="Web"/>
        <w:spacing w:before="0" w:beforeAutospacing="0" w:after="480" w:afterAutospacing="0"/>
        <w:jc w:val="center"/>
        <w:rPr>
          <w:rFonts w:ascii="Arial" w:eastAsia="Calibri" w:hAnsi="Arial" w:cs="Arial"/>
          <w:b/>
          <w:bCs/>
          <w:spacing w:val="57"/>
          <w:sz w:val="28"/>
          <w:szCs w:val="28"/>
          <w:lang w:val="en-US" w:eastAsia="en-US"/>
        </w:rPr>
      </w:pPr>
      <w:r w:rsidRPr="00D403F5">
        <w:rPr>
          <w:rFonts w:ascii="Ottawa" w:hAnsi="Ottawa" w:cs="Arial"/>
          <w:caps/>
          <w:spacing w:val="57"/>
          <w:sz w:val="18"/>
          <w:szCs w:val="18"/>
          <w:lang w:val="en-US"/>
        </w:rPr>
        <w:t>Chapter 4.X.</w:t>
      </w:r>
      <w:r w:rsidRPr="00D403F5">
        <w:rPr>
          <w:rFonts w:ascii="Ottawa" w:hAnsi="Ottawa" w:cs="Arial"/>
          <w:caps/>
          <w:spacing w:val="57"/>
          <w:sz w:val="18"/>
          <w:szCs w:val="18"/>
          <w:lang w:val="en-US"/>
        </w:rPr>
        <w:br/>
      </w:r>
      <w:r w:rsidRPr="00D403F5">
        <w:rPr>
          <w:rFonts w:ascii="Ottawa" w:hAnsi="Ottawa" w:cs="Arial"/>
          <w:b/>
          <w:caps/>
          <w:spacing w:val="57"/>
          <w:sz w:val="18"/>
          <w:szCs w:val="18"/>
          <w:lang w:val="en-US"/>
        </w:rPr>
        <w:br/>
      </w:r>
      <w:r w:rsidRPr="00456872">
        <w:rPr>
          <w:rFonts w:ascii="Ottawa" w:eastAsia="Calibri" w:hAnsi="Ottawa" w:cs="Arial"/>
          <w:b/>
          <w:bCs/>
          <w:spacing w:val="57"/>
          <w:sz w:val="28"/>
          <w:szCs w:val="28"/>
          <w:lang w:val="en-US" w:eastAsia="en-US"/>
        </w:rPr>
        <w:t>BIOSECURITY</w:t>
      </w:r>
      <w:r w:rsidRPr="00456872">
        <w:rPr>
          <w:rFonts w:ascii="Ottawa" w:eastAsia="Calibri" w:hAnsi="Ottawa" w:cs="Arial"/>
          <w:b/>
          <w:bCs/>
          <w:spacing w:val="57"/>
          <w:sz w:val="28"/>
          <w:szCs w:val="28"/>
          <w:lang w:val="en-US" w:eastAsia="en-US"/>
        </w:rPr>
        <w:br/>
        <w:t>FOR AQUACULTURE ESTABLISHMENTS</w:t>
      </w:r>
    </w:p>
    <w:p w14:paraId="11FB595F" w14:textId="77777777" w:rsidR="007B3D5C" w:rsidRPr="00D403F5" w:rsidRDefault="007B3D5C" w:rsidP="00456872">
      <w:pPr>
        <w:spacing w:after="240"/>
        <w:jc w:val="center"/>
        <w:rPr>
          <w:rFonts w:ascii="Ottawa" w:hAnsi="Ottawa" w:cs="Arial"/>
          <w:sz w:val="18"/>
          <w:szCs w:val="18"/>
        </w:rPr>
      </w:pPr>
      <w:r w:rsidRPr="00D403F5">
        <w:rPr>
          <w:rFonts w:ascii="Ottawa" w:hAnsi="Ottawa" w:cs="Arial"/>
          <w:sz w:val="18"/>
          <w:szCs w:val="18"/>
        </w:rPr>
        <w:t>Article 4.X.1.</w:t>
      </w:r>
    </w:p>
    <w:p w14:paraId="72A0558B" w14:textId="77777777" w:rsidR="007B3D5C" w:rsidRPr="00D403F5" w:rsidRDefault="007B3D5C" w:rsidP="00456872">
      <w:pPr>
        <w:spacing w:after="240"/>
        <w:jc w:val="both"/>
        <w:rPr>
          <w:rFonts w:ascii="Ottawa" w:hAnsi="Ottawa" w:cs="Arial"/>
          <w:b/>
          <w:sz w:val="18"/>
          <w:szCs w:val="18"/>
        </w:rPr>
      </w:pPr>
      <w:r w:rsidRPr="00D403F5">
        <w:rPr>
          <w:rFonts w:ascii="Ottawa" w:hAnsi="Ottawa" w:cs="Arial"/>
          <w:b/>
          <w:sz w:val="18"/>
          <w:szCs w:val="18"/>
        </w:rPr>
        <w:t xml:space="preserve">Purpose </w:t>
      </w:r>
    </w:p>
    <w:p w14:paraId="0BFEB301" w14:textId="77777777" w:rsidR="007B3D5C" w:rsidRPr="00D403F5" w:rsidRDefault="007B3D5C" w:rsidP="00456872">
      <w:pPr>
        <w:spacing w:after="240"/>
        <w:jc w:val="both"/>
        <w:rPr>
          <w:rStyle w:val="normaltextrun"/>
          <w:rFonts w:ascii="Arial" w:hAnsi="Arial" w:cs="Arial"/>
          <w:color w:val="000000"/>
          <w:sz w:val="18"/>
          <w:szCs w:val="18"/>
          <w:shd w:val="clear" w:color="auto" w:fill="FFFFFF"/>
        </w:rPr>
      </w:pPr>
      <w:r w:rsidRPr="00D403F5">
        <w:rPr>
          <w:rStyle w:val="normaltextrun"/>
          <w:rFonts w:ascii="Arial" w:hAnsi="Arial" w:cs="Arial"/>
          <w:color w:val="000000"/>
          <w:sz w:val="18"/>
          <w:szCs w:val="18"/>
          <w:shd w:val="clear" w:color="auto" w:fill="FFFFFF"/>
        </w:rPr>
        <w:t xml:space="preserve">To provide recommendations on the development and implementation of biosecurity measures primarily </w:t>
      </w:r>
      <w:r w:rsidRPr="00D403F5">
        <w:rPr>
          <w:rFonts w:ascii="Arial" w:hAnsi="Arial" w:cs="Arial"/>
          <w:color w:val="000000"/>
          <w:sz w:val="18"/>
          <w:szCs w:val="18"/>
        </w:rPr>
        <w:t xml:space="preserve">to mitigate the </w:t>
      </w:r>
      <w:r w:rsidRPr="00D403F5">
        <w:rPr>
          <w:rFonts w:ascii="Arial" w:hAnsi="Arial" w:cs="Arial"/>
          <w:i/>
          <w:color w:val="000000"/>
          <w:sz w:val="18"/>
          <w:szCs w:val="18"/>
        </w:rPr>
        <w:t>risk</w:t>
      </w:r>
      <w:r w:rsidRPr="00D403F5">
        <w:rPr>
          <w:rFonts w:ascii="Arial" w:hAnsi="Arial" w:cs="Arial"/>
          <w:color w:val="000000"/>
          <w:sz w:val="18"/>
          <w:szCs w:val="18"/>
        </w:rPr>
        <w:t xml:space="preserve"> of the introduction of specific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w:t>
      </w:r>
      <w:r w:rsidRPr="00D403F5">
        <w:rPr>
          <w:rFonts w:ascii="Arial" w:hAnsi="Arial" w:cs="Arial"/>
          <w:i/>
          <w:color w:val="000000"/>
          <w:sz w:val="18"/>
          <w:szCs w:val="18"/>
        </w:rPr>
        <w:t>aquacultur</w:t>
      </w:r>
      <w:r w:rsidRPr="00D403F5">
        <w:rPr>
          <w:rFonts w:ascii="Arial" w:hAnsi="Arial" w:cs="Arial"/>
          <w:color w:val="000000"/>
          <w:sz w:val="18"/>
          <w:szCs w:val="18"/>
        </w:rPr>
        <w:t>e</w:t>
      </w:r>
      <w:r w:rsidRPr="00D403F5">
        <w:rPr>
          <w:rStyle w:val="normaltextrun"/>
          <w:rFonts w:ascii="Arial" w:hAnsi="Arial" w:cs="Arial"/>
          <w:color w:val="000000"/>
          <w:sz w:val="18"/>
          <w:szCs w:val="18"/>
          <w:shd w:val="clear" w:color="auto" w:fill="FFFFFF"/>
        </w:rPr>
        <w:t xml:space="preserve"> establishments</w:t>
      </w:r>
      <w:r w:rsidRPr="00D403F5">
        <w:rPr>
          <w:rFonts w:ascii="Arial" w:hAnsi="Arial" w:cs="Arial"/>
          <w:color w:val="000000"/>
          <w:sz w:val="18"/>
          <w:szCs w:val="18"/>
        </w:rPr>
        <w:t xml:space="preserve">, and if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are introduced, to mitigate the </w:t>
      </w:r>
      <w:r w:rsidRPr="00D403F5">
        <w:rPr>
          <w:rFonts w:ascii="Arial" w:hAnsi="Arial" w:cs="Arial"/>
          <w:i/>
          <w:color w:val="000000"/>
          <w:sz w:val="18"/>
          <w:szCs w:val="18"/>
        </w:rPr>
        <w:t>risk</w:t>
      </w:r>
      <w:r w:rsidRPr="00D403F5">
        <w:rPr>
          <w:rFonts w:ascii="Arial" w:hAnsi="Arial" w:cs="Arial"/>
          <w:color w:val="000000"/>
          <w:sz w:val="18"/>
          <w:szCs w:val="18"/>
        </w:rPr>
        <w:t xml:space="preserve"> of further spread within, or release from</w:t>
      </w:r>
      <w:r w:rsidRPr="00D403F5">
        <w:rPr>
          <w:rFonts w:ascii="Arial" w:hAnsi="Arial" w:cs="Arial"/>
          <w:color w:val="000000"/>
          <w:sz w:val="18"/>
          <w:szCs w:val="18"/>
          <w:highlight w:val="yellow"/>
          <w:u w:val="double"/>
        </w:rPr>
        <w:t>,</w:t>
      </w:r>
      <w:r w:rsidRPr="00D403F5">
        <w:rPr>
          <w:rFonts w:ascii="Arial" w:hAnsi="Arial" w:cs="Arial"/>
          <w:color w:val="000000"/>
          <w:sz w:val="18"/>
          <w:szCs w:val="18"/>
        </w:rPr>
        <w:t xml:space="preserve"> the </w:t>
      </w:r>
      <w:r w:rsidRPr="00D403F5">
        <w:rPr>
          <w:rFonts w:ascii="Arial" w:hAnsi="Arial" w:cs="Arial"/>
          <w:i/>
          <w:color w:val="000000"/>
          <w:sz w:val="18"/>
          <w:szCs w:val="18"/>
        </w:rPr>
        <w:t>aquaculture establishment</w:t>
      </w:r>
      <w:r w:rsidRPr="00D403F5">
        <w:rPr>
          <w:rStyle w:val="normaltextrun"/>
          <w:rFonts w:ascii="Arial" w:hAnsi="Arial" w:cs="Arial"/>
          <w:color w:val="000000"/>
          <w:sz w:val="18"/>
          <w:szCs w:val="18"/>
          <w:shd w:val="clear" w:color="auto" w:fill="FFFFFF"/>
        </w:rPr>
        <w:t xml:space="preserve">. </w:t>
      </w:r>
    </w:p>
    <w:p w14:paraId="4525EA6E" w14:textId="77777777" w:rsidR="007B3D5C" w:rsidRPr="00D403F5" w:rsidRDefault="007B3D5C" w:rsidP="00456872">
      <w:pPr>
        <w:spacing w:after="240"/>
        <w:jc w:val="center"/>
        <w:rPr>
          <w:rFonts w:ascii="Ottawa" w:hAnsi="Ottawa" w:cs="Arial"/>
          <w:sz w:val="18"/>
          <w:szCs w:val="18"/>
        </w:rPr>
      </w:pPr>
      <w:r w:rsidRPr="00D403F5">
        <w:rPr>
          <w:rFonts w:ascii="Ottawa" w:hAnsi="Ottawa" w:cs="Arial"/>
          <w:sz w:val="18"/>
          <w:szCs w:val="18"/>
        </w:rPr>
        <w:t>Article 4.X.2.</w:t>
      </w:r>
    </w:p>
    <w:p w14:paraId="5A9F5939" w14:textId="77777777" w:rsidR="007B3D5C" w:rsidRPr="00D403F5" w:rsidRDefault="007B3D5C" w:rsidP="00456872">
      <w:pPr>
        <w:spacing w:after="240"/>
        <w:jc w:val="both"/>
        <w:rPr>
          <w:rFonts w:ascii="Ottawa" w:hAnsi="Ottawa" w:cs="Arial"/>
          <w:b/>
          <w:sz w:val="18"/>
          <w:szCs w:val="18"/>
        </w:rPr>
      </w:pPr>
      <w:r w:rsidRPr="00D403F5">
        <w:rPr>
          <w:rFonts w:ascii="Ottawa" w:hAnsi="Ottawa" w:cs="Arial"/>
          <w:b/>
          <w:sz w:val="18"/>
          <w:szCs w:val="18"/>
        </w:rPr>
        <w:t>Scope</w:t>
      </w:r>
    </w:p>
    <w:p w14:paraId="2E2EC2B0" w14:textId="77777777" w:rsidR="007B3D5C" w:rsidRPr="00D403F5" w:rsidRDefault="007B3D5C" w:rsidP="00456872">
      <w:pPr>
        <w:spacing w:after="240"/>
        <w:jc w:val="both"/>
        <w:rPr>
          <w:rFonts w:ascii="Arial" w:hAnsi="Arial" w:cs="Arial"/>
          <w:color w:val="000000"/>
          <w:sz w:val="18"/>
          <w:szCs w:val="18"/>
        </w:rPr>
      </w:pPr>
      <w:r w:rsidRPr="00D403F5">
        <w:rPr>
          <w:rStyle w:val="normaltextrun"/>
          <w:rFonts w:ascii="Arial" w:eastAsia="Arial" w:hAnsi="Arial" w:cs="Arial"/>
          <w:color w:val="000000"/>
          <w:sz w:val="18"/>
          <w:szCs w:val="18"/>
        </w:rPr>
        <w:t xml:space="preserve">Biosecurity principles are relevant to application of the standards in the Aquatic Code at the level of country, zone, compartment or aquaculture establishment as appropriate. This chapter describes recommendations on biosecurity to be applied to aquaculture establishments, including semi-open, semi-closed and closed systems. </w:t>
      </w:r>
      <w:r w:rsidRPr="00D403F5">
        <w:rPr>
          <w:rFonts w:ascii="Arial" w:hAnsi="Arial" w:cs="Arial"/>
          <w:color w:val="000000"/>
          <w:sz w:val="18"/>
          <w:szCs w:val="18"/>
        </w:rPr>
        <w:t xml:space="preserve">The chapter describes general principles of </w:t>
      </w:r>
      <w:r w:rsidRPr="00D403F5">
        <w:rPr>
          <w:rFonts w:ascii="Arial" w:hAnsi="Arial" w:cs="Arial"/>
          <w:i/>
          <w:color w:val="000000"/>
          <w:sz w:val="18"/>
          <w:szCs w:val="18"/>
        </w:rPr>
        <w:t xml:space="preserve">biosecurity </w:t>
      </w:r>
      <w:r w:rsidRPr="00D403F5">
        <w:rPr>
          <w:rFonts w:ascii="Arial" w:hAnsi="Arial" w:cs="Arial"/>
          <w:color w:val="000000"/>
          <w:sz w:val="18"/>
          <w:szCs w:val="18"/>
        </w:rPr>
        <w:t xml:space="preserve">planning, categories of </w:t>
      </w:r>
      <w:r w:rsidRPr="00D403F5">
        <w:rPr>
          <w:rFonts w:ascii="Arial" w:hAnsi="Arial" w:cs="Arial"/>
          <w:i/>
          <w:color w:val="000000"/>
          <w:sz w:val="18"/>
          <w:szCs w:val="18"/>
        </w:rPr>
        <w:t>aquaculture</w:t>
      </w:r>
      <w:r w:rsidRPr="00D403F5">
        <w:rPr>
          <w:rFonts w:ascii="Arial" w:hAnsi="Arial" w:cs="Arial"/>
          <w:color w:val="000000"/>
          <w:sz w:val="18"/>
          <w:szCs w:val="18"/>
        </w:rPr>
        <w:t xml:space="preserve"> production systems, </w:t>
      </w:r>
      <w:r w:rsidRPr="00D403F5">
        <w:rPr>
          <w:rFonts w:ascii="Arial" w:hAnsi="Arial" w:cs="Arial"/>
          <w:strike/>
          <w:color w:val="000000"/>
          <w:sz w:val="18"/>
          <w:szCs w:val="18"/>
          <w:highlight w:val="yellow"/>
        </w:rPr>
        <w:t>major</w:t>
      </w:r>
      <w:r w:rsidRPr="00D403F5">
        <w:rPr>
          <w:rFonts w:ascii="Arial" w:hAnsi="Arial" w:cs="Arial"/>
          <w:color w:val="000000"/>
          <w:sz w:val="18"/>
          <w:szCs w:val="18"/>
          <w:highlight w:val="yellow"/>
        </w:rPr>
        <w:t xml:space="preserve"> </w:t>
      </w:r>
      <w:r w:rsidRPr="00D403F5">
        <w:rPr>
          <w:rFonts w:ascii="Arial" w:hAnsi="Arial" w:cs="Arial"/>
          <w:strike/>
          <w:color w:val="000000"/>
          <w:sz w:val="18"/>
          <w:szCs w:val="18"/>
          <w:highlight w:val="yellow"/>
        </w:rPr>
        <w:t>transmission pathways,</w:t>
      </w:r>
      <w:r w:rsidRPr="00D403F5">
        <w:rPr>
          <w:rFonts w:ascii="Arial" w:hAnsi="Arial" w:cs="Arial"/>
          <w:strike/>
          <w:color w:val="000000"/>
          <w:sz w:val="18"/>
          <w:szCs w:val="18"/>
        </w:rPr>
        <w:t xml:space="preserve"> </w:t>
      </w:r>
      <w:r w:rsidRPr="00D403F5">
        <w:rPr>
          <w:rFonts w:ascii="Arial" w:eastAsia="SimSun" w:hAnsi="Arial" w:cs="Arial"/>
          <w:sz w:val="18"/>
          <w:szCs w:val="18"/>
          <w:highlight w:val="yellow"/>
          <w:u w:val="double"/>
          <w:lang w:eastAsia="zh-CN"/>
        </w:rPr>
        <w:t>mitigation measures for transmission pathways</w:t>
      </w:r>
      <w:r w:rsidRPr="00D403F5">
        <w:rPr>
          <w:rFonts w:ascii="Arial" w:eastAsia="SimSun" w:hAnsi="Arial" w:cs="Arial"/>
          <w:sz w:val="18"/>
          <w:szCs w:val="18"/>
          <w:highlight w:val="yellow"/>
          <w:lang w:eastAsia="zh-CN"/>
        </w:rPr>
        <w:t>,</w:t>
      </w:r>
      <w:r w:rsidRPr="00D403F5">
        <w:rPr>
          <w:rFonts w:ascii="Arial" w:eastAsia="SimSun" w:hAnsi="Arial" w:cs="Arial"/>
          <w:sz w:val="18"/>
          <w:szCs w:val="18"/>
          <w:highlight w:val="yellow"/>
        </w:rPr>
        <w:t xml:space="preserve"> </w:t>
      </w:r>
      <w:r w:rsidRPr="00D403F5">
        <w:rPr>
          <w:rFonts w:ascii="Arial" w:eastAsia="SimSun" w:hAnsi="Arial" w:cs="Arial"/>
          <w:strike/>
          <w:sz w:val="18"/>
          <w:szCs w:val="18"/>
          <w:highlight w:val="yellow"/>
        </w:rPr>
        <w:t>the use of</w:t>
      </w:r>
      <w:r w:rsidRPr="00D403F5">
        <w:rPr>
          <w:rFonts w:ascii="Arial" w:eastAsia="SimSun" w:hAnsi="Arial" w:cs="Arial"/>
          <w:strike/>
          <w:sz w:val="18"/>
          <w:szCs w:val="18"/>
          <w:highlight w:val="yellow"/>
          <w:lang w:val="en-US" w:eastAsia="zh-CN"/>
        </w:rPr>
        <w:t xml:space="preserve"> </w:t>
      </w:r>
      <w:r w:rsidRPr="00D403F5">
        <w:rPr>
          <w:rFonts w:ascii="Arial" w:eastAsia="SimSun" w:hAnsi="Arial" w:cs="Arial"/>
          <w:sz w:val="18"/>
          <w:szCs w:val="18"/>
          <w:highlight w:val="yellow"/>
          <w:u w:val="double"/>
          <w:lang w:val="en-US" w:eastAsia="zh-CN"/>
        </w:rPr>
        <w:t>the application of</w:t>
      </w:r>
      <w:r w:rsidRPr="00D403F5">
        <w:rPr>
          <w:rFonts w:ascii="Arial" w:eastAsia="SimSun" w:hAnsi="Arial" w:cs="Arial"/>
          <w:sz w:val="18"/>
          <w:szCs w:val="18"/>
          <w:highlight w:val="yellow"/>
          <w:lang w:val="en-US" w:eastAsia="zh-CN"/>
        </w:rPr>
        <w:t xml:space="preserve"> </w:t>
      </w:r>
      <w:r w:rsidRPr="00D403F5">
        <w:rPr>
          <w:rFonts w:ascii="Arial" w:eastAsia="SimSun" w:hAnsi="Arial" w:cs="Arial"/>
          <w:i/>
          <w:sz w:val="18"/>
          <w:szCs w:val="18"/>
          <w:highlight w:val="yellow"/>
        </w:rPr>
        <w:t xml:space="preserve">risk analysis </w:t>
      </w:r>
      <w:r w:rsidRPr="00D403F5">
        <w:rPr>
          <w:rFonts w:ascii="Arial" w:eastAsia="SimSun" w:hAnsi="Arial" w:cs="Arial"/>
          <w:sz w:val="18"/>
          <w:szCs w:val="18"/>
          <w:highlight w:val="yellow"/>
          <w:u w:val="double"/>
        </w:rPr>
        <w:t>and</w:t>
      </w:r>
      <w:r w:rsidRPr="00D403F5">
        <w:rPr>
          <w:rFonts w:ascii="Arial" w:eastAsia="SimSun" w:hAnsi="Arial" w:cs="Arial"/>
          <w:sz w:val="18"/>
          <w:szCs w:val="18"/>
          <w:highlight w:val="yellow"/>
        </w:rPr>
        <w:t xml:space="preserve"> </w:t>
      </w:r>
      <w:r w:rsidRPr="00D403F5">
        <w:rPr>
          <w:rFonts w:ascii="Arial" w:eastAsia="SimSun" w:hAnsi="Arial" w:cs="Arial"/>
          <w:sz w:val="18"/>
          <w:szCs w:val="18"/>
          <w:highlight w:val="yellow"/>
          <w:u w:val="double"/>
        </w:rPr>
        <w:t>approaches</w:t>
      </w:r>
      <w:r w:rsidRPr="00D403F5">
        <w:rPr>
          <w:rFonts w:ascii="Arial" w:eastAsia="SimSun" w:hAnsi="Arial" w:cs="Arial"/>
          <w:sz w:val="18"/>
          <w:szCs w:val="18"/>
          <w:highlight w:val="yellow"/>
        </w:rPr>
        <w:t xml:space="preserve"> </w:t>
      </w:r>
      <w:r w:rsidRPr="00D403F5">
        <w:rPr>
          <w:rFonts w:ascii="Arial" w:eastAsia="SimSun" w:hAnsi="Arial" w:cs="Arial"/>
          <w:sz w:val="18"/>
          <w:szCs w:val="18"/>
          <w:highlight w:val="yellow"/>
          <w:u w:val="double"/>
        </w:rPr>
        <w:t>for</w:t>
      </w:r>
      <w:r w:rsidRPr="00D403F5">
        <w:rPr>
          <w:rFonts w:ascii="Arial" w:eastAsia="SimSun" w:hAnsi="Arial" w:cs="Arial"/>
          <w:sz w:val="18"/>
          <w:szCs w:val="18"/>
          <w:highlight w:val="yellow"/>
        </w:rPr>
        <w:t xml:space="preserve"> </w:t>
      </w:r>
      <w:r w:rsidRPr="00D403F5">
        <w:rPr>
          <w:rFonts w:ascii="Arial" w:eastAsia="SimSun" w:hAnsi="Arial" w:cs="Arial"/>
          <w:i/>
          <w:iCs/>
          <w:sz w:val="18"/>
          <w:szCs w:val="18"/>
          <w:highlight w:val="yellow"/>
          <w:u w:val="double"/>
          <w:lang w:eastAsia="zh-CN"/>
        </w:rPr>
        <w:t>biosecurity plan</w:t>
      </w:r>
      <w:r w:rsidRPr="00D403F5">
        <w:rPr>
          <w:rFonts w:ascii="Arial" w:eastAsia="SimSun" w:hAnsi="Arial" w:cs="Arial"/>
          <w:sz w:val="18"/>
          <w:szCs w:val="18"/>
          <w:highlight w:val="yellow"/>
          <w:u w:val="double"/>
          <w:lang w:eastAsia="zh-CN"/>
        </w:rPr>
        <w:t xml:space="preserve"> development. </w:t>
      </w:r>
      <w:r w:rsidRPr="00D403F5">
        <w:rPr>
          <w:rFonts w:ascii="Arial" w:eastAsia="SimSun" w:hAnsi="Arial" w:cs="Arial"/>
          <w:strike/>
          <w:sz w:val="18"/>
          <w:szCs w:val="18"/>
          <w:highlight w:val="yellow"/>
        </w:rPr>
        <w:t xml:space="preserve">to develop a </w:t>
      </w:r>
      <w:r w:rsidRPr="00D403F5">
        <w:rPr>
          <w:rFonts w:ascii="Arial" w:eastAsia="SimSun" w:hAnsi="Arial" w:cs="Arial"/>
          <w:i/>
          <w:strike/>
          <w:sz w:val="18"/>
          <w:szCs w:val="18"/>
          <w:highlight w:val="yellow"/>
        </w:rPr>
        <w:t>biosecurity plan</w:t>
      </w:r>
      <w:r w:rsidRPr="00D403F5">
        <w:rPr>
          <w:rFonts w:ascii="Arial" w:eastAsia="SimSun" w:hAnsi="Arial" w:cs="Arial"/>
          <w:sz w:val="18"/>
          <w:szCs w:val="18"/>
          <w:highlight w:val="yellow"/>
        </w:rPr>
        <w:t>,</w:t>
      </w:r>
      <w:r w:rsidRPr="00D403F5">
        <w:rPr>
          <w:rFonts w:ascii="Arial" w:eastAsia="SimSun" w:hAnsi="Arial" w:cs="Arial"/>
          <w:strike/>
          <w:sz w:val="18"/>
          <w:szCs w:val="18"/>
          <w:highlight w:val="yellow"/>
        </w:rPr>
        <w:t xml:space="preserve"> and the key components of a plan.</w:t>
      </w:r>
      <w:r w:rsidRPr="00D403F5">
        <w:rPr>
          <w:rFonts w:ascii="Arial" w:eastAsia="SimSun" w:hAnsi="Arial" w:cs="Arial"/>
          <w:strike/>
          <w:sz w:val="18"/>
          <w:szCs w:val="18"/>
        </w:rPr>
        <w:t xml:space="preserve">  </w:t>
      </w:r>
    </w:p>
    <w:p w14:paraId="52EFB1C1" w14:textId="77777777" w:rsidR="007B3D5C" w:rsidRPr="00D403F5" w:rsidRDefault="007B3D5C" w:rsidP="00456872">
      <w:pPr>
        <w:spacing w:after="240"/>
        <w:jc w:val="both"/>
        <w:rPr>
          <w:rFonts w:ascii="Arial" w:hAnsi="Arial" w:cs="Arial"/>
          <w:sz w:val="18"/>
          <w:szCs w:val="18"/>
          <w:u w:val="double"/>
        </w:rPr>
      </w:pPr>
      <w:r w:rsidRPr="00D403F5">
        <w:rPr>
          <w:rFonts w:ascii="Arial" w:hAnsi="Arial" w:cs="Arial"/>
          <w:sz w:val="18"/>
          <w:szCs w:val="18"/>
          <w:u w:val="double"/>
        </w:rPr>
        <w:t xml:space="preserve">For further guidance on disease prevention and control refer to Section 4 of the </w:t>
      </w:r>
      <w:r w:rsidRPr="00D403F5">
        <w:rPr>
          <w:rFonts w:ascii="Arial" w:hAnsi="Arial" w:cs="Arial"/>
          <w:i/>
          <w:sz w:val="18"/>
          <w:szCs w:val="18"/>
          <w:u w:val="double"/>
        </w:rPr>
        <w:t xml:space="preserve">Aquatic Code. </w:t>
      </w:r>
    </w:p>
    <w:p w14:paraId="50830E75" w14:textId="77777777" w:rsidR="007B3D5C" w:rsidRPr="00D403F5" w:rsidRDefault="007B3D5C" w:rsidP="00456872">
      <w:pPr>
        <w:spacing w:after="240"/>
        <w:jc w:val="center"/>
        <w:rPr>
          <w:rFonts w:ascii="Ottawa" w:hAnsi="Ottawa" w:cs="Arial"/>
          <w:sz w:val="18"/>
          <w:szCs w:val="18"/>
        </w:rPr>
      </w:pPr>
      <w:r w:rsidRPr="00D403F5">
        <w:rPr>
          <w:rFonts w:ascii="Ottawa" w:hAnsi="Ottawa" w:cs="Arial"/>
          <w:sz w:val="18"/>
          <w:szCs w:val="18"/>
        </w:rPr>
        <w:t>Article 4.X.3.</w:t>
      </w:r>
    </w:p>
    <w:p w14:paraId="4ECE7412" w14:textId="77777777" w:rsidR="007B3D5C" w:rsidRPr="00D403F5" w:rsidRDefault="007B3D5C" w:rsidP="00456872">
      <w:pPr>
        <w:spacing w:after="240"/>
        <w:jc w:val="both"/>
        <w:rPr>
          <w:rFonts w:ascii="Ottawa" w:hAnsi="Ottawa" w:cs="Arial"/>
          <w:b/>
          <w:sz w:val="18"/>
          <w:szCs w:val="18"/>
        </w:rPr>
      </w:pPr>
      <w:r w:rsidRPr="00D403F5">
        <w:rPr>
          <w:rFonts w:ascii="Ottawa" w:hAnsi="Ottawa" w:cs="Arial"/>
          <w:b/>
          <w:sz w:val="18"/>
          <w:szCs w:val="18"/>
        </w:rPr>
        <w:t xml:space="preserve">Introduction </w:t>
      </w:r>
    </w:p>
    <w:p w14:paraId="6147C103" w14:textId="77777777" w:rsidR="007B3D5C" w:rsidRPr="00D403F5" w:rsidRDefault="007B3D5C" w:rsidP="00456872">
      <w:pPr>
        <w:spacing w:after="240"/>
        <w:jc w:val="both"/>
        <w:rPr>
          <w:rStyle w:val="eop"/>
          <w:rFonts w:eastAsia="MS Mincho"/>
          <w:strike/>
          <w:color w:val="000000"/>
          <w:sz w:val="18"/>
          <w:szCs w:val="18"/>
        </w:rPr>
      </w:pPr>
      <w:r w:rsidRPr="00D403F5">
        <w:rPr>
          <w:rFonts w:ascii="Arial" w:hAnsi="Arial" w:cs="Arial"/>
          <w:strike/>
          <w:color w:val="000000"/>
          <w:sz w:val="18"/>
          <w:szCs w:val="18"/>
          <w:highlight w:val="yellow"/>
        </w:rPr>
        <w:t xml:space="preserve">The fundamental measures that underpin </w:t>
      </w:r>
      <w:r w:rsidRPr="00D403F5">
        <w:rPr>
          <w:rFonts w:ascii="Arial" w:hAnsi="Arial" w:cs="Arial"/>
          <w:i/>
          <w:strike/>
          <w:color w:val="000000"/>
          <w:sz w:val="18"/>
          <w:szCs w:val="18"/>
          <w:highlight w:val="yellow"/>
        </w:rPr>
        <w:t>aquatic animal</w:t>
      </w:r>
      <w:r w:rsidRPr="00D403F5">
        <w:rPr>
          <w:rFonts w:ascii="Arial" w:eastAsia="SimSun" w:hAnsi="Arial" w:cs="Arial" w:hint="eastAsia"/>
          <w:i/>
          <w:strike/>
          <w:color w:val="000000"/>
          <w:sz w:val="18"/>
          <w:szCs w:val="18"/>
          <w:highlight w:val="yellow"/>
          <w:lang w:eastAsia="zh-CN"/>
        </w:rPr>
        <w:t xml:space="preserve"> </w:t>
      </w:r>
      <w:r w:rsidRPr="00D403F5">
        <w:rPr>
          <w:rFonts w:ascii="Arial" w:hAnsi="Arial" w:cs="Arial"/>
          <w:i/>
          <w:strike/>
          <w:color w:val="000000"/>
          <w:sz w:val="18"/>
          <w:szCs w:val="18"/>
          <w:highlight w:val="yellow"/>
        </w:rPr>
        <w:t xml:space="preserve">disease </w:t>
      </w:r>
      <w:r w:rsidRPr="00D403F5">
        <w:rPr>
          <w:rFonts w:ascii="Arial" w:hAnsi="Arial" w:cs="Arial"/>
          <w:strike/>
          <w:color w:val="000000"/>
          <w:sz w:val="18"/>
          <w:szCs w:val="18"/>
          <w:highlight w:val="yellow"/>
        </w:rPr>
        <w:t>prevention</w:t>
      </w:r>
      <w:r w:rsidRPr="00D403F5">
        <w:rPr>
          <w:rFonts w:ascii="Arial" w:eastAsia="SimSun" w:hAnsi="Arial" w:cs="Arial" w:hint="eastAsia"/>
          <w:strike/>
          <w:color w:val="000000"/>
          <w:sz w:val="18"/>
          <w:szCs w:val="18"/>
          <w:highlight w:val="yellow"/>
          <w:lang w:eastAsia="zh-CN"/>
        </w:rPr>
        <w:t xml:space="preserve"> </w:t>
      </w:r>
      <w:r w:rsidRPr="00D403F5">
        <w:rPr>
          <w:rFonts w:ascii="Arial" w:hAnsi="Arial" w:cs="Arial"/>
          <w:strike/>
          <w:color w:val="000000"/>
          <w:sz w:val="18"/>
          <w:szCs w:val="18"/>
          <w:highlight w:val="yellow"/>
        </w:rPr>
        <w:t xml:space="preserve">at the level of country, </w:t>
      </w:r>
      <w:r w:rsidRPr="00D403F5">
        <w:rPr>
          <w:rFonts w:ascii="Arial" w:hAnsi="Arial" w:cs="Arial"/>
          <w:i/>
          <w:strike/>
          <w:color w:val="000000"/>
          <w:sz w:val="18"/>
          <w:szCs w:val="18"/>
          <w:highlight w:val="yellow"/>
        </w:rPr>
        <w:t>zone</w:t>
      </w:r>
      <w:r w:rsidRPr="00D403F5">
        <w:rPr>
          <w:rFonts w:ascii="Arial" w:hAnsi="Arial" w:cs="Arial"/>
          <w:strike/>
          <w:color w:val="000000"/>
          <w:sz w:val="18"/>
          <w:szCs w:val="18"/>
          <w:highlight w:val="yellow"/>
        </w:rPr>
        <w:t xml:space="preserve"> or </w:t>
      </w:r>
      <w:r w:rsidRPr="00D403F5">
        <w:rPr>
          <w:rFonts w:ascii="Arial" w:hAnsi="Arial" w:cs="Arial"/>
          <w:i/>
          <w:strike/>
          <w:color w:val="000000"/>
          <w:sz w:val="18"/>
          <w:szCs w:val="18"/>
          <w:highlight w:val="yellow"/>
        </w:rPr>
        <w:t>compartment</w:t>
      </w:r>
      <w:r w:rsidRPr="00D403F5">
        <w:rPr>
          <w:rFonts w:ascii="Arial" w:hAnsi="Arial" w:cs="Arial"/>
          <w:strike/>
          <w:color w:val="000000"/>
          <w:sz w:val="18"/>
          <w:szCs w:val="18"/>
          <w:highlight w:val="yellow"/>
        </w:rPr>
        <w:t xml:space="preserve"> is the application of </w:t>
      </w:r>
      <w:r w:rsidRPr="00D403F5">
        <w:rPr>
          <w:rFonts w:ascii="Arial" w:hAnsi="Arial" w:cs="Arial"/>
          <w:i/>
          <w:strike/>
          <w:color w:val="000000"/>
          <w:sz w:val="18"/>
          <w:szCs w:val="18"/>
          <w:highlight w:val="yellow"/>
        </w:rPr>
        <w:t>biosecurity</w:t>
      </w:r>
      <w:r w:rsidRPr="00D403F5">
        <w:rPr>
          <w:rFonts w:ascii="Arial" w:hAnsi="Arial" w:cs="Arial"/>
          <w:strike/>
          <w:color w:val="000000"/>
          <w:sz w:val="18"/>
          <w:szCs w:val="18"/>
          <w:highlight w:val="yellow"/>
        </w:rPr>
        <w:t>.</w:t>
      </w:r>
      <w:r w:rsidRPr="00D403F5">
        <w:rPr>
          <w:rFonts w:ascii="Arial" w:hAnsi="Arial" w:cs="Arial"/>
          <w:color w:val="000000"/>
          <w:sz w:val="18"/>
          <w:szCs w:val="18"/>
        </w:rPr>
        <w:t xml:space="preserve"> </w:t>
      </w:r>
      <w:r w:rsidRPr="00D403F5">
        <w:rPr>
          <w:rFonts w:ascii="Arial" w:hAnsi="Arial" w:cs="Arial"/>
          <w:color w:val="000000"/>
          <w:sz w:val="18"/>
          <w:szCs w:val="18"/>
          <w:highlight w:val="yellow"/>
          <w:u w:val="double"/>
        </w:rPr>
        <w:t>B</w:t>
      </w:r>
      <w:r w:rsidRPr="00D403F5">
        <w:rPr>
          <w:rFonts w:ascii="Arial" w:hAnsi="Arial" w:cs="Arial"/>
          <w:i/>
          <w:color w:val="000000"/>
          <w:sz w:val="18"/>
          <w:szCs w:val="18"/>
          <w:highlight w:val="yellow"/>
          <w:u w:val="double"/>
        </w:rPr>
        <w:t xml:space="preserve">iosecurity </w:t>
      </w:r>
      <w:r w:rsidRPr="00D403F5">
        <w:rPr>
          <w:rFonts w:ascii="Arial" w:hAnsi="Arial" w:cs="Arial"/>
          <w:color w:val="000000"/>
          <w:sz w:val="18"/>
          <w:szCs w:val="18"/>
          <w:highlight w:val="yellow"/>
          <w:u w:val="double"/>
        </w:rPr>
        <w:t>at the level of an</w:t>
      </w:r>
      <w:r w:rsidRPr="00D403F5">
        <w:rPr>
          <w:rFonts w:ascii="Arial" w:hAnsi="Arial" w:cs="Arial"/>
          <w:i/>
          <w:color w:val="000000"/>
          <w:sz w:val="18"/>
          <w:szCs w:val="18"/>
          <w:highlight w:val="yellow"/>
          <w:u w:val="double"/>
        </w:rPr>
        <w:t xml:space="preserve"> aquaculture establishment </w:t>
      </w:r>
      <w:r w:rsidRPr="00D403F5">
        <w:rPr>
          <w:rFonts w:ascii="Arial" w:hAnsi="Arial" w:cs="Arial"/>
          <w:color w:val="000000"/>
          <w:sz w:val="18"/>
          <w:szCs w:val="18"/>
          <w:highlight w:val="yellow"/>
          <w:u w:val="double"/>
        </w:rPr>
        <w:t>is</w:t>
      </w:r>
      <w:r w:rsidRPr="00D403F5">
        <w:rPr>
          <w:rFonts w:ascii="Arial" w:hAnsi="Arial" w:cs="Arial"/>
          <w:i/>
          <w:color w:val="000000"/>
          <w:sz w:val="18"/>
          <w:szCs w:val="18"/>
          <w:highlight w:val="yellow"/>
          <w:u w:val="double"/>
        </w:rPr>
        <w:t xml:space="preserve"> </w:t>
      </w:r>
      <w:r w:rsidRPr="00D403F5">
        <w:rPr>
          <w:rFonts w:ascii="Arial" w:hAnsi="Arial" w:cs="Arial"/>
          <w:color w:val="000000"/>
          <w:sz w:val="18"/>
          <w:szCs w:val="18"/>
          <w:highlight w:val="yellow"/>
          <w:u w:val="double"/>
        </w:rPr>
        <w:t xml:space="preserve">integral to effective </w:t>
      </w:r>
      <w:r w:rsidRPr="00D403F5">
        <w:rPr>
          <w:rFonts w:ascii="Arial" w:hAnsi="Arial" w:cs="Arial"/>
          <w:i/>
          <w:color w:val="000000"/>
          <w:sz w:val="18"/>
          <w:szCs w:val="18"/>
          <w:highlight w:val="yellow"/>
          <w:u w:val="double"/>
        </w:rPr>
        <w:t>biosecurity</w:t>
      </w:r>
      <w:r w:rsidRPr="00D403F5">
        <w:rPr>
          <w:rFonts w:ascii="Arial" w:hAnsi="Arial" w:cs="Arial"/>
          <w:color w:val="000000"/>
          <w:sz w:val="18"/>
          <w:szCs w:val="18"/>
          <w:highlight w:val="yellow"/>
          <w:u w:val="double"/>
        </w:rPr>
        <w:t xml:space="preserve"> at the level of a country, </w:t>
      </w:r>
      <w:r w:rsidRPr="00D403F5">
        <w:rPr>
          <w:rFonts w:ascii="Arial" w:hAnsi="Arial" w:cs="Arial"/>
          <w:i/>
          <w:color w:val="000000"/>
          <w:sz w:val="18"/>
          <w:szCs w:val="18"/>
          <w:highlight w:val="yellow"/>
          <w:u w:val="double"/>
        </w:rPr>
        <w:t>zone</w:t>
      </w:r>
      <w:r w:rsidRPr="00D403F5">
        <w:rPr>
          <w:rFonts w:ascii="Arial" w:hAnsi="Arial" w:cs="Arial"/>
          <w:color w:val="000000"/>
          <w:sz w:val="18"/>
          <w:szCs w:val="18"/>
          <w:highlight w:val="yellow"/>
          <w:u w:val="double"/>
        </w:rPr>
        <w:t xml:space="preserve"> or </w:t>
      </w:r>
      <w:r w:rsidRPr="00D403F5">
        <w:rPr>
          <w:rFonts w:ascii="Arial" w:hAnsi="Arial" w:cs="Arial"/>
          <w:i/>
          <w:color w:val="000000"/>
          <w:sz w:val="18"/>
          <w:szCs w:val="18"/>
          <w:highlight w:val="yellow"/>
          <w:u w:val="double"/>
        </w:rPr>
        <w:t>compartment</w:t>
      </w:r>
      <w:r w:rsidRPr="00D403F5">
        <w:rPr>
          <w:rFonts w:ascii="Arial" w:hAnsi="Arial" w:cs="Arial"/>
          <w:color w:val="000000"/>
          <w:sz w:val="18"/>
          <w:szCs w:val="18"/>
          <w:highlight w:val="yellow"/>
          <w:u w:val="double"/>
        </w:rPr>
        <w:t xml:space="preserve"> and thus the optimal health status of </w:t>
      </w:r>
      <w:r w:rsidRPr="00D403F5">
        <w:rPr>
          <w:rFonts w:ascii="Arial" w:hAnsi="Arial" w:cs="Arial"/>
          <w:i/>
          <w:color w:val="000000"/>
          <w:sz w:val="18"/>
          <w:szCs w:val="18"/>
          <w:highlight w:val="yellow"/>
          <w:u w:val="double"/>
        </w:rPr>
        <w:t xml:space="preserve">aquatic animal </w:t>
      </w:r>
      <w:r w:rsidRPr="00D403F5">
        <w:rPr>
          <w:rFonts w:ascii="Arial" w:hAnsi="Arial" w:cs="Arial"/>
          <w:color w:val="000000"/>
          <w:sz w:val="18"/>
          <w:szCs w:val="18"/>
          <w:highlight w:val="yellow"/>
          <w:u w:val="double"/>
        </w:rPr>
        <w:t>populations.</w:t>
      </w:r>
      <w:r w:rsidRPr="00D403F5">
        <w:rPr>
          <w:rFonts w:ascii="Arial" w:hAnsi="Arial" w:cs="Arial"/>
          <w:color w:val="000000"/>
          <w:sz w:val="18"/>
          <w:szCs w:val="18"/>
          <w:u w:val="double"/>
        </w:rPr>
        <w:t xml:space="preserve"> </w:t>
      </w:r>
      <w:r w:rsidRPr="00D403F5">
        <w:rPr>
          <w:rFonts w:ascii="Arial" w:hAnsi="Arial" w:cs="Arial"/>
          <w:color w:val="000000"/>
          <w:sz w:val="18"/>
          <w:szCs w:val="18"/>
        </w:rPr>
        <w:t xml:space="preserve">This chapter describes </w:t>
      </w:r>
      <w:r w:rsidRPr="00D403F5">
        <w:rPr>
          <w:rFonts w:ascii="Arial" w:hAnsi="Arial" w:cs="Arial"/>
          <w:i/>
          <w:color w:val="000000"/>
          <w:sz w:val="18"/>
          <w:szCs w:val="18"/>
        </w:rPr>
        <w:t>biosecurity</w:t>
      </w:r>
      <w:r w:rsidRPr="00D403F5">
        <w:rPr>
          <w:rFonts w:ascii="Arial" w:hAnsi="Arial" w:cs="Arial"/>
          <w:color w:val="000000"/>
          <w:sz w:val="18"/>
          <w:szCs w:val="18"/>
        </w:rPr>
        <w:t xml:space="preserve"> principles </w:t>
      </w:r>
      <w:r w:rsidRPr="00D403F5">
        <w:rPr>
          <w:rFonts w:ascii="Arial" w:hAnsi="Arial" w:cs="Arial"/>
          <w:color w:val="000000"/>
          <w:sz w:val="18"/>
          <w:szCs w:val="18"/>
          <w:highlight w:val="yellow"/>
          <w:u w:val="double"/>
        </w:rPr>
        <w:t>designed</w:t>
      </w:r>
      <w:r w:rsidRPr="00D403F5">
        <w:rPr>
          <w:rFonts w:ascii="Arial" w:hAnsi="Arial" w:cs="Arial"/>
          <w:color w:val="000000"/>
          <w:sz w:val="18"/>
          <w:szCs w:val="18"/>
        </w:rPr>
        <w:t xml:space="preserve"> to mitigate the </w:t>
      </w:r>
      <w:r w:rsidRPr="00D403F5">
        <w:rPr>
          <w:rFonts w:ascii="Arial" w:hAnsi="Arial" w:cs="Arial"/>
          <w:i/>
          <w:color w:val="000000"/>
          <w:sz w:val="18"/>
          <w:szCs w:val="18"/>
        </w:rPr>
        <w:t>risks</w:t>
      </w:r>
      <w:r w:rsidRPr="00D403F5">
        <w:rPr>
          <w:rFonts w:ascii="Arial" w:hAnsi="Arial" w:cs="Arial"/>
          <w:color w:val="000000"/>
          <w:sz w:val="18"/>
          <w:szCs w:val="18"/>
        </w:rPr>
        <w:t xml:space="preserve"> associated with the introduction of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the spread within, or the release from </w:t>
      </w:r>
      <w:r w:rsidRPr="00D403F5">
        <w:rPr>
          <w:rFonts w:ascii="Arial" w:hAnsi="Arial" w:cs="Arial"/>
          <w:i/>
          <w:color w:val="000000"/>
          <w:sz w:val="18"/>
          <w:szCs w:val="18"/>
        </w:rPr>
        <w:t xml:space="preserve">aquaculture establishments. </w:t>
      </w:r>
      <w:r w:rsidRPr="00D403F5">
        <w:rPr>
          <w:rFonts w:ascii="Arial" w:hAnsi="Arial" w:cs="Arial"/>
          <w:strike/>
          <w:color w:val="000000"/>
          <w:sz w:val="18"/>
          <w:szCs w:val="18"/>
          <w:highlight w:val="yellow"/>
        </w:rPr>
        <w:t>The application of</w:t>
      </w:r>
      <w:r w:rsidRPr="00D403F5">
        <w:rPr>
          <w:rFonts w:ascii="Arial" w:hAnsi="Arial" w:cs="Arial"/>
          <w:i/>
          <w:strike/>
          <w:color w:val="000000"/>
          <w:sz w:val="18"/>
          <w:szCs w:val="18"/>
          <w:highlight w:val="yellow"/>
        </w:rPr>
        <w:t xml:space="preserve"> biosecurity </w:t>
      </w:r>
      <w:r w:rsidRPr="00D403F5">
        <w:rPr>
          <w:rFonts w:ascii="Arial" w:hAnsi="Arial" w:cs="Arial"/>
          <w:strike/>
          <w:color w:val="000000"/>
          <w:sz w:val="18"/>
          <w:szCs w:val="18"/>
          <w:highlight w:val="yellow"/>
        </w:rPr>
        <w:t>at the level of an</w:t>
      </w:r>
      <w:r w:rsidRPr="00D403F5">
        <w:rPr>
          <w:rFonts w:ascii="Arial" w:hAnsi="Arial" w:cs="Arial"/>
          <w:i/>
          <w:strike/>
          <w:color w:val="000000"/>
          <w:sz w:val="18"/>
          <w:szCs w:val="18"/>
          <w:highlight w:val="yellow"/>
        </w:rPr>
        <w:t xml:space="preserve"> aquaculture establishment </w:t>
      </w:r>
      <w:r w:rsidRPr="00D403F5">
        <w:rPr>
          <w:rFonts w:ascii="Arial" w:hAnsi="Arial" w:cs="Arial"/>
          <w:strike/>
          <w:color w:val="000000"/>
          <w:sz w:val="18"/>
          <w:szCs w:val="18"/>
          <w:highlight w:val="yellow"/>
        </w:rPr>
        <w:t>may be</w:t>
      </w:r>
      <w:r w:rsidRPr="00D403F5">
        <w:rPr>
          <w:rFonts w:ascii="Arial" w:hAnsi="Arial" w:cs="Arial"/>
          <w:i/>
          <w:strike/>
          <w:color w:val="000000"/>
          <w:sz w:val="18"/>
          <w:szCs w:val="18"/>
          <w:highlight w:val="yellow"/>
        </w:rPr>
        <w:t xml:space="preserve"> </w:t>
      </w:r>
      <w:r w:rsidRPr="00D403F5">
        <w:rPr>
          <w:rFonts w:ascii="Arial" w:hAnsi="Arial" w:cs="Arial"/>
          <w:strike/>
          <w:color w:val="000000"/>
          <w:sz w:val="18"/>
          <w:szCs w:val="18"/>
          <w:highlight w:val="yellow"/>
        </w:rPr>
        <w:t xml:space="preserve">integral to effective </w:t>
      </w:r>
      <w:r w:rsidRPr="00D403F5">
        <w:rPr>
          <w:rFonts w:ascii="Arial" w:hAnsi="Arial" w:cs="Arial"/>
          <w:i/>
          <w:strike/>
          <w:color w:val="000000"/>
          <w:sz w:val="18"/>
          <w:szCs w:val="18"/>
          <w:highlight w:val="yellow"/>
        </w:rPr>
        <w:t>biosecurity</w:t>
      </w:r>
      <w:r w:rsidRPr="00D403F5">
        <w:rPr>
          <w:rFonts w:ascii="Arial" w:hAnsi="Arial" w:cs="Arial"/>
          <w:strike/>
          <w:color w:val="000000"/>
          <w:sz w:val="18"/>
          <w:szCs w:val="18"/>
          <w:highlight w:val="yellow"/>
        </w:rPr>
        <w:t xml:space="preserve"> at the level of a country, </w:t>
      </w:r>
      <w:r w:rsidRPr="00D403F5">
        <w:rPr>
          <w:rFonts w:ascii="Arial" w:hAnsi="Arial" w:cs="Arial"/>
          <w:i/>
          <w:strike/>
          <w:color w:val="000000"/>
          <w:sz w:val="18"/>
          <w:szCs w:val="18"/>
          <w:highlight w:val="yellow"/>
        </w:rPr>
        <w:t>zone</w:t>
      </w:r>
      <w:r w:rsidRPr="00D403F5">
        <w:rPr>
          <w:rFonts w:ascii="Arial" w:hAnsi="Arial" w:cs="Arial"/>
          <w:strike/>
          <w:color w:val="000000"/>
          <w:sz w:val="18"/>
          <w:szCs w:val="18"/>
          <w:highlight w:val="yellow"/>
        </w:rPr>
        <w:t xml:space="preserve"> or </w:t>
      </w:r>
      <w:r w:rsidRPr="00D403F5">
        <w:rPr>
          <w:rFonts w:ascii="Arial" w:hAnsi="Arial" w:cs="Arial"/>
          <w:i/>
          <w:strike/>
          <w:color w:val="000000"/>
          <w:sz w:val="18"/>
          <w:szCs w:val="18"/>
          <w:highlight w:val="yellow"/>
        </w:rPr>
        <w:t>compartment</w:t>
      </w:r>
      <w:r w:rsidRPr="00D403F5">
        <w:rPr>
          <w:rFonts w:ascii="Arial" w:hAnsi="Arial" w:cs="Arial"/>
          <w:strike/>
          <w:color w:val="000000"/>
          <w:sz w:val="18"/>
          <w:szCs w:val="18"/>
          <w:highlight w:val="yellow"/>
        </w:rPr>
        <w:t xml:space="preserve"> to maintain the optimal health status of </w:t>
      </w:r>
      <w:r w:rsidRPr="00D403F5">
        <w:rPr>
          <w:rFonts w:ascii="Arial" w:hAnsi="Arial" w:cs="Arial"/>
          <w:i/>
          <w:strike/>
          <w:color w:val="000000"/>
          <w:sz w:val="18"/>
          <w:szCs w:val="18"/>
          <w:highlight w:val="yellow"/>
        </w:rPr>
        <w:t xml:space="preserve">aquatic animal </w:t>
      </w:r>
      <w:r w:rsidRPr="00D403F5">
        <w:rPr>
          <w:rFonts w:ascii="Arial" w:hAnsi="Arial" w:cs="Arial"/>
          <w:strike/>
          <w:color w:val="000000"/>
          <w:sz w:val="18"/>
          <w:szCs w:val="18"/>
          <w:highlight w:val="yellow"/>
        </w:rPr>
        <w:t>populations.</w:t>
      </w:r>
    </w:p>
    <w:p w14:paraId="18C46E34" w14:textId="77777777" w:rsidR="007B3D5C" w:rsidRPr="00D403F5" w:rsidRDefault="007B3D5C" w:rsidP="00456872">
      <w:pPr>
        <w:pStyle w:val="paragraph"/>
        <w:spacing w:before="0" w:beforeAutospacing="0" w:after="240" w:afterAutospacing="0"/>
        <w:jc w:val="both"/>
        <w:textAlignment w:val="baseline"/>
        <w:rPr>
          <w:rStyle w:val="eop"/>
          <w:rFonts w:eastAsia="Arial"/>
          <w:color w:val="000000"/>
          <w:sz w:val="18"/>
          <w:szCs w:val="18"/>
        </w:rPr>
      </w:pPr>
      <w:r w:rsidRPr="00D403F5">
        <w:rPr>
          <w:rStyle w:val="normaltextrun"/>
          <w:rFonts w:ascii="Arial" w:eastAsia="Arial" w:hAnsi="Arial" w:cs="Arial"/>
          <w:color w:val="000000"/>
          <w:sz w:val="18"/>
          <w:szCs w:val="18"/>
        </w:rPr>
        <w:t>Given the unique challenges posed by varied aquaculture production systems and the vast diversity of farmed aquatic animal species, the development of biosecurity plans for aquaculture establishments</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requires the assessment of disease</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risks posed by specific pathogenic agents and their potential transmission pathways. A biosecurity plan describes physical and management measures to mitigate the identified risks</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according to the circumstances of the aquaculture establishment.</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highlight w:val="yellow"/>
          <w:u w:val="double"/>
        </w:rPr>
        <w:t>Aquaculture establishment s</w:t>
      </w:r>
      <w:r w:rsidRPr="00D403F5">
        <w:rPr>
          <w:rStyle w:val="normaltextrun"/>
          <w:rFonts w:ascii="Arial" w:eastAsia="Arial" w:hAnsi="Arial" w:cs="Arial"/>
          <w:strike/>
          <w:color w:val="000000"/>
          <w:sz w:val="18"/>
          <w:szCs w:val="18"/>
          <w:highlight w:val="yellow"/>
        </w:rPr>
        <w:t>S</w:t>
      </w:r>
      <w:r w:rsidRPr="00D403F5">
        <w:rPr>
          <w:rStyle w:val="normaltextrun"/>
          <w:rFonts w:ascii="Arial" w:eastAsia="Arial" w:hAnsi="Arial" w:cs="Arial"/>
          <w:color w:val="000000"/>
          <w:sz w:val="18"/>
          <w:szCs w:val="18"/>
        </w:rPr>
        <w:t xml:space="preserve">taff, </w:t>
      </w:r>
      <w:r w:rsidRPr="00D403F5">
        <w:rPr>
          <w:rStyle w:val="normaltextrun"/>
          <w:rFonts w:ascii="Arial" w:eastAsia="Arial" w:hAnsi="Arial" w:cs="Arial"/>
          <w:strike/>
          <w:color w:val="000000"/>
          <w:sz w:val="18"/>
          <w:szCs w:val="18"/>
        </w:rPr>
        <w:t>and</w:t>
      </w:r>
      <w:r w:rsidRPr="00D403F5">
        <w:rPr>
          <w:rStyle w:val="normaltextrun"/>
          <w:rFonts w:ascii="Arial" w:eastAsia="Arial" w:hAnsi="Arial" w:cs="Arial"/>
          <w:color w:val="000000"/>
          <w:sz w:val="18"/>
          <w:szCs w:val="18"/>
        </w:rPr>
        <w:t xml:space="preserve"> service providers </w:t>
      </w:r>
      <w:r w:rsidRPr="00D403F5">
        <w:rPr>
          <w:rStyle w:val="normaltextrun"/>
          <w:rFonts w:ascii="Arial" w:eastAsia="Arial" w:hAnsi="Arial" w:cs="Arial"/>
          <w:color w:val="000000"/>
          <w:sz w:val="18"/>
          <w:szCs w:val="18"/>
          <w:u w:val="double"/>
        </w:rPr>
        <w:t>and aquatic animal health professionals or veterinarians</w:t>
      </w:r>
      <w:r w:rsidRPr="00D403F5">
        <w:rPr>
          <w:rStyle w:val="normaltextrun"/>
          <w:rFonts w:ascii="Arial" w:eastAsia="Arial" w:hAnsi="Arial" w:cs="Arial"/>
          <w:color w:val="000000"/>
          <w:sz w:val="18"/>
          <w:szCs w:val="18"/>
        </w:rPr>
        <w:t xml:space="preserve"> should be engaged in develop</w:t>
      </w:r>
      <w:r w:rsidRPr="00D403F5">
        <w:rPr>
          <w:rStyle w:val="normaltextrun"/>
          <w:rFonts w:ascii="Arial" w:eastAsia="SimSun" w:hAnsi="Arial" w:cs="Arial" w:hint="eastAsia"/>
          <w:color w:val="000000"/>
          <w:sz w:val="18"/>
          <w:szCs w:val="18"/>
          <w:lang w:eastAsia="zh-CN"/>
        </w:rPr>
        <w:t>ing</w:t>
      </w:r>
      <w:r w:rsidRPr="00D403F5">
        <w:rPr>
          <w:rStyle w:val="normaltextrun"/>
          <w:rFonts w:ascii="Arial" w:eastAsia="Arial" w:hAnsi="Arial" w:cs="Arial"/>
          <w:color w:val="000000"/>
          <w:sz w:val="18"/>
          <w:szCs w:val="18"/>
        </w:rPr>
        <w:t xml:space="preserve"> and implement</w:t>
      </w:r>
      <w:r w:rsidRPr="00D403F5">
        <w:rPr>
          <w:rStyle w:val="normaltextrun"/>
          <w:rFonts w:ascii="Arial" w:eastAsia="SimSun" w:hAnsi="Arial" w:cs="Arial" w:hint="eastAsia"/>
          <w:color w:val="000000"/>
          <w:sz w:val="18"/>
          <w:szCs w:val="18"/>
          <w:lang w:eastAsia="zh-CN"/>
        </w:rPr>
        <w:t>ing</w:t>
      </w:r>
      <w:r w:rsidRPr="00D403F5">
        <w:rPr>
          <w:rStyle w:val="normaltextrun"/>
          <w:rFonts w:ascii="Arial" w:eastAsia="Arial" w:hAnsi="Arial" w:cs="Arial"/>
          <w:color w:val="000000"/>
          <w:sz w:val="18"/>
          <w:szCs w:val="18"/>
        </w:rPr>
        <w:t xml:space="preserve"> the biosecurity plan to ensure it is practical and effective.</w:t>
      </w:r>
    </w:p>
    <w:p w14:paraId="42C479C3" w14:textId="77777777" w:rsidR="007B3D5C" w:rsidRPr="00D403F5" w:rsidRDefault="007B3D5C" w:rsidP="00456872">
      <w:pPr>
        <w:pStyle w:val="paragraph"/>
        <w:spacing w:before="0" w:beforeAutospacing="0" w:after="240" w:afterAutospacing="0"/>
        <w:jc w:val="both"/>
        <w:textAlignment w:val="baseline"/>
        <w:rPr>
          <w:rFonts w:ascii="Arial" w:hAnsi="Arial" w:cs="Arial"/>
          <w:color w:val="000000"/>
          <w:sz w:val="18"/>
          <w:szCs w:val="18"/>
        </w:rPr>
      </w:pPr>
      <w:r w:rsidRPr="00D403F5">
        <w:rPr>
          <w:rStyle w:val="eop"/>
          <w:rFonts w:ascii="Arial" w:eastAsia="MS Mincho" w:hAnsi="Arial"/>
          <w:color w:val="000000"/>
          <w:sz w:val="18"/>
          <w:szCs w:val="18"/>
        </w:rPr>
        <w:t xml:space="preserve">The outcome achieved through the implementation of </w:t>
      </w:r>
      <w:r w:rsidRPr="00D403F5">
        <w:rPr>
          <w:rStyle w:val="eop"/>
          <w:rFonts w:ascii="Arial" w:eastAsia="MS Mincho" w:hAnsi="Arial"/>
          <w:i/>
          <w:color w:val="000000"/>
          <w:sz w:val="18"/>
          <w:szCs w:val="18"/>
        </w:rPr>
        <w:t xml:space="preserve">biosecurity </w:t>
      </w:r>
      <w:r w:rsidRPr="00D403F5">
        <w:rPr>
          <w:rStyle w:val="eop"/>
          <w:rFonts w:ascii="Arial" w:eastAsia="MS Mincho" w:hAnsi="Arial"/>
          <w:color w:val="000000"/>
          <w:sz w:val="18"/>
          <w:szCs w:val="18"/>
        </w:rPr>
        <w:t xml:space="preserve">at </w:t>
      </w:r>
      <w:r w:rsidRPr="00D403F5">
        <w:rPr>
          <w:rStyle w:val="eop"/>
          <w:rFonts w:ascii="Arial" w:eastAsia="MS Mincho" w:hAnsi="Arial"/>
          <w:i/>
          <w:color w:val="000000"/>
          <w:sz w:val="18"/>
          <w:szCs w:val="18"/>
        </w:rPr>
        <w:t xml:space="preserve">aquaculture establishments </w:t>
      </w:r>
      <w:r w:rsidRPr="00D403F5">
        <w:rPr>
          <w:rFonts w:ascii="Arial" w:hAnsi="Arial" w:cs="Arial"/>
          <w:color w:val="000000"/>
          <w:sz w:val="18"/>
          <w:szCs w:val="18"/>
        </w:rPr>
        <w:t xml:space="preserve">is improved health </w:t>
      </w:r>
      <w:r w:rsidRPr="00D403F5">
        <w:rPr>
          <w:rFonts w:ascii="Arial" w:hAnsi="Arial" w:cs="Arial"/>
          <w:sz w:val="18"/>
          <w:szCs w:val="18"/>
          <w:highlight w:val="yellow"/>
          <w:u w:val="double"/>
        </w:rPr>
        <w:t>and welfare</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rPr>
        <w:t>status</w:t>
      </w:r>
      <w:r w:rsidRPr="00D403F5">
        <w:rPr>
          <w:rFonts w:ascii="Arial" w:hAnsi="Arial" w:cs="Arial"/>
          <w:color w:val="000000"/>
          <w:sz w:val="18"/>
          <w:szCs w:val="18"/>
        </w:rPr>
        <w:t xml:space="preserve"> of </w:t>
      </w:r>
      <w:r w:rsidRPr="00D403F5">
        <w:rPr>
          <w:rFonts w:ascii="Arial" w:hAnsi="Arial" w:cs="Arial"/>
          <w:i/>
          <w:color w:val="000000"/>
          <w:sz w:val="18"/>
          <w:szCs w:val="18"/>
        </w:rPr>
        <w:t>aquatic animals</w:t>
      </w:r>
      <w:r w:rsidRPr="00D403F5">
        <w:rPr>
          <w:rFonts w:ascii="Arial" w:hAnsi="Arial" w:cs="Arial"/>
          <w:color w:val="000000"/>
          <w:sz w:val="18"/>
          <w:szCs w:val="18"/>
        </w:rPr>
        <w:t xml:space="preserve"> throughout the production cycle. The benefits include </w:t>
      </w:r>
      <w:r w:rsidRPr="00D403F5">
        <w:rPr>
          <w:rFonts w:ascii="Arial" w:hAnsi="Arial" w:cs="Arial"/>
          <w:color w:val="000000"/>
          <w:sz w:val="18"/>
          <w:szCs w:val="18"/>
          <w:highlight w:val="yellow"/>
          <w:u w:val="double"/>
        </w:rPr>
        <w:t>improved</w:t>
      </w:r>
      <w:r w:rsidRPr="00D403F5">
        <w:rPr>
          <w:rFonts w:ascii="Arial" w:hAnsi="Arial" w:cs="Arial"/>
          <w:color w:val="000000"/>
          <w:sz w:val="18"/>
          <w:szCs w:val="18"/>
        </w:rPr>
        <w:t xml:space="preserve"> market access and increased productivity, directly through improved survival, growth rates and </w:t>
      </w:r>
      <w:r w:rsidRPr="00D403F5">
        <w:rPr>
          <w:rFonts w:ascii="Arial" w:hAnsi="Arial" w:cs="Arial"/>
          <w:i/>
          <w:color w:val="000000"/>
          <w:sz w:val="18"/>
          <w:szCs w:val="18"/>
        </w:rPr>
        <w:t>feed</w:t>
      </w:r>
      <w:r w:rsidRPr="00D403F5">
        <w:rPr>
          <w:rFonts w:ascii="Arial" w:hAnsi="Arial" w:cs="Arial"/>
          <w:color w:val="000000"/>
          <w:sz w:val="18"/>
          <w:szCs w:val="18"/>
        </w:rPr>
        <w:t xml:space="preserve"> conversion and indirectly through </w:t>
      </w:r>
      <w:r w:rsidRPr="00D403F5">
        <w:rPr>
          <w:rFonts w:ascii="Arial" w:hAnsi="Arial" w:cs="Arial"/>
          <w:strike/>
          <w:color w:val="000000"/>
          <w:sz w:val="18"/>
          <w:szCs w:val="18"/>
        </w:rPr>
        <w:t>the</w:t>
      </w:r>
      <w:r w:rsidRPr="00D403F5">
        <w:rPr>
          <w:rFonts w:ascii="Arial" w:hAnsi="Arial" w:cs="Arial"/>
          <w:color w:val="000000"/>
          <w:sz w:val="18"/>
          <w:szCs w:val="18"/>
        </w:rPr>
        <w:t xml:space="preserve"> </w:t>
      </w:r>
      <w:r w:rsidRPr="00D403F5">
        <w:rPr>
          <w:rFonts w:ascii="Arial" w:hAnsi="Arial" w:cs="Arial"/>
          <w:color w:val="000000"/>
          <w:sz w:val="18"/>
          <w:szCs w:val="18"/>
          <w:highlight w:val="yellow"/>
          <w:u w:val="double"/>
        </w:rPr>
        <w:t>a</w:t>
      </w:r>
      <w:r w:rsidRPr="00D403F5">
        <w:rPr>
          <w:rFonts w:ascii="Arial" w:hAnsi="Arial" w:cs="Arial"/>
          <w:color w:val="000000"/>
          <w:sz w:val="18"/>
          <w:szCs w:val="18"/>
        </w:rPr>
        <w:t xml:space="preserve"> reduction </w:t>
      </w:r>
      <w:r w:rsidRPr="00D403F5">
        <w:rPr>
          <w:rFonts w:ascii="Arial" w:hAnsi="Arial" w:cs="Arial"/>
          <w:color w:val="000000"/>
          <w:sz w:val="18"/>
          <w:szCs w:val="18"/>
          <w:highlight w:val="yellow"/>
          <w:u w:val="double"/>
        </w:rPr>
        <w:t>in the use</w:t>
      </w:r>
      <w:r w:rsidRPr="00D403F5">
        <w:rPr>
          <w:rFonts w:ascii="Arial" w:hAnsi="Arial" w:cs="Arial"/>
          <w:color w:val="000000"/>
          <w:sz w:val="18"/>
          <w:szCs w:val="18"/>
          <w:u w:val="double"/>
        </w:rPr>
        <w:t xml:space="preserve"> </w:t>
      </w:r>
      <w:r w:rsidRPr="00D403F5">
        <w:rPr>
          <w:rFonts w:ascii="Arial" w:hAnsi="Arial" w:cs="Arial"/>
          <w:strike/>
          <w:color w:val="000000"/>
          <w:sz w:val="18"/>
          <w:szCs w:val="18"/>
          <w:highlight w:val="yellow"/>
        </w:rPr>
        <w:t>in treatments</w:t>
      </w:r>
      <w:r w:rsidRPr="00D403F5">
        <w:rPr>
          <w:rFonts w:ascii="Arial" w:hAnsi="Arial" w:cs="Arial"/>
          <w:color w:val="000000"/>
          <w:sz w:val="18"/>
          <w:szCs w:val="18"/>
        </w:rPr>
        <w:t xml:space="preserve"> </w:t>
      </w:r>
      <w:r w:rsidRPr="00D403F5">
        <w:rPr>
          <w:rFonts w:ascii="Arial" w:hAnsi="Arial" w:cs="Arial"/>
          <w:sz w:val="18"/>
          <w:szCs w:val="18"/>
          <w:highlight w:val="yellow"/>
          <w:u w:val="double"/>
        </w:rPr>
        <w:t>of veterinary medicinal products</w:t>
      </w:r>
      <w:r w:rsidRPr="00D403F5">
        <w:rPr>
          <w:rFonts w:ascii="Arial" w:hAnsi="Arial" w:cs="Arial"/>
          <w:color w:val="000000"/>
          <w:sz w:val="18"/>
          <w:szCs w:val="18"/>
          <w:highlight w:val="yellow"/>
          <w:u w:val="double"/>
        </w:rPr>
        <w:t xml:space="preserve"> (including </w:t>
      </w:r>
      <w:r w:rsidRPr="00D403F5">
        <w:rPr>
          <w:rFonts w:ascii="Arial" w:hAnsi="Arial" w:cs="Arial"/>
          <w:i/>
          <w:sz w:val="18"/>
          <w:szCs w:val="18"/>
          <w:highlight w:val="yellow"/>
          <w:u w:val="double"/>
        </w:rPr>
        <w:t>antimicrobial agents</w:t>
      </w:r>
      <w:r w:rsidRPr="00D403F5">
        <w:rPr>
          <w:rFonts w:ascii="Arial" w:hAnsi="Arial" w:cs="Arial"/>
          <w:sz w:val="18"/>
          <w:szCs w:val="18"/>
          <w:highlight w:val="yellow"/>
          <w:u w:val="double"/>
        </w:rPr>
        <w:t>)</w:t>
      </w:r>
      <w:r w:rsidRPr="00D403F5">
        <w:rPr>
          <w:rFonts w:ascii="Arial" w:hAnsi="Arial" w:cs="Arial"/>
          <w:sz w:val="18"/>
          <w:szCs w:val="18"/>
          <w:u w:val="double"/>
        </w:rPr>
        <w:t xml:space="preserve"> </w:t>
      </w:r>
      <w:r w:rsidRPr="00D403F5">
        <w:rPr>
          <w:rFonts w:ascii="Arial" w:hAnsi="Arial" w:cs="Arial"/>
          <w:color w:val="000000"/>
          <w:sz w:val="18"/>
          <w:szCs w:val="18"/>
        </w:rPr>
        <w:t xml:space="preserve">and associated production costs. </w:t>
      </w:r>
    </w:p>
    <w:p w14:paraId="77ED18CE" w14:textId="77777777" w:rsidR="007B3D5C" w:rsidRPr="00D403F5" w:rsidRDefault="007B3D5C" w:rsidP="00456872">
      <w:pPr>
        <w:spacing w:after="480"/>
        <w:rPr>
          <w:rFonts w:ascii="Times New Roman" w:hAnsi="Times New Roman" w:cs="Times New Roman"/>
          <w:sz w:val="18"/>
          <w:szCs w:val="18"/>
          <w:lang w:val="fr-FR"/>
        </w:rPr>
      </w:pPr>
      <w:r w:rsidRPr="00D403F5">
        <w:rPr>
          <w:rFonts w:ascii="Times New Roman" w:hAnsi="Times New Roman" w:cs="Times New Roman"/>
          <w:sz w:val="18"/>
          <w:szCs w:val="18"/>
          <w:u w:val="single"/>
          <w:lang w:val="fr-FR"/>
        </w:rPr>
        <w:t>Annex 3 B</w:t>
      </w:r>
      <w:r w:rsidRPr="00D403F5">
        <w:rPr>
          <w:rFonts w:ascii="Times New Roman" w:hAnsi="Times New Roman" w:cs="Times New Roman"/>
          <w:sz w:val="18"/>
          <w:szCs w:val="18"/>
          <w:lang w:val="fr-FR"/>
        </w:rPr>
        <w:t xml:space="preserve"> (suite)</w:t>
      </w:r>
    </w:p>
    <w:p w14:paraId="5DDD8009" w14:textId="77777777" w:rsidR="007B3D5C" w:rsidRPr="00D403F5" w:rsidRDefault="007B3D5C" w:rsidP="00456872">
      <w:pPr>
        <w:spacing w:after="240"/>
        <w:jc w:val="center"/>
        <w:rPr>
          <w:rFonts w:ascii="Ottawa" w:hAnsi="Ottawa" w:cs="Arial"/>
          <w:sz w:val="18"/>
          <w:szCs w:val="18"/>
          <w:lang w:val="fr-FR"/>
        </w:rPr>
      </w:pPr>
      <w:r w:rsidRPr="00D403F5">
        <w:rPr>
          <w:rFonts w:ascii="Ottawa" w:hAnsi="Ottawa" w:cs="Arial"/>
          <w:sz w:val="18"/>
          <w:szCs w:val="18"/>
          <w:lang w:val="fr-FR"/>
        </w:rPr>
        <w:t>Article 4.X.4.</w:t>
      </w:r>
    </w:p>
    <w:p w14:paraId="1585B403" w14:textId="77777777" w:rsidR="007B3D5C" w:rsidRPr="00D403F5" w:rsidRDefault="007B3D5C" w:rsidP="00456872">
      <w:pPr>
        <w:pStyle w:val="2"/>
        <w:tabs>
          <w:tab w:val="clear" w:pos="360"/>
        </w:tabs>
        <w:ind w:left="0" w:firstLine="0"/>
        <w:rPr>
          <w:rFonts w:ascii="Times New Roman" w:hAnsi="Times New Roman"/>
          <w:sz w:val="18"/>
          <w:szCs w:val="18"/>
          <w:u w:val="single"/>
        </w:rPr>
      </w:pPr>
      <w:r w:rsidRPr="00D403F5">
        <w:rPr>
          <w:rFonts w:cs="Arial"/>
          <w:sz w:val="18"/>
          <w:szCs w:val="18"/>
        </w:rPr>
        <w:t>General principles</w:t>
      </w:r>
    </w:p>
    <w:p w14:paraId="4557894B" w14:textId="77777777" w:rsidR="007B3D5C" w:rsidRPr="00D403F5" w:rsidRDefault="007B3D5C" w:rsidP="00456872">
      <w:pPr>
        <w:pStyle w:val="paragraph"/>
        <w:spacing w:before="0" w:beforeAutospacing="0" w:after="240" w:afterAutospacing="0"/>
        <w:jc w:val="both"/>
        <w:textAlignment w:val="baseline"/>
        <w:rPr>
          <w:rFonts w:ascii="Arial" w:hAnsi="Arial" w:cs="Arial"/>
          <w:sz w:val="18"/>
          <w:szCs w:val="18"/>
        </w:rPr>
      </w:pPr>
      <w:r w:rsidRPr="00D403F5">
        <w:rPr>
          <w:rStyle w:val="normaltextrun"/>
          <w:rFonts w:ascii="Arial" w:eastAsia="Arial" w:hAnsi="Arial" w:cs="Arial"/>
          <w:color w:val="000000"/>
          <w:sz w:val="18"/>
          <w:szCs w:val="18"/>
        </w:rPr>
        <w:t xml:space="preserve">Biosecurity is a set of physical and management measures which, when used together, cumulatively reduce the risk of infection in aquatic animal populations </w:t>
      </w:r>
      <w:r w:rsidRPr="00D403F5">
        <w:rPr>
          <w:rStyle w:val="normaltextrun"/>
          <w:rFonts w:ascii="Arial" w:eastAsia="Arial" w:hAnsi="Arial" w:cs="Arial"/>
          <w:strike/>
          <w:color w:val="000000"/>
          <w:sz w:val="18"/>
          <w:szCs w:val="18"/>
        </w:rPr>
        <w:t>at</w:t>
      </w:r>
      <w:r w:rsidRPr="00D403F5">
        <w:rPr>
          <w:rStyle w:val="normaltextrun"/>
          <w:rFonts w:ascii="Arial" w:eastAsia="Arial" w:hAnsi="Arial" w:cs="Arial"/>
          <w:color w:val="000000"/>
          <w:sz w:val="18"/>
          <w:szCs w:val="18"/>
        </w:rPr>
        <w:t xml:space="preserve"> </w:t>
      </w:r>
      <w:r w:rsidRPr="00D403F5">
        <w:rPr>
          <w:rStyle w:val="normaltextrun"/>
          <w:rFonts w:ascii="Arial" w:eastAsia="Arial" w:hAnsi="Arial" w:cs="Arial"/>
          <w:color w:val="000000"/>
          <w:sz w:val="18"/>
          <w:szCs w:val="18"/>
          <w:highlight w:val="yellow"/>
          <w:u w:val="double"/>
        </w:rPr>
        <w:t>with</w:t>
      </w:r>
      <w:r w:rsidRPr="00D403F5">
        <w:rPr>
          <w:rStyle w:val="normaltextrun"/>
          <w:rFonts w:ascii="Arial" w:eastAsia="Arial" w:hAnsi="Arial" w:cs="Arial"/>
          <w:color w:val="000000"/>
          <w:sz w:val="18"/>
          <w:szCs w:val="18"/>
          <w:u w:val="double"/>
        </w:rPr>
        <w:t>in</w:t>
      </w:r>
      <w:r w:rsidRPr="00D403F5">
        <w:rPr>
          <w:rStyle w:val="normaltextrun"/>
          <w:rFonts w:ascii="Arial" w:eastAsia="Arial" w:hAnsi="Arial" w:cs="Arial"/>
          <w:color w:val="000000"/>
          <w:sz w:val="18"/>
          <w:szCs w:val="18"/>
        </w:rPr>
        <w:t xml:space="preserve"> an aquaculture establishment. Implementation of biosecurity within an aquaculture establishment requires planning to identify risks and </w:t>
      </w:r>
      <w:r w:rsidRPr="00D403F5">
        <w:rPr>
          <w:rStyle w:val="normaltextrun"/>
          <w:rFonts w:ascii="Arial" w:eastAsia="Arial" w:hAnsi="Arial" w:cs="Arial"/>
          <w:strike/>
          <w:color w:val="000000"/>
          <w:sz w:val="18"/>
          <w:szCs w:val="18"/>
        </w:rPr>
        <w:t>consider</w:t>
      </w:r>
      <w:r w:rsidRPr="00D403F5">
        <w:rPr>
          <w:rStyle w:val="normaltextrun"/>
          <w:rFonts w:ascii="Arial" w:eastAsia="Arial" w:hAnsi="Arial" w:cs="Arial"/>
          <w:color w:val="000000"/>
          <w:sz w:val="18"/>
          <w:szCs w:val="18"/>
        </w:rPr>
        <w:t xml:space="preserve"> cost effective measures to achieve the identified biosecurity objectives of the plan. The measures required will vary </w:t>
      </w:r>
      <w:r w:rsidRPr="00D403F5">
        <w:rPr>
          <w:rStyle w:val="normaltextrun"/>
          <w:rFonts w:ascii="Arial" w:eastAsia="Arial" w:hAnsi="Arial" w:cs="Arial"/>
          <w:color w:val="000000"/>
          <w:sz w:val="18"/>
          <w:szCs w:val="18"/>
          <w:highlight w:val="yellow"/>
          <w:u w:val="double"/>
        </w:rPr>
        <w:t>among</w:t>
      </w:r>
      <w:r w:rsidRPr="00D403F5">
        <w:rPr>
          <w:rStyle w:val="normaltextrun"/>
          <w:rFonts w:ascii="Arial" w:eastAsia="Arial" w:hAnsi="Arial" w:cs="Arial"/>
          <w:color w:val="000000"/>
          <w:sz w:val="18"/>
          <w:szCs w:val="18"/>
          <w:highlight w:val="yellow"/>
        </w:rPr>
        <w:t xml:space="preserve"> </w:t>
      </w:r>
      <w:r w:rsidRPr="00D403F5">
        <w:rPr>
          <w:rStyle w:val="normaltextrun"/>
          <w:rFonts w:ascii="Arial" w:eastAsia="Arial" w:hAnsi="Arial" w:cs="Arial"/>
          <w:strike/>
          <w:color w:val="000000"/>
          <w:sz w:val="18"/>
          <w:szCs w:val="18"/>
          <w:highlight w:val="yellow"/>
        </w:rPr>
        <w:t>between</w:t>
      </w:r>
      <w:r w:rsidRPr="00D403F5">
        <w:rPr>
          <w:rStyle w:val="normaltextrun"/>
          <w:rFonts w:ascii="Arial" w:eastAsia="Arial" w:hAnsi="Arial" w:cs="Arial"/>
          <w:color w:val="000000"/>
          <w:sz w:val="18"/>
          <w:szCs w:val="18"/>
        </w:rPr>
        <w:t xml:space="preserve"> aquaculture establishments, depending on factors such as </w:t>
      </w:r>
      <w:r w:rsidRPr="00D403F5">
        <w:rPr>
          <w:rStyle w:val="normaltextrun"/>
          <w:rFonts w:ascii="Arial" w:eastAsia="Arial" w:hAnsi="Arial" w:cs="Arial"/>
          <w:strike/>
          <w:color w:val="000000"/>
          <w:sz w:val="18"/>
          <w:szCs w:val="18"/>
          <w:highlight w:val="yellow"/>
        </w:rPr>
        <w:t>risk</w:t>
      </w:r>
      <w:r w:rsidRPr="00D403F5">
        <w:rPr>
          <w:rStyle w:val="normaltextrun"/>
          <w:rFonts w:ascii="Arial" w:eastAsia="Arial" w:hAnsi="Arial" w:cs="Arial"/>
          <w:color w:val="000000"/>
          <w:sz w:val="18"/>
          <w:szCs w:val="18"/>
        </w:rPr>
        <w:t xml:space="preserve"> </w:t>
      </w:r>
      <w:r w:rsidRPr="00D403F5">
        <w:rPr>
          <w:rStyle w:val="normaltextrun"/>
          <w:rFonts w:ascii="Arial" w:eastAsia="Arial" w:hAnsi="Arial" w:cs="Arial"/>
          <w:color w:val="000000"/>
          <w:sz w:val="18"/>
          <w:szCs w:val="18"/>
          <w:highlight w:val="yellow"/>
          <w:u w:val="double"/>
        </w:rPr>
        <w:t>likelihood</w:t>
      </w:r>
      <w:r w:rsidRPr="00D403F5">
        <w:rPr>
          <w:rStyle w:val="normaltextrun"/>
          <w:rFonts w:ascii="Arial" w:eastAsia="Arial" w:hAnsi="Arial" w:cs="Arial"/>
          <w:color w:val="000000"/>
          <w:sz w:val="18"/>
          <w:szCs w:val="18"/>
        </w:rPr>
        <w:t xml:space="preserve"> of exposure to pathogenic agents, </w:t>
      </w:r>
      <w:r w:rsidRPr="00D403F5">
        <w:rPr>
          <w:rStyle w:val="normaltextrun"/>
          <w:rFonts w:ascii="Arial" w:eastAsia="Arial" w:hAnsi="Arial" w:cs="Arial"/>
          <w:color w:val="000000"/>
          <w:sz w:val="18"/>
          <w:szCs w:val="18"/>
          <w:highlight w:val="yellow"/>
          <w:u w:val="double"/>
        </w:rPr>
        <w:t>the species of</w:t>
      </w:r>
      <w:r w:rsidRPr="00D403F5">
        <w:rPr>
          <w:rStyle w:val="normaltextrun"/>
          <w:rFonts w:ascii="Arial" w:eastAsia="Arial" w:hAnsi="Arial" w:cs="Arial"/>
          <w:color w:val="000000"/>
          <w:sz w:val="18"/>
          <w:szCs w:val="18"/>
        </w:rPr>
        <w:t xml:space="preserve"> aquatic animal </w:t>
      </w:r>
      <w:r w:rsidRPr="00D403F5">
        <w:rPr>
          <w:rStyle w:val="normaltextrun"/>
          <w:rFonts w:ascii="Arial" w:eastAsia="Arial" w:hAnsi="Arial" w:cs="Arial"/>
          <w:strike/>
          <w:color w:val="000000"/>
          <w:sz w:val="18"/>
          <w:szCs w:val="18"/>
          <w:highlight w:val="yellow"/>
        </w:rPr>
        <w:t>species</w:t>
      </w:r>
      <w:r w:rsidRPr="00D403F5">
        <w:rPr>
          <w:rStyle w:val="normaltextrun"/>
          <w:rFonts w:ascii="Arial" w:eastAsia="Arial" w:hAnsi="Arial" w:cs="Arial"/>
          <w:color w:val="000000"/>
          <w:sz w:val="18"/>
          <w:szCs w:val="18"/>
        </w:rPr>
        <w:t>, category of aquaculture production system, husbandry practices and geographic</w:t>
      </w:r>
      <w:r w:rsidRPr="00D403F5">
        <w:rPr>
          <w:rStyle w:val="normaltextrun"/>
          <w:rFonts w:ascii="Arial" w:eastAsia="Arial" w:hAnsi="Arial" w:cs="Arial"/>
          <w:color w:val="000000"/>
          <w:sz w:val="18"/>
          <w:szCs w:val="18"/>
          <w:highlight w:val="yellow"/>
          <w:u w:val="double"/>
        </w:rPr>
        <w:t>al</w:t>
      </w:r>
      <w:r w:rsidRPr="00D403F5">
        <w:rPr>
          <w:rStyle w:val="normaltextrun"/>
          <w:rFonts w:ascii="Arial" w:eastAsia="Arial" w:hAnsi="Arial" w:cs="Arial"/>
          <w:color w:val="000000"/>
          <w:sz w:val="18"/>
          <w:szCs w:val="18"/>
        </w:rPr>
        <w:t xml:space="preserve"> </w:t>
      </w:r>
      <w:r w:rsidRPr="00D403F5">
        <w:rPr>
          <w:rStyle w:val="normaltextrun"/>
          <w:rFonts w:ascii="Arial" w:eastAsia="Arial" w:hAnsi="Arial" w:cs="Arial"/>
          <w:sz w:val="18"/>
          <w:szCs w:val="18"/>
        </w:rPr>
        <w:t xml:space="preserve">location. </w:t>
      </w:r>
      <w:r w:rsidRPr="00D403F5">
        <w:rPr>
          <w:rFonts w:ascii="Arial" w:hAnsi="Arial" w:cs="Arial"/>
          <w:sz w:val="18"/>
          <w:szCs w:val="18"/>
        </w:rPr>
        <w:t xml:space="preserve">Although different approaches may be used to achieve an identified objective, the general principles for developing and implementing a </w:t>
      </w:r>
      <w:r w:rsidRPr="00D403F5">
        <w:rPr>
          <w:rFonts w:ascii="Arial" w:hAnsi="Arial" w:cs="Arial"/>
          <w:i/>
          <w:sz w:val="18"/>
          <w:szCs w:val="18"/>
        </w:rPr>
        <w:t>biosecurity plan</w:t>
      </w:r>
      <w:r w:rsidRPr="00D403F5">
        <w:rPr>
          <w:rFonts w:ascii="Arial" w:hAnsi="Arial" w:cs="Arial"/>
          <w:sz w:val="18"/>
          <w:szCs w:val="18"/>
        </w:rPr>
        <w:t xml:space="preserve"> are described </w:t>
      </w:r>
      <w:r w:rsidRPr="00D403F5">
        <w:rPr>
          <w:rFonts w:ascii="Arial" w:eastAsia="SimSun" w:hAnsi="Arial" w:cs="Arial" w:hint="eastAsia"/>
          <w:strike/>
          <w:sz w:val="18"/>
          <w:szCs w:val="18"/>
          <w:lang w:eastAsia="zh-CN"/>
        </w:rPr>
        <w:t xml:space="preserve">as </w:t>
      </w:r>
      <w:r w:rsidRPr="00D403F5">
        <w:rPr>
          <w:rFonts w:ascii="Arial" w:hAnsi="Arial" w:cs="Arial"/>
          <w:sz w:val="18"/>
          <w:szCs w:val="18"/>
        </w:rPr>
        <w:t>below:</w:t>
      </w:r>
    </w:p>
    <w:p w14:paraId="4A3AD08C" w14:textId="77777777" w:rsidR="007B3D5C" w:rsidRPr="00D403F5" w:rsidRDefault="007B3D5C" w:rsidP="00456872">
      <w:pPr>
        <w:spacing w:after="240"/>
        <w:ind w:left="426" w:hanging="426"/>
        <w:rPr>
          <w:rStyle w:val="normaltextrun"/>
          <w:rFonts w:ascii="Arial" w:eastAsia="Arial" w:hAnsi="Arial" w:cs="Arial"/>
          <w:sz w:val="18"/>
          <w:szCs w:val="18"/>
        </w:rPr>
      </w:pPr>
      <w:r w:rsidRPr="00D403F5">
        <w:rPr>
          <w:rStyle w:val="normaltextrun"/>
          <w:rFonts w:ascii="Arial" w:hAnsi="Arial" w:cs="Arial"/>
          <w:strike/>
          <w:color w:val="000000"/>
          <w:sz w:val="18"/>
          <w:szCs w:val="18"/>
          <w:highlight w:val="yellow"/>
        </w:rPr>
        <w:t>1)</w:t>
      </w:r>
      <w:r w:rsidRPr="00D403F5">
        <w:rPr>
          <w:rStyle w:val="normaltextrun"/>
          <w:rFonts w:ascii="Arial" w:eastAsia="Arial" w:hAnsi="Arial" w:cs="Arial"/>
          <w:color w:val="000000"/>
          <w:sz w:val="18"/>
          <w:szCs w:val="18"/>
        </w:rPr>
        <w:tab/>
      </w:r>
      <w:r w:rsidRPr="00D403F5">
        <w:rPr>
          <w:rStyle w:val="normaltextrun"/>
          <w:rFonts w:ascii="Arial" w:eastAsia="Arial" w:hAnsi="Arial" w:cs="Arial"/>
          <w:strike/>
          <w:color w:val="000000"/>
          <w:sz w:val="18"/>
          <w:szCs w:val="18"/>
          <w:highlight w:val="yellow"/>
        </w:rPr>
        <w:t>Planning is necessary to document the objectives of the biosecurity</w:t>
      </w:r>
      <w:r w:rsidRPr="00D403F5">
        <w:rPr>
          <w:rStyle w:val="normaltextrun"/>
          <w:rFonts w:ascii="Arial" w:eastAsia="SimSun" w:hAnsi="Arial" w:cs="Arial" w:hint="eastAsia"/>
          <w:strike/>
          <w:color w:val="000000"/>
          <w:sz w:val="18"/>
          <w:szCs w:val="18"/>
          <w:highlight w:val="yellow"/>
          <w:lang w:eastAsia="zh-CN"/>
        </w:rPr>
        <w:t xml:space="preserve"> </w:t>
      </w:r>
      <w:r w:rsidRPr="00D403F5">
        <w:rPr>
          <w:rStyle w:val="normaltextrun"/>
          <w:rFonts w:ascii="Arial" w:eastAsia="Arial" w:hAnsi="Arial" w:cs="Arial"/>
          <w:strike/>
          <w:color w:val="000000"/>
          <w:sz w:val="18"/>
          <w:szCs w:val="18"/>
          <w:highlight w:val="yellow"/>
        </w:rPr>
        <w:t>plan, the identified risks to be managed, the measures that will be put in place to manage the disease</w:t>
      </w:r>
      <w:r w:rsidRPr="00D403F5">
        <w:rPr>
          <w:rStyle w:val="normaltextrun"/>
          <w:rFonts w:ascii="Arial" w:eastAsia="SimSun" w:hAnsi="Arial" w:cs="Arial" w:hint="eastAsia"/>
          <w:strike/>
          <w:color w:val="000000"/>
          <w:sz w:val="18"/>
          <w:szCs w:val="18"/>
          <w:highlight w:val="yellow"/>
          <w:lang w:eastAsia="zh-CN"/>
        </w:rPr>
        <w:t xml:space="preserve"> </w:t>
      </w:r>
      <w:r w:rsidRPr="00D403F5">
        <w:rPr>
          <w:rStyle w:val="normaltextrun"/>
          <w:rFonts w:ascii="Arial" w:eastAsia="Arial" w:hAnsi="Arial" w:cs="Arial"/>
          <w:strike/>
          <w:color w:val="000000"/>
          <w:sz w:val="18"/>
          <w:szCs w:val="18"/>
          <w:highlight w:val="yellow"/>
        </w:rPr>
        <w:t>risks, required operating procedures and monitoring, as described in Articles 4.X.6. and 4.X.7.</w:t>
      </w:r>
    </w:p>
    <w:p w14:paraId="4D5F5D94" w14:textId="77777777" w:rsidR="007B3D5C" w:rsidRPr="00D403F5" w:rsidRDefault="007B3D5C" w:rsidP="00456872">
      <w:pPr>
        <w:pStyle w:val="paragraph"/>
        <w:spacing w:before="0" w:beforeAutospacing="0" w:after="240" w:afterAutospacing="0"/>
        <w:ind w:left="426" w:hanging="426"/>
        <w:jc w:val="both"/>
        <w:textAlignment w:val="baseline"/>
        <w:rPr>
          <w:rStyle w:val="normaltextrun"/>
          <w:rFonts w:ascii="Arial" w:eastAsia="Arial" w:hAnsi="Arial" w:cs="Arial"/>
          <w:i/>
          <w:sz w:val="18"/>
          <w:szCs w:val="18"/>
        </w:rPr>
      </w:pPr>
      <w:r w:rsidRPr="00D403F5">
        <w:rPr>
          <w:rStyle w:val="normaltextrun"/>
          <w:rFonts w:ascii="Arial" w:eastAsiaTheme="majorEastAsia" w:hAnsi="Arial" w:cs="Arial"/>
          <w:strike/>
          <w:color w:val="000000"/>
          <w:sz w:val="18"/>
          <w:szCs w:val="18"/>
          <w:highlight w:val="yellow"/>
        </w:rPr>
        <w:t>2</w:t>
      </w:r>
      <w:r w:rsidRPr="00D403F5">
        <w:rPr>
          <w:rStyle w:val="normaltextrun"/>
          <w:rFonts w:ascii="Arial" w:eastAsiaTheme="majorEastAsia" w:hAnsi="Arial" w:cs="Arial"/>
          <w:color w:val="000000"/>
          <w:sz w:val="18"/>
          <w:szCs w:val="18"/>
          <w:highlight w:val="yellow"/>
          <w:u w:val="double"/>
        </w:rPr>
        <w:t>1</w:t>
      </w:r>
      <w:r w:rsidRPr="00D403F5">
        <w:rPr>
          <w:rStyle w:val="normaltextrun"/>
          <w:rFonts w:ascii="Arial" w:eastAsiaTheme="majorEastAsia" w:hAnsi="Arial" w:cs="Arial"/>
          <w:color w:val="000000"/>
          <w:sz w:val="18"/>
          <w:szCs w:val="18"/>
        </w:rPr>
        <w:t>)</w:t>
      </w:r>
      <w:r w:rsidRPr="00D403F5">
        <w:rPr>
          <w:rStyle w:val="normaltextrun"/>
          <w:rFonts w:ascii="Arial" w:eastAsia="Arial" w:hAnsi="Arial" w:cs="Arial"/>
          <w:color w:val="000000"/>
          <w:sz w:val="18"/>
          <w:szCs w:val="18"/>
        </w:rPr>
        <w:tab/>
      </w:r>
      <w:r w:rsidRPr="00D403F5">
        <w:rPr>
          <w:rStyle w:val="normaltextrun"/>
          <w:rFonts w:ascii="Arial" w:eastAsia="Arial" w:hAnsi="Arial" w:cs="Arial"/>
          <w:sz w:val="18"/>
          <w:szCs w:val="18"/>
        </w:rPr>
        <w:t xml:space="preserve">Potential pathways for pathogenic agents to be transmitted into, </w:t>
      </w:r>
      <w:r w:rsidRPr="00D403F5">
        <w:rPr>
          <w:rStyle w:val="normaltextrun"/>
          <w:rFonts w:ascii="Arial" w:eastAsia="SimSun" w:hAnsi="Arial" w:cs="Arial" w:hint="eastAsia"/>
          <w:sz w:val="18"/>
          <w:szCs w:val="18"/>
          <w:lang w:eastAsia="zh-CN"/>
        </w:rPr>
        <w:t xml:space="preserve">spread </w:t>
      </w:r>
      <w:r w:rsidRPr="00D403F5">
        <w:rPr>
          <w:rStyle w:val="normaltextrun"/>
          <w:rFonts w:ascii="Arial" w:eastAsia="Arial" w:hAnsi="Arial" w:cs="Arial"/>
          <w:sz w:val="18"/>
          <w:szCs w:val="18"/>
        </w:rPr>
        <w:t>within and released from the aquaculture establishment must be identified,</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color w:val="000000"/>
          <w:sz w:val="18"/>
          <w:szCs w:val="18"/>
        </w:rPr>
        <w:t>as described in Articles 4.X.5. and 4.X.6.</w:t>
      </w:r>
      <w:r w:rsidRPr="00D403F5">
        <w:rPr>
          <w:rStyle w:val="normaltextrun"/>
          <w:rFonts w:ascii="Arial" w:eastAsia="Arial" w:hAnsi="Arial" w:cs="Arial"/>
          <w:sz w:val="18"/>
          <w:szCs w:val="18"/>
        </w:rPr>
        <w:t xml:space="preserve">, </w:t>
      </w:r>
      <w:r w:rsidRPr="00D403F5">
        <w:rPr>
          <w:rStyle w:val="normaltextrun"/>
          <w:rFonts w:ascii="Arial" w:eastAsia="Arial" w:hAnsi="Arial" w:cs="Arial"/>
          <w:strike/>
          <w:sz w:val="18"/>
          <w:szCs w:val="18"/>
          <w:highlight w:val="yellow"/>
        </w:rPr>
        <w:t>and</w:t>
      </w:r>
      <w:r w:rsidRPr="00D403F5">
        <w:rPr>
          <w:rStyle w:val="normaltextrun"/>
          <w:rFonts w:ascii="Arial" w:eastAsia="Arial" w:hAnsi="Arial" w:cs="Arial"/>
          <w:sz w:val="18"/>
          <w:szCs w:val="18"/>
        </w:rPr>
        <w:t xml:space="preserve"> giving consideration to the category of aquaculture production system and design of the</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aquaculture establishment.</w:t>
      </w:r>
    </w:p>
    <w:p w14:paraId="5E95E4FC" w14:textId="77777777" w:rsidR="007B3D5C" w:rsidRPr="00D403F5" w:rsidRDefault="007B3D5C" w:rsidP="00456872">
      <w:pPr>
        <w:pStyle w:val="paragraph"/>
        <w:spacing w:before="0" w:beforeAutospacing="0" w:after="240" w:afterAutospacing="0"/>
        <w:ind w:left="426" w:hanging="426"/>
        <w:jc w:val="both"/>
        <w:textAlignment w:val="baseline"/>
        <w:rPr>
          <w:rStyle w:val="normaltextrun"/>
          <w:rFonts w:ascii="Arial" w:eastAsia="Arial" w:hAnsi="Arial" w:cs="Arial"/>
          <w:sz w:val="18"/>
          <w:szCs w:val="18"/>
        </w:rPr>
      </w:pPr>
      <w:r w:rsidRPr="00D403F5">
        <w:rPr>
          <w:rStyle w:val="normaltextrun"/>
          <w:rFonts w:ascii="Arial" w:eastAsia="Arial" w:hAnsi="Arial" w:cs="Arial"/>
          <w:strike/>
          <w:sz w:val="18"/>
          <w:szCs w:val="18"/>
          <w:highlight w:val="yellow"/>
        </w:rPr>
        <w:t>3</w:t>
      </w:r>
      <w:r w:rsidRPr="00D403F5">
        <w:rPr>
          <w:rStyle w:val="normaltextrun"/>
          <w:rFonts w:ascii="Arial" w:eastAsia="Arial" w:hAnsi="Arial" w:cs="Arial"/>
          <w:sz w:val="18"/>
          <w:szCs w:val="18"/>
          <w:highlight w:val="yellow"/>
          <w:u w:val="double"/>
        </w:rPr>
        <w:t>2</w:t>
      </w:r>
      <w:r w:rsidRPr="00D403F5">
        <w:rPr>
          <w:rStyle w:val="normaltextrun"/>
          <w:rFonts w:ascii="Arial" w:eastAsia="Arial" w:hAnsi="Arial" w:cs="Arial"/>
          <w:sz w:val="18"/>
          <w:szCs w:val="18"/>
        </w:rPr>
        <w:t>)</w:t>
      </w:r>
      <w:r w:rsidRPr="00D403F5">
        <w:rPr>
          <w:rStyle w:val="normaltextrun"/>
          <w:rFonts w:ascii="Arial" w:eastAsia="Arial" w:hAnsi="Arial" w:cs="Arial"/>
          <w:sz w:val="18"/>
          <w:szCs w:val="18"/>
        </w:rPr>
        <w:tab/>
        <w:t>Risk analysis should be undertaken to evaluate biosecurity threats and ensure that the plan addresses risks appropriately and efficiently. The risk</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analysis may range from a simple to a complex analysis depending on the objectives of the biosecurity plan and the circumstances of the aquaculture establishment and disease</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risks, as described in Article 4.X.7.</w:t>
      </w:r>
    </w:p>
    <w:p w14:paraId="377E78CE" w14:textId="77777777" w:rsidR="007B3D5C" w:rsidRPr="00D403F5" w:rsidRDefault="007B3D5C" w:rsidP="00456872">
      <w:pPr>
        <w:pStyle w:val="paragraph"/>
        <w:spacing w:before="0" w:beforeAutospacing="0" w:after="240" w:afterAutospacing="0"/>
        <w:ind w:left="426" w:hanging="426"/>
        <w:jc w:val="both"/>
        <w:textAlignment w:val="baseline"/>
        <w:rPr>
          <w:rStyle w:val="normaltextrun"/>
          <w:rFonts w:ascii="Arial" w:eastAsia="Arial" w:hAnsi="Arial" w:cs="Arial"/>
          <w:sz w:val="18"/>
          <w:szCs w:val="18"/>
        </w:rPr>
      </w:pPr>
      <w:r w:rsidRPr="00D403F5">
        <w:rPr>
          <w:rStyle w:val="normaltextrun"/>
          <w:rFonts w:ascii="Arial" w:eastAsia="Arial" w:hAnsi="Arial" w:cs="Arial"/>
          <w:strike/>
          <w:sz w:val="18"/>
          <w:szCs w:val="18"/>
          <w:highlight w:val="yellow"/>
        </w:rPr>
        <w:t>4</w:t>
      </w:r>
      <w:r w:rsidRPr="00D403F5">
        <w:rPr>
          <w:rStyle w:val="normaltextrun"/>
          <w:rFonts w:ascii="Arial" w:eastAsia="Arial" w:hAnsi="Arial" w:cs="Arial"/>
          <w:sz w:val="18"/>
          <w:szCs w:val="18"/>
          <w:highlight w:val="yellow"/>
          <w:u w:val="double"/>
        </w:rPr>
        <w:t>3</w:t>
      </w:r>
      <w:r w:rsidRPr="00D403F5">
        <w:rPr>
          <w:rStyle w:val="normaltextrun"/>
          <w:rFonts w:ascii="Arial" w:eastAsia="Arial" w:hAnsi="Arial" w:cs="Arial"/>
          <w:sz w:val="18"/>
          <w:szCs w:val="18"/>
        </w:rPr>
        <w:t>)</w:t>
      </w:r>
      <w:r w:rsidRPr="00D403F5">
        <w:rPr>
          <w:rStyle w:val="normaltextrun"/>
          <w:rFonts w:ascii="Arial" w:eastAsia="Arial" w:hAnsi="Arial" w:cs="Arial"/>
          <w:sz w:val="18"/>
          <w:szCs w:val="18"/>
        </w:rPr>
        <w:tab/>
        <w:t>Biosecurity measures to address identified disease</w:t>
      </w:r>
      <w:r w:rsidRPr="00D403F5">
        <w:rPr>
          <w:rStyle w:val="normaltextrun"/>
          <w:rFonts w:ascii="Arial" w:eastAsia="SimSun" w:hAnsi="Arial" w:cs="Arial" w:hint="eastAsia"/>
          <w:sz w:val="18"/>
          <w:szCs w:val="18"/>
          <w:lang w:eastAsia="zh-CN"/>
        </w:rPr>
        <w:t xml:space="preserve"> </w:t>
      </w:r>
      <w:r w:rsidRPr="00D403F5">
        <w:rPr>
          <w:rStyle w:val="normaltextrun"/>
          <w:rFonts w:ascii="Arial" w:eastAsia="Arial" w:hAnsi="Arial" w:cs="Arial"/>
          <w:sz w:val="18"/>
          <w:szCs w:val="18"/>
        </w:rPr>
        <w:t xml:space="preserve">risks should be evaluated </w:t>
      </w:r>
      <w:r w:rsidRPr="00D403F5">
        <w:rPr>
          <w:rStyle w:val="normaltextrun"/>
          <w:rFonts w:ascii="Arial" w:eastAsia="Arial" w:hAnsi="Arial" w:cs="Arial"/>
          <w:strike/>
          <w:sz w:val="18"/>
          <w:szCs w:val="18"/>
          <w:highlight w:val="yellow"/>
        </w:rPr>
        <w:t>based</w:t>
      </w:r>
      <w:r w:rsidRPr="00D403F5">
        <w:rPr>
          <w:rStyle w:val="normaltextrun"/>
          <w:rFonts w:ascii="Arial" w:eastAsia="Arial" w:hAnsi="Arial" w:cs="Arial"/>
          <w:sz w:val="18"/>
          <w:szCs w:val="18"/>
          <w:highlight w:val="yellow"/>
        </w:rPr>
        <w:t xml:space="preserve"> </w:t>
      </w:r>
      <w:r w:rsidRPr="00D403F5">
        <w:rPr>
          <w:rStyle w:val="normaltextrun"/>
          <w:rFonts w:ascii="Arial" w:eastAsia="Arial" w:hAnsi="Arial" w:cs="Arial"/>
          <w:sz w:val="18"/>
          <w:szCs w:val="18"/>
        </w:rPr>
        <w:t xml:space="preserve">on </w:t>
      </w:r>
      <w:r w:rsidRPr="00D403F5">
        <w:rPr>
          <w:rStyle w:val="normaltextrun"/>
          <w:rFonts w:ascii="Arial" w:eastAsia="Arial" w:hAnsi="Arial" w:cs="Arial"/>
          <w:sz w:val="18"/>
          <w:szCs w:val="18"/>
          <w:highlight w:val="yellow"/>
          <w:u w:val="double"/>
        </w:rPr>
        <w:t>the basis of</w:t>
      </w:r>
      <w:r w:rsidRPr="00D403F5">
        <w:rPr>
          <w:rStyle w:val="normaltextrun"/>
          <w:rFonts w:ascii="Arial" w:eastAsia="Arial" w:hAnsi="Arial" w:cs="Arial"/>
          <w:sz w:val="18"/>
          <w:szCs w:val="18"/>
          <w:highlight w:val="yellow"/>
        </w:rPr>
        <w:t xml:space="preserve"> </w:t>
      </w:r>
      <w:r w:rsidRPr="00D403F5">
        <w:rPr>
          <w:rStyle w:val="normaltextrun"/>
          <w:rFonts w:ascii="Arial" w:eastAsia="Arial" w:hAnsi="Arial" w:cs="Arial"/>
          <w:sz w:val="18"/>
          <w:szCs w:val="18"/>
        </w:rPr>
        <w:t>their potential effectiveness, initial and ongoing costs (e.g. building works, maintenance), and management requirements, as described in Article 4.X.7.</w:t>
      </w:r>
    </w:p>
    <w:p w14:paraId="09ED47D6" w14:textId="77777777" w:rsidR="007B3D5C" w:rsidRPr="00D403F5" w:rsidRDefault="007B3D5C" w:rsidP="00456872">
      <w:pPr>
        <w:pStyle w:val="paragraph"/>
        <w:spacing w:before="0" w:beforeAutospacing="0" w:after="240" w:afterAutospacing="0"/>
        <w:ind w:left="426" w:hanging="426"/>
        <w:jc w:val="both"/>
        <w:textAlignment w:val="baseline"/>
        <w:rPr>
          <w:rStyle w:val="normaltextrun"/>
          <w:rFonts w:ascii="Arial" w:eastAsia="Arial" w:hAnsi="Arial" w:cs="Arial"/>
          <w:sz w:val="18"/>
          <w:szCs w:val="18"/>
        </w:rPr>
      </w:pPr>
      <w:r w:rsidRPr="00D403F5">
        <w:rPr>
          <w:rStyle w:val="normaltextrun"/>
          <w:rFonts w:ascii="Arial" w:eastAsia="Arial" w:hAnsi="Arial" w:cs="Arial"/>
          <w:color w:val="000000"/>
          <w:sz w:val="18"/>
          <w:szCs w:val="18"/>
          <w:highlight w:val="yellow"/>
          <w:u w:val="double"/>
        </w:rPr>
        <w:t>4</w:t>
      </w:r>
      <w:r w:rsidRPr="00D403F5">
        <w:rPr>
          <w:rStyle w:val="normaltextrun"/>
          <w:rFonts w:ascii="Arial" w:eastAsia="Arial" w:hAnsi="Arial" w:cs="Arial"/>
          <w:strike/>
          <w:color w:val="000000"/>
          <w:sz w:val="18"/>
          <w:szCs w:val="18"/>
          <w:highlight w:val="yellow"/>
        </w:rPr>
        <w:t>5</w:t>
      </w:r>
      <w:r w:rsidRPr="00D403F5">
        <w:rPr>
          <w:rStyle w:val="normaltextrun"/>
          <w:rFonts w:ascii="Arial" w:eastAsia="Arial" w:hAnsi="Arial" w:cs="Arial"/>
          <w:color w:val="000000"/>
          <w:sz w:val="18"/>
          <w:szCs w:val="18"/>
        </w:rPr>
        <w:t>)</w:t>
      </w:r>
      <w:r w:rsidRPr="00D403F5">
        <w:rPr>
          <w:rStyle w:val="normaltextrun"/>
          <w:rFonts w:ascii="Arial" w:eastAsia="Arial" w:hAnsi="Arial" w:cs="Arial"/>
          <w:color w:val="000000"/>
          <w:sz w:val="18"/>
          <w:szCs w:val="18"/>
        </w:rPr>
        <w:tab/>
        <w:t xml:space="preserve">Management practices </w:t>
      </w:r>
      <w:r w:rsidRPr="00D403F5">
        <w:rPr>
          <w:rStyle w:val="normaltextrun"/>
          <w:rFonts w:ascii="Arial" w:eastAsia="Arial" w:hAnsi="Arial" w:cs="Arial"/>
          <w:sz w:val="18"/>
          <w:szCs w:val="18"/>
        </w:rPr>
        <w:t>should be</w:t>
      </w:r>
      <w:r w:rsidRPr="00D403F5">
        <w:rPr>
          <w:rStyle w:val="normaltextrun"/>
          <w:rFonts w:ascii="Arial" w:eastAsia="Arial" w:hAnsi="Arial" w:cs="Arial"/>
          <w:color w:val="000000"/>
          <w:sz w:val="18"/>
          <w:szCs w:val="18"/>
        </w:rPr>
        <w:t xml:space="preserve"> integrated into the </w:t>
      </w:r>
      <w:r w:rsidRPr="00D403F5">
        <w:rPr>
          <w:rStyle w:val="normaltextrun"/>
          <w:rFonts w:ascii="Arial" w:eastAsia="Arial" w:hAnsi="Arial" w:cs="Arial"/>
          <w:sz w:val="18"/>
          <w:szCs w:val="18"/>
        </w:rPr>
        <w:t xml:space="preserve">aquaculture establishment’s operating procedures and </w:t>
      </w:r>
      <w:r w:rsidRPr="00D403F5">
        <w:rPr>
          <w:rStyle w:val="normaltextrun"/>
          <w:rFonts w:ascii="Arial" w:eastAsia="Arial" w:hAnsi="Arial" w:cs="Arial"/>
          <w:strike/>
          <w:sz w:val="18"/>
          <w:szCs w:val="18"/>
          <w:highlight w:val="yellow"/>
        </w:rPr>
        <w:t>associated</w:t>
      </w:r>
      <w:r w:rsidRPr="00D403F5">
        <w:rPr>
          <w:rStyle w:val="normaltextrun"/>
          <w:rFonts w:ascii="Arial" w:eastAsia="Arial" w:hAnsi="Arial" w:cs="Arial"/>
          <w:sz w:val="18"/>
          <w:szCs w:val="18"/>
          <w:highlight w:val="yellow"/>
        </w:rPr>
        <w:t xml:space="preserve"> </w:t>
      </w:r>
      <w:r w:rsidRPr="00D403F5">
        <w:rPr>
          <w:rStyle w:val="normaltextrun"/>
          <w:rFonts w:ascii="Arial" w:eastAsia="Arial" w:hAnsi="Arial" w:cs="Arial"/>
          <w:sz w:val="18"/>
          <w:szCs w:val="18"/>
          <w:highlight w:val="yellow"/>
          <w:u w:val="double"/>
        </w:rPr>
        <w:t>relevant</w:t>
      </w:r>
      <w:r w:rsidRPr="00D403F5">
        <w:rPr>
          <w:rStyle w:val="normaltextrun"/>
          <w:rFonts w:ascii="Arial" w:eastAsia="Arial" w:hAnsi="Arial" w:cs="Arial"/>
          <w:sz w:val="18"/>
          <w:szCs w:val="18"/>
          <w:highlight w:val="yellow"/>
        </w:rPr>
        <w:t xml:space="preserve"> </w:t>
      </w:r>
      <w:r w:rsidRPr="00D403F5">
        <w:rPr>
          <w:rStyle w:val="normaltextrun"/>
          <w:rFonts w:ascii="Arial" w:eastAsia="Arial" w:hAnsi="Arial" w:cs="Arial"/>
          <w:sz w:val="18"/>
          <w:szCs w:val="18"/>
        </w:rPr>
        <w:t xml:space="preserve">training </w:t>
      </w:r>
      <w:r w:rsidRPr="00D403F5">
        <w:rPr>
          <w:rStyle w:val="normaltextrun"/>
          <w:rFonts w:ascii="Arial" w:eastAsia="Arial" w:hAnsi="Arial" w:cs="Arial"/>
          <w:strike/>
          <w:sz w:val="18"/>
          <w:szCs w:val="18"/>
        </w:rPr>
        <w:t xml:space="preserve">are </w:t>
      </w:r>
      <w:r w:rsidRPr="00D403F5">
        <w:rPr>
          <w:rStyle w:val="normaltextrun"/>
          <w:rFonts w:ascii="Arial" w:eastAsia="Arial" w:hAnsi="Arial" w:cs="Arial"/>
          <w:strike/>
          <w:sz w:val="18"/>
          <w:szCs w:val="18"/>
          <w:highlight w:val="yellow"/>
          <w:u w:val="double"/>
        </w:rPr>
        <w:t>is</w:t>
      </w:r>
      <w:r w:rsidRPr="00D403F5">
        <w:rPr>
          <w:rStyle w:val="normaltextrun"/>
          <w:rFonts w:ascii="Arial" w:eastAsia="Arial" w:hAnsi="Arial" w:cs="Arial"/>
          <w:sz w:val="18"/>
          <w:szCs w:val="18"/>
        </w:rPr>
        <w:t xml:space="preserve"> provided to personnel, as described in Articles 4.X.7. and 4.X.8.</w:t>
      </w:r>
    </w:p>
    <w:p w14:paraId="6EE99DC7" w14:textId="77777777" w:rsidR="007B3D5C" w:rsidRPr="00D403F5" w:rsidRDefault="007B3D5C" w:rsidP="00456872">
      <w:pPr>
        <w:spacing w:after="240"/>
        <w:ind w:left="426" w:hanging="426"/>
        <w:rPr>
          <w:rFonts w:ascii="Arial" w:hAnsi="Arial" w:cs="Arial"/>
          <w:sz w:val="18"/>
          <w:szCs w:val="18"/>
          <w:u w:val="double"/>
        </w:rPr>
      </w:pPr>
      <w:r w:rsidRPr="00D403F5">
        <w:rPr>
          <w:rStyle w:val="normaltextrun"/>
          <w:rFonts w:ascii="Arial" w:eastAsia="Arial" w:hAnsi="Arial" w:cs="Arial"/>
          <w:color w:val="000000"/>
          <w:sz w:val="18"/>
          <w:szCs w:val="18"/>
          <w:highlight w:val="yellow"/>
          <w:u w:val="double"/>
        </w:rPr>
        <w:t>5)</w:t>
      </w:r>
      <w:r w:rsidRPr="00D403F5">
        <w:rPr>
          <w:rStyle w:val="normaltextrun"/>
          <w:rFonts w:ascii="Arial" w:eastAsia="Arial" w:hAnsi="Arial" w:cs="Arial"/>
          <w:color w:val="000000"/>
          <w:sz w:val="18"/>
          <w:szCs w:val="18"/>
        </w:rPr>
        <w:tab/>
      </w:r>
      <w:r w:rsidRPr="00D403F5">
        <w:rPr>
          <w:rFonts w:ascii="Arial" w:hAnsi="Arial" w:cs="Arial"/>
          <w:sz w:val="18"/>
          <w:szCs w:val="18"/>
          <w:highlight w:val="yellow"/>
          <w:u w:val="double"/>
        </w:rPr>
        <w:t xml:space="preserve">Appropriate records and documentation are essential to demonstrate effective implementation of the </w:t>
      </w:r>
      <w:r w:rsidRPr="00D403F5">
        <w:rPr>
          <w:rFonts w:ascii="Arial" w:hAnsi="Arial" w:cs="Arial"/>
          <w:i/>
          <w:iCs/>
          <w:sz w:val="18"/>
          <w:szCs w:val="18"/>
          <w:highlight w:val="yellow"/>
          <w:u w:val="double"/>
        </w:rPr>
        <w:t>biosecurity plan</w:t>
      </w:r>
      <w:r w:rsidRPr="00D403F5">
        <w:rPr>
          <w:rFonts w:ascii="Arial" w:hAnsi="Arial" w:cs="Arial"/>
          <w:sz w:val="18"/>
          <w:szCs w:val="18"/>
          <w:highlight w:val="yellow"/>
          <w:u w:val="double"/>
        </w:rPr>
        <w:t>. Examples are provided in Article 4.X.8.</w:t>
      </w:r>
      <w:r w:rsidRPr="00D403F5">
        <w:rPr>
          <w:rFonts w:ascii="Arial" w:hAnsi="Arial" w:cs="Arial"/>
          <w:sz w:val="18"/>
          <w:szCs w:val="18"/>
          <w:lang w:eastAsia="fr-FR"/>
        </w:rPr>
        <w:t xml:space="preserve"> </w:t>
      </w:r>
    </w:p>
    <w:p w14:paraId="1356CE9C" w14:textId="77777777" w:rsidR="007B3D5C" w:rsidRPr="00D403F5" w:rsidRDefault="007B3D5C" w:rsidP="00456872">
      <w:pPr>
        <w:pStyle w:val="paragraph"/>
        <w:spacing w:before="0" w:beforeAutospacing="0" w:after="240" w:afterAutospacing="0"/>
        <w:ind w:left="426" w:hanging="426"/>
        <w:jc w:val="both"/>
        <w:textAlignment w:val="baseline"/>
        <w:rPr>
          <w:rStyle w:val="normaltextrun"/>
          <w:rFonts w:ascii="Arial" w:eastAsia="Arial" w:hAnsi="Arial" w:cs="Arial"/>
          <w:color w:val="000000"/>
          <w:sz w:val="18"/>
          <w:szCs w:val="18"/>
        </w:rPr>
      </w:pPr>
      <w:r w:rsidRPr="00D403F5">
        <w:rPr>
          <w:rStyle w:val="normaltextrun"/>
          <w:rFonts w:ascii="Arial" w:eastAsia="Arial" w:hAnsi="Arial" w:cs="Arial"/>
          <w:color w:val="000000"/>
          <w:sz w:val="18"/>
          <w:szCs w:val="18"/>
          <w:highlight w:val="yellow"/>
          <w:u w:val="double"/>
        </w:rPr>
        <w:t>6)</w:t>
      </w:r>
      <w:r w:rsidRPr="00D403F5">
        <w:rPr>
          <w:rStyle w:val="normaltextrun"/>
          <w:rFonts w:ascii="Arial" w:eastAsia="Arial" w:hAnsi="Arial" w:cs="Arial"/>
          <w:color w:val="000000"/>
          <w:sz w:val="18"/>
          <w:szCs w:val="18"/>
        </w:rPr>
        <w:tab/>
        <w:t xml:space="preserve">A </w:t>
      </w:r>
      <w:r w:rsidRPr="00D403F5">
        <w:rPr>
          <w:rStyle w:val="normaltextrun"/>
          <w:rFonts w:ascii="Arial" w:eastAsia="Arial" w:hAnsi="Arial" w:cs="Arial"/>
          <w:strike/>
          <w:color w:val="000000"/>
          <w:sz w:val="18"/>
          <w:szCs w:val="18"/>
          <w:highlight w:val="yellow"/>
        </w:rPr>
        <w:t>routine review</w:t>
      </w:r>
      <w:r w:rsidRPr="00D403F5">
        <w:rPr>
          <w:rStyle w:val="normaltextrun"/>
          <w:rFonts w:ascii="Arial" w:eastAsia="SimSun" w:hAnsi="Arial" w:cs="Arial" w:hint="eastAsia"/>
          <w:color w:val="000000"/>
          <w:sz w:val="18"/>
          <w:szCs w:val="18"/>
          <w:lang w:eastAsia="zh-CN"/>
        </w:rPr>
        <w:t xml:space="preserve"> </w:t>
      </w:r>
      <w:r w:rsidRPr="00D403F5">
        <w:rPr>
          <w:rStyle w:val="normaltextrun"/>
          <w:rFonts w:ascii="Arial" w:eastAsia="Arial" w:hAnsi="Arial" w:cs="Arial"/>
          <w:color w:val="000000"/>
          <w:sz w:val="18"/>
          <w:szCs w:val="18"/>
        </w:rPr>
        <w:t xml:space="preserve">schedule </w:t>
      </w:r>
      <w:r w:rsidRPr="00D403F5">
        <w:rPr>
          <w:rStyle w:val="normaltextrun"/>
          <w:rFonts w:ascii="Arial" w:eastAsia="Arial" w:hAnsi="Arial" w:cs="Arial"/>
          <w:sz w:val="18"/>
          <w:szCs w:val="18"/>
          <w:highlight w:val="yellow"/>
          <w:u w:val="double"/>
        </w:rPr>
        <w:t>for routine reviews and audits</w:t>
      </w:r>
      <w:r w:rsidRPr="00D403F5">
        <w:rPr>
          <w:rStyle w:val="normaltextrun"/>
          <w:rFonts w:ascii="Arial" w:eastAsia="SimSun" w:hAnsi="Arial" w:cs="Arial"/>
          <w:sz w:val="18"/>
          <w:szCs w:val="18"/>
          <w:highlight w:val="yellow"/>
          <w:u w:val="double"/>
          <w:lang w:eastAsia="zh-CN"/>
        </w:rPr>
        <w:t xml:space="preserve"> </w:t>
      </w:r>
      <w:r w:rsidRPr="00D403F5">
        <w:rPr>
          <w:rStyle w:val="normaltextrun"/>
          <w:rFonts w:ascii="Arial" w:eastAsia="Arial" w:hAnsi="Arial" w:cs="Arial"/>
          <w:color w:val="000000"/>
          <w:sz w:val="18"/>
          <w:szCs w:val="18"/>
        </w:rPr>
        <w:t xml:space="preserve">of the biosecurity plan </w:t>
      </w:r>
      <w:r w:rsidRPr="00D403F5">
        <w:rPr>
          <w:rStyle w:val="normaltextrun"/>
          <w:rFonts w:ascii="Arial" w:eastAsia="Arial" w:hAnsi="Arial" w:cs="Arial"/>
          <w:sz w:val="18"/>
          <w:szCs w:val="18"/>
          <w:highlight w:val="yellow"/>
          <w:u w:val="double"/>
        </w:rPr>
        <w:t>should be described</w:t>
      </w:r>
      <w:r w:rsidRPr="00D403F5">
        <w:rPr>
          <w:rStyle w:val="normaltextrun"/>
          <w:rFonts w:ascii="Arial" w:eastAsia="Arial" w:hAnsi="Arial" w:cs="Arial"/>
          <w:sz w:val="18"/>
          <w:szCs w:val="18"/>
          <w:u w:val="double"/>
        </w:rPr>
        <w:t>.</w:t>
      </w:r>
      <w:r w:rsidRPr="00D403F5">
        <w:rPr>
          <w:rStyle w:val="normaltextrun"/>
          <w:rFonts w:ascii="Arial" w:eastAsia="Arial" w:hAnsi="Arial" w:cs="Arial"/>
          <w:color w:val="000000"/>
          <w:sz w:val="18"/>
          <w:szCs w:val="18"/>
        </w:rPr>
        <w:t xml:space="preserve"> </w:t>
      </w:r>
      <w:r w:rsidRPr="00D403F5">
        <w:rPr>
          <w:rStyle w:val="normaltextrun"/>
          <w:rFonts w:ascii="Arial" w:eastAsia="Arial" w:hAnsi="Arial" w:cs="Arial"/>
          <w:strike/>
          <w:color w:val="000000"/>
          <w:sz w:val="18"/>
          <w:szCs w:val="18"/>
          <w:highlight w:val="yellow"/>
        </w:rPr>
        <w:t>and identified t</w:t>
      </w:r>
      <w:r w:rsidRPr="00D403F5">
        <w:rPr>
          <w:rStyle w:val="normaltextrun"/>
          <w:rFonts w:ascii="Arial" w:eastAsia="Arial" w:hAnsi="Arial" w:cs="Arial"/>
          <w:color w:val="000000"/>
          <w:sz w:val="18"/>
          <w:szCs w:val="18"/>
          <w:highlight w:val="yellow"/>
          <w:u w:val="double"/>
        </w:rPr>
        <w:t>T</w:t>
      </w:r>
      <w:r w:rsidRPr="00D403F5">
        <w:rPr>
          <w:rStyle w:val="normaltextrun"/>
          <w:rFonts w:ascii="Arial" w:eastAsia="Arial" w:hAnsi="Arial" w:cs="Arial"/>
          <w:color w:val="000000"/>
          <w:sz w:val="18"/>
          <w:szCs w:val="18"/>
        </w:rPr>
        <w:t>riggers for ad hoc review must be determined (e.g. changes to infrastructure, production techniques</w:t>
      </w:r>
      <w:r w:rsidRPr="00D403F5">
        <w:rPr>
          <w:rStyle w:val="normaltextrun"/>
          <w:rFonts w:ascii="Arial" w:eastAsia="Arial" w:hAnsi="Arial" w:cs="Arial"/>
          <w:color w:val="000000"/>
          <w:sz w:val="18"/>
          <w:szCs w:val="18"/>
          <w:highlight w:val="yellow"/>
          <w:u w:val="double"/>
        </w:rPr>
        <w:t>,</w:t>
      </w:r>
      <w:r w:rsidRPr="00D403F5">
        <w:rPr>
          <w:rStyle w:val="normaltextrun"/>
          <w:rFonts w:ascii="Arial" w:eastAsia="Arial" w:hAnsi="Arial" w:cs="Arial"/>
          <w:color w:val="000000"/>
          <w:sz w:val="18"/>
          <w:szCs w:val="18"/>
        </w:rPr>
        <w:t xml:space="preserve"> </w:t>
      </w:r>
      <w:r w:rsidRPr="00D403F5">
        <w:rPr>
          <w:rStyle w:val="normaltextrun"/>
          <w:rFonts w:ascii="Arial" w:eastAsia="Arial" w:hAnsi="Arial" w:cs="Arial"/>
          <w:sz w:val="18"/>
          <w:szCs w:val="18"/>
          <w:highlight w:val="yellow"/>
          <w:u w:val="double"/>
        </w:rPr>
        <w:t xml:space="preserve">disease outbreaks, </w:t>
      </w:r>
      <w:r w:rsidRPr="00D403F5">
        <w:rPr>
          <w:rStyle w:val="normaltextrun"/>
          <w:rFonts w:ascii="Arial" w:eastAsia="Arial" w:hAnsi="Arial" w:cs="Arial"/>
          <w:color w:val="000000"/>
          <w:sz w:val="18"/>
          <w:szCs w:val="18"/>
        </w:rPr>
        <w:t xml:space="preserve"> or risk profiles). Third party audit</w:t>
      </w:r>
      <w:r w:rsidRPr="00D403F5">
        <w:rPr>
          <w:rStyle w:val="normaltextrun"/>
          <w:rFonts w:ascii="Arial" w:eastAsia="Arial" w:hAnsi="Arial" w:cs="Arial"/>
          <w:color w:val="000000"/>
          <w:sz w:val="18"/>
          <w:szCs w:val="18"/>
          <w:u w:val="double"/>
        </w:rPr>
        <w:t>s</w:t>
      </w:r>
      <w:r w:rsidRPr="00D403F5">
        <w:rPr>
          <w:rStyle w:val="normaltextrun"/>
          <w:rFonts w:ascii="Arial" w:eastAsia="Arial" w:hAnsi="Arial" w:cs="Arial"/>
          <w:color w:val="000000"/>
          <w:sz w:val="18"/>
          <w:szCs w:val="18"/>
        </w:rPr>
        <w:t xml:space="preserve"> may be required where recognition of the biosecurity measures is required by customers, </w:t>
      </w:r>
      <w:r w:rsidRPr="00D403F5">
        <w:rPr>
          <w:rStyle w:val="normaltextrun"/>
          <w:rFonts w:ascii="Arial" w:eastAsia="Arial" w:hAnsi="Arial" w:cs="Arial"/>
          <w:color w:val="000000"/>
          <w:sz w:val="18"/>
          <w:szCs w:val="18"/>
          <w:highlight w:val="yellow"/>
          <w:u w:val="double"/>
        </w:rPr>
        <w:t>or</w:t>
      </w:r>
      <w:r w:rsidRPr="00D403F5">
        <w:rPr>
          <w:rStyle w:val="normaltextrun"/>
          <w:rFonts w:ascii="Arial" w:eastAsia="Arial" w:hAnsi="Arial" w:cs="Arial"/>
          <w:color w:val="000000"/>
          <w:sz w:val="18"/>
          <w:szCs w:val="18"/>
          <w:highlight w:val="yellow"/>
        </w:rPr>
        <w:t xml:space="preserve"> </w:t>
      </w:r>
      <w:r w:rsidRPr="00D403F5">
        <w:rPr>
          <w:rStyle w:val="normaltextrun"/>
          <w:rFonts w:ascii="Arial" w:eastAsia="Arial" w:hAnsi="Arial" w:cs="Arial"/>
          <w:color w:val="000000"/>
          <w:sz w:val="18"/>
          <w:szCs w:val="18"/>
        </w:rPr>
        <w:t>regulators</w:t>
      </w:r>
      <w:r w:rsidRPr="00D403F5">
        <w:rPr>
          <w:rStyle w:val="normaltextrun"/>
          <w:rFonts w:ascii="Arial" w:eastAsia="Arial" w:hAnsi="Arial" w:cs="Arial"/>
          <w:color w:val="000000"/>
          <w:sz w:val="18"/>
          <w:szCs w:val="18"/>
          <w:highlight w:val="yellow"/>
          <w:u w:val="double"/>
        </w:rPr>
        <w:t>,</w:t>
      </w:r>
      <w:r w:rsidRPr="00D403F5">
        <w:rPr>
          <w:rStyle w:val="normaltextrun"/>
          <w:rFonts w:ascii="Arial" w:eastAsia="Arial" w:hAnsi="Arial" w:cs="Arial"/>
          <w:color w:val="000000"/>
          <w:sz w:val="18"/>
          <w:szCs w:val="18"/>
          <w:highlight w:val="yellow"/>
        </w:rPr>
        <w:t xml:space="preserve"> </w:t>
      </w:r>
      <w:r w:rsidRPr="00D403F5">
        <w:rPr>
          <w:rStyle w:val="normaltextrun"/>
          <w:rFonts w:ascii="Arial" w:eastAsia="Arial" w:hAnsi="Arial" w:cs="Arial"/>
          <w:color w:val="000000"/>
          <w:sz w:val="18"/>
          <w:szCs w:val="18"/>
        </w:rPr>
        <w:t xml:space="preserve">or for market access, as </w:t>
      </w:r>
      <w:r w:rsidRPr="00D403F5">
        <w:rPr>
          <w:rStyle w:val="normaltextrun"/>
          <w:rFonts w:ascii="Arial" w:eastAsia="Arial" w:hAnsi="Arial" w:cs="Arial"/>
          <w:strike/>
          <w:color w:val="000000"/>
          <w:sz w:val="18"/>
          <w:szCs w:val="18"/>
          <w:highlight w:val="yellow"/>
        </w:rPr>
        <w:t>described</w:t>
      </w:r>
      <w:r w:rsidRPr="00D403F5">
        <w:rPr>
          <w:rStyle w:val="normaltextrun"/>
          <w:rFonts w:ascii="Arial" w:eastAsia="Arial" w:hAnsi="Arial" w:cs="Arial"/>
          <w:strike/>
          <w:color w:val="000000"/>
          <w:sz w:val="18"/>
          <w:szCs w:val="18"/>
        </w:rPr>
        <w:t xml:space="preserve"> </w:t>
      </w:r>
      <w:r w:rsidRPr="00D403F5">
        <w:rPr>
          <w:rStyle w:val="normaltextrun"/>
          <w:rFonts w:ascii="Arial" w:eastAsia="Arial" w:hAnsi="Arial" w:cs="Arial"/>
          <w:sz w:val="18"/>
          <w:szCs w:val="18"/>
          <w:highlight w:val="yellow"/>
          <w:u w:val="double"/>
        </w:rPr>
        <w:t>provided</w:t>
      </w:r>
      <w:r w:rsidRPr="00D403F5">
        <w:rPr>
          <w:rStyle w:val="normaltextrun"/>
          <w:rFonts w:ascii="Arial" w:eastAsia="Arial" w:hAnsi="Arial" w:cs="Arial"/>
          <w:color w:val="000000"/>
          <w:sz w:val="18"/>
          <w:szCs w:val="18"/>
        </w:rPr>
        <w:t xml:space="preserve"> in Article 4.X.8.</w:t>
      </w:r>
    </w:p>
    <w:p w14:paraId="0440FF22" w14:textId="77777777" w:rsidR="007B3D5C" w:rsidRPr="00D403F5" w:rsidRDefault="007B3D5C" w:rsidP="00456872">
      <w:pPr>
        <w:spacing w:after="240"/>
        <w:jc w:val="center"/>
        <w:rPr>
          <w:rFonts w:ascii="Ottawa" w:hAnsi="Ottawa" w:cs="Arial"/>
          <w:sz w:val="18"/>
          <w:szCs w:val="18"/>
        </w:rPr>
      </w:pPr>
      <w:r w:rsidRPr="00D403F5">
        <w:rPr>
          <w:rFonts w:ascii="Ottawa" w:hAnsi="Ottawa" w:cs="Arial"/>
          <w:sz w:val="18"/>
          <w:szCs w:val="18"/>
        </w:rPr>
        <w:t>Article 4.X.5.</w:t>
      </w:r>
    </w:p>
    <w:p w14:paraId="4C886144" w14:textId="77777777" w:rsidR="007B3D5C" w:rsidRPr="00D403F5" w:rsidRDefault="007B3D5C" w:rsidP="00456872">
      <w:pPr>
        <w:spacing w:after="240"/>
        <w:jc w:val="both"/>
        <w:rPr>
          <w:rFonts w:ascii="Ottawa" w:hAnsi="Ottawa" w:cs="Arial"/>
          <w:b/>
          <w:color w:val="000000"/>
          <w:sz w:val="18"/>
          <w:szCs w:val="18"/>
        </w:rPr>
      </w:pPr>
      <w:r w:rsidRPr="00D403F5">
        <w:rPr>
          <w:rFonts w:ascii="Ottawa" w:hAnsi="Ottawa" w:cs="Arial"/>
          <w:b/>
          <w:color w:val="000000"/>
          <w:sz w:val="18"/>
          <w:szCs w:val="18"/>
        </w:rPr>
        <w:t xml:space="preserve">Categories of aquaculture production systems </w:t>
      </w:r>
    </w:p>
    <w:p w14:paraId="27084419" w14:textId="77777777" w:rsidR="007B3D5C" w:rsidRPr="00D403F5" w:rsidRDefault="007B3D5C" w:rsidP="00456872">
      <w:pPr>
        <w:pStyle w:val="Default"/>
        <w:spacing w:after="240"/>
        <w:jc w:val="both"/>
        <w:rPr>
          <w:rFonts w:eastAsia="Arial"/>
          <w:sz w:val="18"/>
          <w:szCs w:val="18"/>
          <w:shd w:val="clear" w:color="auto" w:fill="FFFFFF"/>
          <w:lang w:val="en-GB"/>
        </w:rPr>
      </w:pPr>
      <w:r w:rsidRPr="00D403F5">
        <w:rPr>
          <w:i/>
          <w:strike/>
          <w:sz w:val="18"/>
          <w:szCs w:val="18"/>
          <w:shd w:val="clear" w:color="auto" w:fill="FFFFFF"/>
          <w:lang w:val="en-GB"/>
        </w:rPr>
        <w:t xml:space="preserve">Aquatic animals </w:t>
      </w:r>
      <w:r w:rsidRPr="00D403F5">
        <w:rPr>
          <w:strike/>
          <w:sz w:val="18"/>
          <w:szCs w:val="18"/>
          <w:shd w:val="clear" w:color="auto" w:fill="FFFFFF"/>
          <w:lang w:val="en-GB"/>
        </w:rPr>
        <w:t>can be produced in f</w:t>
      </w:r>
      <w:r w:rsidRPr="00D403F5">
        <w:rPr>
          <w:sz w:val="18"/>
          <w:szCs w:val="18"/>
          <w:u w:val="double"/>
          <w:shd w:val="clear" w:color="auto" w:fill="FFFFFF"/>
          <w:lang w:val="en-GB"/>
        </w:rPr>
        <w:t>F</w:t>
      </w:r>
      <w:r w:rsidRPr="00D403F5">
        <w:rPr>
          <w:sz w:val="18"/>
          <w:szCs w:val="18"/>
          <w:shd w:val="clear" w:color="auto" w:fill="FFFFFF"/>
          <w:lang w:val="en-GB"/>
        </w:rPr>
        <w:t xml:space="preserve">our different categories of </w:t>
      </w:r>
      <w:r w:rsidRPr="00D403F5">
        <w:rPr>
          <w:sz w:val="18"/>
          <w:szCs w:val="18"/>
          <w:u w:val="double"/>
          <w:shd w:val="clear" w:color="auto" w:fill="FFFFFF"/>
          <w:lang w:val="en-GB"/>
        </w:rPr>
        <w:t>aquaculture</w:t>
      </w:r>
      <w:r w:rsidRPr="00D403F5">
        <w:rPr>
          <w:sz w:val="18"/>
          <w:szCs w:val="18"/>
          <w:shd w:val="clear" w:color="auto" w:fill="FFFFFF"/>
          <w:lang w:val="en-GB"/>
        </w:rPr>
        <w:t xml:space="preserve"> production systems</w:t>
      </w:r>
      <w:r w:rsidRPr="00D403F5">
        <w:rPr>
          <w:strike/>
          <w:sz w:val="18"/>
          <w:szCs w:val="18"/>
          <w:shd w:val="clear" w:color="auto" w:fill="FFFFFF"/>
          <w:lang w:val="en-GB"/>
        </w:rPr>
        <w:t>, which</w:t>
      </w:r>
      <w:r w:rsidRPr="00D403F5">
        <w:rPr>
          <w:sz w:val="18"/>
          <w:szCs w:val="18"/>
          <w:shd w:val="clear" w:color="auto" w:fill="FFFFFF"/>
          <w:lang w:val="en-GB"/>
        </w:rPr>
        <w:t xml:space="preserve"> are defined based on the capacity to treat water entering and exiting the system, and the level of control</w:t>
      </w:r>
      <w:r w:rsidRPr="00D403F5">
        <w:rPr>
          <w:rFonts w:eastAsia="SimSun" w:hint="eastAsia"/>
          <w:sz w:val="18"/>
          <w:szCs w:val="18"/>
          <w:shd w:val="clear" w:color="auto" w:fill="FFFFFF"/>
          <w:lang w:val="en-GB" w:eastAsia="zh-CN"/>
        </w:rPr>
        <w:t xml:space="preserve"> </w:t>
      </w:r>
      <w:r w:rsidRPr="00D403F5">
        <w:rPr>
          <w:sz w:val="18"/>
          <w:szCs w:val="18"/>
          <w:shd w:val="clear" w:color="auto" w:fill="FFFFFF"/>
          <w:lang w:val="en-GB"/>
        </w:rPr>
        <w:t xml:space="preserve">of </w:t>
      </w:r>
      <w:r w:rsidRPr="00D403F5">
        <w:rPr>
          <w:i/>
          <w:sz w:val="18"/>
          <w:szCs w:val="18"/>
          <w:shd w:val="clear" w:color="auto" w:fill="FFFFFF"/>
          <w:lang w:val="en-GB"/>
        </w:rPr>
        <w:t>aquatic animals</w:t>
      </w:r>
      <w:r w:rsidRPr="00D403F5">
        <w:rPr>
          <w:sz w:val="18"/>
          <w:szCs w:val="18"/>
          <w:shd w:val="clear" w:color="auto" w:fill="FFFFFF"/>
          <w:lang w:val="en-GB"/>
        </w:rPr>
        <w:t xml:space="preserve"> and </w:t>
      </w:r>
      <w:r w:rsidRPr="00D403F5">
        <w:rPr>
          <w:i/>
          <w:sz w:val="18"/>
          <w:szCs w:val="18"/>
          <w:shd w:val="clear" w:color="auto" w:fill="FFFFFF"/>
          <w:lang w:val="en-GB"/>
        </w:rPr>
        <w:t>vectors</w:t>
      </w:r>
      <w:r w:rsidRPr="00D403F5">
        <w:rPr>
          <w:sz w:val="18"/>
          <w:szCs w:val="18"/>
          <w:shd w:val="clear" w:color="auto" w:fill="FFFFFF"/>
          <w:lang w:val="en-GB"/>
        </w:rPr>
        <w:t xml:space="preserve">. These </w:t>
      </w:r>
      <w:r w:rsidRPr="00D403F5">
        <w:rPr>
          <w:strike/>
          <w:sz w:val="18"/>
          <w:szCs w:val="18"/>
          <w:highlight w:val="yellow"/>
          <w:shd w:val="clear" w:color="auto" w:fill="FFFFFF"/>
          <w:lang w:val="en-GB"/>
        </w:rPr>
        <w:t>measures</w:t>
      </w:r>
      <w:r w:rsidRPr="00D403F5">
        <w:rPr>
          <w:sz w:val="18"/>
          <w:szCs w:val="18"/>
          <w:shd w:val="clear" w:color="auto" w:fill="FFFFFF"/>
          <w:lang w:val="en-GB"/>
        </w:rPr>
        <w:t xml:space="preserve"> </w:t>
      </w:r>
      <w:r w:rsidRPr="00D403F5">
        <w:rPr>
          <w:sz w:val="18"/>
          <w:szCs w:val="18"/>
          <w:highlight w:val="yellow"/>
          <w:u w:val="double"/>
          <w:shd w:val="clear" w:color="auto" w:fill="FFFFFF"/>
          <w:lang w:val="en-GB"/>
        </w:rPr>
        <w:t>factors</w:t>
      </w:r>
      <w:r w:rsidRPr="00D403F5">
        <w:rPr>
          <w:sz w:val="18"/>
          <w:szCs w:val="18"/>
          <w:u w:val="double"/>
          <w:shd w:val="clear" w:color="auto" w:fill="FFFFFF"/>
          <w:lang w:val="en-GB"/>
        </w:rPr>
        <w:t xml:space="preserve"> </w:t>
      </w:r>
      <w:r w:rsidRPr="00D403F5">
        <w:rPr>
          <w:sz w:val="18"/>
          <w:szCs w:val="18"/>
          <w:shd w:val="clear" w:color="auto" w:fill="FFFFFF"/>
          <w:lang w:val="en-GB"/>
        </w:rPr>
        <w:t xml:space="preserve">need to be considered in </w:t>
      </w:r>
      <w:r w:rsidRPr="00D403F5">
        <w:rPr>
          <w:i/>
          <w:sz w:val="18"/>
          <w:szCs w:val="18"/>
          <w:shd w:val="clear" w:color="auto" w:fill="FFFFFF"/>
          <w:lang w:val="en-GB"/>
        </w:rPr>
        <w:t>biosecurity</w:t>
      </w:r>
      <w:r w:rsidRPr="00D403F5">
        <w:rPr>
          <w:sz w:val="18"/>
          <w:szCs w:val="18"/>
          <w:shd w:val="clear" w:color="auto" w:fill="FFFFFF"/>
          <w:lang w:val="en-GB"/>
        </w:rPr>
        <w:t xml:space="preserve"> planning.</w:t>
      </w:r>
    </w:p>
    <w:p w14:paraId="0329371F" w14:textId="77777777" w:rsidR="007B3D5C" w:rsidRPr="00D403F5" w:rsidRDefault="007B3D5C" w:rsidP="00456872">
      <w:pPr>
        <w:pStyle w:val="Default"/>
        <w:spacing w:after="240"/>
        <w:jc w:val="both"/>
        <w:rPr>
          <w:color w:val="202020"/>
          <w:sz w:val="18"/>
          <w:szCs w:val="18"/>
          <w:u w:val="single" w:color="202020"/>
          <w:shd w:val="clear" w:color="auto" w:fill="FFFFFF"/>
          <w:lang w:val="en-GB"/>
        </w:rPr>
      </w:pPr>
      <w:r w:rsidRPr="00D403F5">
        <w:rPr>
          <w:color w:val="202020"/>
          <w:sz w:val="18"/>
          <w:szCs w:val="18"/>
          <w:u w:val="single" w:color="202020"/>
          <w:shd w:val="clear" w:color="auto" w:fill="FFFFFF"/>
          <w:lang w:val="en-GB"/>
        </w:rPr>
        <w:t>Open systems</w:t>
      </w:r>
    </w:p>
    <w:p w14:paraId="5F34510A" w14:textId="77777777" w:rsidR="007B3D5C" w:rsidRPr="00D403F5" w:rsidRDefault="007B3D5C" w:rsidP="00456872">
      <w:pPr>
        <w:pStyle w:val="Default"/>
        <w:spacing w:after="240"/>
        <w:jc w:val="both"/>
        <w:rPr>
          <w:color w:val="202020"/>
          <w:sz w:val="18"/>
          <w:szCs w:val="18"/>
          <w:u w:val="double"/>
          <w:shd w:val="clear" w:color="auto" w:fill="FFFFFF"/>
          <w:lang w:val="en-GB"/>
        </w:rPr>
      </w:pPr>
      <w:r w:rsidRPr="00D403F5">
        <w:rPr>
          <w:color w:val="202020"/>
          <w:sz w:val="18"/>
          <w:szCs w:val="18"/>
          <w:highlight w:val="yellow"/>
          <w:u w:val="double" w:color="202020"/>
          <w:shd w:val="clear" w:color="auto" w:fill="FFFFFF"/>
          <w:lang w:val="en-GB"/>
        </w:rPr>
        <w:t>In an open</w:t>
      </w:r>
      <w:r w:rsidRPr="00D403F5">
        <w:rPr>
          <w:color w:val="202020"/>
          <w:sz w:val="18"/>
          <w:szCs w:val="18"/>
          <w:u w:color="202020"/>
          <w:shd w:val="clear" w:color="auto" w:fill="FFFFFF"/>
          <w:lang w:val="en-GB"/>
        </w:rPr>
        <w:t xml:space="preserve"> </w:t>
      </w:r>
      <w:r w:rsidRPr="00D403F5">
        <w:rPr>
          <w:strike/>
          <w:color w:val="202020"/>
          <w:sz w:val="18"/>
          <w:szCs w:val="18"/>
          <w:highlight w:val="yellow"/>
          <w:u w:color="202020"/>
          <w:shd w:val="clear" w:color="auto" w:fill="FFFFFF"/>
          <w:lang w:val="en-GB"/>
        </w:rPr>
        <w:t>Open</w:t>
      </w:r>
      <w:r w:rsidRPr="00D403F5">
        <w:rPr>
          <w:color w:val="202020"/>
          <w:sz w:val="18"/>
          <w:szCs w:val="18"/>
          <w:u w:color="202020"/>
          <w:shd w:val="clear" w:color="auto" w:fill="FFFFFF"/>
          <w:lang w:val="en-GB"/>
        </w:rPr>
        <w:t>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production system</w:t>
      </w:r>
      <w:r w:rsidRPr="00D403F5">
        <w:rPr>
          <w:strike/>
          <w:color w:val="202020"/>
          <w:sz w:val="18"/>
          <w:szCs w:val="18"/>
          <w:highlight w:val="yellow"/>
          <w:u w:color="202020"/>
          <w:shd w:val="clear" w:color="auto" w:fill="FFFFFF"/>
          <w:lang w:val="en-GB"/>
        </w:rPr>
        <w:t>s</w:t>
      </w:r>
      <w:r w:rsidRPr="00D403F5">
        <w:rPr>
          <w:strike/>
          <w:color w:val="202020"/>
          <w:sz w:val="18"/>
          <w:szCs w:val="18"/>
          <w:u w:color="202020"/>
          <w:shd w:val="clear" w:color="auto" w:fill="FFFFFF"/>
          <w:lang w:val="en-GB"/>
        </w:rPr>
        <w:t xml:space="preserve">, </w:t>
      </w:r>
      <w:r w:rsidRPr="00D403F5">
        <w:rPr>
          <w:color w:val="202020"/>
          <w:sz w:val="18"/>
          <w:szCs w:val="18"/>
          <w:highlight w:val="yellow"/>
          <w:u w:val="double" w:color="202020"/>
          <w:shd w:val="clear" w:color="auto" w:fill="FFFFFF"/>
          <w:lang w:val="en-GB"/>
        </w:rPr>
        <w:t>it is not possible to</w:t>
      </w:r>
      <w:r w:rsidRPr="00D403F5">
        <w:rPr>
          <w:color w:val="202020"/>
          <w:sz w:val="18"/>
          <w:szCs w:val="18"/>
          <w:u w:color="202020"/>
          <w:shd w:val="clear" w:color="auto" w:fill="FFFFFF"/>
          <w:lang w:val="en-GB"/>
        </w:rPr>
        <w:t xml:space="preserve"> have </w:t>
      </w:r>
      <w:r w:rsidRPr="00D403F5">
        <w:rPr>
          <w:strike/>
          <w:color w:val="202020"/>
          <w:sz w:val="18"/>
          <w:szCs w:val="18"/>
          <w:highlight w:val="yellow"/>
          <w:u w:val="double" w:color="202020"/>
          <w:shd w:val="clear" w:color="auto" w:fill="FFFFFF"/>
          <w:lang w:val="en-GB"/>
        </w:rPr>
        <w:t>no</w:t>
      </w:r>
      <w:r w:rsidRPr="00D403F5">
        <w:rPr>
          <w:color w:val="202020"/>
          <w:sz w:val="18"/>
          <w:szCs w:val="18"/>
          <w:u w:color="202020"/>
          <w:shd w:val="clear" w:color="auto" w:fill="FFFFFF"/>
          <w:lang w:val="en-GB"/>
        </w:rPr>
        <w:t xml:space="preserve"> control of water, environmental conditions</w:t>
      </w:r>
      <w:r w:rsidRPr="00D403F5">
        <w:rPr>
          <w:color w:val="202020"/>
          <w:sz w:val="18"/>
          <w:szCs w:val="18"/>
          <w:u w:val="double"/>
          <w:shd w:val="clear" w:color="auto" w:fill="FFFFFF"/>
          <w:lang w:val="en-GB"/>
        </w:rPr>
        <w:t>,</w:t>
      </w:r>
      <w:r w:rsidRPr="00D403F5">
        <w:rPr>
          <w:rFonts w:eastAsia="SimSun" w:hint="eastAsia"/>
          <w:color w:val="202020"/>
          <w:sz w:val="18"/>
          <w:szCs w:val="18"/>
          <w:u w:color="202020"/>
          <w:shd w:val="clear" w:color="auto" w:fill="FFFFFF"/>
          <w:lang w:val="en-GB" w:eastAsia="zh-CN"/>
        </w:rPr>
        <w:t xml:space="preserve"> </w:t>
      </w:r>
      <w:r w:rsidRPr="00D403F5">
        <w:rPr>
          <w:strike/>
          <w:color w:val="202020"/>
          <w:sz w:val="18"/>
          <w:szCs w:val="18"/>
          <w:u w:color="202020"/>
          <w:shd w:val="clear" w:color="auto" w:fill="FFFFFF"/>
          <w:lang w:val="en-GB"/>
        </w:rPr>
        <w:t>and</w:t>
      </w:r>
      <w:r w:rsidRPr="00D403F5">
        <w:rPr>
          <w:color w:val="202020"/>
          <w:sz w:val="18"/>
          <w:szCs w:val="18"/>
          <w:u w:color="202020"/>
          <w:shd w:val="clear" w:color="auto" w:fill="FFFFFF"/>
          <w:lang w:val="en-GB"/>
        </w:rPr>
        <w:t xml:space="preserve"> animals </w:t>
      </w:r>
      <w:r w:rsidRPr="00D403F5">
        <w:rPr>
          <w:color w:val="202020"/>
          <w:sz w:val="18"/>
          <w:szCs w:val="18"/>
          <w:u w:val="double"/>
          <w:shd w:val="clear" w:color="auto" w:fill="FFFFFF"/>
          <w:lang w:val="en-GB"/>
        </w:rPr>
        <w:t xml:space="preserve">and </w:t>
      </w:r>
      <w:r w:rsidRPr="00D403F5">
        <w:rPr>
          <w:i/>
          <w:color w:val="202020"/>
          <w:sz w:val="18"/>
          <w:szCs w:val="18"/>
          <w:u w:val="double"/>
          <w:shd w:val="clear" w:color="auto" w:fill="FFFFFF"/>
          <w:lang w:val="en-GB"/>
        </w:rPr>
        <w:t>vectors</w:t>
      </w:r>
      <w:r w:rsidRPr="00D403F5">
        <w:rPr>
          <w:color w:val="202020"/>
          <w:sz w:val="18"/>
          <w:szCs w:val="18"/>
          <w:u w:color="202020"/>
          <w:shd w:val="clear" w:color="auto" w:fill="FFFFFF"/>
          <w:lang w:val="en-GB"/>
        </w:rPr>
        <w:t>. These production systems may include stock enhancement of wild populations</w:t>
      </w:r>
      <w:r w:rsidRPr="00D403F5">
        <w:rPr>
          <w:color w:val="202020"/>
          <w:sz w:val="18"/>
          <w:szCs w:val="18"/>
          <w:u w:val="double"/>
          <w:shd w:val="clear" w:color="auto" w:fill="FFFFFF"/>
          <w:lang w:val="en-GB"/>
        </w:rPr>
        <w:t xml:space="preserve"> with animals originating from </w:t>
      </w:r>
      <w:r w:rsidRPr="00D403F5">
        <w:rPr>
          <w:i/>
          <w:color w:val="202020"/>
          <w:sz w:val="18"/>
          <w:szCs w:val="18"/>
          <w:u w:val="double"/>
          <w:shd w:val="clear" w:color="auto" w:fill="FFFFFF"/>
          <w:lang w:val="en-GB"/>
        </w:rPr>
        <w:t>aquaculture establishments</w:t>
      </w:r>
      <w:r w:rsidRPr="00D403F5">
        <w:rPr>
          <w:color w:val="202020"/>
          <w:sz w:val="18"/>
          <w:szCs w:val="18"/>
          <w:u w:val="double"/>
          <w:shd w:val="clear" w:color="auto" w:fill="FFFFFF"/>
          <w:lang w:val="en-GB"/>
        </w:rPr>
        <w:t xml:space="preserve"> or from the wild</w:t>
      </w:r>
      <w:r w:rsidRPr="00D403F5">
        <w:rPr>
          <w:color w:val="202020"/>
          <w:sz w:val="18"/>
          <w:szCs w:val="18"/>
          <w:u w:color="202020"/>
          <w:shd w:val="clear" w:color="auto" w:fill="FFFFFF"/>
          <w:lang w:val="en-GB"/>
        </w:rPr>
        <w:t xml:space="preserve">. As these systems cannot be considered ‘establishments’, they are not considered further in this chapter. </w:t>
      </w:r>
      <w:r w:rsidRPr="00D403F5">
        <w:rPr>
          <w:color w:val="202020"/>
          <w:sz w:val="18"/>
          <w:szCs w:val="18"/>
          <w:u w:val="double"/>
          <w:shd w:val="clear" w:color="auto" w:fill="FFFFFF"/>
          <w:lang w:val="en-GB"/>
        </w:rPr>
        <w:t xml:space="preserve">However, movements of </w:t>
      </w:r>
      <w:r w:rsidRPr="00D403F5">
        <w:rPr>
          <w:i/>
          <w:color w:val="202020"/>
          <w:sz w:val="18"/>
          <w:szCs w:val="18"/>
          <w:highlight w:val="yellow"/>
          <w:u w:val="double"/>
          <w:shd w:val="clear" w:color="auto" w:fill="FFFFFF"/>
          <w:lang w:val="en-GB"/>
        </w:rPr>
        <w:t>aquatic animals</w:t>
      </w:r>
      <w:r w:rsidRPr="00D403F5">
        <w:rPr>
          <w:color w:val="202020"/>
          <w:sz w:val="18"/>
          <w:szCs w:val="18"/>
          <w:u w:val="double"/>
          <w:shd w:val="clear" w:color="auto" w:fill="FFFFFF"/>
          <w:lang w:val="en-GB"/>
        </w:rPr>
        <w:t xml:space="preserve"> to open systems should still be subject to disease mitigation measures.</w:t>
      </w:r>
    </w:p>
    <w:p w14:paraId="7515CFFD" w14:textId="77777777" w:rsidR="007B3D5C" w:rsidRPr="00D403F5" w:rsidRDefault="007B3D5C" w:rsidP="00456872">
      <w:pPr>
        <w:spacing w:after="480"/>
        <w:jc w:val="right"/>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60D90835" w14:textId="77777777" w:rsidR="007B3D5C" w:rsidRPr="00D403F5" w:rsidRDefault="007B3D5C" w:rsidP="00456872">
      <w:pPr>
        <w:pStyle w:val="Default"/>
        <w:spacing w:after="240"/>
        <w:jc w:val="both"/>
        <w:rPr>
          <w:rFonts w:eastAsia="Helvetica"/>
          <w:sz w:val="18"/>
          <w:szCs w:val="18"/>
          <w:u w:color="202020"/>
          <w:shd w:val="clear" w:color="auto" w:fill="FFFFFF"/>
          <w:lang w:val="en-US"/>
        </w:rPr>
      </w:pPr>
      <w:r w:rsidRPr="00D403F5">
        <w:rPr>
          <w:color w:val="202020"/>
          <w:sz w:val="18"/>
          <w:szCs w:val="18"/>
          <w:u w:val="single" w:color="202020"/>
          <w:shd w:val="clear" w:color="auto" w:fill="FFFFFF"/>
          <w:lang w:val="en-US"/>
        </w:rPr>
        <w:t>Semi-open</w:t>
      </w:r>
    </w:p>
    <w:p w14:paraId="011CB74B" w14:textId="77777777" w:rsidR="007B3D5C" w:rsidRPr="00D403F5" w:rsidRDefault="007B3D5C" w:rsidP="00456872">
      <w:pPr>
        <w:pStyle w:val="Default"/>
        <w:spacing w:after="240"/>
        <w:jc w:val="both"/>
        <w:rPr>
          <w:sz w:val="18"/>
          <w:szCs w:val="18"/>
          <w:u w:color="202020"/>
          <w:shd w:val="clear" w:color="auto" w:fill="FFFFFF"/>
          <w:lang w:val="en-GB"/>
        </w:rPr>
      </w:pPr>
      <w:r w:rsidRPr="00D403F5">
        <w:rPr>
          <w:color w:val="202020"/>
          <w:sz w:val="18"/>
          <w:szCs w:val="18"/>
          <w:u w:color="202020"/>
          <w:shd w:val="clear" w:color="auto" w:fill="FFFFFF"/>
          <w:lang w:val="en-GB"/>
        </w:rPr>
        <w:t>In a semi-open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production system, it is not possible to have control </w:t>
      </w:r>
      <w:r w:rsidRPr="00D403F5">
        <w:rPr>
          <w:rFonts w:eastAsia="SimSun"/>
          <w:color w:val="202020"/>
          <w:sz w:val="18"/>
          <w:szCs w:val="18"/>
          <w:u w:color="202020"/>
          <w:shd w:val="clear" w:color="auto" w:fill="FFFFFF"/>
          <w:lang w:val="en-GB" w:eastAsia="zh-CN"/>
        </w:rPr>
        <w:t>over the</w:t>
      </w:r>
      <w:r w:rsidRPr="00D403F5">
        <w:rPr>
          <w:rFonts w:eastAsia="SimSun" w:hint="eastAsia"/>
          <w:color w:val="202020"/>
          <w:sz w:val="18"/>
          <w:szCs w:val="18"/>
          <w:u w:color="202020"/>
          <w:shd w:val="clear" w:color="auto" w:fill="FFFFFF"/>
          <w:lang w:val="en-GB" w:eastAsia="zh-CN"/>
        </w:rPr>
        <w:t xml:space="preserve"> </w:t>
      </w:r>
      <w:r w:rsidRPr="00D403F5">
        <w:rPr>
          <w:color w:val="202020"/>
          <w:sz w:val="18"/>
          <w:szCs w:val="18"/>
          <w:u w:color="202020"/>
          <w:shd w:val="clear" w:color="auto" w:fill="FFFFFF"/>
          <w:lang w:val="en-GB"/>
        </w:rPr>
        <w:t xml:space="preserve">water entering or exiting the system, or </w:t>
      </w:r>
      <w:r w:rsidRPr="00D403F5">
        <w:rPr>
          <w:strike/>
          <w:color w:val="202020"/>
          <w:sz w:val="18"/>
          <w:szCs w:val="18"/>
          <w:highlight w:val="yellow"/>
          <w:u w:val="double"/>
          <w:shd w:val="clear" w:color="auto" w:fill="FFFFFF"/>
          <w:lang w:val="en-GB"/>
        </w:rPr>
        <w:t>of</w:t>
      </w:r>
      <w:r w:rsidRPr="00D403F5">
        <w:rPr>
          <w:color w:val="202020"/>
          <w:sz w:val="18"/>
          <w:szCs w:val="18"/>
          <w:u w:color="202020"/>
          <w:shd w:val="clear" w:color="auto" w:fill="FFFFFF"/>
          <w:lang w:val="en-GB"/>
        </w:rPr>
        <w:t xml:space="preserve"> the environmental conditions. Some </w:t>
      </w:r>
      <w:r w:rsidRPr="00D403F5">
        <w:rPr>
          <w:i/>
          <w:color w:val="202020"/>
          <w:sz w:val="18"/>
          <w:szCs w:val="18"/>
          <w:u w:color="202020"/>
          <w:shd w:val="clear" w:color="auto" w:fill="FFFFFF"/>
          <w:lang w:val="en-GB"/>
        </w:rPr>
        <w:t xml:space="preserve">aquatic animals </w:t>
      </w:r>
      <w:r w:rsidRPr="00D403F5">
        <w:rPr>
          <w:color w:val="202020"/>
          <w:sz w:val="18"/>
          <w:szCs w:val="18"/>
          <w:u w:color="202020"/>
          <w:shd w:val="clear" w:color="auto" w:fill="FFFFFF"/>
          <w:lang w:val="en-GB"/>
        </w:rPr>
        <w:t xml:space="preserve">and </w:t>
      </w:r>
      <w:r w:rsidRPr="00D403F5">
        <w:rPr>
          <w:i/>
          <w:color w:val="202020"/>
          <w:sz w:val="18"/>
          <w:szCs w:val="18"/>
          <w:u w:color="202020"/>
          <w:shd w:val="clear" w:color="auto" w:fill="FFFFFF"/>
          <w:lang w:val="en-GB"/>
        </w:rPr>
        <w:t>vectors</w:t>
      </w:r>
      <w:r w:rsidRPr="00D403F5">
        <w:rPr>
          <w:color w:val="202020"/>
          <w:sz w:val="18"/>
          <w:szCs w:val="18"/>
          <w:u w:color="202020"/>
          <w:shd w:val="clear" w:color="auto" w:fill="FFFFFF"/>
          <w:lang w:val="en-GB"/>
        </w:rPr>
        <w:t xml:space="preserve"> may also enter and exit the system. Examples of </w:t>
      </w:r>
      <w:r w:rsidRPr="00D403F5">
        <w:rPr>
          <w:rFonts w:eastAsia="SimSun" w:hint="eastAsia"/>
          <w:color w:val="202020"/>
          <w:sz w:val="18"/>
          <w:szCs w:val="18"/>
          <w:u w:color="202020"/>
          <w:shd w:val="clear" w:color="auto" w:fill="FFFFFF"/>
          <w:lang w:val="en-GB" w:eastAsia="zh-CN"/>
        </w:rPr>
        <w:t>semi-</w:t>
      </w:r>
      <w:r w:rsidRPr="00D403F5">
        <w:rPr>
          <w:color w:val="202020"/>
          <w:sz w:val="18"/>
          <w:szCs w:val="18"/>
          <w:u w:color="202020"/>
          <w:shd w:val="clear" w:color="auto" w:fill="FFFFFF"/>
          <w:lang w:val="en-GB"/>
        </w:rPr>
        <w:t xml:space="preserve">open </w:t>
      </w:r>
      <w:r w:rsidRPr="00D403F5">
        <w:rPr>
          <w:i/>
          <w:color w:val="202020"/>
          <w:sz w:val="18"/>
          <w:szCs w:val="18"/>
          <w:u w:color="202020"/>
          <w:shd w:val="clear" w:color="auto" w:fill="FFFFFF"/>
          <w:lang w:val="en-GB"/>
        </w:rPr>
        <w:t>aquaculture</w:t>
      </w:r>
      <w:r w:rsidRPr="00D403F5">
        <w:rPr>
          <w:rFonts w:eastAsia="SimSun" w:hint="eastAsia"/>
          <w:i/>
          <w:color w:val="202020"/>
          <w:sz w:val="18"/>
          <w:szCs w:val="18"/>
          <w:u w:color="202020"/>
          <w:shd w:val="clear" w:color="auto" w:fill="FFFFFF"/>
          <w:lang w:val="en-GB" w:eastAsia="zh-CN"/>
        </w:rPr>
        <w:t xml:space="preserve"> </w:t>
      </w:r>
      <w:r w:rsidRPr="00D403F5">
        <w:rPr>
          <w:color w:val="202020"/>
          <w:sz w:val="18"/>
          <w:szCs w:val="18"/>
          <w:u w:color="202020"/>
          <w:shd w:val="clear" w:color="auto" w:fill="FFFFFF"/>
          <w:lang w:val="en-GB"/>
        </w:rPr>
        <w:t xml:space="preserve">production systems are net pens </w:t>
      </w:r>
      <w:r w:rsidRPr="00D403F5">
        <w:rPr>
          <w:color w:val="202020"/>
          <w:sz w:val="18"/>
          <w:szCs w:val="18"/>
          <w:highlight w:val="yellow"/>
          <w:u w:val="double"/>
          <w:shd w:val="clear" w:color="auto" w:fill="FFFFFF"/>
          <w:lang w:val="en-GB"/>
        </w:rPr>
        <w:t>for finfish</w:t>
      </w:r>
      <w:r w:rsidRPr="00D403F5">
        <w:rPr>
          <w:color w:val="202020"/>
          <w:sz w:val="18"/>
          <w:szCs w:val="18"/>
          <w:u w:color="202020"/>
          <w:shd w:val="clear" w:color="auto" w:fill="FFFFFF"/>
          <w:lang w:val="en-GB"/>
        </w:rPr>
        <w:t xml:space="preserve"> </w:t>
      </w:r>
      <w:r w:rsidRPr="00D403F5">
        <w:rPr>
          <w:color w:val="202020"/>
          <w:sz w:val="18"/>
          <w:szCs w:val="18"/>
          <w:u w:val="double"/>
          <w:shd w:val="clear" w:color="auto" w:fill="FFFFFF"/>
          <w:lang w:val="en-GB"/>
        </w:rPr>
        <w:t xml:space="preserve">and </w:t>
      </w:r>
      <w:r w:rsidRPr="00D403F5">
        <w:rPr>
          <w:color w:val="202020"/>
          <w:sz w:val="18"/>
          <w:szCs w:val="18"/>
          <w:highlight w:val="yellow"/>
          <w:u w:val="double"/>
          <w:shd w:val="clear" w:color="auto" w:fill="FFFFFF"/>
          <w:lang w:val="en-GB"/>
        </w:rPr>
        <w:t>suspended baskets for</w:t>
      </w:r>
      <w:r w:rsidRPr="00D403F5">
        <w:rPr>
          <w:color w:val="202020"/>
          <w:sz w:val="18"/>
          <w:szCs w:val="18"/>
          <w:u w:val="double"/>
          <w:shd w:val="clear" w:color="auto" w:fill="FFFFFF"/>
          <w:lang w:val="en-GB"/>
        </w:rPr>
        <w:t xml:space="preserve"> mollusc</w:t>
      </w:r>
      <w:r w:rsidRPr="00D403F5">
        <w:rPr>
          <w:color w:val="202020"/>
          <w:sz w:val="18"/>
          <w:szCs w:val="18"/>
          <w:highlight w:val="yellow"/>
          <w:u w:val="double"/>
          <w:shd w:val="clear" w:color="auto" w:fill="FFFFFF"/>
          <w:lang w:val="en-GB"/>
        </w:rPr>
        <w:t>s</w:t>
      </w:r>
      <w:r w:rsidRPr="00D403F5">
        <w:rPr>
          <w:color w:val="202020"/>
          <w:sz w:val="18"/>
          <w:szCs w:val="18"/>
          <w:u w:val="double"/>
          <w:shd w:val="clear" w:color="auto" w:fill="FFFFFF"/>
          <w:lang w:val="en-GB"/>
        </w:rPr>
        <w:t xml:space="preserve"> </w:t>
      </w:r>
      <w:r w:rsidRPr="00D403F5">
        <w:rPr>
          <w:strike/>
          <w:color w:val="202020"/>
          <w:sz w:val="18"/>
          <w:szCs w:val="18"/>
          <w:highlight w:val="yellow"/>
          <w:u w:val="double"/>
          <w:shd w:val="clear" w:color="auto" w:fill="FFFFFF"/>
          <w:lang w:val="en-GB"/>
        </w:rPr>
        <w:t>aquaculture</w:t>
      </w:r>
      <w:r w:rsidRPr="00D403F5">
        <w:rPr>
          <w:color w:val="202020"/>
          <w:sz w:val="18"/>
          <w:szCs w:val="18"/>
          <w:u w:color="202020"/>
          <w:shd w:val="clear" w:color="auto" w:fill="FFFFFF"/>
          <w:lang w:val="en-GB"/>
        </w:rPr>
        <w:t xml:space="preserve"> in natural water bodies </w:t>
      </w:r>
      <w:r w:rsidRPr="00D403F5">
        <w:rPr>
          <w:strike/>
          <w:color w:val="202020"/>
          <w:sz w:val="18"/>
          <w:szCs w:val="18"/>
          <w:u w:color="202020"/>
          <w:shd w:val="clear" w:color="auto" w:fill="FFFFFF"/>
          <w:lang w:val="en-GB"/>
        </w:rPr>
        <w:t>and mollusc </w:t>
      </w:r>
      <w:r w:rsidRPr="00D403F5">
        <w:rPr>
          <w:i/>
          <w:iCs/>
          <w:strike/>
          <w:color w:val="202020"/>
          <w:sz w:val="18"/>
          <w:szCs w:val="18"/>
          <w:u w:color="202020"/>
          <w:shd w:val="clear" w:color="auto" w:fill="FFFFFF"/>
          <w:lang w:val="en-GB"/>
        </w:rPr>
        <w:t>aquaculture</w:t>
      </w:r>
      <w:r w:rsidRPr="00D403F5">
        <w:rPr>
          <w:iCs/>
          <w:strike/>
          <w:color w:val="202020"/>
          <w:sz w:val="18"/>
          <w:szCs w:val="18"/>
          <w:highlight w:val="yellow"/>
          <w:u w:color="202020"/>
          <w:shd w:val="clear" w:color="auto" w:fill="FFFFFF"/>
          <w:lang w:val="en-GB"/>
        </w:rPr>
        <w:t>, either suspended in the water column or on the ocean floor</w:t>
      </w:r>
      <w:r w:rsidRPr="00D403F5">
        <w:rPr>
          <w:color w:val="202020"/>
          <w:sz w:val="18"/>
          <w:szCs w:val="18"/>
          <w:u w:color="202020"/>
          <w:shd w:val="clear" w:color="auto" w:fill="FFFFFF"/>
          <w:lang w:val="en-GB"/>
        </w:rPr>
        <w:t>. </w:t>
      </w:r>
      <w:r w:rsidRPr="00D403F5">
        <w:rPr>
          <w:sz w:val="18"/>
          <w:szCs w:val="18"/>
          <w:u w:color="202020"/>
          <w:shd w:val="clear" w:color="auto" w:fill="FFFFFF"/>
          <w:lang w:val="en-GB"/>
        </w:rPr>
        <w:t> </w:t>
      </w:r>
    </w:p>
    <w:p w14:paraId="45B06A26" w14:textId="77777777" w:rsidR="007B3D5C" w:rsidRPr="00D403F5" w:rsidRDefault="007B3D5C" w:rsidP="00456872">
      <w:pPr>
        <w:pStyle w:val="Default"/>
        <w:spacing w:after="240"/>
        <w:jc w:val="both"/>
        <w:rPr>
          <w:rFonts w:eastAsia="Helvetica"/>
          <w:sz w:val="18"/>
          <w:szCs w:val="18"/>
          <w:u w:color="202020"/>
          <w:shd w:val="clear" w:color="auto" w:fill="FFFFFF"/>
          <w:lang w:val="en-GB"/>
        </w:rPr>
      </w:pPr>
      <w:r w:rsidRPr="00D403F5">
        <w:rPr>
          <w:color w:val="202020"/>
          <w:sz w:val="18"/>
          <w:szCs w:val="18"/>
          <w:u w:val="single" w:color="202020"/>
          <w:shd w:val="clear" w:color="auto" w:fill="FFFFFF"/>
          <w:lang w:val="en-GB"/>
        </w:rPr>
        <w:t>Semi-closed</w:t>
      </w:r>
    </w:p>
    <w:p w14:paraId="1BE50C99" w14:textId="77777777" w:rsidR="007B3D5C" w:rsidRPr="00D403F5" w:rsidRDefault="007B3D5C" w:rsidP="00456872">
      <w:pPr>
        <w:pStyle w:val="Default"/>
        <w:spacing w:after="240"/>
        <w:jc w:val="both"/>
        <w:rPr>
          <w:sz w:val="18"/>
          <w:szCs w:val="18"/>
          <w:u w:color="202020"/>
          <w:shd w:val="clear" w:color="auto" w:fill="FFFFFF"/>
          <w:lang w:val="en-GB"/>
        </w:rPr>
      </w:pPr>
      <w:r w:rsidRPr="00D403F5">
        <w:rPr>
          <w:color w:val="202020"/>
          <w:sz w:val="18"/>
          <w:szCs w:val="18"/>
          <w:u w:color="202020"/>
          <w:shd w:val="clear" w:color="auto" w:fill="FFFFFF"/>
          <w:lang w:val="en-GB"/>
        </w:rPr>
        <w:t>In a semi-closed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production system, there is some control </w:t>
      </w:r>
      <w:r w:rsidRPr="00D403F5">
        <w:rPr>
          <w:strike/>
          <w:color w:val="202020"/>
          <w:sz w:val="18"/>
          <w:szCs w:val="18"/>
          <w:highlight w:val="yellow"/>
          <w:u w:color="202020"/>
          <w:shd w:val="clear" w:color="auto" w:fill="FFFFFF"/>
          <w:lang w:val="en-GB"/>
        </w:rPr>
        <w:t>of</w:t>
      </w:r>
      <w:r w:rsidRPr="00D403F5">
        <w:rPr>
          <w:color w:val="202020"/>
          <w:sz w:val="18"/>
          <w:szCs w:val="18"/>
          <w:u w:color="202020"/>
          <w:shd w:val="clear" w:color="auto" w:fill="FFFFFF"/>
          <w:lang w:val="en-GB"/>
        </w:rPr>
        <w:t xml:space="preserve"> </w:t>
      </w:r>
      <w:r w:rsidRPr="00D403F5">
        <w:rPr>
          <w:color w:val="202020"/>
          <w:sz w:val="18"/>
          <w:szCs w:val="18"/>
          <w:highlight w:val="yellow"/>
          <w:u w:val="double"/>
          <w:shd w:val="clear" w:color="auto" w:fill="FFFFFF"/>
          <w:lang w:val="en-GB"/>
        </w:rPr>
        <w:t>over the</w:t>
      </w:r>
      <w:r w:rsidRPr="00D403F5">
        <w:rPr>
          <w:color w:val="202020"/>
          <w:sz w:val="18"/>
          <w:szCs w:val="18"/>
          <w:u w:color="202020"/>
          <w:shd w:val="clear" w:color="auto" w:fill="FFFFFF"/>
          <w:lang w:val="en-GB"/>
        </w:rPr>
        <w:t xml:space="preserve"> water entering and exiting the system</w:t>
      </w:r>
      <w:r w:rsidRPr="00D403F5">
        <w:rPr>
          <w:color w:val="202020"/>
          <w:sz w:val="18"/>
          <w:szCs w:val="18"/>
          <w:shd w:val="clear" w:color="auto" w:fill="FFFFFF"/>
          <w:lang w:val="en-GB"/>
        </w:rPr>
        <w:t xml:space="preserve"> </w:t>
      </w:r>
      <w:r w:rsidRPr="00D403F5">
        <w:rPr>
          <w:color w:val="202020"/>
          <w:sz w:val="18"/>
          <w:szCs w:val="18"/>
          <w:u w:color="202020"/>
          <w:shd w:val="clear" w:color="auto" w:fill="FFFFFF"/>
          <w:lang w:val="en-GB"/>
        </w:rPr>
        <w:t xml:space="preserve">and </w:t>
      </w:r>
      <w:r w:rsidRPr="00D403F5">
        <w:rPr>
          <w:strike/>
          <w:color w:val="202020"/>
          <w:sz w:val="18"/>
          <w:szCs w:val="18"/>
          <w:highlight w:val="yellow"/>
          <w:u w:color="202020"/>
          <w:shd w:val="clear" w:color="auto" w:fill="FFFFFF"/>
          <w:lang w:val="en-GB"/>
        </w:rPr>
        <w:t>of</w:t>
      </w:r>
      <w:r w:rsidRPr="00D403F5">
        <w:rPr>
          <w:color w:val="202020"/>
          <w:sz w:val="18"/>
          <w:szCs w:val="18"/>
          <w:u w:color="202020"/>
          <w:shd w:val="clear" w:color="auto" w:fill="FFFFFF"/>
          <w:lang w:val="en-GB"/>
        </w:rPr>
        <w:t xml:space="preserve"> </w:t>
      </w:r>
      <w:r w:rsidRPr="00D403F5">
        <w:rPr>
          <w:color w:val="202020"/>
          <w:sz w:val="18"/>
          <w:szCs w:val="18"/>
          <w:highlight w:val="yellow"/>
          <w:u w:val="double"/>
          <w:shd w:val="clear" w:color="auto" w:fill="FFFFFF"/>
          <w:lang w:val="en-GB"/>
        </w:rPr>
        <w:t>the</w:t>
      </w:r>
      <w:r w:rsidRPr="00D403F5">
        <w:rPr>
          <w:color w:val="202020"/>
          <w:sz w:val="18"/>
          <w:szCs w:val="18"/>
          <w:u w:color="202020"/>
          <w:shd w:val="clear" w:color="auto" w:fill="FFFFFF"/>
          <w:lang w:val="en-GB"/>
        </w:rPr>
        <w:t xml:space="preserve"> environmental conditions. </w:t>
      </w:r>
      <w:r w:rsidRPr="00D403F5">
        <w:rPr>
          <w:i/>
          <w:color w:val="202020"/>
          <w:sz w:val="18"/>
          <w:szCs w:val="18"/>
          <w:u w:color="202020"/>
          <w:shd w:val="clear" w:color="auto" w:fill="FFFFFF"/>
          <w:lang w:val="en-GB"/>
        </w:rPr>
        <w:t>Aquatic animals</w:t>
      </w:r>
      <w:r w:rsidRPr="00D403F5">
        <w:rPr>
          <w:color w:val="202020"/>
          <w:sz w:val="18"/>
          <w:szCs w:val="18"/>
          <w:u w:color="202020"/>
          <w:shd w:val="clear" w:color="auto" w:fill="FFFFFF"/>
          <w:lang w:val="en-GB"/>
        </w:rPr>
        <w:t xml:space="preserve"> and </w:t>
      </w:r>
      <w:r w:rsidRPr="00D403F5">
        <w:rPr>
          <w:i/>
          <w:color w:val="202020"/>
          <w:sz w:val="18"/>
          <w:szCs w:val="18"/>
          <w:u w:color="202020"/>
          <w:shd w:val="clear" w:color="auto" w:fill="FFFFFF"/>
          <w:lang w:val="en-GB"/>
        </w:rPr>
        <w:t>vectors</w:t>
      </w:r>
      <w:r w:rsidRPr="00D403F5">
        <w:rPr>
          <w:color w:val="202020"/>
          <w:sz w:val="18"/>
          <w:szCs w:val="18"/>
          <w:u w:color="202020"/>
          <w:shd w:val="clear" w:color="auto" w:fill="FFFFFF"/>
          <w:lang w:val="en-GB"/>
        </w:rPr>
        <w:t xml:space="preserve"> may be prevented from entering and exiting the system; however, there is limited control to prevent </w:t>
      </w:r>
      <w:r w:rsidRPr="00D403F5">
        <w:rPr>
          <w:rFonts w:eastAsia="SimSun" w:hint="eastAsia"/>
          <w:color w:val="202020"/>
          <w:sz w:val="18"/>
          <w:szCs w:val="18"/>
          <w:u w:color="202020"/>
          <w:shd w:val="clear" w:color="auto" w:fill="FFFFFF"/>
          <w:lang w:val="en-GB" w:eastAsia="zh-CN"/>
        </w:rPr>
        <w:t xml:space="preserve">the </w:t>
      </w:r>
      <w:r w:rsidRPr="00D403F5">
        <w:rPr>
          <w:color w:val="202020"/>
          <w:sz w:val="18"/>
          <w:szCs w:val="18"/>
          <w:u w:color="202020"/>
          <w:shd w:val="clear" w:color="auto" w:fill="FFFFFF"/>
          <w:lang w:val="en-GB"/>
        </w:rPr>
        <w:t xml:space="preserve">entry or exit of </w:t>
      </w:r>
      <w:r w:rsidRPr="00D403F5">
        <w:rPr>
          <w:i/>
          <w:color w:val="202020"/>
          <w:sz w:val="18"/>
          <w:szCs w:val="18"/>
          <w:u w:color="202020"/>
          <w:shd w:val="clear" w:color="auto" w:fill="FFFFFF"/>
          <w:lang w:val="en-GB"/>
        </w:rPr>
        <w:t>pathogenic agents</w:t>
      </w:r>
      <w:r w:rsidRPr="00D403F5">
        <w:rPr>
          <w:color w:val="202020"/>
          <w:sz w:val="18"/>
          <w:szCs w:val="18"/>
          <w:u w:color="202020"/>
          <w:shd w:val="clear" w:color="auto" w:fill="FFFFFF"/>
          <w:lang w:val="en-GB"/>
        </w:rPr>
        <w:t>. Examples of semi-closed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production systems are ponds, raceways, enclosed floating pens, and flow</w:t>
      </w:r>
      <w:r w:rsidRPr="00D403F5">
        <w:rPr>
          <w:color w:val="202020"/>
          <w:sz w:val="18"/>
          <w:szCs w:val="18"/>
          <w:highlight w:val="yellow"/>
          <w:u w:val="double"/>
          <w:shd w:val="clear" w:color="auto" w:fill="FFFFFF"/>
          <w:lang w:val="en-GB"/>
        </w:rPr>
        <w:t>-</w:t>
      </w:r>
      <w:r w:rsidRPr="00D403F5">
        <w:rPr>
          <w:color w:val="202020"/>
          <w:sz w:val="18"/>
          <w:szCs w:val="18"/>
          <w:u w:color="202020"/>
          <w:shd w:val="clear" w:color="auto" w:fill="FFFFFF"/>
          <w:lang w:val="en-GB"/>
        </w:rPr>
        <w:t>through tanks.</w:t>
      </w:r>
      <w:r w:rsidRPr="00D403F5">
        <w:rPr>
          <w:sz w:val="18"/>
          <w:szCs w:val="18"/>
          <w:u w:color="202020"/>
          <w:shd w:val="clear" w:color="auto" w:fill="FFFFFF"/>
          <w:lang w:val="en-GB"/>
        </w:rPr>
        <w:t> </w:t>
      </w:r>
    </w:p>
    <w:p w14:paraId="3D2111E3" w14:textId="77777777" w:rsidR="007B3D5C" w:rsidRPr="00D403F5" w:rsidRDefault="007B3D5C" w:rsidP="00456872">
      <w:pPr>
        <w:pStyle w:val="Default"/>
        <w:spacing w:after="240"/>
        <w:jc w:val="both"/>
        <w:rPr>
          <w:sz w:val="18"/>
          <w:szCs w:val="18"/>
          <w:u w:color="202020"/>
          <w:shd w:val="clear" w:color="auto" w:fill="FFFFFF"/>
          <w:lang w:val="en-GB"/>
        </w:rPr>
      </w:pPr>
      <w:r w:rsidRPr="00D403F5">
        <w:rPr>
          <w:color w:val="202020"/>
          <w:sz w:val="18"/>
          <w:szCs w:val="18"/>
          <w:u w:val="single" w:color="202020"/>
          <w:shd w:val="clear" w:color="auto" w:fill="FFFFFF"/>
          <w:lang w:val="en-GB"/>
        </w:rPr>
        <w:t>Closed</w:t>
      </w:r>
      <w:r w:rsidRPr="00D403F5">
        <w:rPr>
          <w:sz w:val="18"/>
          <w:szCs w:val="18"/>
          <w:u w:color="202020"/>
          <w:shd w:val="clear" w:color="auto" w:fill="FFFFFF"/>
          <w:lang w:val="en-GB"/>
        </w:rPr>
        <w:t> </w:t>
      </w:r>
    </w:p>
    <w:p w14:paraId="38B8162B" w14:textId="77777777" w:rsidR="007B3D5C" w:rsidRPr="00D403F5" w:rsidRDefault="007B3D5C" w:rsidP="00456872">
      <w:pPr>
        <w:pStyle w:val="Default"/>
        <w:spacing w:after="240"/>
        <w:jc w:val="both"/>
        <w:rPr>
          <w:color w:val="202020"/>
          <w:sz w:val="18"/>
          <w:szCs w:val="18"/>
          <w:u w:color="202020"/>
          <w:shd w:val="clear" w:color="auto" w:fill="FFFFFF"/>
          <w:lang w:val="en-GB"/>
        </w:rPr>
      </w:pPr>
      <w:r w:rsidRPr="00D403F5">
        <w:rPr>
          <w:color w:val="202020"/>
          <w:sz w:val="18"/>
          <w:szCs w:val="18"/>
          <w:u w:color="202020"/>
          <w:shd w:val="clear" w:color="auto" w:fill="FFFFFF"/>
          <w:lang w:val="en-GB"/>
        </w:rPr>
        <w:t>In a 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production system, the control of water entering and exiting the system can exclude </w:t>
      </w:r>
      <w:r w:rsidRPr="00D403F5">
        <w:rPr>
          <w:i/>
          <w:color w:val="202020"/>
          <w:sz w:val="18"/>
          <w:szCs w:val="18"/>
          <w:u w:color="202020"/>
          <w:shd w:val="clear" w:color="auto" w:fill="FFFFFF"/>
          <w:lang w:val="en-GB"/>
        </w:rPr>
        <w:t>aquatic animals</w:t>
      </w:r>
      <w:r w:rsidRPr="00D403F5">
        <w:rPr>
          <w:color w:val="202020"/>
          <w:sz w:val="18"/>
          <w:szCs w:val="18"/>
          <w:u w:color="202020"/>
          <w:shd w:val="clear" w:color="auto" w:fill="FFFFFF"/>
          <w:lang w:val="en-GB"/>
        </w:rPr>
        <w:t xml:space="preserve">, </w:t>
      </w:r>
      <w:r w:rsidRPr="00D403F5">
        <w:rPr>
          <w:i/>
          <w:color w:val="202020"/>
          <w:sz w:val="18"/>
          <w:szCs w:val="18"/>
          <w:u w:color="202020"/>
          <w:shd w:val="clear" w:color="auto" w:fill="FFFFFF"/>
          <w:lang w:val="en-GB"/>
        </w:rPr>
        <w:t>vectors</w:t>
      </w:r>
      <w:r w:rsidRPr="00D403F5">
        <w:rPr>
          <w:color w:val="202020"/>
          <w:sz w:val="18"/>
          <w:szCs w:val="18"/>
          <w:u w:color="202020"/>
          <w:shd w:val="clear" w:color="auto" w:fill="FFFFFF"/>
          <w:lang w:val="en-GB"/>
        </w:rPr>
        <w:t xml:space="preserve"> and </w:t>
      </w:r>
      <w:r w:rsidRPr="00D403F5">
        <w:rPr>
          <w:i/>
          <w:color w:val="202020"/>
          <w:sz w:val="18"/>
          <w:szCs w:val="18"/>
          <w:u w:color="202020"/>
          <w:shd w:val="clear" w:color="auto" w:fill="FFFFFF"/>
          <w:lang w:val="en-GB"/>
        </w:rPr>
        <w:t>pathogenic agents</w:t>
      </w:r>
      <w:r w:rsidRPr="00D403F5">
        <w:rPr>
          <w:color w:val="202020"/>
          <w:sz w:val="18"/>
          <w:szCs w:val="18"/>
          <w:u w:color="202020"/>
          <w:shd w:val="clear" w:color="auto" w:fill="FFFFFF"/>
          <w:lang w:val="en-GB"/>
        </w:rPr>
        <w:t>. Examples of closed </w:t>
      </w:r>
      <w:r w:rsidRPr="00D403F5">
        <w:rPr>
          <w:i/>
          <w:iCs/>
          <w:color w:val="202020"/>
          <w:sz w:val="18"/>
          <w:szCs w:val="18"/>
          <w:u w:color="202020"/>
          <w:shd w:val="clear" w:color="auto" w:fill="FFFFFF"/>
          <w:lang w:val="en-GB"/>
        </w:rPr>
        <w:t>aquaculture</w:t>
      </w:r>
      <w:r w:rsidRPr="00D403F5">
        <w:rPr>
          <w:color w:val="202020"/>
          <w:sz w:val="18"/>
          <w:szCs w:val="18"/>
          <w:u w:color="202020"/>
          <w:shd w:val="clear" w:color="auto" w:fill="FFFFFF"/>
          <w:lang w:val="en-GB"/>
        </w:rPr>
        <w:t xml:space="preserve"> systems include recirculating </w:t>
      </w:r>
      <w:r w:rsidRPr="00D403F5">
        <w:rPr>
          <w:i/>
          <w:iCs/>
          <w:color w:val="202020"/>
          <w:sz w:val="18"/>
          <w:szCs w:val="18"/>
          <w:u w:color="202020"/>
          <w:shd w:val="clear" w:color="auto" w:fill="FFFFFF"/>
          <w:lang w:val="en-GB"/>
        </w:rPr>
        <w:t>aquaculture</w:t>
      </w:r>
      <w:r w:rsidRPr="00D403F5">
        <w:rPr>
          <w:rFonts w:eastAsia="SimSun" w:hint="eastAsia"/>
          <w:i/>
          <w:iCs/>
          <w:color w:val="202020"/>
          <w:sz w:val="18"/>
          <w:szCs w:val="18"/>
          <w:u w:color="202020"/>
          <w:shd w:val="clear" w:color="auto" w:fill="FFFFFF"/>
          <w:lang w:val="en-GB" w:eastAsia="zh-CN"/>
        </w:rPr>
        <w:t xml:space="preserve"> </w:t>
      </w:r>
      <w:r w:rsidRPr="00D403F5">
        <w:rPr>
          <w:color w:val="202020"/>
          <w:sz w:val="18"/>
          <w:szCs w:val="18"/>
          <w:u w:color="202020"/>
          <w:shd w:val="clear" w:color="auto" w:fill="FFFFFF"/>
          <w:lang w:val="en-GB"/>
        </w:rPr>
        <w:t xml:space="preserve">production systems, production systems with </w:t>
      </w:r>
      <w:r w:rsidRPr="00D403F5">
        <w:rPr>
          <w:color w:val="202020"/>
          <w:sz w:val="18"/>
          <w:szCs w:val="18"/>
          <w:highlight w:val="yellow"/>
          <w:u w:val="double"/>
          <w:shd w:val="clear" w:color="auto" w:fill="FFFFFF"/>
          <w:lang w:val="en-GB"/>
        </w:rPr>
        <w:t>a</w:t>
      </w:r>
      <w:r w:rsidRPr="00D403F5">
        <w:rPr>
          <w:color w:val="202020"/>
          <w:sz w:val="18"/>
          <w:szCs w:val="18"/>
          <w:highlight w:val="yellow"/>
          <w:u w:color="202020"/>
          <w:shd w:val="clear" w:color="auto" w:fill="FFFFFF"/>
          <w:lang w:val="en-GB"/>
        </w:rPr>
        <w:t xml:space="preserve"> </w:t>
      </w:r>
      <w:r w:rsidRPr="00D403F5">
        <w:rPr>
          <w:color w:val="202020"/>
          <w:sz w:val="18"/>
          <w:szCs w:val="18"/>
          <w:u w:color="202020"/>
          <w:shd w:val="clear" w:color="auto" w:fill="FFFFFF"/>
          <w:lang w:val="en-GB"/>
        </w:rPr>
        <w:t xml:space="preserve">safe water supply free from </w:t>
      </w:r>
      <w:r w:rsidRPr="00D403F5">
        <w:rPr>
          <w:i/>
          <w:color w:val="202020"/>
          <w:sz w:val="18"/>
          <w:szCs w:val="18"/>
          <w:u w:color="202020"/>
          <w:shd w:val="clear" w:color="auto" w:fill="FFFFFF"/>
          <w:lang w:val="en-GB"/>
        </w:rPr>
        <w:t>pathogenic agents</w:t>
      </w:r>
      <w:r w:rsidRPr="00D403F5">
        <w:rPr>
          <w:color w:val="202020"/>
          <w:sz w:val="18"/>
          <w:szCs w:val="18"/>
          <w:u w:color="202020"/>
          <w:shd w:val="clear" w:color="auto" w:fill="FFFFFF"/>
          <w:lang w:val="en-GB"/>
        </w:rPr>
        <w:t xml:space="preserve"> or </w:t>
      </w:r>
      <w:r w:rsidRPr="00D403F5">
        <w:rPr>
          <w:i/>
          <w:color w:val="202020"/>
          <w:sz w:val="18"/>
          <w:szCs w:val="18"/>
          <w:u w:color="202020"/>
          <w:shd w:val="clear" w:color="auto" w:fill="FFFFFF"/>
          <w:lang w:val="en-GB"/>
        </w:rPr>
        <w:t>aquatic animals</w:t>
      </w:r>
      <w:r w:rsidRPr="00D403F5">
        <w:rPr>
          <w:color w:val="202020"/>
          <w:sz w:val="18"/>
          <w:szCs w:val="18"/>
          <w:u w:color="202020"/>
          <w:shd w:val="clear" w:color="auto" w:fill="FFFFFF"/>
          <w:lang w:val="en-GB"/>
        </w:rPr>
        <w:t xml:space="preserve"> (e.g. ground water), or </w:t>
      </w:r>
      <w:r w:rsidRPr="00D403F5">
        <w:rPr>
          <w:color w:val="202020"/>
          <w:sz w:val="18"/>
          <w:szCs w:val="18"/>
          <w:highlight w:val="yellow"/>
          <w:u w:val="double"/>
          <w:shd w:val="clear" w:color="auto" w:fill="FFFFFF"/>
          <w:lang w:val="en-GB"/>
        </w:rPr>
        <w:t>those</w:t>
      </w:r>
      <w:r w:rsidRPr="00D403F5">
        <w:rPr>
          <w:color w:val="202020"/>
          <w:sz w:val="18"/>
          <w:szCs w:val="18"/>
          <w:highlight w:val="yellow"/>
          <w:u w:color="202020"/>
          <w:shd w:val="clear" w:color="auto" w:fill="FFFFFF"/>
          <w:lang w:val="en-GB"/>
        </w:rPr>
        <w:t xml:space="preserve"> </w:t>
      </w:r>
      <w:r w:rsidRPr="00D403F5">
        <w:rPr>
          <w:color w:val="202020"/>
          <w:sz w:val="18"/>
          <w:szCs w:val="18"/>
          <w:u w:color="202020"/>
          <w:shd w:val="clear" w:color="auto" w:fill="FFFFFF"/>
          <w:lang w:val="en-GB"/>
        </w:rPr>
        <w:t xml:space="preserve">with high levels of treatment (and redundancy) of water entering or exiting the system. Environmental conditions can also be controlled. </w:t>
      </w:r>
    </w:p>
    <w:p w14:paraId="09374E42" w14:textId="77777777" w:rsidR="007B3D5C" w:rsidRPr="00D403F5" w:rsidRDefault="007B3D5C" w:rsidP="00456872">
      <w:pPr>
        <w:pStyle w:val="Default"/>
        <w:spacing w:after="240"/>
        <w:jc w:val="center"/>
        <w:rPr>
          <w:rFonts w:ascii="Ottawa" w:eastAsia="Times New Roman" w:hAnsi="Ottawa"/>
          <w:bCs/>
          <w:color w:val="auto"/>
          <w:sz w:val="18"/>
          <w:szCs w:val="18"/>
          <w:highlight w:val="yellow"/>
          <w:u w:val="double"/>
          <w:lang w:val="en-GB"/>
        </w:rPr>
      </w:pPr>
      <w:r w:rsidRPr="00D403F5">
        <w:rPr>
          <w:rFonts w:ascii="Ottawa" w:eastAsia="Times New Roman" w:hAnsi="Ottawa"/>
          <w:bCs/>
          <w:color w:val="auto"/>
          <w:sz w:val="18"/>
          <w:szCs w:val="18"/>
          <w:highlight w:val="yellow"/>
          <w:u w:val="double"/>
          <w:lang w:val="en-GB"/>
        </w:rPr>
        <w:t xml:space="preserve">Article 4.X.5. bis </w:t>
      </w:r>
    </w:p>
    <w:p w14:paraId="29C1FD44" w14:textId="77777777" w:rsidR="007B3D5C" w:rsidRPr="00D403F5" w:rsidRDefault="007B3D5C" w:rsidP="00456872">
      <w:pPr>
        <w:pStyle w:val="Default"/>
        <w:spacing w:after="240"/>
        <w:rPr>
          <w:rFonts w:ascii="Ottawa" w:eastAsia="Times New Roman" w:hAnsi="Ottawa"/>
          <w:b/>
          <w:bCs/>
          <w:color w:val="auto"/>
          <w:sz w:val="18"/>
          <w:szCs w:val="18"/>
          <w:highlight w:val="yellow"/>
          <w:u w:val="double"/>
          <w:lang w:val="en-GB"/>
        </w:rPr>
      </w:pPr>
      <w:r w:rsidRPr="00D403F5">
        <w:rPr>
          <w:rFonts w:ascii="Ottawa" w:eastAsia="Times New Roman" w:hAnsi="Ottawa"/>
          <w:b/>
          <w:bCs/>
          <w:color w:val="auto"/>
          <w:sz w:val="18"/>
          <w:szCs w:val="18"/>
          <w:highlight w:val="yellow"/>
          <w:u w:val="double"/>
          <w:lang w:val="en-GB"/>
        </w:rPr>
        <w:t>Area Management</w:t>
      </w:r>
    </w:p>
    <w:p w14:paraId="121DD187" w14:textId="77777777" w:rsidR="007B3D5C" w:rsidRPr="00D403F5" w:rsidRDefault="007B3D5C" w:rsidP="00456872">
      <w:pPr>
        <w:pStyle w:val="Default"/>
        <w:spacing w:after="240"/>
        <w:jc w:val="both"/>
        <w:rPr>
          <w:color w:val="auto"/>
          <w:sz w:val="18"/>
          <w:szCs w:val="18"/>
          <w:u w:val="double" w:color="202020"/>
          <w:shd w:val="clear" w:color="auto" w:fill="FFFFFF"/>
          <w:lang w:val="en-GB"/>
        </w:rPr>
      </w:pPr>
      <w:r w:rsidRPr="00D403F5">
        <w:rPr>
          <w:color w:val="auto"/>
          <w:sz w:val="18"/>
          <w:szCs w:val="18"/>
          <w:highlight w:val="yellow"/>
          <w:u w:val="double" w:color="202020"/>
          <w:shd w:val="clear" w:color="auto" w:fill="FFFFFF"/>
          <w:lang w:val="en-GB"/>
        </w:rPr>
        <w:t xml:space="preserve">It may not be possible to control the transmission of </w:t>
      </w:r>
      <w:r w:rsidRPr="00D403F5">
        <w:rPr>
          <w:i/>
          <w:color w:val="auto"/>
          <w:sz w:val="18"/>
          <w:szCs w:val="18"/>
          <w:highlight w:val="yellow"/>
          <w:u w:val="double" w:color="202020"/>
          <w:shd w:val="clear" w:color="auto" w:fill="FFFFFF"/>
          <w:lang w:val="en-GB"/>
        </w:rPr>
        <w:t>pathogenic agent</w:t>
      </w:r>
      <w:r w:rsidRPr="00D403F5">
        <w:rPr>
          <w:i/>
          <w:color w:val="auto"/>
          <w:sz w:val="18"/>
          <w:szCs w:val="18"/>
          <w:highlight w:val="yellow"/>
          <w:u w:val="single" w:color="202020"/>
          <w:shd w:val="clear" w:color="auto" w:fill="FFFFFF"/>
          <w:lang w:val="en-GB"/>
        </w:rPr>
        <w:t>s</w:t>
      </w:r>
      <w:r w:rsidRPr="00D403F5">
        <w:rPr>
          <w:color w:val="auto"/>
          <w:sz w:val="18"/>
          <w:szCs w:val="18"/>
          <w:highlight w:val="yellow"/>
          <w:u w:val="double" w:color="202020"/>
          <w:shd w:val="clear" w:color="auto" w:fill="FFFFFF"/>
          <w:lang w:val="en-GB"/>
        </w:rPr>
        <w:t xml:space="preserve"> </w:t>
      </w:r>
      <w:r w:rsidRPr="00D403F5">
        <w:rPr>
          <w:strike/>
          <w:color w:val="auto"/>
          <w:sz w:val="18"/>
          <w:szCs w:val="18"/>
          <w:highlight w:val="yellow"/>
          <w:u w:val="double" w:color="202020"/>
          <w:shd w:val="clear" w:color="auto" w:fill="FFFFFF"/>
          <w:lang w:val="en-GB"/>
        </w:rPr>
        <w:t>transmission</w:t>
      </w:r>
      <w:r w:rsidRPr="00D403F5">
        <w:rPr>
          <w:color w:val="auto"/>
          <w:sz w:val="18"/>
          <w:szCs w:val="18"/>
          <w:highlight w:val="yellow"/>
          <w:u w:val="double" w:color="202020"/>
          <w:shd w:val="clear" w:color="auto" w:fill="FFFFFF"/>
          <w:lang w:val="en-GB"/>
        </w:rPr>
        <w:t xml:space="preserve"> among semi-open or semi-closed </w:t>
      </w:r>
      <w:r w:rsidRPr="00D403F5">
        <w:rPr>
          <w:i/>
          <w:iCs/>
          <w:color w:val="auto"/>
          <w:sz w:val="18"/>
          <w:szCs w:val="18"/>
          <w:highlight w:val="yellow"/>
          <w:u w:val="double" w:color="202020"/>
          <w:shd w:val="clear" w:color="auto" w:fill="FFFFFF"/>
          <w:lang w:val="en-GB"/>
        </w:rPr>
        <w:t>aquaculture establishments</w:t>
      </w:r>
      <w:r w:rsidRPr="00D403F5">
        <w:rPr>
          <w:color w:val="auto"/>
          <w:sz w:val="18"/>
          <w:szCs w:val="18"/>
          <w:highlight w:val="yellow"/>
          <w:u w:val="double" w:color="202020"/>
          <w:shd w:val="clear" w:color="auto" w:fill="FFFFFF"/>
          <w:lang w:val="en-GB"/>
        </w:rPr>
        <w:t xml:space="preserve"> that are in close proximity within shared water bodies. In these circumstances, a consistent set of </w:t>
      </w:r>
      <w:r w:rsidRPr="00D403F5">
        <w:rPr>
          <w:i/>
          <w:iCs/>
          <w:color w:val="auto"/>
          <w:sz w:val="18"/>
          <w:szCs w:val="18"/>
          <w:highlight w:val="yellow"/>
          <w:u w:val="double" w:color="202020"/>
          <w:shd w:val="clear" w:color="auto" w:fill="FFFFFF"/>
          <w:lang w:val="en-GB"/>
        </w:rPr>
        <w:t>biosecurity</w:t>
      </w:r>
      <w:r w:rsidRPr="00D403F5">
        <w:rPr>
          <w:color w:val="auto"/>
          <w:sz w:val="18"/>
          <w:szCs w:val="18"/>
          <w:highlight w:val="yellow"/>
          <w:u w:val="double" w:color="202020"/>
          <w:shd w:val="clear" w:color="auto" w:fill="FFFFFF"/>
          <w:lang w:val="en-GB"/>
        </w:rPr>
        <w:t xml:space="preserve"> measures should be applied by all of the </w:t>
      </w:r>
      <w:r w:rsidRPr="00D403F5">
        <w:rPr>
          <w:i/>
          <w:color w:val="auto"/>
          <w:sz w:val="18"/>
          <w:szCs w:val="18"/>
          <w:highlight w:val="yellow"/>
          <w:u w:val="double" w:color="202020"/>
          <w:shd w:val="clear" w:color="auto" w:fill="FFFFFF"/>
          <w:lang w:val="en-GB"/>
        </w:rPr>
        <w:t>aquaculture establishments</w:t>
      </w:r>
      <w:r w:rsidRPr="00D403F5">
        <w:rPr>
          <w:color w:val="auto"/>
          <w:sz w:val="18"/>
          <w:szCs w:val="18"/>
          <w:highlight w:val="yellow"/>
          <w:u w:val="double" w:color="202020"/>
          <w:shd w:val="clear" w:color="auto" w:fill="FFFFFF"/>
          <w:lang w:val="en-GB"/>
        </w:rPr>
        <w:t xml:space="preserve"> considered to be epidemiologically linked. Area management agreements can formalise the common </w:t>
      </w:r>
      <w:r w:rsidRPr="00D403F5">
        <w:rPr>
          <w:i/>
          <w:iCs/>
          <w:color w:val="auto"/>
          <w:sz w:val="18"/>
          <w:szCs w:val="18"/>
          <w:highlight w:val="yellow"/>
          <w:u w:val="double" w:color="202020"/>
          <w:shd w:val="clear" w:color="auto" w:fill="FFFFFF"/>
          <w:lang w:val="en-GB"/>
        </w:rPr>
        <w:t>biosecurity</w:t>
      </w:r>
      <w:r w:rsidRPr="00D403F5">
        <w:rPr>
          <w:color w:val="auto"/>
          <w:sz w:val="18"/>
          <w:szCs w:val="18"/>
          <w:highlight w:val="yellow"/>
          <w:u w:val="double" w:color="202020"/>
          <w:shd w:val="clear" w:color="auto" w:fill="FFFFFF"/>
          <w:lang w:val="en-GB"/>
        </w:rPr>
        <w:t xml:space="preserve"> measures among all of the epidemiologically linked</w:t>
      </w:r>
      <w:r w:rsidRPr="00D403F5">
        <w:rPr>
          <w:i/>
          <w:color w:val="auto"/>
          <w:sz w:val="18"/>
          <w:szCs w:val="18"/>
          <w:highlight w:val="yellow"/>
          <w:u w:val="double" w:color="202020"/>
          <w:shd w:val="clear" w:color="auto" w:fill="FFFFFF"/>
          <w:lang w:val="en-GB"/>
        </w:rPr>
        <w:t xml:space="preserve"> aquaculture establishments</w:t>
      </w:r>
      <w:r w:rsidRPr="00D403F5">
        <w:rPr>
          <w:color w:val="auto"/>
          <w:sz w:val="18"/>
          <w:szCs w:val="18"/>
          <w:highlight w:val="yellow"/>
          <w:u w:val="double" w:color="202020"/>
          <w:shd w:val="clear" w:color="auto" w:fill="FFFFFF"/>
          <w:lang w:val="en-GB"/>
        </w:rPr>
        <w:t>.</w:t>
      </w:r>
    </w:p>
    <w:p w14:paraId="1CFBE7E2" w14:textId="77777777" w:rsidR="007B3D5C" w:rsidRPr="00D403F5" w:rsidRDefault="007B3D5C" w:rsidP="00456872">
      <w:pPr>
        <w:spacing w:after="240"/>
        <w:jc w:val="center"/>
        <w:rPr>
          <w:rFonts w:ascii="Ottawa" w:hAnsi="Ottawa" w:cs="Arial"/>
          <w:sz w:val="18"/>
          <w:szCs w:val="18"/>
        </w:rPr>
      </w:pPr>
      <w:r w:rsidRPr="00D403F5">
        <w:rPr>
          <w:rFonts w:ascii="Ottawa" w:hAnsi="Ottawa" w:cs="Arial"/>
          <w:sz w:val="18"/>
          <w:szCs w:val="18"/>
        </w:rPr>
        <w:t>Article 4.X.6.</w:t>
      </w:r>
    </w:p>
    <w:p w14:paraId="06FB99A7" w14:textId="77777777" w:rsidR="007B3D5C" w:rsidRPr="00D403F5" w:rsidRDefault="007B3D5C" w:rsidP="00456872">
      <w:pPr>
        <w:spacing w:after="240"/>
        <w:jc w:val="both"/>
        <w:rPr>
          <w:rFonts w:ascii="Ottawa" w:hAnsi="Ottawa" w:cs="Arial"/>
          <w:b/>
          <w:sz w:val="18"/>
          <w:szCs w:val="18"/>
        </w:rPr>
      </w:pPr>
      <w:r w:rsidRPr="00D403F5">
        <w:rPr>
          <w:rFonts w:ascii="Ottawa" w:hAnsi="Ottawa" w:cs="Arial"/>
          <w:b/>
          <w:sz w:val="18"/>
          <w:szCs w:val="18"/>
        </w:rPr>
        <w:t>Transmission pathways</w:t>
      </w:r>
      <w:r w:rsidRPr="00D403F5">
        <w:rPr>
          <w:rFonts w:ascii="Ottawa" w:hAnsi="Ottawa" w:cs="Arial"/>
          <w:b/>
          <w:strike/>
          <w:sz w:val="18"/>
          <w:szCs w:val="18"/>
          <w:highlight w:val="yellow"/>
          <w:u w:val="double"/>
        </w:rPr>
        <w:t>,</w:t>
      </w:r>
      <w:r w:rsidRPr="00D403F5">
        <w:rPr>
          <w:rFonts w:ascii="Ottawa" w:hAnsi="Ottawa" w:cs="Arial"/>
          <w:b/>
          <w:sz w:val="18"/>
          <w:szCs w:val="18"/>
        </w:rPr>
        <w:t xml:space="preserve"> </w:t>
      </w:r>
      <w:r w:rsidRPr="00D403F5">
        <w:rPr>
          <w:rFonts w:ascii="Ottawa" w:hAnsi="Ottawa" w:cs="Arial"/>
          <w:b/>
          <w:strike/>
          <w:sz w:val="18"/>
          <w:szCs w:val="18"/>
        </w:rPr>
        <w:t>and</w:t>
      </w:r>
      <w:r w:rsidRPr="00D403F5">
        <w:rPr>
          <w:rFonts w:ascii="Ottawa" w:hAnsi="Ottawa" w:cs="Arial"/>
          <w:b/>
          <w:sz w:val="18"/>
          <w:szCs w:val="18"/>
        </w:rPr>
        <w:t xml:space="preserve"> </w:t>
      </w:r>
      <w:r w:rsidRPr="00D403F5">
        <w:rPr>
          <w:rFonts w:ascii="Ottawa" w:hAnsi="Ottawa" w:cs="Arial"/>
          <w:b/>
          <w:strike/>
          <w:sz w:val="18"/>
          <w:szCs w:val="18"/>
          <w:highlight w:val="yellow"/>
        </w:rPr>
        <w:t>associated risks</w:t>
      </w:r>
      <w:r w:rsidRPr="00D403F5">
        <w:rPr>
          <w:rFonts w:ascii="Ottawa" w:hAnsi="Ottawa" w:cs="Arial"/>
          <w:b/>
          <w:sz w:val="18"/>
          <w:szCs w:val="18"/>
        </w:rPr>
        <w:t xml:space="preserve"> </w:t>
      </w:r>
      <w:r w:rsidRPr="00D403F5">
        <w:rPr>
          <w:rFonts w:ascii="Ottawa" w:hAnsi="Ottawa" w:cs="Arial"/>
          <w:b/>
          <w:sz w:val="18"/>
          <w:szCs w:val="18"/>
          <w:u w:val="double"/>
        </w:rPr>
        <w:t>and mitigation measures</w:t>
      </w:r>
    </w:p>
    <w:p w14:paraId="7D425941" w14:textId="77777777" w:rsidR="007B3D5C" w:rsidRPr="00D403F5" w:rsidRDefault="007B3D5C" w:rsidP="00456872">
      <w:pPr>
        <w:spacing w:after="240"/>
        <w:jc w:val="both"/>
        <w:rPr>
          <w:rFonts w:ascii="Arial" w:hAnsi="Arial" w:cs="Arial"/>
          <w:color w:val="000000"/>
          <w:sz w:val="18"/>
          <w:szCs w:val="18"/>
        </w:rPr>
      </w:pPr>
      <w:r w:rsidRPr="00D403F5">
        <w:rPr>
          <w:rFonts w:ascii="Arial" w:hAnsi="Arial" w:cs="Arial"/>
          <w:i/>
          <w:color w:val="000000"/>
          <w:sz w:val="18"/>
          <w:szCs w:val="18"/>
        </w:rPr>
        <w:t>Pathogenic agents</w:t>
      </w:r>
      <w:r w:rsidRPr="00D403F5">
        <w:rPr>
          <w:rFonts w:ascii="Arial" w:hAnsi="Arial" w:cs="Arial"/>
          <w:color w:val="000000"/>
          <w:sz w:val="18"/>
          <w:szCs w:val="18"/>
        </w:rPr>
        <w:t xml:space="preserve"> can move into, </w:t>
      </w:r>
      <w:r w:rsidRPr="00D403F5">
        <w:rPr>
          <w:rFonts w:ascii="Arial" w:eastAsia="SimSun" w:hAnsi="Arial" w:cs="Arial" w:hint="eastAsia"/>
          <w:color w:val="000000"/>
          <w:sz w:val="18"/>
          <w:szCs w:val="18"/>
          <w:lang w:eastAsia="zh-CN"/>
        </w:rPr>
        <w:t xml:space="preserve">spread </w:t>
      </w:r>
      <w:r w:rsidRPr="00D403F5">
        <w:rPr>
          <w:rFonts w:ascii="Arial" w:hAnsi="Arial" w:cs="Arial"/>
          <w:color w:val="000000"/>
          <w:sz w:val="18"/>
          <w:szCs w:val="18"/>
        </w:rPr>
        <w:t xml:space="preserve">within, and be released from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via various transmission pathways. The identification of all potential transmission pathways is essential for the development of an effective </w:t>
      </w:r>
      <w:r w:rsidRPr="00D403F5">
        <w:rPr>
          <w:rFonts w:ascii="Arial" w:hAnsi="Arial" w:cs="Arial"/>
          <w:i/>
          <w:color w:val="000000"/>
          <w:sz w:val="18"/>
          <w:szCs w:val="18"/>
        </w:rPr>
        <w:t>biosecurity</w:t>
      </w:r>
      <w:r w:rsidRPr="00D403F5">
        <w:rPr>
          <w:rFonts w:ascii="Arial" w:eastAsia="SimSun" w:hAnsi="Arial" w:cs="Arial" w:hint="eastAsia"/>
          <w:i/>
          <w:color w:val="000000"/>
          <w:sz w:val="18"/>
          <w:szCs w:val="18"/>
          <w:lang w:eastAsia="zh-CN"/>
        </w:rPr>
        <w:t xml:space="preserve"> </w:t>
      </w:r>
      <w:r w:rsidRPr="00D403F5">
        <w:rPr>
          <w:rFonts w:ascii="Arial" w:hAnsi="Arial" w:cs="Arial"/>
          <w:i/>
          <w:color w:val="000000"/>
          <w:sz w:val="18"/>
          <w:szCs w:val="18"/>
        </w:rPr>
        <w:t>plan</w:t>
      </w:r>
      <w:r w:rsidRPr="00D403F5">
        <w:rPr>
          <w:rFonts w:ascii="Arial" w:hAnsi="Arial" w:cs="Arial"/>
          <w:color w:val="000000"/>
          <w:sz w:val="18"/>
          <w:szCs w:val="18"/>
        </w:rPr>
        <w:t xml:space="preserve">. Mitigation of pathways </w:t>
      </w:r>
      <w:r w:rsidRPr="00D403F5">
        <w:rPr>
          <w:rFonts w:ascii="Arial" w:hAnsi="Arial" w:cs="Arial"/>
          <w:color w:val="000000"/>
          <w:sz w:val="18"/>
          <w:szCs w:val="18"/>
          <w:u w:val="double"/>
        </w:rPr>
        <w:t>that are likely</w:t>
      </w:r>
      <w:r w:rsidRPr="00D403F5">
        <w:rPr>
          <w:rFonts w:ascii="Arial" w:hAnsi="Arial" w:cs="Arial"/>
          <w:color w:val="000000"/>
          <w:sz w:val="18"/>
          <w:szCs w:val="18"/>
        </w:rPr>
        <w:t xml:space="preserve"> to result in </w:t>
      </w:r>
      <w:r w:rsidRPr="00D403F5">
        <w:rPr>
          <w:rFonts w:ascii="Arial" w:hAnsi="Arial" w:cs="Arial"/>
          <w:color w:val="000000"/>
          <w:sz w:val="18"/>
          <w:szCs w:val="18"/>
          <w:u w:val="double"/>
        </w:rPr>
        <w:t xml:space="preserve">transmission of specific </w:t>
      </w:r>
      <w:r w:rsidRPr="00D403F5">
        <w:rPr>
          <w:rFonts w:ascii="Arial" w:hAnsi="Arial" w:cs="Arial"/>
          <w:strike/>
          <w:color w:val="000000"/>
          <w:sz w:val="18"/>
          <w:szCs w:val="18"/>
        </w:rPr>
        <w:t xml:space="preserve">may expose susceptible </w:t>
      </w:r>
      <w:r w:rsidRPr="00D403F5">
        <w:rPr>
          <w:rFonts w:ascii="Arial" w:hAnsi="Arial" w:cs="Arial"/>
          <w:i/>
          <w:strike/>
          <w:color w:val="000000"/>
          <w:sz w:val="18"/>
          <w:szCs w:val="18"/>
        </w:rPr>
        <w:t>aquatic animals</w:t>
      </w:r>
      <w:r w:rsidRPr="00D403F5">
        <w:rPr>
          <w:rFonts w:ascii="Arial" w:hAnsi="Arial" w:cs="Arial"/>
          <w:strike/>
          <w:color w:val="000000"/>
          <w:sz w:val="18"/>
          <w:szCs w:val="18"/>
        </w:rPr>
        <w:t xml:space="preserve"> to high loads of</w:t>
      </w:r>
      <w:r w:rsidRPr="00D403F5">
        <w:rPr>
          <w:rFonts w:ascii="Arial" w:hAnsi="Arial" w:cs="Arial"/>
          <w:color w:val="000000"/>
          <w:sz w:val="18"/>
          <w:szCs w:val="18"/>
        </w:rPr>
        <w:t xml:space="preserve">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should be prioritised.</w:t>
      </w:r>
    </w:p>
    <w:p w14:paraId="75671EA7" w14:textId="77777777" w:rsidR="007B3D5C" w:rsidRPr="00D403F5" w:rsidRDefault="007B3D5C" w:rsidP="00456872">
      <w:pPr>
        <w:spacing w:after="240"/>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risks</w:t>
      </w:r>
      <w:r w:rsidRPr="00D403F5">
        <w:rPr>
          <w:rFonts w:ascii="Arial" w:hAnsi="Arial" w:cs="Arial"/>
          <w:color w:val="000000"/>
          <w:sz w:val="18"/>
          <w:szCs w:val="18"/>
        </w:rPr>
        <w:t xml:space="preserve"> associated with introduction, spread, and release </w:t>
      </w:r>
      <w:r w:rsidRPr="00D403F5">
        <w:rPr>
          <w:rStyle w:val="normaltextrun"/>
          <w:rFonts w:ascii="Arial" w:eastAsia="Arial" w:hAnsi="Arial" w:cs="Arial"/>
          <w:color w:val="000000"/>
          <w:sz w:val="18"/>
          <w:szCs w:val="18"/>
        </w:rPr>
        <w:t>of pathogenic agents </w:t>
      </w:r>
      <w:r w:rsidRPr="00D403F5">
        <w:rPr>
          <w:rFonts w:ascii="Arial" w:hAnsi="Arial" w:cs="Arial"/>
          <w:color w:val="000000"/>
          <w:sz w:val="18"/>
          <w:szCs w:val="18"/>
        </w:rPr>
        <w:t xml:space="preserve">from the </w:t>
      </w:r>
      <w:r w:rsidRPr="00D403F5">
        <w:rPr>
          <w:rFonts w:ascii="Arial" w:hAnsi="Arial" w:cs="Arial"/>
          <w:i/>
          <w:color w:val="000000"/>
          <w:sz w:val="18"/>
          <w:szCs w:val="18"/>
        </w:rPr>
        <w:t>aquaculture establishment</w:t>
      </w:r>
      <w:r w:rsidRPr="00D403F5">
        <w:rPr>
          <w:rFonts w:ascii="Arial" w:hAnsi="Arial" w:cs="Arial"/>
          <w:color w:val="000000"/>
          <w:sz w:val="18"/>
          <w:szCs w:val="18"/>
        </w:rPr>
        <w:t xml:space="preserve"> need to be considered for each of the following transmission pathways. </w:t>
      </w:r>
    </w:p>
    <w:p w14:paraId="100FD93E" w14:textId="77777777" w:rsidR="007B3D5C" w:rsidRPr="00D403F5" w:rsidRDefault="007B3D5C" w:rsidP="00456872">
      <w:pPr>
        <w:spacing w:after="240"/>
        <w:ind w:left="426" w:hanging="426"/>
        <w:jc w:val="both"/>
        <w:rPr>
          <w:rFonts w:ascii="Arial" w:hAnsi="Arial" w:cs="Arial"/>
          <w:color w:val="000000"/>
          <w:sz w:val="18"/>
          <w:szCs w:val="18"/>
          <w:u w:val="single"/>
        </w:rPr>
      </w:pPr>
      <w:r w:rsidRPr="00D403F5">
        <w:rPr>
          <w:rFonts w:ascii="Arial" w:hAnsi="Arial" w:cs="Arial"/>
          <w:color w:val="000000"/>
          <w:sz w:val="18"/>
          <w:szCs w:val="18"/>
        </w:rPr>
        <w:t>1.</w:t>
      </w:r>
      <w:r w:rsidRPr="00D403F5">
        <w:rPr>
          <w:rFonts w:ascii="Arial" w:hAnsi="Arial" w:cs="Arial"/>
          <w:i/>
          <w:color w:val="000000"/>
          <w:sz w:val="18"/>
          <w:szCs w:val="18"/>
        </w:rPr>
        <w:t>      </w:t>
      </w:r>
      <w:r w:rsidRPr="00D403F5">
        <w:rPr>
          <w:rFonts w:ascii="Arial" w:hAnsi="Arial" w:cs="Arial"/>
          <w:color w:val="000000"/>
          <w:sz w:val="18"/>
          <w:szCs w:val="18"/>
          <w:u w:val="single"/>
        </w:rPr>
        <w:t>Aquatic animals</w:t>
      </w:r>
    </w:p>
    <w:p w14:paraId="4B0DDAA4"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color w:val="000000"/>
          <w:sz w:val="18"/>
          <w:szCs w:val="18"/>
        </w:rPr>
        <w:t xml:space="preserve">Movement of </w:t>
      </w:r>
      <w:r w:rsidRPr="00D403F5">
        <w:rPr>
          <w:rFonts w:ascii="Arial" w:hAnsi="Arial" w:cs="Arial"/>
          <w:i/>
          <w:color w:val="000000"/>
          <w:sz w:val="18"/>
          <w:szCs w:val="18"/>
        </w:rPr>
        <w:t>aquatic animals</w:t>
      </w:r>
      <w:r w:rsidRPr="00D403F5">
        <w:rPr>
          <w:rFonts w:ascii="Arial" w:hAnsi="Arial" w:cs="Arial"/>
          <w:color w:val="000000"/>
          <w:sz w:val="18"/>
          <w:szCs w:val="18"/>
        </w:rPr>
        <w:t xml:space="preserve"> into, within and from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either intentionally or unintentionally, </w:t>
      </w:r>
      <w:r w:rsidRPr="00D403F5">
        <w:rPr>
          <w:rFonts w:ascii="Arial" w:hAnsi="Arial" w:cs="Arial"/>
          <w:strike/>
          <w:color w:val="000000"/>
          <w:sz w:val="18"/>
          <w:szCs w:val="18"/>
        </w:rPr>
        <w:t>may</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u w:val="double"/>
        </w:rPr>
        <w:t>usually</w:t>
      </w:r>
      <w:r w:rsidRPr="00D403F5">
        <w:rPr>
          <w:rFonts w:ascii="Arial" w:hAnsi="Arial" w:cs="Arial"/>
          <w:color w:val="000000"/>
          <w:sz w:val="18"/>
          <w:szCs w:val="18"/>
          <w:u w:val="double"/>
        </w:rPr>
        <w:t xml:space="preserve"> </w:t>
      </w:r>
      <w:r w:rsidRPr="00D403F5">
        <w:rPr>
          <w:rFonts w:ascii="Arial" w:hAnsi="Arial" w:cs="Arial"/>
          <w:color w:val="000000"/>
          <w:sz w:val="18"/>
          <w:szCs w:val="18"/>
          <w:highlight w:val="yellow"/>
          <w:u w:val="double"/>
        </w:rPr>
        <w:t>may</w:t>
      </w:r>
      <w:r w:rsidRPr="00D403F5">
        <w:rPr>
          <w:rFonts w:ascii="Arial" w:hAnsi="Arial" w:cs="Arial"/>
          <w:color w:val="000000"/>
          <w:sz w:val="18"/>
          <w:szCs w:val="18"/>
          <w:u w:val="double"/>
        </w:rPr>
        <w:t xml:space="preserve"> </w:t>
      </w:r>
      <w:r w:rsidRPr="00D403F5">
        <w:rPr>
          <w:rFonts w:ascii="Arial" w:hAnsi="Arial" w:cs="Arial"/>
          <w:color w:val="000000"/>
          <w:sz w:val="18"/>
          <w:szCs w:val="18"/>
          <w:highlight w:val="yellow"/>
          <w:u w:val="double"/>
        </w:rPr>
        <w:t>pose</w:t>
      </w:r>
      <w:r w:rsidRPr="00D403F5">
        <w:rPr>
          <w:rFonts w:ascii="Arial" w:hAnsi="Arial" w:cs="Arial"/>
          <w:color w:val="000000"/>
          <w:sz w:val="18"/>
          <w:szCs w:val="18"/>
        </w:rPr>
        <w:t xml:space="preserve"> </w:t>
      </w:r>
      <w:r w:rsidRPr="00D403F5">
        <w:rPr>
          <w:rFonts w:ascii="Arial" w:hAnsi="Arial" w:cs="Arial"/>
          <w:strike/>
          <w:color w:val="000000"/>
          <w:sz w:val="18"/>
          <w:szCs w:val="18"/>
        </w:rPr>
        <w:t>pose</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u w:val="double"/>
        </w:rPr>
        <w:t>has</w:t>
      </w:r>
      <w:r w:rsidRPr="00D403F5">
        <w:rPr>
          <w:rFonts w:ascii="Arial" w:hAnsi="Arial" w:cs="Arial"/>
          <w:color w:val="000000"/>
          <w:sz w:val="18"/>
          <w:szCs w:val="18"/>
        </w:rPr>
        <w:t xml:space="preserve"> a high </w:t>
      </w:r>
      <w:r w:rsidRPr="00D403F5">
        <w:rPr>
          <w:rFonts w:ascii="Arial" w:hAnsi="Arial" w:cs="Arial"/>
          <w:color w:val="000000"/>
          <w:sz w:val="18"/>
          <w:szCs w:val="18"/>
          <w:u w:val="double"/>
        </w:rPr>
        <w:t>likelihood</w:t>
      </w:r>
      <w:r w:rsidRPr="00D403F5">
        <w:rPr>
          <w:rFonts w:ascii="Arial" w:hAnsi="Arial" w:cs="Arial"/>
          <w:color w:val="000000"/>
          <w:sz w:val="18"/>
          <w:szCs w:val="18"/>
        </w:rPr>
        <w:t xml:space="preserve"> </w:t>
      </w:r>
      <w:r w:rsidRPr="00D403F5">
        <w:rPr>
          <w:rFonts w:ascii="Arial" w:hAnsi="Arial" w:cs="Arial"/>
          <w:i/>
          <w:strike/>
          <w:color w:val="000000"/>
          <w:sz w:val="18"/>
          <w:szCs w:val="18"/>
        </w:rPr>
        <w:t>risk</w:t>
      </w:r>
      <w:r w:rsidRPr="00D403F5">
        <w:rPr>
          <w:rFonts w:ascii="Arial" w:hAnsi="Arial" w:cs="Arial"/>
          <w:color w:val="000000"/>
          <w:sz w:val="18"/>
          <w:szCs w:val="18"/>
        </w:rPr>
        <w:t xml:space="preserve"> of </w:t>
      </w:r>
      <w:r w:rsidRPr="00D403F5">
        <w:rPr>
          <w:rFonts w:ascii="Arial" w:hAnsi="Arial" w:cs="Arial"/>
          <w:i/>
          <w:color w:val="000000"/>
          <w:sz w:val="18"/>
          <w:szCs w:val="18"/>
        </w:rPr>
        <w:t>pathogenic agent</w:t>
      </w:r>
      <w:r w:rsidRPr="00D403F5">
        <w:rPr>
          <w:rFonts w:ascii="Arial" w:hAnsi="Arial" w:cs="Arial"/>
          <w:color w:val="000000"/>
          <w:sz w:val="18"/>
          <w:szCs w:val="18"/>
        </w:rPr>
        <w:t xml:space="preserve"> transmission. This is particularly the case when clinically and sub-clinically infected </w:t>
      </w:r>
      <w:r w:rsidRPr="00D403F5">
        <w:rPr>
          <w:rFonts w:ascii="Arial" w:hAnsi="Arial" w:cs="Arial"/>
          <w:i/>
          <w:color w:val="000000"/>
          <w:sz w:val="18"/>
          <w:szCs w:val="18"/>
        </w:rPr>
        <w:t>aquatic animals</w:t>
      </w:r>
      <w:r w:rsidRPr="00D403F5">
        <w:rPr>
          <w:rFonts w:ascii="Arial" w:hAnsi="Arial" w:cs="Arial"/>
          <w:color w:val="000000"/>
          <w:sz w:val="18"/>
          <w:szCs w:val="18"/>
        </w:rPr>
        <w:t xml:space="preserve">, or </w:t>
      </w:r>
      <w:r w:rsidRPr="00D403F5">
        <w:rPr>
          <w:rFonts w:ascii="Arial" w:hAnsi="Arial" w:cs="Arial"/>
          <w:i/>
          <w:color w:val="000000"/>
          <w:sz w:val="18"/>
          <w:szCs w:val="18"/>
        </w:rPr>
        <w:t>aquatic animals</w:t>
      </w:r>
      <w:r w:rsidRPr="00D403F5">
        <w:rPr>
          <w:rFonts w:ascii="Arial" w:hAnsi="Arial" w:cs="Arial"/>
          <w:color w:val="000000"/>
          <w:sz w:val="18"/>
          <w:szCs w:val="18"/>
        </w:rPr>
        <w:t xml:space="preserve"> with unknown health status are moved into a susceptible population. </w:t>
      </w:r>
    </w:p>
    <w:p w14:paraId="6D89AB7A" w14:textId="77777777" w:rsidR="007B3D5C" w:rsidRPr="00D403F5" w:rsidRDefault="007B3D5C" w:rsidP="00456872">
      <w:pPr>
        <w:spacing w:after="240"/>
        <w:ind w:left="426"/>
        <w:jc w:val="both"/>
        <w:rPr>
          <w:rFonts w:ascii="Arial" w:hAnsi="Arial" w:cs="Arial"/>
          <w:i/>
          <w:sz w:val="18"/>
          <w:szCs w:val="18"/>
          <w:lang w:val="en-AU"/>
        </w:rPr>
      </w:pPr>
      <w:r w:rsidRPr="00D403F5">
        <w:rPr>
          <w:rFonts w:ascii="Arial" w:hAnsi="Arial" w:cs="Arial"/>
          <w:i/>
          <w:sz w:val="18"/>
          <w:szCs w:val="18"/>
          <w:lang w:val="en-AU"/>
        </w:rPr>
        <w:br w:type="page"/>
      </w:r>
    </w:p>
    <w:p w14:paraId="558468B8" w14:textId="77777777" w:rsidR="007B3D5C" w:rsidRPr="00D403F5" w:rsidRDefault="007B3D5C" w:rsidP="00456872">
      <w:pPr>
        <w:spacing w:after="480"/>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53B24F5B" w14:textId="77777777" w:rsidR="007B3D5C" w:rsidRPr="00D403F5" w:rsidRDefault="007B3D5C" w:rsidP="00456872">
      <w:pPr>
        <w:spacing w:after="120"/>
        <w:ind w:left="426"/>
        <w:jc w:val="both"/>
        <w:rPr>
          <w:rFonts w:ascii="Arial" w:hAnsi="Arial" w:cs="Arial"/>
          <w:color w:val="000000"/>
          <w:sz w:val="18"/>
          <w:szCs w:val="18"/>
        </w:rPr>
      </w:pPr>
      <w:r w:rsidRPr="00D403F5">
        <w:rPr>
          <w:rFonts w:ascii="Arial" w:hAnsi="Arial" w:cs="Arial"/>
          <w:i/>
          <w:sz w:val="18"/>
          <w:szCs w:val="18"/>
          <w:lang w:val="en-AU"/>
        </w:rPr>
        <w:t>Aquatic animal</w:t>
      </w:r>
      <w:r w:rsidRPr="00D403F5">
        <w:rPr>
          <w:rFonts w:ascii="Arial" w:hAnsi="Arial" w:cs="Arial"/>
          <w:sz w:val="18"/>
          <w:szCs w:val="18"/>
          <w:lang w:val="en-AU"/>
        </w:rPr>
        <w:t xml:space="preserve">s intentionally </w:t>
      </w:r>
      <w:r w:rsidRPr="00D403F5">
        <w:rPr>
          <w:rFonts w:ascii="Arial" w:hAnsi="Arial" w:cs="Arial"/>
          <w:strike/>
          <w:sz w:val="18"/>
          <w:szCs w:val="18"/>
          <w:lang w:val="en-AU"/>
        </w:rPr>
        <w:t>brought</w:t>
      </w:r>
      <w:r w:rsidRPr="00D403F5">
        <w:rPr>
          <w:rFonts w:ascii="Arial" w:hAnsi="Arial" w:cs="Arial"/>
          <w:sz w:val="18"/>
          <w:szCs w:val="18"/>
          <w:lang w:val="en-AU"/>
        </w:rPr>
        <w:t xml:space="preserve"> </w:t>
      </w:r>
      <w:r w:rsidRPr="00D403F5">
        <w:rPr>
          <w:rFonts w:ascii="Arial" w:hAnsi="Arial" w:cs="Arial"/>
          <w:sz w:val="18"/>
          <w:szCs w:val="18"/>
          <w:u w:val="double"/>
          <w:lang w:val="en-AU"/>
        </w:rPr>
        <w:t>introduced</w:t>
      </w:r>
      <w:r w:rsidRPr="00D403F5">
        <w:rPr>
          <w:rFonts w:ascii="Arial" w:hAnsi="Arial" w:cs="Arial"/>
          <w:sz w:val="18"/>
          <w:szCs w:val="18"/>
          <w:lang w:val="en-AU"/>
        </w:rPr>
        <w:t xml:space="preserve"> </w:t>
      </w:r>
      <w:r w:rsidRPr="00D403F5">
        <w:rPr>
          <w:rFonts w:ascii="Arial" w:eastAsia="SimSun" w:hAnsi="Arial" w:cs="Arial" w:hint="eastAsia"/>
          <w:sz w:val="18"/>
          <w:szCs w:val="18"/>
          <w:lang w:val="en-AU" w:eastAsia="zh-CN"/>
        </w:rPr>
        <w:t>i</w:t>
      </w:r>
      <w:r w:rsidRPr="00D403F5">
        <w:rPr>
          <w:rFonts w:ascii="Arial" w:hAnsi="Arial" w:cs="Arial"/>
          <w:sz w:val="18"/>
          <w:szCs w:val="18"/>
          <w:lang w:val="en-AU"/>
        </w:rPr>
        <w:t>nto</w:t>
      </w:r>
      <w:r w:rsidRPr="00D403F5">
        <w:rPr>
          <w:rFonts w:ascii="Arial" w:hAnsi="Arial" w:cs="Arial"/>
          <w:sz w:val="18"/>
          <w:szCs w:val="18"/>
          <w:highlight w:val="yellow"/>
          <w:u w:val="double"/>
          <w:lang w:val="en-AU"/>
        </w:rPr>
        <w:t>, or moved within</w:t>
      </w:r>
      <w:r w:rsidRPr="00D403F5">
        <w:rPr>
          <w:rFonts w:ascii="Arial" w:hAnsi="Arial" w:cs="Arial"/>
          <w:sz w:val="18"/>
          <w:szCs w:val="18"/>
          <w:u w:val="double"/>
          <w:lang w:val="en-AU"/>
        </w:rPr>
        <w:t xml:space="preserve">, </w:t>
      </w:r>
      <w:r w:rsidRPr="00D403F5">
        <w:rPr>
          <w:rFonts w:ascii="Arial" w:hAnsi="Arial" w:cs="Arial"/>
          <w:sz w:val="18"/>
          <w:szCs w:val="18"/>
          <w:lang w:val="en-AU"/>
        </w:rPr>
        <w:t xml:space="preserve">an </w:t>
      </w:r>
      <w:r w:rsidRPr="00D403F5">
        <w:rPr>
          <w:rFonts w:ascii="Arial" w:hAnsi="Arial" w:cs="Arial"/>
          <w:i/>
          <w:sz w:val="18"/>
          <w:szCs w:val="18"/>
          <w:lang w:val="en-AU"/>
        </w:rPr>
        <w:t>aquaculture establishment</w:t>
      </w:r>
      <w:r w:rsidRPr="00D403F5">
        <w:rPr>
          <w:rFonts w:ascii="Arial" w:hAnsi="Arial" w:cs="Arial"/>
          <w:strike/>
          <w:sz w:val="18"/>
          <w:szCs w:val="18"/>
          <w:highlight w:val="yellow"/>
          <w:u w:val="double"/>
          <w:lang w:val="en-AU"/>
        </w:rPr>
        <w:t>, or moved within it</w:t>
      </w:r>
      <w:r w:rsidRPr="00D403F5">
        <w:rPr>
          <w:rFonts w:ascii="Arial" w:hAnsi="Arial" w:cs="Arial"/>
          <w:strike/>
          <w:sz w:val="18"/>
          <w:szCs w:val="18"/>
          <w:highlight w:val="yellow"/>
          <w:lang w:val="en-AU"/>
        </w:rPr>
        <w:t>,</w:t>
      </w:r>
      <w:r w:rsidRPr="00D403F5">
        <w:rPr>
          <w:rFonts w:ascii="Arial" w:hAnsi="Arial" w:cs="Arial"/>
          <w:sz w:val="18"/>
          <w:szCs w:val="18"/>
          <w:lang w:val="en-AU"/>
        </w:rPr>
        <w:t xml:space="preserve"> may include broodstock, juvenile stock for on-growing, and genetic material such as eggs. </w:t>
      </w:r>
      <w:r w:rsidRPr="00D403F5">
        <w:rPr>
          <w:rFonts w:ascii="Arial" w:hAnsi="Arial" w:cs="Arial"/>
          <w:sz w:val="18"/>
          <w:szCs w:val="18"/>
        </w:rPr>
        <w:t xml:space="preserve">Both horizontal and vertical transmission mechanisms should be considered for </w:t>
      </w:r>
      <w:r w:rsidRPr="00D403F5">
        <w:rPr>
          <w:rFonts w:ascii="Arial" w:hAnsi="Arial" w:cs="Arial"/>
          <w:i/>
          <w:sz w:val="18"/>
          <w:szCs w:val="18"/>
        </w:rPr>
        <w:t>aquatic animals</w:t>
      </w:r>
      <w:r w:rsidRPr="00D403F5">
        <w:rPr>
          <w:rFonts w:ascii="Arial" w:hAnsi="Arial" w:cs="Arial"/>
          <w:sz w:val="18"/>
          <w:szCs w:val="18"/>
        </w:rPr>
        <w:t xml:space="preserve">. </w:t>
      </w: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
          <w:color w:val="000000"/>
          <w:sz w:val="18"/>
          <w:szCs w:val="18"/>
        </w:rPr>
        <w:t xml:space="preserve">aquatic animals </w:t>
      </w:r>
      <w:r w:rsidRPr="00D403F5">
        <w:rPr>
          <w:rFonts w:ascii="Arial" w:hAnsi="Arial" w:cs="Arial"/>
          <w:sz w:val="18"/>
          <w:szCs w:val="18"/>
          <w:u w:val="double"/>
          <w:lang w:val="en-CA"/>
        </w:rPr>
        <w:t>should be managed</w:t>
      </w:r>
      <w:r w:rsidRPr="00D403F5">
        <w:rPr>
          <w:rFonts w:ascii="Arial" w:hAnsi="Arial" w:cs="Arial"/>
          <w:strike/>
          <w:sz w:val="18"/>
          <w:szCs w:val="18"/>
          <w:highlight w:val="yellow"/>
          <w:u w:val="double"/>
          <w:lang w:val="en-CA"/>
        </w:rPr>
        <w:t>; possible</w:t>
      </w:r>
      <w:r w:rsidRPr="00D403F5">
        <w:rPr>
          <w:rFonts w:ascii="Arial" w:hAnsi="Arial" w:cs="Arial"/>
          <w:strike/>
          <w:sz w:val="18"/>
          <w:szCs w:val="18"/>
          <w:u w:val="double"/>
          <w:lang w:val="en-CA"/>
        </w:rPr>
        <w:t xml:space="preserve"> </w:t>
      </w:r>
      <w:r w:rsidRPr="00D403F5">
        <w:rPr>
          <w:rFonts w:ascii="Arial" w:hAnsi="Arial" w:cs="Arial"/>
          <w:strike/>
          <w:sz w:val="18"/>
          <w:szCs w:val="18"/>
          <w:highlight w:val="yellow"/>
          <w:u w:val="double"/>
          <w:lang w:val="en-CA"/>
        </w:rPr>
        <w:t>mitigation measures</w:t>
      </w:r>
      <w:r w:rsidRPr="00D403F5">
        <w:rPr>
          <w:rFonts w:ascii="Arial" w:hAnsi="Arial" w:cs="Arial"/>
          <w:sz w:val="18"/>
          <w:szCs w:val="18"/>
          <w:u w:val="double"/>
          <w:lang w:val="en-CA"/>
        </w:rPr>
        <w:t xml:space="preserve"> </w:t>
      </w:r>
      <w:r w:rsidRPr="00D403F5">
        <w:rPr>
          <w:rFonts w:ascii="Arial" w:hAnsi="Arial" w:cs="Arial"/>
          <w:strike/>
          <w:sz w:val="18"/>
          <w:szCs w:val="18"/>
          <w:highlight w:val="yellow"/>
          <w:u w:val="double"/>
          <w:lang w:val="en-CA"/>
        </w:rPr>
        <w:t>include the</w:t>
      </w:r>
      <w:r w:rsidRPr="00D403F5">
        <w:rPr>
          <w:rFonts w:ascii="Arial" w:hAnsi="Arial" w:cs="Arial"/>
          <w:sz w:val="18"/>
          <w:szCs w:val="18"/>
          <w:u w:val="double"/>
          <w:lang w:val="en-CA"/>
        </w:rPr>
        <w:t xml:space="preserve"> </w:t>
      </w:r>
      <w:r w:rsidRPr="00D403F5">
        <w:rPr>
          <w:rFonts w:ascii="Arial" w:hAnsi="Arial" w:cs="Arial"/>
          <w:sz w:val="18"/>
          <w:szCs w:val="18"/>
          <w:highlight w:val="yellow"/>
          <w:u w:val="double"/>
          <w:lang w:val="en-CA"/>
        </w:rPr>
        <w:t>giving consideration to the</w:t>
      </w:r>
      <w:r w:rsidRPr="00D403F5">
        <w:rPr>
          <w:rFonts w:ascii="Arial" w:hAnsi="Arial" w:cs="Arial"/>
          <w:sz w:val="18"/>
          <w:szCs w:val="18"/>
          <w:u w:val="double"/>
          <w:lang w:val="en-CA"/>
        </w:rPr>
        <w:t xml:space="preserve"> following </w:t>
      </w:r>
      <w:r w:rsidRPr="00D403F5">
        <w:rPr>
          <w:rFonts w:ascii="Arial" w:hAnsi="Arial" w:cs="Arial"/>
          <w:sz w:val="18"/>
          <w:szCs w:val="18"/>
          <w:highlight w:val="yellow"/>
          <w:u w:val="double"/>
          <w:lang w:val="en-CA"/>
        </w:rPr>
        <w:t>mitigation measures</w:t>
      </w:r>
      <w:r w:rsidRPr="00D403F5">
        <w:rPr>
          <w:rFonts w:ascii="Arial" w:hAnsi="Arial" w:cs="Arial"/>
          <w:color w:val="000000"/>
          <w:sz w:val="18"/>
          <w:szCs w:val="18"/>
        </w:rPr>
        <w:t xml:space="preserve"> </w:t>
      </w:r>
      <w:r w:rsidRPr="00D403F5">
        <w:rPr>
          <w:rFonts w:ascii="Arial" w:hAnsi="Arial" w:cs="Arial"/>
          <w:strike/>
          <w:color w:val="000000"/>
          <w:sz w:val="18"/>
          <w:szCs w:val="18"/>
        </w:rPr>
        <w:t>can be managed by</w:t>
      </w:r>
      <w:r w:rsidRPr="00D403F5">
        <w:rPr>
          <w:rFonts w:ascii="Arial" w:hAnsi="Arial" w:cs="Arial"/>
          <w:color w:val="000000"/>
          <w:sz w:val="18"/>
          <w:szCs w:val="18"/>
        </w:rPr>
        <w:t>:</w:t>
      </w:r>
    </w:p>
    <w:p w14:paraId="7A9B4134" w14:textId="77777777" w:rsidR="007B3D5C" w:rsidRPr="00D403F5" w:rsidRDefault="007B3D5C" w:rsidP="00456872">
      <w:pPr>
        <w:autoSpaceDE w:val="0"/>
        <w:autoSpaceDN w:val="0"/>
        <w:adjustRightInd w:val="0"/>
        <w:spacing w:after="120"/>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 xml:space="preserve"> </w:t>
      </w:r>
      <w:r w:rsidRPr="00D403F5">
        <w:rPr>
          <w:rFonts w:ascii="Arial" w:hAnsi="Arial" w:cs="Arial"/>
          <w:sz w:val="18"/>
          <w:szCs w:val="18"/>
          <w:lang w:val="en-AU"/>
        </w:rPr>
        <w:tab/>
        <w:t xml:space="preserve">Only introducing </w:t>
      </w:r>
      <w:r w:rsidRPr="00D403F5">
        <w:rPr>
          <w:rFonts w:ascii="Arial" w:eastAsia="SimSun" w:hAnsi="Arial" w:cs="Arial" w:hint="eastAsia"/>
          <w:sz w:val="18"/>
          <w:szCs w:val="18"/>
          <w:highlight w:val="yellow"/>
          <w:u w:val="single"/>
          <w:lang w:val="en-AU" w:eastAsia="zh-CN"/>
        </w:rPr>
        <w:t>i</w:t>
      </w:r>
      <w:r w:rsidRPr="00D403F5">
        <w:rPr>
          <w:rFonts w:ascii="Arial" w:hAnsi="Arial" w:cs="Arial"/>
          <w:sz w:val="18"/>
          <w:szCs w:val="18"/>
          <w:highlight w:val="yellow"/>
          <w:u w:val="single"/>
          <w:lang w:val="en-AU"/>
        </w:rPr>
        <w:t xml:space="preserve">nto the </w:t>
      </w:r>
      <w:r w:rsidRPr="00D403F5">
        <w:rPr>
          <w:rFonts w:ascii="Arial" w:hAnsi="Arial" w:cs="Arial"/>
          <w:i/>
          <w:sz w:val="18"/>
          <w:szCs w:val="18"/>
          <w:highlight w:val="yellow"/>
          <w:u w:val="single"/>
          <w:lang w:val="en-AU"/>
        </w:rPr>
        <w:t>aquaculture establishment</w:t>
      </w:r>
      <w:r w:rsidRPr="00D403F5">
        <w:rPr>
          <w:rFonts w:ascii="Arial" w:hAnsi="Arial" w:cs="Arial"/>
          <w:sz w:val="18"/>
          <w:szCs w:val="18"/>
          <w:highlight w:val="yellow"/>
          <w:lang w:val="en-AU"/>
        </w:rPr>
        <w:t xml:space="preserve"> </w:t>
      </w:r>
      <w:r w:rsidRPr="00D403F5">
        <w:rPr>
          <w:rFonts w:ascii="Arial" w:hAnsi="Arial" w:cs="Arial"/>
          <w:i/>
          <w:sz w:val="18"/>
          <w:szCs w:val="18"/>
          <w:lang w:val="en-AU"/>
        </w:rPr>
        <w:t xml:space="preserve">aquatic animals </w:t>
      </w:r>
      <w:r w:rsidRPr="00D403F5">
        <w:rPr>
          <w:rFonts w:ascii="Arial" w:eastAsia="SimSun" w:hAnsi="Arial" w:cs="Arial"/>
          <w:sz w:val="18"/>
          <w:szCs w:val="18"/>
          <w:u w:val="double"/>
          <w:lang w:val="en-AU" w:eastAsia="zh-CN"/>
        </w:rPr>
        <w:t>with</w:t>
      </w:r>
      <w:r w:rsidRPr="00D403F5">
        <w:rPr>
          <w:rFonts w:ascii="Arial" w:hAnsi="Arial" w:cs="Arial"/>
          <w:sz w:val="18"/>
          <w:szCs w:val="18"/>
          <w:u w:val="double"/>
          <w:lang w:val="en-AU"/>
        </w:rPr>
        <w:t xml:space="preserve"> known health status</w:t>
      </w:r>
      <w:r w:rsidRPr="00D403F5">
        <w:rPr>
          <w:rFonts w:ascii="Arial" w:hAnsi="Arial" w:cs="Arial"/>
          <w:sz w:val="18"/>
          <w:szCs w:val="18"/>
          <w:lang w:val="en-AU"/>
        </w:rPr>
        <w:t xml:space="preserve"> </w:t>
      </w:r>
      <w:r w:rsidRPr="00D403F5">
        <w:rPr>
          <w:rFonts w:ascii="Arial" w:eastAsia="SimSun" w:hAnsi="Arial" w:cs="Arial" w:hint="eastAsia"/>
          <w:strike/>
          <w:sz w:val="18"/>
          <w:szCs w:val="18"/>
          <w:highlight w:val="yellow"/>
          <w:lang w:val="en-AU" w:eastAsia="zh-CN"/>
        </w:rPr>
        <w:t>i</w:t>
      </w:r>
      <w:r w:rsidRPr="00D403F5">
        <w:rPr>
          <w:rFonts w:ascii="Arial" w:hAnsi="Arial" w:cs="Arial"/>
          <w:strike/>
          <w:sz w:val="18"/>
          <w:szCs w:val="18"/>
          <w:highlight w:val="yellow"/>
          <w:lang w:val="en-AU"/>
        </w:rPr>
        <w:t xml:space="preserve">nto the </w:t>
      </w:r>
      <w:r w:rsidRPr="00D403F5">
        <w:rPr>
          <w:rFonts w:ascii="Arial" w:hAnsi="Arial" w:cs="Arial"/>
          <w:i/>
          <w:strike/>
          <w:sz w:val="18"/>
          <w:szCs w:val="18"/>
          <w:highlight w:val="yellow"/>
          <w:lang w:val="en-AU"/>
        </w:rPr>
        <w:t>aquaculture establishment</w:t>
      </w:r>
      <w:r w:rsidRPr="00D403F5">
        <w:rPr>
          <w:rFonts w:ascii="Arial" w:hAnsi="Arial" w:cs="Arial"/>
          <w:strike/>
          <w:sz w:val="18"/>
          <w:szCs w:val="18"/>
          <w:lang w:val="en-AU"/>
        </w:rPr>
        <w:t xml:space="preserve"> </w:t>
      </w:r>
      <w:r w:rsidRPr="00D403F5">
        <w:rPr>
          <w:rFonts w:ascii="Arial" w:eastAsia="SimSun" w:hAnsi="Arial" w:cs="Arial"/>
          <w:strike/>
          <w:sz w:val="18"/>
          <w:szCs w:val="18"/>
          <w:lang w:val="en-AU" w:eastAsia="zh-CN"/>
        </w:rPr>
        <w:t>with</w:t>
      </w:r>
      <w:r w:rsidRPr="00D403F5">
        <w:rPr>
          <w:rFonts w:ascii="Arial" w:hAnsi="Arial" w:cs="Arial"/>
          <w:strike/>
          <w:sz w:val="18"/>
          <w:szCs w:val="18"/>
          <w:lang w:val="en-AU"/>
        </w:rPr>
        <w:t xml:space="preserve"> known health status</w:t>
      </w:r>
      <w:r w:rsidRPr="00D403F5">
        <w:rPr>
          <w:rFonts w:ascii="Arial" w:hAnsi="Arial" w:cs="Arial"/>
          <w:sz w:val="18"/>
          <w:szCs w:val="18"/>
          <w:lang w:val="en-AU"/>
        </w:rPr>
        <w:t xml:space="preserve">, which is of equal or higher status than </w:t>
      </w:r>
      <w:r w:rsidRPr="00D403F5">
        <w:rPr>
          <w:rFonts w:ascii="Arial" w:eastAsia="SimSun" w:hAnsi="Arial" w:cs="Arial" w:hint="eastAsia"/>
          <w:sz w:val="18"/>
          <w:szCs w:val="18"/>
          <w:lang w:val="en-AU" w:eastAsia="zh-CN"/>
        </w:rPr>
        <w:t xml:space="preserve">the </w:t>
      </w:r>
      <w:r w:rsidRPr="00D403F5">
        <w:rPr>
          <w:rFonts w:ascii="Arial" w:eastAsia="SimSun" w:hAnsi="Arial" w:cs="Arial"/>
          <w:sz w:val="18"/>
          <w:szCs w:val="18"/>
          <w:highlight w:val="yellow"/>
          <w:lang w:val="en-AU" w:eastAsia="zh-CN"/>
        </w:rPr>
        <w:t xml:space="preserve">existing </w:t>
      </w:r>
      <w:r w:rsidRPr="00D403F5">
        <w:rPr>
          <w:rFonts w:ascii="Arial" w:hAnsi="Arial" w:cs="Arial"/>
          <w:sz w:val="18"/>
          <w:szCs w:val="18"/>
          <w:lang w:val="en-AU"/>
        </w:rPr>
        <w:t xml:space="preserve">animals in the establishment. </w:t>
      </w:r>
    </w:p>
    <w:p w14:paraId="31215E5A" w14:textId="77777777" w:rsidR="007B3D5C" w:rsidRPr="00D403F5" w:rsidRDefault="007B3D5C" w:rsidP="00456872">
      <w:pPr>
        <w:pStyle w:val="a4"/>
        <w:autoSpaceDE w:val="0"/>
        <w:autoSpaceDN w:val="0"/>
        <w:adjustRightInd w:val="0"/>
        <w:spacing w:after="120"/>
        <w:ind w:left="850" w:hanging="425"/>
        <w:contextualSpacing w:val="0"/>
        <w:jc w:val="both"/>
        <w:rPr>
          <w:rFonts w:ascii="Arial" w:hAnsi="Arial" w:cs="Arial"/>
          <w:sz w:val="18"/>
          <w:szCs w:val="18"/>
          <w:lang w:val="en-AU"/>
        </w:rPr>
      </w:pPr>
      <w:r w:rsidRPr="00D403F5">
        <w:rPr>
          <w:rFonts w:ascii="Arial" w:hAnsi="Arial" w:cs="Arial"/>
          <w:i/>
          <w:sz w:val="18"/>
          <w:szCs w:val="18"/>
        </w:rPr>
        <w:t>b)</w:t>
      </w:r>
      <w:r w:rsidRPr="00D403F5">
        <w:rPr>
          <w:rFonts w:ascii="Arial" w:hAnsi="Arial" w:cs="Arial"/>
          <w:sz w:val="18"/>
          <w:szCs w:val="18"/>
        </w:rPr>
        <w:tab/>
      </w:r>
      <w:r w:rsidRPr="00D403F5">
        <w:rPr>
          <w:rFonts w:ascii="Arial" w:hAnsi="Arial" w:cs="Arial"/>
          <w:strike/>
          <w:sz w:val="18"/>
          <w:szCs w:val="18"/>
          <w:lang w:val="en-AU"/>
        </w:rPr>
        <w:t>Quarantining</w:t>
      </w:r>
      <w:r w:rsidRPr="00D403F5">
        <w:rPr>
          <w:rFonts w:ascii="Arial" w:hAnsi="Arial" w:cs="Arial"/>
          <w:sz w:val="18"/>
          <w:szCs w:val="18"/>
          <w:lang w:val="en-AU"/>
        </w:rPr>
        <w:t xml:space="preserve"> </w:t>
      </w:r>
      <w:r w:rsidRPr="00D403F5">
        <w:rPr>
          <w:rFonts w:ascii="Arial" w:hAnsi="Arial" w:cs="Arial"/>
          <w:sz w:val="18"/>
          <w:szCs w:val="18"/>
          <w:u w:val="double"/>
          <w:lang w:val="en-AU"/>
        </w:rPr>
        <w:t>Placing</w:t>
      </w:r>
      <w:r w:rsidRPr="00D403F5">
        <w:rPr>
          <w:rFonts w:ascii="Arial" w:hAnsi="Arial" w:cs="Arial"/>
          <w:sz w:val="18"/>
          <w:szCs w:val="18"/>
          <w:lang w:val="en-AU"/>
        </w:rPr>
        <w:t xml:space="preserve"> introduced </w:t>
      </w:r>
      <w:r w:rsidRPr="00D403F5">
        <w:rPr>
          <w:rFonts w:ascii="Arial" w:hAnsi="Arial" w:cs="Arial"/>
          <w:i/>
          <w:sz w:val="18"/>
          <w:szCs w:val="18"/>
          <w:lang w:val="en-AU"/>
        </w:rPr>
        <w:t>aquatic animals</w:t>
      </w:r>
      <w:r w:rsidRPr="00D403F5">
        <w:rPr>
          <w:rFonts w:ascii="Arial" w:hAnsi="Arial" w:cs="Arial"/>
          <w:sz w:val="18"/>
          <w:szCs w:val="18"/>
          <w:lang w:val="en-AU"/>
        </w:rPr>
        <w:t xml:space="preserve"> of unknown </w:t>
      </w:r>
      <w:r w:rsidRPr="00D403F5">
        <w:rPr>
          <w:rFonts w:ascii="Arial" w:hAnsi="Arial" w:cs="Arial"/>
          <w:i/>
          <w:sz w:val="18"/>
          <w:szCs w:val="18"/>
          <w:lang w:val="en-AU"/>
        </w:rPr>
        <w:t>disease</w:t>
      </w:r>
      <w:r w:rsidRPr="00D403F5">
        <w:rPr>
          <w:rFonts w:ascii="Arial" w:hAnsi="Arial" w:cs="Arial"/>
          <w:sz w:val="18"/>
          <w:szCs w:val="18"/>
          <w:lang w:val="en-AU"/>
        </w:rPr>
        <w:t xml:space="preserve"> status </w:t>
      </w:r>
      <w:r w:rsidRPr="00D403F5">
        <w:rPr>
          <w:rFonts w:ascii="Arial" w:hAnsi="Arial" w:cs="Arial"/>
          <w:sz w:val="18"/>
          <w:szCs w:val="18"/>
          <w:u w:val="double"/>
          <w:lang w:val="en-AU"/>
        </w:rPr>
        <w:t xml:space="preserve">into </w:t>
      </w:r>
      <w:r w:rsidRPr="00D403F5">
        <w:rPr>
          <w:rFonts w:ascii="Arial" w:hAnsi="Arial" w:cs="Arial"/>
          <w:i/>
          <w:sz w:val="18"/>
          <w:szCs w:val="18"/>
          <w:u w:val="double"/>
          <w:lang w:val="en-AU"/>
        </w:rPr>
        <w:t>quarantine</w:t>
      </w:r>
      <w:r w:rsidRPr="00D403F5">
        <w:rPr>
          <w:rFonts w:ascii="Arial" w:hAnsi="Arial" w:cs="Arial"/>
          <w:sz w:val="18"/>
          <w:szCs w:val="18"/>
          <w:lang w:val="en-AU"/>
        </w:rPr>
        <w:t xml:space="preserve"> </w:t>
      </w:r>
      <w:r w:rsidRPr="00D403F5">
        <w:rPr>
          <w:rFonts w:ascii="Arial" w:hAnsi="Arial" w:cs="Arial"/>
          <w:strike/>
          <w:sz w:val="18"/>
          <w:szCs w:val="18"/>
          <w:lang w:val="en-AU"/>
        </w:rPr>
        <w:t xml:space="preserve">from other farm populations in separate production units or dedicated </w:t>
      </w:r>
      <w:r w:rsidRPr="00D403F5">
        <w:rPr>
          <w:rFonts w:ascii="Arial" w:hAnsi="Arial" w:cs="Arial"/>
          <w:i/>
          <w:strike/>
          <w:sz w:val="18"/>
          <w:szCs w:val="18"/>
          <w:lang w:val="en-AU"/>
        </w:rPr>
        <w:t>quarantine</w:t>
      </w:r>
      <w:r w:rsidRPr="00D403F5">
        <w:rPr>
          <w:rFonts w:ascii="Arial" w:hAnsi="Arial" w:cs="Arial"/>
          <w:strike/>
          <w:sz w:val="18"/>
          <w:szCs w:val="18"/>
          <w:lang w:val="en-AU"/>
        </w:rPr>
        <w:t xml:space="preserve"> facilities</w:t>
      </w:r>
      <w:r w:rsidRPr="00D403F5">
        <w:rPr>
          <w:rFonts w:ascii="Arial" w:hAnsi="Arial" w:cs="Arial"/>
          <w:sz w:val="18"/>
          <w:szCs w:val="18"/>
          <w:lang w:val="en-AU"/>
        </w:rPr>
        <w:t>.</w:t>
      </w:r>
    </w:p>
    <w:p w14:paraId="682D8347" w14:textId="77777777" w:rsidR="007B3D5C" w:rsidRPr="00D403F5" w:rsidRDefault="007B3D5C" w:rsidP="00456872">
      <w:pPr>
        <w:pStyle w:val="a4"/>
        <w:autoSpaceDE w:val="0"/>
        <w:autoSpaceDN w:val="0"/>
        <w:adjustRightInd w:val="0"/>
        <w:spacing w:after="120"/>
        <w:ind w:left="850" w:hanging="425"/>
        <w:contextualSpacing w:val="0"/>
        <w:jc w:val="both"/>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sz w:val="18"/>
          <w:szCs w:val="18"/>
          <w:lang w:val="en-AU"/>
        </w:rPr>
        <w:tab/>
        <w:t xml:space="preserve">Where appropriate, </w:t>
      </w:r>
      <w:r w:rsidRPr="00D403F5">
        <w:rPr>
          <w:rFonts w:ascii="Arial" w:hAnsi="Arial" w:cs="Arial"/>
          <w:sz w:val="18"/>
          <w:szCs w:val="18"/>
          <w:highlight w:val="yellow"/>
          <w:u w:val="double"/>
          <w:lang w:val="en-AU"/>
        </w:rPr>
        <w:t xml:space="preserve">treating </w:t>
      </w:r>
      <w:r w:rsidRPr="00D403F5">
        <w:rPr>
          <w:rFonts w:ascii="Arial" w:hAnsi="Arial" w:cs="Arial"/>
          <w:strike/>
          <w:sz w:val="18"/>
          <w:szCs w:val="18"/>
          <w:highlight w:val="yellow"/>
          <w:u w:val="double"/>
          <w:lang w:val="en-AU"/>
        </w:rPr>
        <w:t>treatment of</w:t>
      </w:r>
      <w:r w:rsidRPr="00D403F5">
        <w:rPr>
          <w:rFonts w:ascii="Arial" w:hAnsi="Arial" w:cs="Arial"/>
          <w:sz w:val="18"/>
          <w:szCs w:val="18"/>
          <w:lang w:val="en-AU"/>
        </w:rPr>
        <w:t xml:space="preserve"> </w:t>
      </w:r>
      <w:r w:rsidRPr="00D403F5">
        <w:rPr>
          <w:rFonts w:ascii="Arial" w:hAnsi="Arial" w:cs="Arial"/>
          <w:i/>
          <w:sz w:val="18"/>
          <w:szCs w:val="18"/>
          <w:lang w:val="en-AU"/>
        </w:rPr>
        <w:t>quarantined</w:t>
      </w:r>
      <w:r w:rsidRPr="00D403F5">
        <w:rPr>
          <w:rFonts w:ascii="Arial" w:hAnsi="Arial" w:cs="Arial"/>
          <w:sz w:val="18"/>
          <w:szCs w:val="18"/>
          <w:lang w:val="en-AU"/>
        </w:rPr>
        <w:t xml:space="preserve"> </w:t>
      </w:r>
      <w:r w:rsidRPr="00D403F5">
        <w:rPr>
          <w:rFonts w:ascii="Arial" w:hAnsi="Arial" w:cs="Arial"/>
          <w:i/>
          <w:sz w:val="18"/>
          <w:szCs w:val="18"/>
          <w:lang w:val="en-AU"/>
        </w:rPr>
        <w:t>aquatic animals</w:t>
      </w:r>
      <w:r w:rsidRPr="00D403F5">
        <w:rPr>
          <w:rFonts w:ascii="Arial" w:hAnsi="Arial" w:cs="Arial"/>
          <w:sz w:val="18"/>
          <w:szCs w:val="18"/>
          <w:lang w:val="en-AU"/>
        </w:rPr>
        <w:t xml:space="preserve"> to mitigate </w:t>
      </w:r>
      <w:r w:rsidRPr="00D403F5">
        <w:rPr>
          <w:rFonts w:ascii="Arial" w:hAnsi="Arial" w:cs="Arial"/>
          <w:i/>
          <w:sz w:val="18"/>
          <w:szCs w:val="18"/>
          <w:lang w:val="en-AU"/>
        </w:rPr>
        <w:t>disease</w:t>
      </w:r>
      <w:r w:rsidRPr="00D403F5">
        <w:rPr>
          <w:rFonts w:ascii="Arial" w:eastAsia="SimSun" w:hAnsi="Arial" w:cs="Arial" w:hint="eastAsia"/>
          <w:i/>
          <w:sz w:val="18"/>
          <w:szCs w:val="18"/>
          <w:lang w:val="en-AU" w:eastAsia="zh-CN"/>
        </w:rPr>
        <w:t xml:space="preserve"> </w:t>
      </w:r>
      <w:r w:rsidRPr="00D403F5">
        <w:rPr>
          <w:rFonts w:ascii="Arial" w:hAnsi="Arial" w:cs="Arial"/>
          <w:i/>
          <w:sz w:val="18"/>
          <w:szCs w:val="18"/>
          <w:lang w:val="en-AU"/>
        </w:rPr>
        <w:t>risks</w:t>
      </w:r>
      <w:r w:rsidRPr="00D403F5">
        <w:rPr>
          <w:rFonts w:ascii="Arial" w:hAnsi="Arial" w:cs="Arial"/>
          <w:sz w:val="18"/>
          <w:szCs w:val="18"/>
          <w:lang w:val="en-AU"/>
        </w:rPr>
        <w:t xml:space="preserve"> (for example, </w:t>
      </w:r>
      <w:r w:rsidRPr="00D403F5">
        <w:rPr>
          <w:rFonts w:ascii="Arial" w:hAnsi="Arial" w:cs="Arial"/>
          <w:sz w:val="18"/>
          <w:szCs w:val="18"/>
          <w:highlight w:val="yellow"/>
          <w:u w:val="single"/>
          <w:lang w:val="en-AU"/>
        </w:rPr>
        <w:t>treatment</w:t>
      </w:r>
      <w:r w:rsidRPr="00D403F5">
        <w:rPr>
          <w:rFonts w:ascii="Arial" w:hAnsi="Arial" w:cs="Arial"/>
          <w:sz w:val="18"/>
          <w:szCs w:val="18"/>
          <w:lang w:val="en-AU"/>
        </w:rPr>
        <w:t xml:space="preserve"> for external parasites). </w:t>
      </w:r>
    </w:p>
    <w:p w14:paraId="351219CE" w14:textId="77777777" w:rsidR="007B3D5C" w:rsidRPr="00D403F5" w:rsidRDefault="007B3D5C" w:rsidP="00456872">
      <w:pPr>
        <w:pStyle w:val="a4"/>
        <w:autoSpaceDE w:val="0"/>
        <w:autoSpaceDN w:val="0"/>
        <w:adjustRightInd w:val="0"/>
        <w:spacing w:after="120"/>
        <w:ind w:left="850" w:hanging="425"/>
        <w:contextualSpacing w:val="0"/>
        <w:jc w:val="both"/>
        <w:rPr>
          <w:rFonts w:ascii="Arial" w:hAnsi="Arial" w:cs="Arial"/>
          <w:sz w:val="18"/>
          <w:szCs w:val="18"/>
          <w:lang w:val="en-AU"/>
        </w:rPr>
      </w:pPr>
      <w:r w:rsidRPr="00D403F5">
        <w:rPr>
          <w:rFonts w:ascii="Arial" w:hAnsi="Arial" w:cs="Arial"/>
          <w:i/>
          <w:sz w:val="18"/>
          <w:szCs w:val="18"/>
          <w:lang w:val="en-AU"/>
        </w:rPr>
        <w:t>d)</w:t>
      </w:r>
      <w:r w:rsidRPr="00D403F5">
        <w:rPr>
          <w:rFonts w:ascii="Arial" w:hAnsi="Arial" w:cs="Arial"/>
          <w:sz w:val="18"/>
          <w:szCs w:val="18"/>
          <w:lang w:val="en-AU"/>
        </w:rPr>
        <w:tab/>
        <w:t xml:space="preserve">Ensuring biosecure transport of </w:t>
      </w:r>
      <w:r w:rsidRPr="00D403F5">
        <w:rPr>
          <w:rFonts w:ascii="Arial" w:hAnsi="Arial" w:cs="Arial"/>
          <w:i/>
          <w:sz w:val="18"/>
          <w:szCs w:val="18"/>
          <w:lang w:val="en-AU"/>
        </w:rPr>
        <w:t xml:space="preserve">aquatic animals </w:t>
      </w:r>
      <w:r w:rsidRPr="00D403F5">
        <w:rPr>
          <w:rFonts w:ascii="Arial" w:hAnsi="Arial" w:cs="Arial"/>
          <w:sz w:val="18"/>
          <w:szCs w:val="18"/>
          <w:lang w:val="en-AU"/>
        </w:rPr>
        <w:t xml:space="preserve">that avoids exposure to </w:t>
      </w:r>
      <w:r w:rsidRPr="00D403F5">
        <w:rPr>
          <w:rFonts w:ascii="Arial" w:hAnsi="Arial" w:cs="Arial"/>
          <w:i/>
          <w:sz w:val="18"/>
          <w:szCs w:val="18"/>
          <w:lang w:val="en-AU"/>
        </w:rPr>
        <w:t>pathogenic agents.</w:t>
      </w:r>
    </w:p>
    <w:p w14:paraId="1274B39A" w14:textId="77777777" w:rsidR="007B3D5C" w:rsidRPr="00D403F5" w:rsidRDefault="007B3D5C" w:rsidP="00456872">
      <w:pPr>
        <w:autoSpaceDE w:val="0"/>
        <w:autoSpaceDN w:val="0"/>
        <w:adjustRightInd w:val="0"/>
        <w:spacing w:after="120"/>
        <w:ind w:left="850" w:hanging="425"/>
        <w:jc w:val="both"/>
        <w:rPr>
          <w:rFonts w:ascii="Arial" w:hAnsi="Arial" w:cs="Arial"/>
          <w:sz w:val="18"/>
          <w:szCs w:val="18"/>
          <w:lang w:val="en-AU"/>
        </w:rPr>
      </w:pPr>
      <w:r w:rsidRPr="00D403F5">
        <w:rPr>
          <w:rFonts w:ascii="Arial" w:hAnsi="Arial" w:cs="Arial"/>
          <w:i/>
          <w:sz w:val="18"/>
          <w:szCs w:val="18"/>
          <w:lang w:val="en-AU"/>
        </w:rPr>
        <w:t>e)</w:t>
      </w:r>
      <w:r w:rsidRPr="00D403F5">
        <w:rPr>
          <w:rFonts w:ascii="Arial" w:hAnsi="Arial" w:cs="Arial"/>
          <w:sz w:val="18"/>
          <w:szCs w:val="18"/>
          <w:lang w:val="en-AU"/>
        </w:rPr>
        <w:tab/>
        <w:t xml:space="preserve">Only moving </w:t>
      </w:r>
      <w:r w:rsidRPr="00D403F5">
        <w:rPr>
          <w:rFonts w:ascii="Arial" w:hAnsi="Arial" w:cs="Arial"/>
          <w:i/>
          <w:sz w:val="18"/>
          <w:szCs w:val="18"/>
          <w:lang w:val="en-AU"/>
        </w:rPr>
        <w:t>aquatic animals</w:t>
      </w:r>
      <w:r w:rsidRPr="00D403F5">
        <w:rPr>
          <w:rFonts w:ascii="Arial" w:hAnsi="Arial" w:cs="Arial"/>
          <w:sz w:val="18"/>
          <w:szCs w:val="18"/>
          <w:lang w:val="en-AU"/>
        </w:rPr>
        <w:t xml:space="preserve"> between different populations within the establishment following consideration of the </w:t>
      </w:r>
      <w:r w:rsidRPr="00D403F5">
        <w:rPr>
          <w:rFonts w:ascii="Arial" w:hAnsi="Arial" w:cs="Arial"/>
          <w:i/>
          <w:sz w:val="18"/>
          <w:szCs w:val="18"/>
          <w:lang w:val="en-AU"/>
        </w:rPr>
        <w:t>disease</w:t>
      </w:r>
      <w:r w:rsidRPr="00D403F5">
        <w:rPr>
          <w:rFonts w:ascii="Arial" w:eastAsia="SimSun" w:hAnsi="Arial" w:cs="Arial" w:hint="eastAsia"/>
          <w:i/>
          <w:sz w:val="18"/>
          <w:szCs w:val="18"/>
          <w:lang w:val="en-AU" w:eastAsia="zh-CN"/>
        </w:rPr>
        <w:t xml:space="preserve"> </w:t>
      </w:r>
      <w:r w:rsidRPr="00D403F5">
        <w:rPr>
          <w:rFonts w:ascii="Arial" w:hAnsi="Arial" w:cs="Arial"/>
          <w:i/>
          <w:sz w:val="18"/>
          <w:szCs w:val="18"/>
          <w:lang w:val="en-AU"/>
        </w:rPr>
        <w:t>risks</w:t>
      </w:r>
      <w:r w:rsidRPr="00D403F5">
        <w:rPr>
          <w:rFonts w:ascii="Arial" w:hAnsi="Arial" w:cs="Arial"/>
          <w:sz w:val="18"/>
          <w:szCs w:val="18"/>
          <w:lang w:val="en-AU"/>
        </w:rPr>
        <w:t xml:space="preserve"> and with a view to maintaining </w:t>
      </w:r>
      <w:r w:rsidRPr="00D403F5">
        <w:rPr>
          <w:rFonts w:ascii="Arial" w:hAnsi="Arial" w:cs="Arial"/>
          <w:sz w:val="18"/>
          <w:szCs w:val="18"/>
          <w:highlight w:val="yellow"/>
          <w:u w:val="single"/>
          <w:lang w:val="en-AU"/>
        </w:rPr>
        <w:t>the</w:t>
      </w:r>
      <w:r w:rsidRPr="00D403F5">
        <w:rPr>
          <w:rFonts w:ascii="Arial" w:hAnsi="Arial" w:cs="Arial"/>
          <w:sz w:val="18"/>
          <w:szCs w:val="18"/>
          <w:highlight w:val="yellow"/>
          <w:lang w:val="en-AU"/>
        </w:rPr>
        <w:t xml:space="preserve"> </w:t>
      </w:r>
      <w:r w:rsidRPr="00D403F5">
        <w:rPr>
          <w:rFonts w:ascii="Arial" w:hAnsi="Arial" w:cs="Arial"/>
          <w:sz w:val="18"/>
          <w:szCs w:val="18"/>
          <w:lang w:val="en-AU"/>
        </w:rPr>
        <w:t xml:space="preserve">high health status of </w:t>
      </w:r>
      <w:r w:rsidRPr="00D403F5">
        <w:rPr>
          <w:rFonts w:ascii="Arial" w:hAnsi="Arial" w:cs="Arial"/>
          <w:sz w:val="18"/>
          <w:szCs w:val="18"/>
          <w:highlight w:val="yellow"/>
          <w:u w:val="single"/>
          <w:lang w:val="en-AU"/>
        </w:rPr>
        <w:t>the</w:t>
      </w:r>
      <w:r w:rsidRPr="00D403F5">
        <w:rPr>
          <w:rFonts w:ascii="Arial" w:hAnsi="Arial" w:cs="Arial"/>
          <w:sz w:val="18"/>
          <w:szCs w:val="18"/>
          <w:highlight w:val="yellow"/>
          <w:lang w:val="en-AU"/>
        </w:rPr>
        <w:t xml:space="preserve">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w:t>
      </w:r>
    </w:p>
    <w:p w14:paraId="221AE487" w14:textId="77777777" w:rsidR="007B3D5C" w:rsidRPr="00D403F5" w:rsidRDefault="007B3D5C" w:rsidP="00456872">
      <w:pPr>
        <w:autoSpaceDE w:val="0"/>
        <w:autoSpaceDN w:val="0"/>
        <w:adjustRightInd w:val="0"/>
        <w:spacing w:after="120"/>
        <w:ind w:left="850" w:hanging="425"/>
        <w:jc w:val="both"/>
        <w:rPr>
          <w:rFonts w:ascii="Arial" w:hAnsi="Arial" w:cs="Arial"/>
          <w:sz w:val="18"/>
          <w:szCs w:val="18"/>
          <w:lang w:val="en-AU"/>
        </w:rPr>
      </w:pPr>
      <w:r w:rsidRPr="00D403F5">
        <w:rPr>
          <w:rFonts w:ascii="Arial" w:hAnsi="Arial" w:cs="Arial"/>
          <w:i/>
          <w:sz w:val="18"/>
          <w:szCs w:val="18"/>
          <w:lang w:val="en-AU"/>
        </w:rPr>
        <w:t>f)</w:t>
      </w:r>
      <w:r w:rsidRPr="00D403F5">
        <w:rPr>
          <w:rFonts w:ascii="Arial" w:hAnsi="Arial" w:cs="Arial"/>
          <w:sz w:val="18"/>
          <w:szCs w:val="18"/>
          <w:lang w:val="en-AU"/>
        </w:rPr>
        <w:tab/>
        <w:t xml:space="preserve">Isolating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populations that display clinical signs of </w:t>
      </w:r>
      <w:r w:rsidRPr="00D403F5">
        <w:rPr>
          <w:rFonts w:ascii="Arial" w:hAnsi="Arial" w:cs="Arial"/>
          <w:i/>
          <w:sz w:val="18"/>
          <w:szCs w:val="18"/>
          <w:lang w:val="en-AU"/>
        </w:rPr>
        <w:t>disease</w:t>
      </w:r>
      <w:r w:rsidRPr="00D403F5">
        <w:rPr>
          <w:rFonts w:ascii="Arial" w:hAnsi="Arial" w:cs="Arial"/>
          <w:sz w:val="18"/>
          <w:szCs w:val="18"/>
          <w:lang w:val="en-AU"/>
        </w:rPr>
        <w:t xml:space="preserve"> from other populations until the cause is known and the situation </w:t>
      </w:r>
      <w:r w:rsidRPr="00D403F5">
        <w:rPr>
          <w:rFonts w:ascii="Arial" w:eastAsia="SimSun" w:hAnsi="Arial" w:cs="Arial" w:hint="eastAsia"/>
          <w:sz w:val="18"/>
          <w:szCs w:val="18"/>
          <w:lang w:val="en-AU" w:eastAsia="zh-CN"/>
        </w:rPr>
        <w:t xml:space="preserve">is </w:t>
      </w:r>
      <w:r w:rsidRPr="00D403F5">
        <w:rPr>
          <w:rFonts w:ascii="Arial" w:hAnsi="Arial" w:cs="Arial"/>
          <w:sz w:val="18"/>
          <w:szCs w:val="18"/>
          <w:lang w:val="en-AU"/>
        </w:rPr>
        <w:t>resolved.</w:t>
      </w:r>
    </w:p>
    <w:p w14:paraId="7CBDD0C0" w14:textId="77777777" w:rsidR="007B3D5C" w:rsidRPr="00D403F5" w:rsidRDefault="007B3D5C" w:rsidP="00456872">
      <w:pPr>
        <w:pStyle w:val="a4"/>
        <w:autoSpaceDE w:val="0"/>
        <w:autoSpaceDN w:val="0"/>
        <w:adjustRightInd w:val="0"/>
        <w:spacing w:after="120"/>
        <w:ind w:left="850" w:hanging="425"/>
        <w:contextualSpacing w:val="0"/>
        <w:jc w:val="both"/>
        <w:rPr>
          <w:rFonts w:ascii="Arial" w:hAnsi="Arial" w:cs="Arial"/>
          <w:sz w:val="18"/>
          <w:szCs w:val="18"/>
          <w:lang w:val="en-AU"/>
        </w:rPr>
      </w:pPr>
      <w:r w:rsidRPr="00D403F5">
        <w:rPr>
          <w:rFonts w:ascii="Arial" w:hAnsi="Arial" w:cs="Arial"/>
          <w:i/>
          <w:sz w:val="18"/>
          <w:szCs w:val="18"/>
          <w:lang w:val="en-AU"/>
        </w:rPr>
        <w:t>g)</w:t>
      </w:r>
      <w:r w:rsidRPr="00D403F5">
        <w:rPr>
          <w:rFonts w:ascii="Arial" w:hAnsi="Arial" w:cs="Arial"/>
          <w:sz w:val="18"/>
          <w:szCs w:val="18"/>
          <w:lang w:val="en-AU"/>
        </w:rPr>
        <w:tab/>
        <w:t xml:space="preserve">Removing sick or dead </w:t>
      </w:r>
      <w:r w:rsidRPr="00D403F5">
        <w:rPr>
          <w:rFonts w:ascii="Arial" w:hAnsi="Arial" w:cs="Arial"/>
          <w:i/>
          <w:sz w:val="18"/>
          <w:szCs w:val="18"/>
          <w:lang w:val="en-AU"/>
        </w:rPr>
        <w:t>aquatic animals</w:t>
      </w:r>
      <w:r w:rsidRPr="00D403F5">
        <w:rPr>
          <w:rFonts w:ascii="Arial" w:hAnsi="Arial" w:cs="Arial"/>
          <w:sz w:val="18"/>
          <w:szCs w:val="18"/>
          <w:lang w:val="en-AU"/>
        </w:rPr>
        <w:t xml:space="preserve"> from production units as soon as possible and disposing of them in a biosecure manner in accordance with Chapter 4.7. </w:t>
      </w:r>
    </w:p>
    <w:p w14:paraId="18FE616B" w14:textId="77777777" w:rsidR="007B3D5C" w:rsidRPr="00D403F5" w:rsidRDefault="007B3D5C" w:rsidP="00456872">
      <w:pPr>
        <w:pStyle w:val="a4"/>
        <w:autoSpaceDE w:val="0"/>
        <w:autoSpaceDN w:val="0"/>
        <w:adjustRightInd w:val="0"/>
        <w:spacing w:after="120"/>
        <w:ind w:left="850" w:hanging="425"/>
        <w:contextualSpacing w:val="0"/>
        <w:jc w:val="both"/>
        <w:rPr>
          <w:rFonts w:ascii="Arial" w:hAnsi="Arial" w:cs="Arial"/>
          <w:sz w:val="18"/>
          <w:szCs w:val="18"/>
          <w:lang w:val="en-AU"/>
        </w:rPr>
      </w:pPr>
      <w:r w:rsidRPr="00D403F5">
        <w:rPr>
          <w:rFonts w:ascii="Arial" w:hAnsi="Arial" w:cs="Arial"/>
          <w:i/>
          <w:sz w:val="18"/>
          <w:szCs w:val="18"/>
          <w:lang w:val="en-AU"/>
        </w:rPr>
        <w:t>h)</w:t>
      </w:r>
      <w:r w:rsidRPr="00D403F5">
        <w:rPr>
          <w:rFonts w:ascii="Arial" w:hAnsi="Arial" w:cs="Arial"/>
          <w:sz w:val="18"/>
          <w:szCs w:val="18"/>
          <w:lang w:val="en-AU"/>
        </w:rPr>
        <w:tab/>
      </w:r>
      <w:r w:rsidRPr="00D403F5">
        <w:rPr>
          <w:rFonts w:ascii="Arial" w:hAnsi="Arial" w:cs="Arial"/>
          <w:sz w:val="18"/>
          <w:szCs w:val="18"/>
          <w:highlight w:val="yellow"/>
          <w:u w:val="double"/>
          <w:lang w:val="en-AU"/>
        </w:rPr>
        <w:t xml:space="preserve">Reporting of unexplained or unusual mortalities, or suspicion of a notifiable </w:t>
      </w:r>
      <w:r w:rsidRPr="00D403F5">
        <w:rPr>
          <w:rFonts w:ascii="Arial" w:hAnsi="Arial" w:cs="Arial"/>
          <w:i/>
          <w:iCs/>
          <w:sz w:val="18"/>
          <w:szCs w:val="18"/>
          <w:highlight w:val="yellow"/>
          <w:u w:val="double"/>
          <w:lang w:val="en-AU"/>
        </w:rPr>
        <w:t>disease</w:t>
      </w:r>
      <w:r w:rsidRPr="00D403F5">
        <w:rPr>
          <w:rFonts w:ascii="Arial" w:hAnsi="Arial" w:cs="Arial"/>
          <w:sz w:val="18"/>
          <w:szCs w:val="18"/>
          <w:highlight w:val="yellow"/>
          <w:u w:val="double"/>
          <w:lang w:val="en-AU"/>
        </w:rPr>
        <w:t xml:space="preserve"> in </w:t>
      </w:r>
      <w:r w:rsidRPr="00D403F5">
        <w:rPr>
          <w:rFonts w:ascii="Arial" w:hAnsi="Arial" w:cs="Arial"/>
          <w:i/>
          <w:iCs/>
          <w:sz w:val="18"/>
          <w:szCs w:val="18"/>
          <w:highlight w:val="yellow"/>
          <w:u w:val="double"/>
          <w:lang w:val="en-AU"/>
        </w:rPr>
        <w:t>aquatic animals</w:t>
      </w:r>
      <w:r w:rsidRPr="00D403F5">
        <w:rPr>
          <w:rFonts w:ascii="Arial" w:hAnsi="Arial" w:cs="Arial"/>
          <w:sz w:val="18"/>
          <w:szCs w:val="18"/>
          <w:highlight w:val="yellow"/>
          <w:u w:val="double"/>
          <w:lang w:val="en-AU"/>
        </w:rPr>
        <w:t xml:space="preserve"> to the </w:t>
      </w:r>
      <w:r w:rsidRPr="00D403F5">
        <w:rPr>
          <w:rFonts w:ascii="Arial" w:hAnsi="Arial" w:cs="Arial"/>
          <w:i/>
          <w:iCs/>
          <w:sz w:val="18"/>
          <w:szCs w:val="18"/>
          <w:highlight w:val="yellow"/>
          <w:u w:val="double"/>
          <w:lang w:val="en-AU"/>
        </w:rPr>
        <w:t>Competent Authority</w:t>
      </w:r>
      <w:r w:rsidRPr="00D403F5">
        <w:rPr>
          <w:rFonts w:ascii="Arial" w:hAnsi="Arial" w:cs="Arial"/>
          <w:sz w:val="18"/>
          <w:szCs w:val="18"/>
          <w:highlight w:val="yellow"/>
          <w:u w:val="double"/>
          <w:lang w:val="en-AU"/>
        </w:rPr>
        <w:t xml:space="preserve"> in accordance with local requirements. Investigation and </w:t>
      </w:r>
      <w:r w:rsidRPr="00D403F5">
        <w:rPr>
          <w:rFonts w:ascii="Arial" w:hAnsi="Arial" w:cs="Arial"/>
          <w:i/>
          <w:sz w:val="18"/>
          <w:szCs w:val="18"/>
          <w:highlight w:val="yellow"/>
          <w:u w:val="double"/>
          <w:lang w:val="en-AU"/>
        </w:rPr>
        <w:t>diagnosis</w:t>
      </w:r>
      <w:r w:rsidRPr="00D403F5">
        <w:rPr>
          <w:rFonts w:ascii="Arial" w:hAnsi="Arial" w:cs="Arial"/>
          <w:sz w:val="18"/>
          <w:szCs w:val="18"/>
          <w:highlight w:val="yellow"/>
          <w:u w:val="double"/>
          <w:lang w:val="en-AU"/>
        </w:rPr>
        <w:t xml:space="preserve"> of the cause of mortality should be undertaken.</w:t>
      </w:r>
    </w:p>
    <w:p w14:paraId="71EC0F86" w14:textId="77777777" w:rsidR="007B3D5C" w:rsidRPr="00D403F5" w:rsidRDefault="007B3D5C" w:rsidP="00456872">
      <w:pPr>
        <w:autoSpaceDE w:val="0"/>
        <w:autoSpaceDN w:val="0"/>
        <w:adjustRightInd w:val="0"/>
        <w:spacing w:after="120"/>
        <w:ind w:left="851" w:hanging="425"/>
        <w:jc w:val="both"/>
        <w:rPr>
          <w:rFonts w:ascii="Arial" w:hAnsi="Arial" w:cs="Arial"/>
          <w:sz w:val="18"/>
          <w:szCs w:val="18"/>
          <w:u w:val="double"/>
          <w:lang w:val="en-AU"/>
        </w:rPr>
      </w:pPr>
      <w:r w:rsidRPr="00D403F5">
        <w:rPr>
          <w:rFonts w:ascii="Arial" w:hAnsi="Arial" w:cs="Arial"/>
          <w:i/>
          <w:sz w:val="18"/>
          <w:szCs w:val="18"/>
          <w:highlight w:val="yellow"/>
          <w:u w:val="double"/>
          <w:lang w:val="en-AU"/>
        </w:rPr>
        <w:t>i)</w:t>
      </w:r>
      <w:r w:rsidRPr="00D403F5">
        <w:rPr>
          <w:rFonts w:ascii="Arial" w:hAnsi="Arial" w:cs="Arial"/>
          <w:i/>
          <w:sz w:val="18"/>
          <w:szCs w:val="18"/>
          <w:highlight w:val="yellow"/>
          <w:lang w:val="en-AU"/>
        </w:rPr>
        <w:t xml:space="preserve"> </w:t>
      </w:r>
      <w:r w:rsidRPr="00D403F5">
        <w:rPr>
          <w:rFonts w:ascii="Arial" w:hAnsi="Arial" w:cs="Arial"/>
          <w:sz w:val="18"/>
          <w:szCs w:val="18"/>
          <w:lang w:val="en-AU"/>
        </w:rPr>
        <w:tab/>
      </w:r>
      <w:r w:rsidRPr="00D403F5">
        <w:rPr>
          <w:rFonts w:ascii="Arial" w:hAnsi="Arial" w:cs="Arial"/>
          <w:sz w:val="18"/>
          <w:szCs w:val="18"/>
          <w:highlight w:val="yellow"/>
          <w:u w:val="double"/>
          <w:lang w:val="en-AU"/>
        </w:rPr>
        <w:t xml:space="preserve">If possible, totally depopulating the </w:t>
      </w:r>
      <w:r w:rsidRPr="00D403F5">
        <w:rPr>
          <w:rFonts w:ascii="Arial" w:hAnsi="Arial" w:cs="Arial"/>
          <w:i/>
          <w:iCs/>
          <w:sz w:val="18"/>
          <w:szCs w:val="18"/>
          <w:highlight w:val="yellow"/>
          <w:u w:val="double"/>
          <w:lang w:val="en-AU"/>
        </w:rPr>
        <w:t>aquaculture establishment</w:t>
      </w:r>
      <w:r w:rsidRPr="00D403F5">
        <w:rPr>
          <w:rFonts w:ascii="Arial" w:hAnsi="Arial" w:cs="Arial"/>
          <w:sz w:val="18"/>
          <w:szCs w:val="18"/>
          <w:highlight w:val="yellow"/>
          <w:u w:val="double"/>
          <w:lang w:val="en-AU"/>
        </w:rPr>
        <w:t xml:space="preserve"> at intervals, for instance between </w:t>
      </w:r>
      <w:r w:rsidRPr="00D403F5">
        <w:rPr>
          <w:rFonts w:ascii="Arial" w:hAnsi="Arial" w:cs="Arial"/>
          <w:i/>
          <w:iCs/>
          <w:sz w:val="18"/>
          <w:szCs w:val="18"/>
          <w:highlight w:val="yellow"/>
          <w:u w:val="double"/>
          <w:lang w:val="en-AU"/>
        </w:rPr>
        <w:t>aquatic animal</w:t>
      </w:r>
      <w:r w:rsidRPr="00D403F5">
        <w:rPr>
          <w:rFonts w:ascii="Arial" w:hAnsi="Arial" w:cs="Arial"/>
          <w:sz w:val="18"/>
          <w:szCs w:val="18"/>
          <w:highlight w:val="yellow"/>
          <w:u w:val="double"/>
          <w:lang w:val="en-AU"/>
        </w:rPr>
        <w:t xml:space="preserve"> generations or production cycles, followed by cleaning and </w:t>
      </w:r>
      <w:r w:rsidRPr="00D403F5">
        <w:rPr>
          <w:rFonts w:ascii="Arial" w:hAnsi="Arial" w:cs="Arial"/>
          <w:i/>
          <w:iCs/>
          <w:sz w:val="18"/>
          <w:szCs w:val="18"/>
          <w:highlight w:val="yellow"/>
          <w:u w:val="double"/>
          <w:lang w:val="en-AU"/>
        </w:rPr>
        <w:t>disinfection</w:t>
      </w:r>
      <w:r w:rsidRPr="00D403F5">
        <w:rPr>
          <w:rFonts w:ascii="Arial" w:hAnsi="Arial" w:cs="Arial"/>
          <w:sz w:val="18"/>
          <w:szCs w:val="18"/>
          <w:highlight w:val="yellow"/>
          <w:u w:val="double"/>
          <w:lang w:val="en-AU"/>
        </w:rPr>
        <w:t xml:space="preserve"> of production installations. Sites should be fallowed for a period sufficient to interrupt </w:t>
      </w:r>
      <w:r w:rsidRPr="00D403F5">
        <w:rPr>
          <w:rFonts w:ascii="Arial" w:hAnsi="Arial" w:cs="Arial"/>
          <w:i/>
          <w:sz w:val="18"/>
          <w:szCs w:val="18"/>
          <w:highlight w:val="yellow"/>
          <w:u w:val="double"/>
          <w:lang w:val="en-AU"/>
        </w:rPr>
        <w:t>infection</w:t>
      </w:r>
      <w:r w:rsidRPr="00D403F5">
        <w:rPr>
          <w:rFonts w:ascii="Arial" w:hAnsi="Arial" w:cs="Arial"/>
          <w:sz w:val="18"/>
          <w:szCs w:val="18"/>
          <w:highlight w:val="yellow"/>
          <w:u w:val="double"/>
          <w:lang w:val="en-AU"/>
        </w:rPr>
        <w:t xml:space="preserve"> cycles and reduce or eliminate pathogen challenge to restocked </w:t>
      </w:r>
      <w:r w:rsidRPr="00D403F5">
        <w:rPr>
          <w:rFonts w:ascii="Arial" w:hAnsi="Arial" w:cs="Arial"/>
          <w:i/>
          <w:iCs/>
          <w:sz w:val="18"/>
          <w:szCs w:val="18"/>
          <w:highlight w:val="yellow"/>
          <w:u w:val="double"/>
          <w:lang w:val="en-AU"/>
        </w:rPr>
        <w:t>aquatic animals</w:t>
      </w:r>
      <w:r w:rsidRPr="00D403F5">
        <w:rPr>
          <w:rFonts w:ascii="Arial" w:hAnsi="Arial" w:cs="Arial"/>
          <w:sz w:val="18"/>
          <w:szCs w:val="18"/>
          <w:highlight w:val="yellow"/>
          <w:u w:val="double"/>
          <w:lang w:val="en-AU"/>
        </w:rPr>
        <w:t xml:space="preserve">. </w:t>
      </w:r>
      <w:r w:rsidRPr="00D403F5">
        <w:rPr>
          <w:rFonts w:ascii="Arial" w:hAnsi="Arial" w:cs="Arial"/>
          <w:i/>
          <w:iCs/>
          <w:sz w:val="18"/>
          <w:szCs w:val="18"/>
          <w:highlight w:val="yellow"/>
          <w:u w:val="double"/>
          <w:lang w:val="en-AU"/>
        </w:rPr>
        <w:t>Fallowing</w:t>
      </w:r>
      <w:r w:rsidRPr="00D403F5">
        <w:rPr>
          <w:rFonts w:ascii="Arial" w:hAnsi="Arial" w:cs="Arial"/>
          <w:sz w:val="18"/>
          <w:szCs w:val="18"/>
          <w:highlight w:val="yellow"/>
          <w:u w:val="double"/>
          <w:lang w:val="en-AU"/>
        </w:rPr>
        <w:t xml:space="preserve"> should be coordinated for </w:t>
      </w:r>
      <w:r w:rsidRPr="00D403F5">
        <w:rPr>
          <w:rFonts w:ascii="Arial" w:hAnsi="Arial" w:cs="Arial"/>
          <w:i/>
          <w:iCs/>
          <w:sz w:val="18"/>
          <w:szCs w:val="18"/>
          <w:highlight w:val="yellow"/>
          <w:u w:val="double"/>
          <w:lang w:val="en-AU"/>
        </w:rPr>
        <w:t>aquaculture establishments</w:t>
      </w:r>
      <w:r w:rsidRPr="00D403F5">
        <w:rPr>
          <w:rFonts w:ascii="Arial" w:hAnsi="Arial" w:cs="Arial"/>
          <w:sz w:val="18"/>
          <w:szCs w:val="18"/>
          <w:highlight w:val="yellow"/>
          <w:u w:val="double"/>
          <w:lang w:val="en-AU"/>
        </w:rPr>
        <w:t xml:space="preserve"> that are epidemiologically linked through shared water bodies.</w:t>
      </w:r>
    </w:p>
    <w:p w14:paraId="081C76BA" w14:textId="77777777" w:rsidR="007B3D5C" w:rsidRPr="00D403F5" w:rsidRDefault="007B3D5C" w:rsidP="00456872">
      <w:pPr>
        <w:autoSpaceDE w:val="0"/>
        <w:autoSpaceDN w:val="0"/>
        <w:adjustRightInd w:val="0"/>
        <w:spacing w:after="120"/>
        <w:ind w:left="851" w:hanging="425"/>
        <w:jc w:val="both"/>
        <w:rPr>
          <w:rFonts w:ascii="Arial" w:hAnsi="Arial" w:cs="Arial"/>
          <w:sz w:val="18"/>
          <w:szCs w:val="18"/>
          <w:u w:val="double"/>
        </w:rPr>
      </w:pPr>
      <w:r w:rsidRPr="00D403F5">
        <w:rPr>
          <w:rFonts w:ascii="Arial" w:hAnsi="Arial" w:cs="Arial"/>
          <w:i/>
          <w:sz w:val="18"/>
          <w:szCs w:val="18"/>
          <w:highlight w:val="yellow"/>
          <w:u w:val="double"/>
          <w:lang w:val="en-AU"/>
        </w:rPr>
        <w:t>i</w:t>
      </w:r>
      <w:r w:rsidRPr="00D403F5">
        <w:rPr>
          <w:rFonts w:ascii="Arial" w:hAnsi="Arial" w:cs="Arial"/>
          <w:i/>
          <w:sz w:val="18"/>
          <w:szCs w:val="18"/>
          <w:lang w:val="en-AU"/>
        </w:rPr>
        <w:t>)</w:t>
      </w:r>
      <w:r w:rsidRPr="00D403F5">
        <w:rPr>
          <w:rFonts w:ascii="Arial" w:hAnsi="Arial" w:cs="Arial"/>
          <w:sz w:val="18"/>
          <w:szCs w:val="18"/>
          <w:lang w:val="en-AU"/>
        </w:rPr>
        <w:tab/>
      </w:r>
      <w:r w:rsidRPr="00D403F5">
        <w:rPr>
          <w:rFonts w:ascii="Arial" w:hAnsi="Arial" w:cs="Arial"/>
          <w:strike/>
          <w:sz w:val="18"/>
          <w:szCs w:val="18"/>
          <w:highlight w:val="yellow"/>
          <w:lang w:val="en-AU"/>
        </w:rPr>
        <w:t xml:space="preserve">Where possible, preventing unintended movement of </w:t>
      </w:r>
      <w:r w:rsidRPr="00D403F5">
        <w:rPr>
          <w:rFonts w:ascii="Arial" w:hAnsi="Arial" w:cs="Arial"/>
          <w:i/>
          <w:strike/>
          <w:sz w:val="18"/>
          <w:szCs w:val="18"/>
          <w:highlight w:val="yellow"/>
          <w:lang w:val="en-AU"/>
        </w:rPr>
        <w:t>aquatic animals</w:t>
      </w:r>
      <w:r w:rsidRPr="00D403F5">
        <w:rPr>
          <w:rFonts w:ascii="Arial" w:hAnsi="Arial" w:cs="Arial"/>
          <w:strike/>
          <w:sz w:val="18"/>
          <w:szCs w:val="18"/>
          <w:highlight w:val="yellow"/>
          <w:lang w:val="en-AU"/>
        </w:rPr>
        <w:t xml:space="preserve"> into, within or from the establishment.</w:t>
      </w:r>
      <w:r w:rsidRPr="00D403F5">
        <w:rPr>
          <w:rFonts w:ascii="Arial" w:hAnsi="Arial" w:cs="Arial"/>
          <w:sz w:val="18"/>
          <w:szCs w:val="18"/>
          <w:lang w:val="en-AU"/>
        </w:rPr>
        <w:t xml:space="preserve"> </w:t>
      </w:r>
      <w:r w:rsidRPr="00D403F5">
        <w:rPr>
          <w:rFonts w:ascii="Arial" w:hAnsi="Arial" w:cs="Arial"/>
          <w:sz w:val="18"/>
          <w:szCs w:val="18"/>
          <w:highlight w:val="yellow"/>
          <w:u w:val="double"/>
          <w:lang w:val="en-AU"/>
        </w:rPr>
        <w:t xml:space="preserve">Considering </w:t>
      </w:r>
      <w:r w:rsidRPr="00D403F5">
        <w:rPr>
          <w:rFonts w:ascii="Arial" w:hAnsi="Arial" w:cs="Arial"/>
          <w:sz w:val="18"/>
          <w:szCs w:val="18"/>
          <w:highlight w:val="yellow"/>
          <w:u w:val="double"/>
        </w:rPr>
        <w:t xml:space="preserve">physical measures to minimise the likelihood of escape of farmed </w:t>
      </w:r>
      <w:r w:rsidRPr="00D403F5">
        <w:rPr>
          <w:rFonts w:ascii="Arial" w:hAnsi="Arial" w:cs="Arial"/>
          <w:i/>
          <w:iCs/>
          <w:sz w:val="18"/>
          <w:szCs w:val="18"/>
          <w:highlight w:val="yellow"/>
          <w:u w:val="double"/>
        </w:rPr>
        <w:t>aquatic animals</w:t>
      </w:r>
      <w:r w:rsidRPr="00D403F5">
        <w:rPr>
          <w:rFonts w:ascii="Arial" w:hAnsi="Arial" w:cs="Arial"/>
          <w:sz w:val="18"/>
          <w:szCs w:val="18"/>
          <w:highlight w:val="yellow"/>
          <w:u w:val="double"/>
        </w:rPr>
        <w:t xml:space="preserve"> or the entry of wild </w:t>
      </w:r>
      <w:r w:rsidRPr="00D403F5">
        <w:rPr>
          <w:rFonts w:ascii="Arial" w:hAnsi="Arial" w:cs="Arial"/>
          <w:i/>
          <w:iCs/>
          <w:sz w:val="18"/>
          <w:szCs w:val="18"/>
          <w:highlight w:val="yellow"/>
          <w:u w:val="double"/>
        </w:rPr>
        <w:t>aquatic animals</w:t>
      </w:r>
      <w:r w:rsidRPr="00D403F5">
        <w:rPr>
          <w:rFonts w:ascii="Arial" w:hAnsi="Arial" w:cs="Arial"/>
          <w:sz w:val="18"/>
          <w:szCs w:val="18"/>
          <w:highlight w:val="yellow"/>
          <w:u w:val="double"/>
        </w:rPr>
        <w:t xml:space="preserve"> into the </w:t>
      </w:r>
      <w:r w:rsidRPr="00D403F5">
        <w:rPr>
          <w:rFonts w:ascii="Arial" w:hAnsi="Arial" w:cs="Arial"/>
          <w:i/>
          <w:iCs/>
          <w:sz w:val="18"/>
          <w:szCs w:val="18"/>
          <w:highlight w:val="yellow"/>
          <w:u w:val="double"/>
        </w:rPr>
        <w:t>aquaculture establishment</w:t>
      </w:r>
      <w:r w:rsidRPr="00D403F5">
        <w:rPr>
          <w:rFonts w:ascii="Arial" w:hAnsi="Arial" w:cs="Arial"/>
          <w:sz w:val="18"/>
          <w:szCs w:val="18"/>
          <w:highlight w:val="yellow"/>
          <w:u w:val="double"/>
        </w:rPr>
        <w:t xml:space="preserve">. The likelihood of entry or escape of </w:t>
      </w:r>
      <w:r w:rsidRPr="00D403F5">
        <w:rPr>
          <w:rFonts w:ascii="Arial" w:hAnsi="Arial" w:cs="Arial"/>
          <w:i/>
          <w:iCs/>
          <w:sz w:val="18"/>
          <w:szCs w:val="18"/>
          <w:highlight w:val="yellow"/>
          <w:u w:val="double"/>
        </w:rPr>
        <w:t>aquatic animals</w:t>
      </w:r>
      <w:r w:rsidRPr="00D403F5">
        <w:rPr>
          <w:rFonts w:ascii="Arial" w:hAnsi="Arial" w:cs="Arial"/>
          <w:sz w:val="18"/>
          <w:szCs w:val="18"/>
          <w:highlight w:val="yellow"/>
          <w:u w:val="double"/>
        </w:rPr>
        <w:t xml:space="preserve"> will be higher for semi-open than for closed or semi-closed systems.</w:t>
      </w:r>
      <w:r w:rsidRPr="00D403F5">
        <w:rPr>
          <w:rFonts w:ascii="Arial" w:hAnsi="Arial" w:cs="Arial"/>
          <w:sz w:val="18"/>
          <w:szCs w:val="18"/>
          <w:u w:val="double"/>
        </w:rPr>
        <w:t xml:space="preserve"> </w:t>
      </w:r>
    </w:p>
    <w:p w14:paraId="47037864" w14:textId="77777777" w:rsidR="007B3D5C" w:rsidRPr="00D403F5" w:rsidRDefault="007B3D5C" w:rsidP="00456872">
      <w:pPr>
        <w:autoSpaceDE w:val="0"/>
        <w:autoSpaceDN w:val="0"/>
        <w:adjustRightInd w:val="0"/>
        <w:spacing w:after="120"/>
        <w:ind w:left="450" w:hanging="24"/>
        <w:jc w:val="both"/>
        <w:rPr>
          <w:rFonts w:ascii="Arial" w:hAnsi="Arial" w:cs="Arial"/>
          <w:color w:val="FF0000"/>
          <w:sz w:val="18"/>
          <w:szCs w:val="18"/>
        </w:rPr>
      </w:pPr>
      <w:r w:rsidRPr="00D403F5">
        <w:rPr>
          <w:rFonts w:ascii="Arial" w:hAnsi="Arial" w:cs="Arial"/>
          <w:strike/>
          <w:color w:val="000000"/>
          <w:sz w:val="18"/>
          <w:szCs w:val="18"/>
          <w:highlight w:val="yellow"/>
        </w:rPr>
        <w:t>The</w:t>
      </w:r>
      <w:r w:rsidRPr="00D403F5">
        <w:rPr>
          <w:rFonts w:ascii="Arial" w:hAnsi="Arial" w:cs="Arial"/>
          <w:color w:val="000000"/>
          <w:sz w:val="18"/>
          <w:szCs w:val="18"/>
        </w:rPr>
        <w:t xml:space="preserve"> </w:t>
      </w:r>
      <w:r w:rsidRPr="00D403F5">
        <w:rPr>
          <w:rFonts w:ascii="Arial" w:hAnsi="Arial" w:cs="Arial"/>
          <w:i/>
          <w:strike/>
          <w:color w:val="000000"/>
          <w:sz w:val="18"/>
          <w:szCs w:val="18"/>
          <w:highlight w:val="yellow"/>
        </w:rPr>
        <w:t>risk</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rPr>
        <w:t>of</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u w:val="single"/>
        </w:rPr>
        <w:t>unintentional</w:t>
      </w:r>
      <w:r w:rsidRPr="00D403F5">
        <w:rPr>
          <w:rFonts w:ascii="Arial" w:hAnsi="Arial" w:cs="Arial"/>
          <w:strike/>
          <w:color w:val="000000"/>
          <w:sz w:val="18"/>
          <w:szCs w:val="18"/>
          <w:highlight w:val="yellow"/>
        </w:rPr>
        <w:t xml:space="preserve"> movements of </w:t>
      </w:r>
      <w:r w:rsidRPr="00D403F5">
        <w:rPr>
          <w:rFonts w:ascii="Arial" w:hAnsi="Arial" w:cs="Arial"/>
          <w:i/>
          <w:strike/>
          <w:color w:val="000000"/>
          <w:sz w:val="18"/>
          <w:szCs w:val="18"/>
          <w:highlight w:val="yellow"/>
        </w:rPr>
        <w:t>aquatic animals</w:t>
      </w:r>
      <w:r w:rsidRPr="00D403F5">
        <w:rPr>
          <w:rFonts w:ascii="Arial" w:hAnsi="Arial" w:cs="Arial"/>
          <w:strike/>
          <w:color w:val="000000"/>
          <w:sz w:val="18"/>
          <w:szCs w:val="18"/>
          <w:highlight w:val="yellow"/>
        </w:rPr>
        <w:t xml:space="preserve"> will be influenced by the category of </w:t>
      </w:r>
      <w:r w:rsidRPr="00D403F5">
        <w:rPr>
          <w:rFonts w:ascii="Arial" w:hAnsi="Arial" w:cs="Arial"/>
          <w:i/>
          <w:strike/>
          <w:color w:val="000000"/>
          <w:sz w:val="18"/>
          <w:szCs w:val="18"/>
          <w:highlight w:val="yellow"/>
        </w:rPr>
        <w:t>aquaculture</w:t>
      </w:r>
      <w:r w:rsidRPr="00D403F5">
        <w:rPr>
          <w:rFonts w:ascii="Arial" w:hAnsi="Arial" w:cs="Arial"/>
          <w:strike/>
          <w:color w:val="000000"/>
          <w:sz w:val="18"/>
          <w:szCs w:val="18"/>
          <w:highlight w:val="yellow"/>
        </w:rPr>
        <w:t xml:space="preserve"> </w:t>
      </w:r>
      <w:r w:rsidRPr="00D403F5">
        <w:rPr>
          <w:rFonts w:ascii="Arial" w:hAnsi="Arial" w:cs="Arial"/>
          <w:strike/>
          <w:sz w:val="18"/>
          <w:szCs w:val="18"/>
          <w:highlight w:val="yellow"/>
        </w:rPr>
        <w:t>production</w:t>
      </w:r>
      <w:r w:rsidRPr="00D403F5">
        <w:rPr>
          <w:rFonts w:ascii="Arial" w:eastAsia="SimSun" w:hAnsi="Arial" w:cs="Arial" w:hint="eastAsia"/>
          <w:strike/>
          <w:sz w:val="18"/>
          <w:szCs w:val="18"/>
          <w:highlight w:val="yellow"/>
          <w:lang w:eastAsia="zh-CN"/>
        </w:rPr>
        <w:t xml:space="preserve"> </w:t>
      </w:r>
      <w:r w:rsidRPr="00D403F5">
        <w:rPr>
          <w:rFonts w:ascii="Arial" w:hAnsi="Arial" w:cs="Arial"/>
          <w:strike/>
          <w:color w:val="000000"/>
          <w:sz w:val="18"/>
          <w:szCs w:val="18"/>
          <w:highlight w:val="yellow"/>
        </w:rPr>
        <w:t>system, with the likelihood being higher for semi-open than closed systems.</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rPr>
        <w:t xml:space="preserve">If </w:t>
      </w:r>
      <w:r w:rsidRPr="00D403F5">
        <w:rPr>
          <w:rFonts w:ascii="Arial" w:hAnsi="Arial" w:cs="Arial"/>
          <w:i/>
          <w:strike/>
          <w:color w:val="000000"/>
          <w:sz w:val="18"/>
          <w:szCs w:val="18"/>
          <w:highlight w:val="yellow"/>
        </w:rPr>
        <w:t>risks</w:t>
      </w:r>
      <w:r w:rsidRPr="00D403F5">
        <w:rPr>
          <w:rFonts w:ascii="Arial" w:hAnsi="Arial" w:cs="Arial"/>
          <w:strike/>
          <w:color w:val="000000"/>
          <w:sz w:val="18"/>
          <w:szCs w:val="18"/>
          <w:highlight w:val="yellow"/>
        </w:rPr>
        <w:t xml:space="preserve"> are found to be high, physical mitigation measures may be necessary</w:t>
      </w:r>
      <w:r w:rsidRPr="00D403F5">
        <w:rPr>
          <w:rFonts w:ascii="Arial" w:hAnsi="Arial" w:cs="Arial"/>
          <w:color w:val="000000"/>
          <w:sz w:val="18"/>
          <w:szCs w:val="18"/>
        </w:rPr>
        <w:t>.</w:t>
      </w:r>
    </w:p>
    <w:p w14:paraId="6B2E5E5B" w14:textId="77777777" w:rsidR="007B3D5C" w:rsidRPr="00D403F5" w:rsidRDefault="007B3D5C" w:rsidP="00456872">
      <w:pPr>
        <w:spacing w:after="120"/>
        <w:ind w:left="425" w:hanging="425"/>
        <w:jc w:val="both"/>
        <w:rPr>
          <w:rFonts w:ascii="Arial" w:hAnsi="Arial" w:cs="Arial"/>
          <w:color w:val="000000"/>
          <w:sz w:val="18"/>
          <w:szCs w:val="18"/>
          <w:u w:val="single"/>
        </w:rPr>
      </w:pPr>
      <w:r w:rsidRPr="00D403F5">
        <w:rPr>
          <w:rFonts w:ascii="Arial" w:hAnsi="Arial" w:cs="Arial"/>
          <w:color w:val="000000"/>
          <w:sz w:val="18"/>
          <w:szCs w:val="18"/>
        </w:rPr>
        <w:t xml:space="preserve">2. </w:t>
      </w:r>
      <w:r w:rsidRPr="00D403F5">
        <w:rPr>
          <w:rFonts w:ascii="Arial" w:hAnsi="Arial" w:cs="Arial"/>
          <w:color w:val="000000"/>
          <w:sz w:val="18"/>
          <w:szCs w:val="18"/>
        </w:rPr>
        <w:tab/>
      </w:r>
      <w:r w:rsidRPr="00D403F5">
        <w:rPr>
          <w:rFonts w:ascii="Arial" w:hAnsi="Arial" w:cs="Arial"/>
          <w:color w:val="000000"/>
          <w:sz w:val="18"/>
          <w:szCs w:val="18"/>
          <w:u w:val="single"/>
        </w:rPr>
        <w:t>Aquatic animal products and aquatic animal waste</w:t>
      </w:r>
    </w:p>
    <w:p w14:paraId="6CE6B494" w14:textId="77777777" w:rsidR="007B3D5C" w:rsidRPr="00D403F5" w:rsidRDefault="007B3D5C" w:rsidP="00456872">
      <w:pPr>
        <w:spacing w:after="240"/>
        <w:ind w:left="426"/>
        <w:jc w:val="both"/>
        <w:rPr>
          <w:rFonts w:ascii="Arial" w:hAnsi="Arial" w:cs="Arial"/>
          <w:sz w:val="18"/>
          <w:szCs w:val="18"/>
          <w:lang w:eastAsia="fr-FR"/>
        </w:rPr>
      </w:pPr>
      <w:r w:rsidRPr="00D403F5">
        <w:rPr>
          <w:rFonts w:ascii="Arial" w:hAnsi="Arial" w:cs="Arial"/>
          <w:i/>
          <w:color w:val="000000"/>
          <w:sz w:val="18"/>
          <w:szCs w:val="18"/>
        </w:rPr>
        <w:t>Aquatic animal products</w:t>
      </w:r>
      <w:r w:rsidRPr="00D403F5">
        <w:rPr>
          <w:rFonts w:ascii="Arial" w:hAnsi="Arial" w:cs="Arial"/>
          <w:color w:val="000000"/>
          <w:sz w:val="18"/>
          <w:szCs w:val="18"/>
        </w:rPr>
        <w:t xml:space="preserve"> may also be brought into</w:t>
      </w:r>
      <w:r w:rsidRPr="00D403F5">
        <w:rPr>
          <w:rFonts w:ascii="Arial" w:hAnsi="Arial" w:cs="Arial"/>
          <w:color w:val="000000"/>
          <w:sz w:val="18"/>
          <w:szCs w:val="18"/>
          <w:u w:val="double"/>
        </w:rPr>
        <w:t xml:space="preserve">, </w:t>
      </w:r>
      <w:r w:rsidRPr="00D403F5">
        <w:rPr>
          <w:rFonts w:ascii="Arial" w:hAnsi="Arial" w:cs="Arial"/>
          <w:color w:val="000000"/>
          <w:sz w:val="18"/>
          <w:szCs w:val="18"/>
          <w:highlight w:val="yellow"/>
          <w:u w:val="double"/>
        </w:rPr>
        <w:t>moved</w:t>
      </w:r>
      <w:r w:rsidRPr="00D403F5">
        <w:rPr>
          <w:rFonts w:ascii="Arial" w:hAnsi="Arial" w:cs="Arial"/>
          <w:color w:val="000000"/>
          <w:sz w:val="18"/>
          <w:szCs w:val="18"/>
          <w:u w:val="double"/>
        </w:rPr>
        <w:t xml:space="preserve"> within </w:t>
      </w:r>
      <w:r w:rsidRPr="00D403F5">
        <w:rPr>
          <w:rFonts w:ascii="Arial" w:hAnsi="Arial" w:cs="Arial"/>
          <w:strike/>
          <w:color w:val="000000"/>
          <w:sz w:val="18"/>
          <w:szCs w:val="18"/>
          <w:highlight w:val="yellow"/>
          <w:u w:val="double"/>
        </w:rPr>
        <w:t>and</w:t>
      </w:r>
      <w:r w:rsidRPr="00D403F5">
        <w:rPr>
          <w:rFonts w:ascii="Arial" w:hAnsi="Arial" w:cs="Arial"/>
          <w:color w:val="000000"/>
          <w:sz w:val="18"/>
          <w:szCs w:val="18"/>
          <w:u w:val="double"/>
        </w:rPr>
        <w:t xml:space="preserve"> </w:t>
      </w:r>
      <w:r w:rsidRPr="00D403F5">
        <w:rPr>
          <w:rFonts w:ascii="Arial" w:hAnsi="Arial" w:cs="Arial"/>
          <w:color w:val="000000"/>
          <w:sz w:val="18"/>
          <w:szCs w:val="18"/>
          <w:highlight w:val="yellow"/>
          <w:u w:val="double"/>
        </w:rPr>
        <w:t>or</w:t>
      </w:r>
      <w:r w:rsidRPr="00D403F5">
        <w:rPr>
          <w:rFonts w:ascii="Arial" w:hAnsi="Arial" w:cs="Arial"/>
          <w:color w:val="000000"/>
          <w:sz w:val="18"/>
          <w:szCs w:val="18"/>
          <w:u w:val="double"/>
        </w:rPr>
        <w:t xml:space="preserve"> </w:t>
      </w:r>
      <w:r w:rsidRPr="00D403F5">
        <w:rPr>
          <w:rFonts w:ascii="Arial" w:hAnsi="Arial" w:cs="Arial"/>
          <w:color w:val="000000"/>
          <w:sz w:val="18"/>
          <w:szCs w:val="18"/>
          <w:highlight w:val="yellow"/>
          <w:u w:val="double"/>
        </w:rPr>
        <w:t>moved</w:t>
      </w:r>
      <w:r w:rsidRPr="00D403F5">
        <w:rPr>
          <w:rFonts w:ascii="Arial" w:hAnsi="Arial" w:cs="Arial"/>
          <w:color w:val="000000"/>
          <w:sz w:val="18"/>
          <w:szCs w:val="18"/>
          <w:u w:val="double"/>
        </w:rPr>
        <w:t xml:space="preserve"> out of</w:t>
      </w:r>
      <w:r w:rsidRPr="00D403F5">
        <w:rPr>
          <w:rFonts w:ascii="Arial" w:hAnsi="Arial" w:cs="Arial"/>
          <w:color w:val="000000"/>
          <w:sz w:val="18"/>
          <w:szCs w:val="18"/>
        </w:rPr>
        <w:t xml:space="preserve"> </w:t>
      </w:r>
      <w:r w:rsidRPr="00D403F5">
        <w:rPr>
          <w:rFonts w:ascii="Arial" w:hAnsi="Arial" w:cs="Arial"/>
          <w:strike/>
          <w:color w:val="000000"/>
          <w:sz w:val="18"/>
          <w:szCs w:val="18"/>
        </w:rPr>
        <w:t>an</w:t>
      </w:r>
      <w:r w:rsidRPr="00D403F5">
        <w:rPr>
          <w:rFonts w:ascii="Arial" w:hAnsi="Arial" w:cs="Arial"/>
          <w:color w:val="000000"/>
          <w:sz w:val="18"/>
          <w:szCs w:val="18"/>
        </w:rPr>
        <w:t xml:space="preserve"> </w:t>
      </w:r>
      <w:r w:rsidRPr="00D403F5">
        <w:rPr>
          <w:rFonts w:ascii="Arial" w:hAnsi="Arial" w:cs="Arial"/>
          <w:i/>
          <w:color w:val="000000"/>
          <w:sz w:val="18"/>
          <w:szCs w:val="18"/>
        </w:rPr>
        <w:t>aquaculture</w:t>
      </w:r>
      <w:r w:rsidRPr="00D403F5">
        <w:rPr>
          <w:rFonts w:ascii="Arial" w:eastAsia="SimSun" w:hAnsi="Arial" w:cs="Arial"/>
          <w:i/>
          <w:color w:val="000000"/>
          <w:sz w:val="18"/>
          <w:szCs w:val="18"/>
          <w:lang w:eastAsia="zh-CN"/>
        </w:rPr>
        <w:t xml:space="preserve"> </w:t>
      </w:r>
      <w:r w:rsidRPr="00D403F5">
        <w:rPr>
          <w:rFonts w:ascii="Arial" w:hAnsi="Arial" w:cs="Arial"/>
          <w:i/>
          <w:sz w:val="18"/>
          <w:szCs w:val="18"/>
          <w:lang w:val="en-AU"/>
        </w:rPr>
        <w:t>establishment</w:t>
      </w:r>
      <w:r w:rsidRPr="00D403F5">
        <w:rPr>
          <w:rFonts w:ascii="Arial" w:hAnsi="Arial" w:cs="Arial"/>
          <w:i/>
          <w:sz w:val="18"/>
          <w:szCs w:val="18"/>
          <w:u w:val="double"/>
          <w:lang w:val="en-AU"/>
        </w:rPr>
        <w:t>s</w:t>
      </w:r>
      <w:r w:rsidRPr="00D403F5">
        <w:rPr>
          <w:rFonts w:ascii="Arial" w:eastAsia="SimSun" w:hAnsi="Arial" w:cs="Arial"/>
          <w:i/>
          <w:sz w:val="18"/>
          <w:szCs w:val="18"/>
          <w:lang w:val="en-AU" w:eastAsia="zh-CN"/>
        </w:rPr>
        <w:t xml:space="preserve"> </w:t>
      </w:r>
      <w:r w:rsidRPr="00D403F5">
        <w:rPr>
          <w:rFonts w:ascii="Arial" w:hAnsi="Arial" w:cs="Arial"/>
          <w:strike/>
          <w:color w:val="000000"/>
          <w:sz w:val="18"/>
          <w:szCs w:val="18"/>
        </w:rPr>
        <w:t>or moved within it</w:t>
      </w:r>
      <w:r w:rsidRPr="00D403F5">
        <w:rPr>
          <w:rFonts w:ascii="Arial" w:hAnsi="Arial" w:cs="Arial"/>
          <w:color w:val="000000"/>
          <w:sz w:val="18"/>
          <w:szCs w:val="18"/>
        </w:rPr>
        <w:t xml:space="preserve">; for example, </w:t>
      </w:r>
      <w:r w:rsidRPr="00D403F5">
        <w:rPr>
          <w:rFonts w:ascii="Arial" w:hAnsi="Arial" w:cs="Arial"/>
          <w:i/>
          <w:color w:val="000000"/>
          <w:sz w:val="18"/>
          <w:szCs w:val="18"/>
        </w:rPr>
        <w:t>aquatic animal products</w:t>
      </w:r>
      <w:r w:rsidRPr="00D403F5">
        <w:rPr>
          <w:rFonts w:ascii="Arial" w:hAnsi="Arial" w:cs="Arial"/>
          <w:color w:val="000000"/>
          <w:sz w:val="18"/>
          <w:szCs w:val="18"/>
        </w:rPr>
        <w:t xml:space="preserve"> derived from </w:t>
      </w:r>
      <w:r w:rsidRPr="00D403F5">
        <w:rPr>
          <w:rFonts w:ascii="Arial" w:hAnsi="Arial" w:cs="Arial"/>
          <w:i/>
          <w:color w:val="000000"/>
          <w:sz w:val="18"/>
          <w:szCs w:val="18"/>
        </w:rPr>
        <w:t>aquatic animals</w:t>
      </w:r>
      <w:r w:rsidRPr="00D403F5">
        <w:rPr>
          <w:rFonts w:ascii="Arial" w:hAnsi="Arial" w:cs="Arial"/>
          <w:color w:val="000000"/>
          <w:sz w:val="18"/>
          <w:szCs w:val="18"/>
        </w:rPr>
        <w:t xml:space="preserve"> harvested at other sites. </w:t>
      </w:r>
      <w:r w:rsidRPr="00D403F5">
        <w:rPr>
          <w:rFonts w:ascii="Arial" w:hAnsi="Arial" w:cs="Arial"/>
          <w:i/>
          <w:sz w:val="18"/>
          <w:szCs w:val="18"/>
          <w:lang w:eastAsia="fr-FR"/>
        </w:rPr>
        <w:t>Aquatic animal</w:t>
      </w:r>
      <w:r w:rsidRPr="00D403F5">
        <w:rPr>
          <w:rFonts w:ascii="Arial" w:hAnsi="Arial" w:cs="Arial"/>
          <w:sz w:val="18"/>
          <w:szCs w:val="18"/>
          <w:lang w:eastAsia="fr-FR"/>
        </w:rPr>
        <w:t xml:space="preserve"> </w:t>
      </w:r>
      <w:r w:rsidRPr="00D403F5">
        <w:rPr>
          <w:rFonts w:ascii="Arial" w:hAnsi="Arial" w:cs="Arial"/>
          <w:strike/>
          <w:sz w:val="18"/>
          <w:szCs w:val="18"/>
          <w:highlight w:val="yellow"/>
          <w:lang w:eastAsia="fr-FR"/>
        </w:rPr>
        <w:t>waste</w:t>
      </w:r>
      <w:r w:rsidRPr="00D403F5">
        <w:rPr>
          <w:rFonts w:ascii="Arial" w:hAnsi="Arial" w:cs="Arial"/>
          <w:sz w:val="18"/>
          <w:szCs w:val="18"/>
          <w:lang w:eastAsia="fr-FR"/>
        </w:rPr>
        <w:t xml:space="preserve"> </w:t>
      </w:r>
      <w:r w:rsidRPr="00D403F5">
        <w:rPr>
          <w:rFonts w:ascii="Arial" w:hAnsi="Arial" w:cs="Arial"/>
          <w:i/>
          <w:iCs/>
          <w:sz w:val="18"/>
          <w:szCs w:val="18"/>
          <w:highlight w:val="yellow"/>
          <w:u w:val="double"/>
          <w:lang w:eastAsia="fr-FR"/>
        </w:rPr>
        <w:t>waste</w:t>
      </w:r>
      <w:r w:rsidRPr="00D403F5">
        <w:rPr>
          <w:rFonts w:ascii="Arial" w:hAnsi="Arial" w:cs="Arial"/>
          <w:sz w:val="18"/>
          <w:szCs w:val="18"/>
          <w:lang w:eastAsia="fr-FR"/>
        </w:rPr>
        <w:t xml:space="preserve"> may </w:t>
      </w:r>
      <w:r w:rsidRPr="00D403F5">
        <w:rPr>
          <w:rFonts w:ascii="Arial" w:hAnsi="Arial" w:cs="Arial"/>
          <w:strike/>
          <w:sz w:val="18"/>
          <w:szCs w:val="18"/>
          <w:highlight w:val="yellow"/>
          <w:lang w:eastAsia="fr-FR"/>
        </w:rPr>
        <w:t>include the</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be</w:t>
      </w:r>
      <w:r w:rsidRPr="00D403F5">
        <w:rPr>
          <w:rFonts w:ascii="Arial" w:hAnsi="Arial" w:cs="Arial"/>
          <w:sz w:val="18"/>
          <w:szCs w:val="18"/>
          <w:highlight w:val="yellow"/>
          <w:lang w:eastAsia="fr-FR"/>
        </w:rPr>
        <w:t xml:space="preserve"> </w:t>
      </w:r>
      <w:r w:rsidRPr="00D403F5">
        <w:rPr>
          <w:rFonts w:ascii="Arial" w:hAnsi="Arial" w:cs="Arial"/>
          <w:sz w:val="18"/>
          <w:szCs w:val="18"/>
          <w:highlight w:val="yellow"/>
          <w:u w:val="double"/>
          <w:lang w:eastAsia="fr-FR"/>
        </w:rPr>
        <w:t>generated</w:t>
      </w:r>
      <w:r w:rsidRPr="00D403F5">
        <w:rPr>
          <w:rFonts w:ascii="Arial" w:hAnsi="Arial" w:cs="Arial"/>
          <w:sz w:val="18"/>
          <w:szCs w:val="18"/>
          <w:highlight w:val="yellow"/>
          <w:lang w:eastAsia="fr-FR"/>
        </w:rPr>
        <w:t xml:space="preserve"> </w:t>
      </w:r>
      <w:r w:rsidRPr="00D403F5">
        <w:rPr>
          <w:rFonts w:ascii="Arial" w:hAnsi="Arial" w:cs="Arial"/>
          <w:strike/>
          <w:sz w:val="18"/>
          <w:szCs w:val="18"/>
          <w:highlight w:val="yellow"/>
          <w:lang w:eastAsia="fr-FR"/>
        </w:rPr>
        <w:t xml:space="preserve">entire body or parts </w:t>
      </w:r>
      <w:r w:rsidRPr="00D403F5">
        <w:rPr>
          <w:rFonts w:ascii="Arial" w:hAnsi="Arial" w:cs="Arial"/>
          <w:sz w:val="18"/>
          <w:szCs w:val="18"/>
          <w:highlight w:val="yellow"/>
          <w:lang w:eastAsia="fr-FR"/>
        </w:rPr>
        <w:t>of</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when</w:t>
      </w:r>
      <w:r w:rsidRPr="00D403F5">
        <w:rPr>
          <w:rFonts w:ascii="Arial" w:hAnsi="Arial" w:cs="Arial"/>
          <w:sz w:val="18"/>
          <w:szCs w:val="18"/>
          <w:lang w:eastAsia="fr-FR"/>
        </w:rPr>
        <w:t xml:space="preserve">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w:t>
      </w:r>
      <w:r w:rsidRPr="00D403F5">
        <w:rPr>
          <w:rFonts w:ascii="Arial" w:hAnsi="Arial" w:cs="Arial"/>
          <w:strike/>
          <w:sz w:val="18"/>
          <w:szCs w:val="18"/>
          <w:highlight w:val="yellow"/>
          <w:lang w:eastAsia="fr-FR"/>
        </w:rPr>
        <w:t>that</w:t>
      </w:r>
      <w:r w:rsidRPr="00D403F5">
        <w:rPr>
          <w:rFonts w:ascii="Arial" w:hAnsi="Arial" w:cs="Arial"/>
          <w:sz w:val="18"/>
          <w:szCs w:val="18"/>
          <w:lang w:eastAsia="fr-FR"/>
        </w:rPr>
        <w:t xml:space="preserve"> have died or been killed for </w:t>
      </w:r>
      <w:r w:rsidRPr="00D403F5">
        <w:rPr>
          <w:rFonts w:ascii="Arial" w:hAnsi="Arial" w:cs="Arial"/>
          <w:i/>
          <w:sz w:val="18"/>
          <w:szCs w:val="18"/>
          <w:lang w:eastAsia="fr-FR"/>
        </w:rPr>
        <w:t>disease</w:t>
      </w:r>
      <w:r w:rsidRPr="00D403F5">
        <w:rPr>
          <w:rFonts w:ascii="Arial" w:hAnsi="Arial" w:cs="Arial"/>
          <w:sz w:val="18"/>
          <w:szCs w:val="18"/>
          <w:lang w:eastAsia="fr-FR"/>
        </w:rPr>
        <w:t xml:space="preserve"> control purposes</w:t>
      </w:r>
      <w:r w:rsidRPr="00D403F5">
        <w:rPr>
          <w:rFonts w:ascii="Arial" w:hAnsi="Arial" w:cs="Arial"/>
          <w:strike/>
          <w:sz w:val="18"/>
          <w:szCs w:val="18"/>
          <w:highlight w:val="yellow"/>
          <w:lang w:eastAsia="fr-FR"/>
        </w:rPr>
        <w:t>, as</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or through killing and processing</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well as slaughtered</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of</w:t>
      </w:r>
      <w:r w:rsidRPr="00D403F5">
        <w:rPr>
          <w:rFonts w:ascii="Arial" w:hAnsi="Arial" w:cs="Arial"/>
          <w:sz w:val="18"/>
          <w:szCs w:val="18"/>
          <w:lang w:eastAsia="fr-FR"/>
        </w:rPr>
        <w:t xml:space="preserve"> </w:t>
      </w:r>
      <w:r w:rsidRPr="00D403F5">
        <w:rPr>
          <w:rFonts w:ascii="Arial" w:hAnsi="Arial" w:cs="Arial"/>
          <w:i/>
          <w:sz w:val="18"/>
          <w:szCs w:val="18"/>
          <w:lang w:eastAsia="fr-FR"/>
        </w:rPr>
        <w:t>aquatic animals</w:t>
      </w:r>
      <w:r w:rsidRPr="00D403F5">
        <w:rPr>
          <w:rFonts w:ascii="Arial" w:hAnsi="Arial" w:cs="Arial"/>
          <w:strike/>
          <w:sz w:val="18"/>
          <w:szCs w:val="18"/>
          <w:highlight w:val="yellow"/>
          <w:lang w:eastAsia="fr-FR"/>
        </w:rPr>
        <w:t>, and their parts, that are not intended</w:t>
      </w:r>
      <w:r w:rsidRPr="00D403F5">
        <w:rPr>
          <w:rFonts w:ascii="Arial" w:hAnsi="Arial" w:cs="Arial"/>
          <w:sz w:val="18"/>
          <w:szCs w:val="18"/>
          <w:lang w:eastAsia="fr-FR"/>
        </w:rPr>
        <w:t xml:space="preserve"> for human consumption </w:t>
      </w:r>
      <w:r w:rsidRPr="00D403F5">
        <w:rPr>
          <w:rFonts w:ascii="Arial" w:hAnsi="Arial" w:cs="Arial"/>
          <w:sz w:val="18"/>
          <w:szCs w:val="18"/>
          <w:highlight w:val="yellow"/>
          <w:u w:val="double"/>
          <w:lang w:eastAsia="fr-FR"/>
        </w:rPr>
        <w:t>or other purposes</w:t>
      </w:r>
      <w:r w:rsidRPr="00D403F5">
        <w:rPr>
          <w:rFonts w:ascii="Arial" w:hAnsi="Arial" w:cs="Arial"/>
          <w:sz w:val="18"/>
          <w:szCs w:val="18"/>
          <w:lang w:eastAsia="fr-FR"/>
        </w:rPr>
        <w:t xml:space="preserve">. </w:t>
      </w:r>
    </w:p>
    <w:p w14:paraId="69AA84C7" w14:textId="77777777" w:rsidR="007B3D5C" w:rsidRPr="00D403F5" w:rsidRDefault="007B3D5C" w:rsidP="00456872">
      <w:pPr>
        <w:spacing w:after="240"/>
        <w:rPr>
          <w:sz w:val="18"/>
          <w:szCs w:val="18"/>
          <w:u w:val="single"/>
          <w:lang w:val="en-US"/>
        </w:rPr>
      </w:pPr>
      <w:r w:rsidRPr="00D403F5">
        <w:rPr>
          <w:sz w:val="18"/>
          <w:szCs w:val="18"/>
          <w:u w:val="single"/>
          <w:lang w:val="en-US"/>
        </w:rPr>
        <w:br w:type="page"/>
      </w:r>
    </w:p>
    <w:p w14:paraId="4DB4BF9A" w14:textId="77777777" w:rsidR="007B3D5C" w:rsidRPr="00D403F5" w:rsidRDefault="007B3D5C" w:rsidP="00456872">
      <w:pPr>
        <w:spacing w:after="480"/>
        <w:jc w:val="right"/>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2A2753B5" w14:textId="77777777" w:rsidR="007B3D5C" w:rsidRPr="00D403F5" w:rsidRDefault="007B3D5C" w:rsidP="00456872">
      <w:pPr>
        <w:spacing w:after="240"/>
        <w:ind w:left="426"/>
        <w:jc w:val="both"/>
        <w:rPr>
          <w:rFonts w:ascii="Arial" w:hAnsi="Arial" w:cs="Arial"/>
          <w:color w:val="000000"/>
          <w:sz w:val="18"/>
          <w:szCs w:val="18"/>
          <w:u w:val="double"/>
        </w:rPr>
      </w:pPr>
      <w:r w:rsidRPr="00D403F5">
        <w:rPr>
          <w:rFonts w:ascii="Arial" w:hAnsi="Arial" w:cs="Arial"/>
          <w:color w:val="000000"/>
          <w:sz w:val="18"/>
          <w:szCs w:val="18"/>
        </w:rPr>
        <w:t xml:space="preserve">Movement of </w:t>
      </w:r>
      <w:r w:rsidRPr="00D403F5">
        <w:rPr>
          <w:rFonts w:ascii="Arial" w:hAnsi="Arial" w:cs="Arial"/>
          <w:i/>
          <w:color w:val="000000"/>
          <w:sz w:val="18"/>
          <w:szCs w:val="18"/>
        </w:rPr>
        <w:t xml:space="preserve">aquatic animal products </w:t>
      </w:r>
      <w:r w:rsidRPr="00D403F5">
        <w:rPr>
          <w:rFonts w:ascii="Arial" w:hAnsi="Arial" w:cs="Arial"/>
          <w:color w:val="000000"/>
          <w:sz w:val="18"/>
          <w:szCs w:val="18"/>
        </w:rPr>
        <w:t xml:space="preserve">and </w:t>
      </w:r>
      <w:r w:rsidRPr="00D403F5">
        <w:rPr>
          <w:rFonts w:ascii="Arial" w:hAnsi="Arial" w:cs="Arial"/>
          <w:i/>
          <w:color w:val="000000"/>
          <w:sz w:val="18"/>
          <w:szCs w:val="18"/>
        </w:rPr>
        <w:t xml:space="preserve">aquatic animal </w:t>
      </w:r>
      <w:r w:rsidRPr="00D403F5">
        <w:rPr>
          <w:rFonts w:ascii="Arial" w:hAnsi="Arial" w:cs="Arial"/>
          <w:color w:val="000000"/>
          <w:sz w:val="18"/>
          <w:szCs w:val="18"/>
        </w:rPr>
        <w:t xml:space="preserve">waste into, within and out of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may pose a </w:t>
      </w:r>
      <w:r w:rsidRPr="00D403F5">
        <w:rPr>
          <w:rFonts w:ascii="Arial" w:hAnsi="Arial" w:cs="Arial"/>
          <w:i/>
          <w:color w:val="000000"/>
          <w:sz w:val="18"/>
          <w:szCs w:val="18"/>
        </w:rPr>
        <w:t>risk</w:t>
      </w:r>
      <w:r w:rsidRPr="00D403F5">
        <w:rPr>
          <w:rFonts w:ascii="Arial" w:hAnsi="Arial" w:cs="Arial"/>
          <w:color w:val="000000"/>
          <w:sz w:val="18"/>
          <w:szCs w:val="18"/>
        </w:rPr>
        <w:t xml:space="preserve"> of </w:t>
      </w:r>
      <w:r w:rsidRPr="00D403F5">
        <w:rPr>
          <w:rFonts w:ascii="Arial" w:hAnsi="Arial" w:cs="Arial"/>
          <w:i/>
          <w:color w:val="000000"/>
          <w:sz w:val="18"/>
          <w:szCs w:val="18"/>
        </w:rPr>
        <w:t>pathogenic agent</w:t>
      </w:r>
      <w:r w:rsidRPr="00D403F5">
        <w:rPr>
          <w:rFonts w:ascii="Arial" w:hAnsi="Arial" w:cs="Arial"/>
          <w:color w:val="000000"/>
          <w:sz w:val="18"/>
          <w:szCs w:val="18"/>
        </w:rPr>
        <w:t xml:space="preserve"> transmission. This is particularly the case when a susceptible population is exposed to </w:t>
      </w:r>
      <w:r w:rsidRPr="00D403F5">
        <w:rPr>
          <w:rFonts w:ascii="Arial" w:hAnsi="Arial" w:cs="Arial"/>
          <w:i/>
          <w:color w:val="000000"/>
          <w:sz w:val="18"/>
          <w:szCs w:val="18"/>
        </w:rPr>
        <w:t xml:space="preserve">aquatic animal products </w:t>
      </w:r>
      <w:r w:rsidRPr="00D403F5">
        <w:rPr>
          <w:rFonts w:ascii="Arial" w:hAnsi="Arial" w:cs="Arial"/>
          <w:color w:val="000000"/>
          <w:sz w:val="18"/>
          <w:szCs w:val="18"/>
        </w:rPr>
        <w:t xml:space="preserve">and </w:t>
      </w:r>
      <w:r w:rsidRPr="00D403F5">
        <w:rPr>
          <w:rFonts w:ascii="Arial" w:hAnsi="Arial" w:cs="Arial"/>
          <w:i/>
          <w:color w:val="000000"/>
          <w:sz w:val="18"/>
          <w:szCs w:val="18"/>
        </w:rPr>
        <w:t xml:space="preserve">aquatic animal </w:t>
      </w:r>
      <w:r w:rsidRPr="00D403F5">
        <w:rPr>
          <w:rFonts w:ascii="Arial" w:hAnsi="Arial" w:cs="Arial"/>
          <w:strike/>
          <w:sz w:val="18"/>
          <w:szCs w:val="18"/>
          <w:lang w:eastAsia="fr-FR"/>
        </w:rPr>
        <w:t>waste</w:t>
      </w:r>
      <w:r w:rsidRPr="00D403F5">
        <w:rPr>
          <w:rFonts w:ascii="Arial" w:hAnsi="Arial" w:cs="Arial"/>
          <w:sz w:val="18"/>
          <w:szCs w:val="18"/>
          <w:lang w:eastAsia="fr-FR"/>
        </w:rPr>
        <w:t xml:space="preserve"> </w:t>
      </w:r>
      <w:r w:rsidRPr="00D403F5">
        <w:rPr>
          <w:rFonts w:ascii="Arial" w:hAnsi="Arial" w:cs="Arial"/>
          <w:i/>
          <w:iCs/>
          <w:sz w:val="18"/>
          <w:szCs w:val="18"/>
          <w:highlight w:val="yellow"/>
          <w:u w:val="double"/>
          <w:lang w:eastAsia="fr-FR"/>
        </w:rPr>
        <w:t>waste</w:t>
      </w:r>
      <w:r w:rsidRPr="00D403F5">
        <w:rPr>
          <w:rFonts w:ascii="Arial" w:hAnsi="Arial" w:cs="Arial"/>
          <w:color w:val="000000"/>
          <w:sz w:val="18"/>
          <w:szCs w:val="18"/>
        </w:rPr>
        <w:t xml:space="preserve"> derived from clinically or sub-clinically infected </w:t>
      </w:r>
      <w:r w:rsidRPr="00D403F5">
        <w:rPr>
          <w:rFonts w:ascii="Arial" w:hAnsi="Arial" w:cs="Arial"/>
          <w:i/>
          <w:color w:val="000000"/>
          <w:sz w:val="18"/>
          <w:szCs w:val="18"/>
        </w:rPr>
        <w:t>aquatic animals</w:t>
      </w:r>
      <w:r w:rsidRPr="00D403F5">
        <w:rPr>
          <w:rFonts w:ascii="Arial" w:hAnsi="Arial" w:cs="Arial"/>
          <w:color w:val="000000"/>
          <w:sz w:val="18"/>
          <w:szCs w:val="18"/>
        </w:rPr>
        <w:t xml:space="preserve">. </w:t>
      </w:r>
      <w:r w:rsidRPr="00D403F5">
        <w:rPr>
          <w:rFonts w:ascii="Arial" w:hAnsi="Arial" w:cs="Arial"/>
          <w:sz w:val="18"/>
          <w:szCs w:val="18"/>
          <w:lang w:eastAsia="fr-FR"/>
        </w:rPr>
        <w:t xml:space="preserve">High </w:t>
      </w:r>
      <w:r w:rsidRPr="00D403F5">
        <w:rPr>
          <w:rFonts w:ascii="Arial" w:hAnsi="Arial" w:cs="Arial"/>
          <w:i/>
          <w:sz w:val="18"/>
          <w:szCs w:val="18"/>
          <w:lang w:eastAsia="fr-FR"/>
        </w:rPr>
        <w:t>risk</w:t>
      </w:r>
      <w:r w:rsidRPr="00D403F5">
        <w:rPr>
          <w:rFonts w:ascii="Arial" w:hAnsi="Arial" w:cs="Arial"/>
          <w:sz w:val="18"/>
          <w:szCs w:val="18"/>
          <w:lang w:eastAsia="fr-FR"/>
        </w:rPr>
        <w:t xml:space="preserve"> waste </w:t>
      </w:r>
      <w:r w:rsidRPr="00D403F5">
        <w:rPr>
          <w:rFonts w:ascii="Arial" w:hAnsi="Arial" w:cs="Arial"/>
          <w:sz w:val="18"/>
          <w:szCs w:val="18"/>
          <w:highlight w:val="yellow"/>
          <w:u w:val="double"/>
          <w:lang w:eastAsia="fr-FR"/>
        </w:rPr>
        <w:t>includes</w:t>
      </w:r>
      <w:r w:rsidRPr="00D403F5">
        <w:rPr>
          <w:rFonts w:ascii="Arial" w:hAnsi="Arial" w:cs="Arial"/>
          <w:sz w:val="18"/>
          <w:szCs w:val="18"/>
          <w:lang w:eastAsia="fr-FR"/>
        </w:rPr>
        <w:t xml:space="preserve"> </w:t>
      </w:r>
      <w:r w:rsidRPr="00D403F5">
        <w:rPr>
          <w:rFonts w:ascii="Arial" w:hAnsi="Arial" w:cs="Arial"/>
          <w:i/>
          <w:sz w:val="18"/>
          <w:szCs w:val="18"/>
          <w:lang w:eastAsia="fr-FR"/>
        </w:rPr>
        <w:t>aquatic animal</w:t>
      </w:r>
      <w:r w:rsidRPr="00D403F5">
        <w:rPr>
          <w:rFonts w:ascii="Arial" w:hAnsi="Arial" w:cs="Arial"/>
          <w:sz w:val="18"/>
          <w:szCs w:val="18"/>
          <w:lang w:eastAsia="fr-FR"/>
        </w:rPr>
        <w:t xml:space="preserve"> </w:t>
      </w:r>
      <w:r w:rsidRPr="00D403F5">
        <w:rPr>
          <w:rFonts w:ascii="Arial" w:hAnsi="Arial" w:cs="Arial"/>
          <w:strike/>
          <w:sz w:val="18"/>
          <w:szCs w:val="18"/>
          <w:lang w:eastAsia="fr-FR"/>
        </w:rPr>
        <w:t>waste</w:t>
      </w:r>
      <w:r w:rsidRPr="00D403F5">
        <w:rPr>
          <w:rFonts w:ascii="Arial" w:hAnsi="Arial" w:cs="Arial"/>
          <w:sz w:val="18"/>
          <w:szCs w:val="18"/>
          <w:lang w:eastAsia="fr-FR"/>
        </w:rPr>
        <w:t xml:space="preserve"> </w:t>
      </w:r>
      <w:r w:rsidRPr="00D403F5">
        <w:rPr>
          <w:rFonts w:ascii="Arial" w:hAnsi="Arial" w:cs="Arial"/>
          <w:i/>
          <w:iCs/>
          <w:sz w:val="18"/>
          <w:szCs w:val="18"/>
          <w:highlight w:val="yellow"/>
          <w:u w:val="double"/>
          <w:lang w:eastAsia="fr-FR"/>
        </w:rPr>
        <w:t>waste</w:t>
      </w:r>
      <w:r w:rsidRPr="00D403F5">
        <w:rPr>
          <w:rFonts w:ascii="Arial" w:hAnsi="Arial" w:cs="Arial"/>
          <w:sz w:val="18"/>
          <w:szCs w:val="18"/>
          <w:lang w:eastAsia="fr-FR"/>
        </w:rPr>
        <w:t xml:space="preserve"> that constitutes, or is suspected of constituting, a </w:t>
      </w:r>
      <w:r w:rsidRPr="00D403F5">
        <w:rPr>
          <w:rFonts w:ascii="Arial" w:hAnsi="Arial" w:cs="Arial"/>
          <w:strike/>
          <w:sz w:val="18"/>
          <w:szCs w:val="18"/>
          <w:highlight w:val="yellow"/>
          <w:lang w:eastAsia="fr-FR"/>
        </w:rPr>
        <w:t>high</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significant</w:t>
      </w:r>
      <w:r w:rsidRPr="00D403F5">
        <w:rPr>
          <w:rFonts w:ascii="Arial" w:hAnsi="Arial" w:cs="Arial"/>
          <w:sz w:val="18"/>
          <w:szCs w:val="18"/>
          <w:lang w:eastAsia="fr-FR"/>
        </w:rPr>
        <w:t xml:space="preserve"> health </w:t>
      </w:r>
      <w:r w:rsidRPr="00D403F5">
        <w:rPr>
          <w:rFonts w:ascii="Arial" w:hAnsi="Arial" w:cs="Arial"/>
          <w:i/>
          <w:sz w:val="18"/>
          <w:szCs w:val="18"/>
          <w:lang w:eastAsia="fr-FR"/>
        </w:rPr>
        <w:t>risk</w:t>
      </w:r>
      <w:r w:rsidRPr="00D403F5">
        <w:rPr>
          <w:rFonts w:ascii="Arial" w:hAnsi="Arial" w:cs="Arial"/>
          <w:sz w:val="18"/>
          <w:szCs w:val="18"/>
          <w:lang w:eastAsia="fr-FR"/>
        </w:rPr>
        <w:t xml:space="preserve"> to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 xml:space="preserve">Movement of </w:t>
      </w:r>
      <w:r w:rsidRPr="00D403F5">
        <w:rPr>
          <w:rFonts w:ascii="Arial" w:hAnsi="Arial" w:cs="Arial"/>
          <w:i/>
          <w:iCs/>
          <w:sz w:val="18"/>
          <w:szCs w:val="18"/>
          <w:highlight w:val="yellow"/>
          <w:u w:val="double"/>
          <w:lang w:eastAsia="fr-FR"/>
        </w:rPr>
        <w:t>aquatic animal</w:t>
      </w:r>
      <w:r w:rsidRPr="00D403F5">
        <w:rPr>
          <w:rFonts w:ascii="Arial" w:hAnsi="Arial" w:cs="Arial"/>
          <w:sz w:val="18"/>
          <w:szCs w:val="18"/>
          <w:highlight w:val="yellow"/>
          <w:u w:val="double"/>
          <w:lang w:eastAsia="fr-FR"/>
        </w:rPr>
        <w:t xml:space="preserve"> waste into </w:t>
      </w:r>
      <w:r w:rsidRPr="00D403F5">
        <w:rPr>
          <w:rFonts w:ascii="Arial" w:hAnsi="Arial" w:cs="Arial"/>
          <w:i/>
          <w:iCs/>
          <w:sz w:val="18"/>
          <w:szCs w:val="18"/>
          <w:highlight w:val="yellow"/>
          <w:u w:val="double"/>
          <w:lang w:eastAsia="fr-FR"/>
        </w:rPr>
        <w:t>aquaculture establishments</w:t>
      </w:r>
      <w:r w:rsidRPr="00D403F5">
        <w:rPr>
          <w:rFonts w:ascii="Arial" w:hAnsi="Arial" w:cs="Arial"/>
          <w:sz w:val="18"/>
          <w:szCs w:val="18"/>
          <w:highlight w:val="yellow"/>
          <w:u w:val="double"/>
          <w:lang w:eastAsia="fr-FR"/>
        </w:rPr>
        <w:t xml:space="preserve"> should be avoided where possible. Waste should be stored, transported, disposed of and treated following the guidance in Chapter 4.7. Handling, disposal and treatment of </w:t>
      </w:r>
      <w:r w:rsidRPr="00D403F5">
        <w:rPr>
          <w:rFonts w:ascii="Arial" w:hAnsi="Arial" w:cs="Arial"/>
          <w:i/>
          <w:iCs/>
          <w:sz w:val="18"/>
          <w:szCs w:val="18"/>
          <w:highlight w:val="yellow"/>
          <w:u w:val="double"/>
          <w:lang w:eastAsia="fr-FR"/>
        </w:rPr>
        <w:t>aquatic animal</w:t>
      </w:r>
      <w:r w:rsidRPr="00D403F5">
        <w:rPr>
          <w:rFonts w:ascii="Arial" w:hAnsi="Arial" w:cs="Arial"/>
          <w:sz w:val="18"/>
          <w:szCs w:val="18"/>
          <w:highlight w:val="yellow"/>
          <w:u w:val="double"/>
          <w:lang w:eastAsia="fr-FR"/>
        </w:rPr>
        <w:t xml:space="preserve"> </w:t>
      </w:r>
      <w:r w:rsidRPr="00D403F5">
        <w:rPr>
          <w:rFonts w:ascii="Arial" w:hAnsi="Arial" w:cs="Arial"/>
          <w:i/>
          <w:iCs/>
          <w:sz w:val="18"/>
          <w:szCs w:val="18"/>
          <w:highlight w:val="yellow"/>
          <w:u w:val="double"/>
          <w:lang w:eastAsia="fr-FR"/>
        </w:rPr>
        <w:t>waste</w:t>
      </w:r>
      <w:r w:rsidRPr="00D403F5">
        <w:rPr>
          <w:rFonts w:ascii="Arial" w:hAnsi="Arial" w:cs="Arial"/>
          <w:sz w:val="18"/>
          <w:szCs w:val="18"/>
          <w:highlight w:val="yellow"/>
          <w:u w:val="double"/>
          <w:lang w:eastAsia="fr-FR"/>
        </w:rPr>
        <w:t>.</w:t>
      </w:r>
      <w:r w:rsidRPr="00D403F5">
        <w:rPr>
          <w:rFonts w:ascii="Arial" w:hAnsi="Arial" w:cs="Arial"/>
          <w:sz w:val="18"/>
          <w:szCs w:val="18"/>
          <w:u w:val="double"/>
          <w:lang w:eastAsia="fr-FR"/>
        </w:rPr>
        <w:t xml:space="preserve"> </w:t>
      </w:r>
    </w:p>
    <w:p w14:paraId="41C31BA6"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color w:val="000000"/>
          <w:sz w:val="18"/>
          <w:szCs w:val="18"/>
        </w:rPr>
        <w:t xml:space="preserve">For intentional movements of </w:t>
      </w:r>
      <w:r w:rsidRPr="00D403F5">
        <w:rPr>
          <w:rFonts w:ascii="Arial" w:hAnsi="Arial" w:cs="Arial"/>
          <w:i/>
          <w:color w:val="000000"/>
          <w:sz w:val="18"/>
          <w:szCs w:val="18"/>
        </w:rPr>
        <w:t xml:space="preserve">aquatic animal products </w:t>
      </w:r>
      <w:r w:rsidRPr="00D403F5">
        <w:rPr>
          <w:rFonts w:ascii="Arial" w:hAnsi="Arial" w:cs="Arial"/>
          <w:color w:val="000000"/>
          <w:sz w:val="18"/>
          <w:szCs w:val="18"/>
        </w:rPr>
        <w:t xml:space="preserve">and </w:t>
      </w:r>
      <w:r w:rsidRPr="00D403F5">
        <w:rPr>
          <w:rFonts w:ascii="Arial" w:hAnsi="Arial" w:cs="Arial"/>
          <w:i/>
          <w:color w:val="000000"/>
          <w:sz w:val="18"/>
          <w:szCs w:val="18"/>
        </w:rPr>
        <w:t>aquatic animal</w:t>
      </w:r>
      <w:r w:rsidRPr="00D403F5">
        <w:rPr>
          <w:rFonts w:ascii="Arial" w:hAnsi="Arial" w:cs="Arial"/>
          <w:color w:val="000000"/>
          <w:sz w:val="18"/>
          <w:szCs w:val="18"/>
        </w:rPr>
        <w:t xml:space="preserve"> waste, the likelihood of presence of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in</w:t>
      </w:r>
      <w:r w:rsidRPr="00D403F5">
        <w:rPr>
          <w:rFonts w:ascii="Arial" w:eastAsia="SimSun" w:hAnsi="Arial" w:cs="Arial"/>
          <w:color w:val="000000"/>
          <w:sz w:val="18"/>
          <w:szCs w:val="18"/>
          <w:lang w:eastAsia="zh-CN"/>
        </w:rPr>
        <w:t xml:space="preserve"> </w:t>
      </w:r>
      <w:r w:rsidRPr="00D403F5">
        <w:rPr>
          <w:rFonts w:ascii="Arial" w:hAnsi="Arial" w:cs="Arial"/>
          <w:color w:val="000000"/>
          <w:sz w:val="18"/>
          <w:szCs w:val="18"/>
        </w:rPr>
        <w:t xml:space="preserve">the </w:t>
      </w:r>
      <w:r w:rsidRPr="00D403F5">
        <w:rPr>
          <w:rFonts w:ascii="Arial" w:hAnsi="Arial" w:cs="Arial"/>
          <w:i/>
          <w:color w:val="000000"/>
          <w:sz w:val="18"/>
          <w:szCs w:val="18"/>
        </w:rPr>
        <w:t xml:space="preserve">aquatic animals </w:t>
      </w:r>
      <w:r w:rsidRPr="00D403F5">
        <w:rPr>
          <w:rFonts w:ascii="Arial" w:hAnsi="Arial" w:cs="Arial"/>
          <w:color w:val="000000"/>
          <w:sz w:val="18"/>
          <w:szCs w:val="18"/>
        </w:rPr>
        <w:t xml:space="preserve">from which products and waste are derived should be evaluated giving consideration to the species, source, and health status. </w:t>
      </w:r>
    </w:p>
    <w:p w14:paraId="7508816C"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
          <w:color w:val="000000"/>
          <w:sz w:val="18"/>
          <w:szCs w:val="18"/>
        </w:rPr>
        <w:t>aquatic animal products</w:t>
      </w:r>
      <w:r w:rsidRPr="00D403F5">
        <w:rPr>
          <w:rFonts w:ascii="Arial" w:hAnsi="Arial" w:cs="Arial"/>
          <w:color w:val="000000"/>
          <w:sz w:val="18"/>
          <w:szCs w:val="18"/>
        </w:rPr>
        <w:t xml:space="preserve"> and </w:t>
      </w:r>
      <w:r w:rsidRPr="00D403F5">
        <w:rPr>
          <w:rFonts w:ascii="Arial" w:hAnsi="Arial" w:cs="Arial"/>
          <w:i/>
          <w:color w:val="000000"/>
          <w:sz w:val="18"/>
          <w:szCs w:val="18"/>
        </w:rPr>
        <w:t>aquatic animal</w:t>
      </w:r>
      <w:r w:rsidRPr="00D403F5">
        <w:rPr>
          <w:rFonts w:ascii="Arial" w:hAnsi="Arial" w:cs="Arial"/>
          <w:color w:val="000000"/>
          <w:sz w:val="18"/>
          <w:szCs w:val="18"/>
        </w:rPr>
        <w:t xml:space="preserve"> </w:t>
      </w:r>
      <w:r w:rsidRPr="00D403F5">
        <w:rPr>
          <w:rFonts w:ascii="Arial" w:hAnsi="Arial" w:cs="Arial"/>
          <w:strike/>
          <w:sz w:val="18"/>
          <w:szCs w:val="18"/>
          <w:lang w:eastAsia="fr-FR"/>
        </w:rPr>
        <w:t>waste</w:t>
      </w:r>
      <w:r w:rsidRPr="00D403F5">
        <w:rPr>
          <w:rFonts w:ascii="Arial" w:hAnsi="Arial" w:cs="Arial"/>
          <w:sz w:val="18"/>
          <w:szCs w:val="18"/>
          <w:lang w:eastAsia="fr-FR"/>
        </w:rPr>
        <w:t xml:space="preserve"> </w:t>
      </w:r>
      <w:r w:rsidRPr="00D403F5">
        <w:rPr>
          <w:rFonts w:ascii="Arial" w:hAnsi="Arial" w:cs="Arial"/>
          <w:i/>
          <w:iCs/>
          <w:sz w:val="18"/>
          <w:szCs w:val="18"/>
          <w:highlight w:val="yellow"/>
          <w:u w:val="double"/>
          <w:lang w:eastAsia="fr-FR"/>
        </w:rPr>
        <w:t>waste</w:t>
      </w:r>
      <w:r w:rsidRPr="00D403F5">
        <w:rPr>
          <w:rFonts w:ascii="Arial" w:hAnsi="Arial" w:cs="Arial"/>
          <w:color w:val="000000"/>
          <w:sz w:val="18"/>
          <w:szCs w:val="18"/>
        </w:rPr>
        <w:t xml:space="preserve"> </w:t>
      </w:r>
      <w:r w:rsidRPr="00D403F5">
        <w:rPr>
          <w:rFonts w:ascii="Arial" w:hAnsi="Arial" w:cs="Arial"/>
          <w:sz w:val="18"/>
          <w:szCs w:val="18"/>
          <w:u w:val="double"/>
          <w:lang w:val="en-CA"/>
        </w:rPr>
        <w:t>should be managed</w:t>
      </w:r>
      <w:r w:rsidRPr="00D403F5">
        <w:rPr>
          <w:rFonts w:ascii="Arial" w:hAnsi="Arial" w:cs="Arial"/>
          <w:strike/>
          <w:sz w:val="18"/>
          <w:szCs w:val="18"/>
          <w:highlight w:val="yellow"/>
          <w:u w:val="double"/>
          <w:lang w:val="en-CA"/>
        </w:rPr>
        <w:t>; possible</w:t>
      </w:r>
      <w:r w:rsidRPr="00D403F5">
        <w:rPr>
          <w:rFonts w:ascii="Arial" w:hAnsi="Arial" w:cs="Arial"/>
          <w:strike/>
          <w:sz w:val="18"/>
          <w:szCs w:val="18"/>
          <w:u w:val="double"/>
          <w:lang w:val="en-CA"/>
        </w:rPr>
        <w:t xml:space="preserve"> </w:t>
      </w:r>
      <w:r w:rsidRPr="00D403F5">
        <w:rPr>
          <w:rFonts w:ascii="Arial" w:hAnsi="Arial" w:cs="Arial"/>
          <w:strike/>
          <w:sz w:val="18"/>
          <w:szCs w:val="18"/>
          <w:highlight w:val="yellow"/>
          <w:u w:val="double"/>
          <w:lang w:val="en-CA"/>
        </w:rPr>
        <w:t>mitigation measures</w:t>
      </w:r>
      <w:r w:rsidRPr="00D403F5">
        <w:rPr>
          <w:rFonts w:ascii="Arial" w:hAnsi="Arial" w:cs="Arial"/>
          <w:sz w:val="18"/>
          <w:szCs w:val="18"/>
          <w:u w:val="double"/>
          <w:lang w:val="en-CA"/>
        </w:rPr>
        <w:t xml:space="preserve"> </w:t>
      </w:r>
      <w:r w:rsidRPr="00D403F5">
        <w:rPr>
          <w:rFonts w:ascii="Arial" w:hAnsi="Arial" w:cs="Arial"/>
          <w:strike/>
          <w:sz w:val="18"/>
          <w:szCs w:val="18"/>
          <w:highlight w:val="yellow"/>
          <w:u w:val="double"/>
          <w:lang w:val="en-CA"/>
        </w:rPr>
        <w:t>include the</w:t>
      </w:r>
      <w:r w:rsidRPr="00D403F5">
        <w:rPr>
          <w:rFonts w:ascii="Arial" w:hAnsi="Arial" w:cs="Arial"/>
          <w:sz w:val="18"/>
          <w:szCs w:val="18"/>
          <w:u w:val="double"/>
          <w:lang w:val="en-CA"/>
        </w:rPr>
        <w:t xml:space="preserve"> </w:t>
      </w:r>
      <w:r w:rsidRPr="00D403F5">
        <w:rPr>
          <w:rFonts w:ascii="Arial" w:hAnsi="Arial" w:cs="Arial"/>
          <w:sz w:val="18"/>
          <w:szCs w:val="18"/>
          <w:highlight w:val="yellow"/>
          <w:u w:val="double"/>
          <w:lang w:val="en-CA"/>
        </w:rPr>
        <w:t>giving consideration to the</w:t>
      </w:r>
      <w:r w:rsidRPr="00D403F5">
        <w:rPr>
          <w:rFonts w:ascii="Arial" w:hAnsi="Arial" w:cs="Arial"/>
          <w:sz w:val="18"/>
          <w:szCs w:val="18"/>
          <w:u w:val="double"/>
          <w:lang w:val="en-CA"/>
        </w:rPr>
        <w:t xml:space="preserve"> following </w:t>
      </w:r>
      <w:r w:rsidRPr="00D403F5">
        <w:rPr>
          <w:rFonts w:ascii="Arial" w:hAnsi="Arial" w:cs="Arial"/>
          <w:sz w:val="18"/>
          <w:szCs w:val="18"/>
          <w:highlight w:val="yellow"/>
          <w:u w:val="double"/>
          <w:lang w:val="en-CA"/>
        </w:rPr>
        <w:t>mitigation measures</w:t>
      </w:r>
      <w:r w:rsidRPr="00D403F5">
        <w:rPr>
          <w:rFonts w:ascii="Arial" w:hAnsi="Arial" w:cs="Arial"/>
          <w:color w:val="000000"/>
          <w:sz w:val="18"/>
          <w:szCs w:val="18"/>
        </w:rPr>
        <w:t xml:space="preserve"> </w:t>
      </w:r>
      <w:r w:rsidRPr="00D403F5">
        <w:rPr>
          <w:rFonts w:ascii="Arial" w:hAnsi="Arial" w:cs="Arial"/>
          <w:strike/>
          <w:color w:val="000000"/>
          <w:sz w:val="18"/>
          <w:szCs w:val="18"/>
        </w:rPr>
        <w:t>can be managed by</w:t>
      </w:r>
      <w:r w:rsidRPr="00D403F5">
        <w:rPr>
          <w:rFonts w:ascii="Arial" w:hAnsi="Arial" w:cs="Arial"/>
          <w:color w:val="000000"/>
          <w:sz w:val="18"/>
          <w:szCs w:val="18"/>
        </w:rPr>
        <w:t>:</w:t>
      </w:r>
    </w:p>
    <w:p w14:paraId="625A0F6F"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ab/>
        <w:t xml:space="preserve">determining the potential </w:t>
      </w:r>
      <w:r w:rsidRPr="00D403F5">
        <w:rPr>
          <w:rFonts w:ascii="Arial" w:hAnsi="Arial" w:cs="Arial"/>
          <w:i/>
          <w:sz w:val="18"/>
          <w:szCs w:val="18"/>
          <w:lang w:val="en-AU"/>
        </w:rPr>
        <w:t>disease</w:t>
      </w:r>
      <w:r w:rsidRPr="00D403F5">
        <w:rPr>
          <w:rFonts w:ascii="Arial" w:eastAsia="SimSun" w:hAnsi="Arial" w:cs="Arial"/>
          <w:i/>
          <w:sz w:val="18"/>
          <w:szCs w:val="18"/>
          <w:lang w:val="en-AU" w:eastAsia="zh-CN"/>
        </w:rPr>
        <w:t xml:space="preserve"> </w:t>
      </w:r>
      <w:r w:rsidRPr="00D403F5">
        <w:rPr>
          <w:rFonts w:ascii="Arial" w:hAnsi="Arial" w:cs="Arial"/>
          <w:i/>
          <w:sz w:val="18"/>
          <w:szCs w:val="18"/>
          <w:lang w:val="en-AU"/>
        </w:rPr>
        <w:t>risk</w:t>
      </w:r>
      <w:r w:rsidRPr="00D403F5">
        <w:rPr>
          <w:rFonts w:ascii="Arial" w:hAnsi="Arial" w:cs="Arial"/>
          <w:sz w:val="18"/>
          <w:szCs w:val="18"/>
          <w:lang w:val="en-AU"/>
        </w:rPr>
        <w:t xml:space="preserve"> of </w:t>
      </w:r>
      <w:r w:rsidRPr="00D403F5">
        <w:rPr>
          <w:rFonts w:ascii="Arial" w:hAnsi="Arial" w:cs="Arial"/>
          <w:i/>
          <w:sz w:val="18"/>
          <w:szCs w:val="18"/>
          <w:lang w:val="en-AU"/>
        </w:rPr>
        <w:t>aquatic animal products</w:t>
      </w:r>
      <w:r w:rsidRPr="00D403F5">
        <w:rPr>
          <w:rFonts w:ascii="Arial" w:hAnsi="Arial" w:cs="Arial"/>
          <w:sz w:val="18"/>
          <w:szCs w:val="18"/>
          <w:lang w:val="en-AU"/>
        </w:rPr>
        <w:t xml:space="preserve"> and </w:t>
      </w:r>
      <w:r w:rsidRPr="00D403F5">
        <w:rPr>
          <w:rFonts w:ascii="Arial" w:hAnsi="Arial" w:cs="Arial"/>
          <w:i/>
          <w:sz w:val="18"/>
          <w:szCs w:val="18"/>
          <w:u w:val="double"/>
          <w:lang w:val="en-AU"/>
        </w:rPr>
        <w:t xml:space="preserve">aquatic animal </w:t>
      </w:r>
      <w:r w:rsidRPr="00D403F5">
        <w:rPr>
          <w:rFonts w:ascii="Arial" w:hAnsi="Arial" w:cs="Arial"/>
          <w:i/>
          <w:iCs/>
          <w:sz w:val="18"/>
          <w:szCs w:val="18"/>
          <w:highlight w:val="yellow"/>
          <w:u w:val="double"/>
          <w:lang w:val="en-AU"/>
        </w:rPr>
        <w:t>waste</w:t>
      </w:r>
      <w:r w:rsidRPr="00D403F5">
        <w:rPr>
          <w:rFonts w:ascii="Arial" w:hAnsi="Arial" w:cs="Arial"/>
          <w:sz w:val="18"/>
          <w:szCs w:val="18"/>
          <w:lang w:val="en-AU"/>
        </w:rPr>
        <w:t xml:space="preserve"> to the establishment and the environment;</w:t>
      </w:r>
    </w:p>
    <w:p w14:paraId="340EF143"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b)</w:t>
      </w:r>
      <w:r w:rsidRPr="00D403F5">
        <w:rPr>
          <w:rFonts w:ascii="Arial" w:hAnsi="Arial" w:cs="Arial"/>
          <w:sz w:val="18"/>
          <w:szCs w:val="18"/>
          <w:lang w:val="en-AU"/>
        </w:rPr>
        <w:tab/>
      </w:r>
      <w:r w:rsidRPr="00D403F5">
        <w:rPr>
          <w:rFonts w:ascii="Arial" w:hAnsi="Arial" w:cs="Arial"/>
          <w:sz w:val="18"/>
          <w:szCs w:val="18"/>
          <w:highlight w:val="yellow"/>
          <w:u w:val="double"/>
          <w:lang w:val="en-AU"/>
        </w:rPr>
        <w:t>m</w:t>
      </w:r>
      <w:r w:rsidRPr="00D403F5">
        <w:rPr>
          <w:rFonts w:ascii="Arial" w:hAnsi="Arial" w:cs="Arial"/>
          <w:strike/>
          <w:sz w:val="18"/>
          <w:szCs w:val="18"/>
          <w:highlight w:val="yellow"/>
          <w:u w:val="double"/>
          <w:lang w:val="en-AU"/>
        </w:rPr>
        <w:t>M</w:t>
      </w:r>
      <w:r w:rsidRPr="00D403F5">
        <w:rPr>
          <w:rFonts w:ascii="Arial" w:hAnsi="Arial" w:cs="Arial"/>
          <w:sz w:val="18"/>
          <w:szCs w:val="18"/>
          <w:highlight w:val="yellow"/>
          <w:u w:val="double"/>
          <w:lang w:val="en-AU"/>
        </w:rPr>
        <w:t xml:space="preserve">anaging </w:t>
      </w:r>
      <w:r w:rsidRPr="00D403F5">
        <w:rPr>
          <w:rFonts w:ascii="Arial" w:hAnsi="Arial" w:cs="Arial"/>
          <w:i/>
          <w:iCs/>
          <w:sz w:val="18"/>
          <w:szCs w:val="18"/>
          <w:highlight w:val="yellow"/>
          <w:u w:val="double"/>
          <w:lang w:val="en-AU"/>
        </w:rPr>
        <w:t xml:space="preserve">aquatic animal products </w:t>
      </w:r>
      <w:r w:rsidRPr="00D403F5">
        <w:rPr>
          <w:rFonts w:ascii="Arial" w:hAnsi="Arial" w:cs="Arial"/>
          <w:sz w:val="18"/>
          <w:szCs w:val="18"/>
          <w:highlight w:val="yellow"/>
          <w:u w:val="double"/>
          <w:lang w:val="en-AU"/>
        </w:rPr>
        <w:t xml:space="preserve">and </w:t>
      </w:r>
      <w:r w:rsidRPr="00D403F5">
        <w:rPr>
          <w:rFonts w:ascii="Arial" w:hAnsi="Arial" w:cs="Arial"/>
          <w:i/>
          <w:iCs/>
          <w:sz w:val="18"/>
          <w:szCs w:val="18"/>
          <w:highlight w:val="yellow"/>
          <w:u w:val="double"/>
          <w:lang w:val="en-AU"/>
        </w:rPr>
        <w:t xml:space="preserve">aquatic animal </w:t>
      </w:r>
      <w:r w:rsidRPr="00D403F5">
        <w:rPr>
          <w:rFonts w:ascii="Arial" w:hAnsi="Arial" w:cs="Arial"/>
          <w:sz w:val="18"/>
          <w:szCs w:val="18"/>
          <w:highlight w:val="yellow"/>
          <w:u w:val="double"/>
          <w:lang w:val="en-AU"/>
        </w:rPr>
        <w:t xml:space="preserve">waste in areas within the </w:t>
      </w:r>
      <w:r w:rsidRPr="00D403F5">
        <w:rPr>
          <w:rFonts w:ascii="Arial" w:hAnsi="Arial" w:cs="Arial"/>
          <w:i/>
          <w:iCs/>
          <w:sz w:val="18"/>
          <w:szCs w:val="18"/>
          <w:highlight w:val="yellow"/>
          <w:u w:val="double"/>
          <w:lang w:val="en-AU"/>
        </w:rPr>
        <w:t>aquaculture establishment</w:t>
      </w:r>
      <w:r w:rsidRPr="00D403F5">
        <w:rPr>
          <w:rFonts w:ascii="Arial" w:hAnsi="Arial" w:cs="Arial"/>
          <w:sz w:val="18"/>
          <w:szCs w:val="18"/>
          <w:highlight w:val="yellow"/>
          <w:u w:val="double"/>
          <w:lang w:val="en-AU"/>
        </w:rPr>
        <w:t xml:space="preserve"> that are isolated</w:t>
      </w:r>
      <w:r w:rsidRPr="00D403F5">
        <w:rPr>
          <w:rFonts w:ascii="Arial" w:hAnsi="Arial" w:cs="Arial"/>
          <w:strike/>
          <w:sz w:val="18"/>
          <w:szCs w:val="18"/>
          <w:highlight w:val="yellow"/>
          <w:lang w:val="en-AU"/>
        </w:rPr>
        <w:t xml:space="preserve"> isolating areas within the </w:t>
      </w:r>
      <w:r w:rsidRPr="00D403F5">
        <w:rPr>
          <w:rFonts w:ascii="Arial" w:hAnsi="Arial" w:cs="Arial"/>
          <w:i/>
          <w:strike/>
          <w:sz w:val="18"/>
          <w:szCs w:val="18"/>
          <w:highlight w:val="yellow"/>
          <w:lang w:val="en-AU"/>
        </w:rPr>
        <w:t>aquaculture establishment</w:t>
      </w:r>
      <w:r w:rsidRPr="00D403F5">
        <w:rPr>
          <w:rFonts w:ascii="Arial" w:hAnsi="Arial" w:cs="Arial"/>
          <w:strike/>
          <w:sz w:val="18"/>
          <w:szCs w:val="18"/>
          <w:highlight w:val="yellow"/>
          <w:lang w:val="en-AU"/>
        </w:rPr>
        <w:t xml:space="preserve"> where </w:t>
      </w:r>
      <w:r w:rsidRPr="00D403F5">
        <w:rPr>
          <w:rFonts w:ascii="Arial" w:hAnsi="Arial" w:cs="Arial"/>
          <w:i/>
          <w:strike/>
          <w:sz w:val="18"/>
          <w:szCs w:val="18"/>
          <w:highlight w:val="yellow"/>
          <w:lang w:val="en-AU"/>
        </w:rPr>
        <w:t>aquatic animal products</w:t>
      </w:r>
      <w:r w:rsidRPr="00D403F5">
        <w:rPr>
          <w:rFonts w:ascii="Arial" w:hAnsi="Arial" w:cs="Arial"/>
          <w:strike/>
          <w:sz w:val="18"/>
          <w:szCs w:val="18"/>
          <w:highlight w:val="yellow"/>
          <w:lang w:val="en-AU"/>
        </w:rPr>
        <w:t xml:space="preserve"> and </w:t>
      </w:r>
      <w:r w:rsidRPr="00D403F5">
        <w:rPr>
          <w:rFonts w:ascii="Arial" w:hAnsi="Arial" w:cs="Arial"/>
          <w:i/>
          <w:strike/>
          <w:sz w:val="18"/>
          <w:szCs w:val="18"/>
          <w:highlight w:val="yellow"/>
          <w:u w:val="double"/>
          <w:lang w:val="en-AU"/>
        </w:rPr>
        <w:t xml:space="preserve">aquatic animal </w:t>
      </w:r>
      <w:r w:rsidRPr="00D403F5">
        <w:rPr>
          <w:rFonts w:ascii="Arial" w:hAnsi="Arial" w:cs="Arial"/>
          <w:iCs/>
          <w:strike/>
          <w:sz w:val="18"/>
          <w:szCs w:val="18"/>
          <w:highlight w:val="yellow"/>
          <w:u w:val="double"/>
          <w:lang w:val="en-AU"/>
        </w:rPr>
        <w:t>waste</w:t>
      </w:r>
      <w:r w:rsidRPr="00D403F5">
        <w:rPr>
          <w:rFonts w:ascii="Arial" w:hAnsi="Arial" w:cs="Arial"/>
          <w:i/>
          <w:strike/>
          <w:sz w:val="18"/>
          <w:szCs w:val="18"/>
          <w:highlight w:val="yellow"/>
          <w:u w:val="double"/>
          <w:lang w:val="en-AU"/>
        </w:rPr>
        <w:t xml:space="preserve"> </w:t>
      </w:r>
      <w:r w:rsidRPr="00D403F5">
        <w:rPr>
          <w:rFonts w:ascii="Arial" w:hAnsi="Arial" w:cs="Arial"/>
          <w:i/>
          <w:iCs/>
          <w:strike/>
          <w:sz w:val="18"/>
          <w:szCs w:val="18"/>
          <w:highlight w:val="yellow"/>
          <w:u w:val="double"/>
          <w:lang w:val="en-AU"/>
        </w:rPr>
        <w:t>waste</w:t>
      </w:r>
      <w:r w:rsidRPr="00D403F5">
        <w:rPr>
          <w:rFonts w:ascii="Arial" w:hAnsi="Arial" w:cs="Arial"/>
          <w:strike/>
          <w:sz w:val="18"/>
          <w:szCs w:val="18"/>
          <w:highlight w:val="yellow"/>
          <w:u w:val="double"/>
          <w:lang w:val="en-AU"/>
        </w:rPr>
        <w:t xml:space="preserve"> </w:t>
      </w:r>
      <w:r w:rsidRPr="00D403F5">
        <w:rPr>
          <w:rFonts w:ascii="Arial" w:hAnsi="Arial" w:cs="Arial"/>
          <w:strike/>
          <w:sz w:val="18"/>
          <w:szCs w:val="18"/>
          <w:highlight w:val="yellow"/>
          <w:lang w:val="en-AU"/>
        </w:rPr>
        <w:t>are managed</w:t>
      </w:r>
      <w:r w:rsidRPr="00D403F5">
        <w:rPr>
          <w:rFonts w:ascii="Arial" w:hAnsi="Arial" w:cs="Arial"/>
          <w:sz w:val="18"/>
          <w:szCs w:val="18"/>
          <w:lang w:val="en-AU"/>
        </w:rPr>
        <w:t xml:space="preserve"> from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populations to minimise identified disease transmission </w:t>
      </w:r>
      <w:r w:rsidRPr="00D403F5">
        <w:rPr>
          <w:rFonts w:ascii="Arial" w:hAnsi="Arial" w:cs="Arial"/>
          <w:i/>
          <w:sz w:val="18"/>
          <w:szCs w:val="18"/>
          <w:lang w:val="en-AU"/>
        </w:rPr>
        <w:t>risks</w:t>
      </w:r>
      <w:r w:rsidRPr="00D403F5">
        <w:rPr>
          <w:rFonts w:ascii="Arial" w:hAnsi="Arial" w:cs="Arial"/>
          <w:sz w:val="18"/>
          <w:szCs w:val="18"/>
          <w:lang w:val="en-AU"/>
        </w:rPr>
        <w:t>;</w:t>
      </w:r>
    </w:p>
    <w:p w14:paraId="3C4A6C4F"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sz w:val="18"/>
          <w:szCs w:val="18"/>
          <w:lang w:val="en-AU"/>
        </w:rPr>
        <w:tab/>
        <w:t xml:space="preserve">ensuring systems are implemented for </w:t>
      </w:r>
      <w:r w:rsidRPr="00D403F5">
        <w:rPr>
          <w:rFonts w:ascii="Arial" w:eastAsia="SimSun" w:hAnsi="Arial" w:cs="Arial"/>
          <w:sz w:val="18"/>
          <w:szCs w:val="18"/>
          <w:lang w:val="en-AU" w:eastAsia="zh-CN"/>
        </w:rPr>
        <w:t xml:space="preserve">appropriate </w:t>
      </w:r>
      <w:r w:rsidRPr="00D403F5">
        <w:rPr>
          <w:rFonts w:ascii="Arial" w:hAnsi="Arial" w:cs="Arial"/>
          <w:sz w:val="18"/>
          <w:szCs w:val="18"/>
          <w:lang w:val="en-AU"/>
        </w:rPr>
        <w:t xml:space="preserve">collection, treatment (inactivating </w:t>
      </w:r>
      <w:r w:rsidRPr="00D403F5">
        <w:rPr>
          <w:rFonts w:ascii="Arial" w:hAnsi="Arial" w:cs="Arial"/>
          <w:i/>
          <w:sz w:val="18"/>
          <w:szCs w:val="18"/>
          <w:lang w:val="en-AU"/>
        </w:rPr>
        <w:t>pathogenic agents</w:t>
      </w:r>
      <w:r w:rsidRPr="00D403F5">
        <w:rPr>
          <w:rFonts w:ascii="Arial" w:hAnsi="Arial" w:cs="Arial"/>
          <w:sz w:val="18"/>
          <w:szCs w:val="18"/>
          <w:lang w:val="en-AU"/>
        </w:rPr>
        <w:t xml:space="preserve">), transport, storage or disposal of </w:t>
      </w:r>
      <w:r w:rsidRPr="00D403F5">
        <w:rPr>
          <w:rFonts w:ascii="Arial" w:hAnsi="Arial" w:cs="Arial"/>
          <w:i/>
          <w:sz w:val="18"/>
          <w:szCs w:val="18"/>
          <w:lang w:val="en-AU"/>
        </w:rPr>
        <w:t>aquatic animal products</w:t>
      </w:r>
      <w:r w:rsidRPr="00D403F5">
        <w:rPr>
          <w:rFonts w:ascii="Arial" w:hAnsi="Arial" w:cs="Arial"/>
          <w:sz w:val="18"/>
          <w:szCs w:val="18"/>
          <w:lang w:val="en-AU"/>
        </w:rPr>
        <w:t xml:space="preserve"> and </w:t>
      </w:r>
      <w:r w:rsidRPr="00D403F5">
        <w:rPr>
          <w:rFonts w:ascii="Arial" w:hAnsi="Arial" w:cs="Arial"/>
          <w:i/>
          <w:sz w:val="18"/>
          <w:szCs w:val="18"/>
          <w:u w:val="double"/>
          <w:lang w:val="en-AU"/>
        </w:rPr>
        <w:t xml:space="preserve">aquatic animal </w:t>
      </w:r>
      <w:r w:rsidRPr="00D403F5">
        <w:rPr>
          <w:rFonts w:ascii="Arial" w:hAnsi="Arial" w:cs="Arial"/>
          <w:i/>
          <w:iCs/>
          <w:sz w:val="18"/>
          <w:szCs w:val="18"/>
          <w:highlight w:val="yellow"/>
          <w:u w:val="double"/>
          <w:lang w:val="en-AU"/>
        </w:rPr>
        <w:t>waste</w:t>
      </w:r>
      <w:r w:rsidRPr="00D403F5">
        <w:rPr>
          <w:rFonts w:ascii="Arial" w:hAnsi="Arial" w:cs="Arial"/>
          <w:i/>
          <w:iCs/>
          <w:sz w:val="18"/>
          <w:szCs w:val="18"/>
          <w:u w:val="double"/>
          <w:lang w:val="en-AU"/>
        </w:rPr>
        <w:t xml:space="preserve"> </w:t>
      </w:r>
      <w:r w:rsidRPr="00D403F5">
        <w:rPr>
          <w:rFonts w:ascii="Arial" w:hAnsi="Arial" w:cs="Arial"/>
          <w:iCs/>
          <w:strike/>
          <w:sz w:val="18"/>
          <w:szCs w:val="18"/>
          <w:highlight w:val="yellow"/>
          <w:u w:val="double"/>
          <w:lang w:val="en-AU"/>
        </w:rPr>
        <w:t>waste</w:t>
      </w:r>
      <w:r w:rsidRPr="00D403F5">
        <w:rPr>
          <w:rFonts w:ascii="Arial" w:hAnsi="Arial" w:cs="Arial"/>
          <w:sz w:val="18"/>
          <w:szCs w:val="18"/>
          <w:lang w:val="en-AU"/>
        </w:rPr>
        <w:t xml:space="preserve"> to minimise the </w:t>
      </w:r>
      <w:r w:rsidRPr="00D403F5">
        <w:rPr>
          <w:rFonts w:ascii="Arial" w:hAnsi="Arial" w:cs="Arial"/>
          <w:i/>
          <w:sz w:val="18"/>
          <w:szCs w:val="18"/>
          <w:lang w:val="en-AU"/>
        </w:rPr>
        <w:t>risks</w:t>
      </w:r>
      <w:r w:rsidRPr="00D403F5">
        <w:rPr>
          <w:rFonts w:ascii="Arial" w:hAnsi="Arial" w:cs="Arial"/>
          <w:sz w:val="18"/>
          <w:szCs w:val="18"/>
          <w:lang w:val="en-AU"/>
        </w:rPr>
        <w:t xml:space="preserve"> of transmitting </w:t>
      </w:r>
      <w:r w:rsidRPr="00D403F5">
        <w:rPr>
          <w:rFonts w:ascii="Arial" w:hAnsi="Arial" w:cs="Arial"/>
          <w:i/>
          <w:sz w:val="18"/>
          <w:szCs w:val="18"/>
          <w:lang w:val="en-AU"/>
        </w:rPr>
        <w:t>pathogenic agents</w:t>
      </w:r>
      <w:r w:rsidRPr="00D403F5">
        <w:rPr>
          <w:rFonts w:ascii="Arial" w:hAnsi="Arial" w:cs="Arial"/>
          <w:sz w:val="18"/>
          <w:szCs w:val="18"/>
          <w:lang w:val="en-AU"/>
        </w:rPr>
        <w:t>.</w:t>
      </w:r>
    </w:p>
    <w:p w14:paraId="0E29EBCB" w14:textId="77777777" w:rsidR="007B3D5C" w:rsidRPr="00D403F5" w:rsidRDefault="007B3D5C" w:rsidP="00456872">
      <w:pPr>
        <w:spacing w:after="240"/>
        <w:ind w:left="426" w:hanging="426"/>
        <w:jc w:val="both"/>
        <w:rPr>
          <w:rFonts w:ascii="Arial" w:hAnsi="Arial" w:cs="Arial"/>
          <w:color w:val="000000"/>
          <w:sz w:val="18"/>
          <w:szCs w:val="18"/>
        </w:rPr>
      </w:pPr>
      <w:r w:rsidRPr="00D403F5">
        <w:rPr>
          <w:rFonts w:ascii="Arial" w:hAnsi="Arial" w:cs="Arial"/>
          <w:color w:val="000000"/>
          <w:sz w:val="18"/>
          <w:szCs w:val="18"/>
        </w:rPr>
        <w:t>3. </w:t>
      </w:r>
      <w:r w:rsidRPr="00D403F5">
        <w:rPr>
          <w:rFonts w:ascii="Arial" w:hAnsi="Arial" w:cs="Arial"/>
          <w:color w:val="000000"/>
          <w:sz w:val="18"/>
          <w:szCs w:val="18"/>
        </w:rPr>
        <w:tab/>
      </w:r>
      <w:r w:rsidRPr="00D403F5">
        <w:rPr>
          <w:rFonts w:ascii="Arial" w:hAnsi="Arial" w:cs="Arial"/>
          <w:color w:val="000000"/>
          <w:sz w:val="18"/>
          <w:szCs w:val="18"/>
          <w:u w:val="single"/>
        </w:rPr>
        <w:t>Water</w:t>
      </w:r>
    </w:p>
    <w:p w14:paraId="79477D18" w14:textId="77777777" w:rsidR="007B3D5C" w:rsidRPr="00D403F5" w:rsidRDefault="007B3D5C" w:rsidP="00456872">
      <w:pPr>
        <w:pStyle w:val="ae"/>
        <w:spacing w:after="240"/>
        <w:ind w:left="426"/>
        <w:jc w:val="both"/>
        <w:rPr>
          <w:rFonts w:ascii="Arial" w:hAnsi="Arial" w:cs="Arial"/>
          <w:color w:val="000000"/>
          <w:sz w:val="18"/>
          <w:szCs w:val="18"/>
        </w:rPr>
      </w:pPr>
      <w:r w:rsidRPr="00D403F5">
        <w:rPr>
          <w:rFonts w:ascii="Arial" w:hAnsi="Arial" w:cs="Arial"/>
          <w:color w:val="000000"/>
          <w:sz w:val="18"/>
          <w:szCs w:val="18"/>
        </w:rPr>
        <w:t xml:space="preserve">Water is an important asset that </w:t>
      </w:r>
      <w:r w:rsidRPr="00D403F5">
        <w:rPr>
          <w:rFonts w:ascii="Arial" w:hAnsi="Arial" w:cs="Arial"/>
          <w:sz w:val="18"/>
          <w:szCs w:val="18"/>
          <w:lang w:val="en-AU"/>
        </w:rPr>
        <w:t xml:space="preserve">supports productivity and </w:t>
      </w:r>
      <w:r w:rsidRPr="00D403F5">
        <w:rPr>
          <w:rFonts w:ascii="Arial" w:hAnsi="Arial" w:cs="Arial"/>
          <w:i/>
          <w:sz w:val="18"/>
          <w:szCs w:val="18"/>
          <w:lang w:val="en-AU"/>
        </w:rPr>
        <w:t>aquatic animal</w:t>
      </w:r>
      <w:r w:rsidRPr="00D403F5">
        <w:rPr>
          <w:rFonts w:ascii="Arial" w:hAnsi="Arial" w:cs="Arial"/>
          <w:sz w:val="18"/>
          <w:szCs w:val="18"/>
          <w:lang w:val="en-AU"/>
        </w:rPr>
        <w:t xml:space="preserve"> health but</w:t>
      </w:r>
      <w:r w:rsidRPr="00D403F5">
        <w:rPr>
          <w:rFonts w:ascii="Arial" w:hAnsi="Arial" w:cs="Arial"/>
          <w:color w:val="000000"/>
          <w:sz w:val="18"/>
          <w:szCs w:val="18"/>
        </w:rPr>
        <w:t xml:space="preserve"> may present a </w:t>
      </w:r>
      <w:r w:rsidRPr="00D403F5">
        <w:rPr>
          <w:rFonts w:ascii="Arial" w:hAnsi="Arial" w:cs="Arial"/>
          <w:i/>
          <w:color w:val="000000"/>
          <w:sz w:val="18"/>
          <w:szCs w:val="18"/>
        </w:rPr>
        <w:t>risk</w:t>
      </w:r>
      <w:r w:rsidRPr="00D403F5">
        <w:rPr>
          <w:rFonts w:ascii="Arial" w:hAnsi="Arial" w:cs="Arial"/>
          <w:color w:val="000000"/>
          <w:sz w:val="18"/>
          <w:szCs w:val="18"/>
        </w:rPr>
        <w:t xml:space="preserve"> of </w:t>
      </w:r>
      <w:r w:rsidRPr="00D403F5">
        <w:rPr>
          <w:rFonts w:ascii="Arial" w:eastAsia="SimSun" w:hAnsi="Arial" w:cs="Arial"/>
          <w:color w:val="000000"/>
          <w:sz w:val="18"/>
          <w:szCs w:val="18"/>
          <w:lang w:eastAsia="zh-CN"/>
        </w:rPr>
        <w:t>introduction</w:t>
      </w:r>
      <w:r w:rsidRPr="00D403F5">
        <w:rPr>
          <w:rFonts w:ascii="Arial" w:hAnsi="Arial" w:cs="Arial"/>
          <w:color w:val="000000"/>
          <w:sz w:val="18"/>
          <w:szCs w:val="18"/>
        </w:rPr>
        <w:t xml:space="preserve"> of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into, </w:t>
      </w:r>
      <w:r w:rsidRPr="00D403F5">
        <w:rPr>
          <w:rFonts w:ascii="Arial" w:eastAsia="SimSun" w:hAnsi="Arial" w:cs="Arial"/>
          <w:color w:val="000000"/>
          <w:sz w:val="18"/>
          <w:szCs w:val="18"/>
          <w:lang w:eastAsia="zh-CN"/>
        </w:rPr>
        <w:t xml:space="preserve">spread </w:t>
      </w:r>
      <w:r w:rsidRPr="00D403F5">
        <w:rPr>
          <w:rFonts w:ascii="Arial" w:hAnsi="Arial" w:cs="Arial"/>
          <w:color w:val="000000"/>
          <w:sz w:val="18"/>
          <w:szCs w:val="18"/>
        </w:rPr>
        <w:t xml:space="preserve">within, and </w:t>
      </w:r>
      <w:r w:rsidRPr="00D403F5">
        <w:rPr>
          <w:rFonts w:ascii="Arial" w:eastAsia="SimSun" w:hAnsi="Arial" w:cs="Arial"/>
          <w:color w:val="000000"/>
          <w:sz w:val="18"/>
          <w:szCs w:val="18"/>
          <w:lang w:eastAsia="zh-CN"/>
        </w:rPr>
        <w:t xml:space="preserve">release </w:t>
      </w:r>
      <w:r w:rsidRPr="00D403F5">
        <w:rPr>
          <w:rFonts w:ascii="Arial" w:hAnsi="Arial" w:cs="Arial"/>
          <w:color w:val="000000"/>
          <w:sz w:val="18"/>
          <w:szCs w:val="18"/>
        </w:rPr>
        <w:t xml:space="preserve">from </w:t>
      </w:r>
      <w:r w:rsidRPr="00D403F5">
        <w:rPr>
          <w:rFonts w:ascii="Arial" w:hAnsi="Arial" w:cs="Arial"/>
          <w:i/>
          <w:color w:val="000000"/>
          <w:sz w:val="18"/>
          <w:szCs w:val="18"/>
        </w:rPr>
        <w:t xml:space="preserve">aquaculture establishments. </w:t>
      </w:r>
      <w:r w:rsidRPr="00D403F5">
        <w:rPr>
          <w:rFonts w:ascii="Arial" w:hAnsi="Arial" w:cs="Arial"/>
          <w:color w:val="000000"/>
          <w:sz w:val="18"/>
          <w:szCs w:val="18"/>
        </w:rPr>
        <w:t xml:space="preserve">The source of the water, and how it provides an epidemiological link between </w:t>
      </w:r>
      <w:r w:rsidRPr="00D403F5">
        <w:rPr>
          <w:rFonts w:ascii="Arial" w:hAnsi="Arial" w:cs="Arial"/>
          <w:sz w:val="18"/>
          <w:szCs w:val="18"/>
        </w:rPr>
        <w:t xml:space="preserve">the </w:t>
      </w:r>
      <w:r w:rsidRPr="00D403F5">
        <w:rPr>
          <w:rFonts w:ascii="Arial" w:hAnsi="Arial" w:cs="Arial"/>
          <w:i/>
          <w:sz w:val="18"/>
          <w:szCs w:val="18"/>
        </w:rPr>
        <w:t>aquaculture establishment</w:t>
      </w:r>
      <w:r w:rsidRPr="00D403F5">
        <w:rPr>
          <w:rFonts w:ascii="Arial" w:hAnsi="Arial" w:cs="Arial"/>
          <w:sz w:val="18"/>
          <w:szCs w:val="18"/>
        </w:rPr>
        <w:t xml:space="preserve"> and other farmed or wild populations or processing plants, </w:t>
      </w:r>
      <w:r w:rsidRPr="00D403F5">
        <w:rPr>
          <w:rFonts w:ascii="Arial" w:hAnsi="Arial" w:cs="Arial"/>
          <w:color w:val="000000"/>
          <w:sz w:val="18"/>
          <w:szCs w:val="18"/>
        </w:rPr>
        <w:t>should be identified and considered. Exposure to transport water and ballast water should be considered.</w:t>
      </w:r>
    </w:p>
    <w:p w14:paraId="46970452"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the </w:t>
      </w:r>
      <w:r w:rsidRPr="00D403F5">
        <w:rPr>
          <w:rFonts w:ascii="Arial" w:hAnsi="Arial" w:cs="Arial"/>
          <w:i/>
          <w:color w:val="000000"/>
          <w:sz w:val="18"/>
          <w:szCs w:val="18"/>
        </w:rPr>
        <w:t xml:space="preserve">aquaculture establishment </w:t>
      </w:r>
      <w:r w:rsidRPr="00D403F5">
        <w:rPr>
          <w:rFonts w:ascii="Arial" w:hAnsi="Arial" w:cs="Arial"/>
          <w:color w:val="000000"/>
          <w:sz w:val="18"/>
          <w:szCs w:val="18"/>
        </w:rPr>
        <w:t xml:space="preserve">being exposed to water containing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may be influenced by </w:t>
      </w:r>
      <w:r w:rsidRPr="00D403F5">
        <w:rPr>
          <w:rFonts w:ascii="Arial" w:eastAsia="SimSun" w:hAnsi="Arial" w:cs="Arial"/>
          <w:color w:val="000000"/>
          <w:sz w:val="18"/>
          <w:szCs w:val="18"/>
          <w:lang w:eastAsia="zh-CN"/>
        </w:rPr>
        <w:t xml:space="preserve">the </w:t>
      </w:r>
      <w:r w:rsidRPr="00D403F5">
        <w:rPr>
          <w:rFonts w:ascii="Arial" w:hAnsi="Arial" w:cs="Arial"/>
          <w:color w:val="000000"/>
          <w:sz w:val="18"/>
          <w:szCs w:val="18"/>
        </w:rPr>
        <w:t xml:space="preserve">category of </w:t>
      </w:r>
      <w:r w:rsidRPr="00D403F5">
        <w:rPr>
          <w:rFonts w:ascii="Arial" w:hAnsi="Arial" w:cs="Arial"/>
          <w:i/>
          <w:color w:val="000000"/>
          <w:sz w:val="18"/>
          <w:szCs w:val="18"/>
        </w:rPr>
        <w:t>aquaculture</w:t>
      </w:r>
      <w:r w:rsidRPr="00D403F5">
        <w:rPr>
          <w:rFonts w:ascii="Arial" w:eastAsia="SimSun" w:hAnsi="Arial" w:cs="Arial"/>
          <w:i/>
          <w:color w:val="000000"/>
          <w:sz w:val="18"/>
          <w:szCs w:val="18"/>
          <w:lang w:eastAsia="zh-CN"/>
        </w:rPr>
        <w:t xml:space="preserve"> </w:t>
      </w:r>
      <w:r w:rsidRPr="00D403F5">
        <w:rPr>
          <w:rFonts w:ascii="Arial" w:hAnsi="Arial" w:cs="Arial"/>
          <w:color w:val="000000"/>
          <w:sz w:val="18"/>
          <w:szCs w:val="18"/>
        </w:rPr>
        <w:t xml:space="preserve">production system, the likelihood being higher for semi-open than </w:t>
      </w:r>
      <w:r w:rsidRPr="00D403F5">
        <w:rPr>
          <w:rFonts w:ascii="Arial" w:hAnsi="Arial" w:cs="Arial"/>
          <w:color w:val="000000"/>
          <w:sz w:val="18"/>
          <w:szCs w:val="18"/>
          <w:highlight w:val="yellow"/>
          <w:u w:val="double"/>
        </w:rPr>
        <w:t>for</w:t>
      </w:r>
      <w:r w:rsidRPr="00D403F5">
        <w:rPr>
          <w:rFonts w:ascii="Arial" w:hAnsi="Arial" w:cs="Arial"/>
          <w:color w:val="000000"/>
          <w:sz w:val="18"/>
          <w:szCs w:val="18"/>
        </w:rPr>
        <w:t xml:space="preserve"> closed</w:t>
      </w:r>
      <w:r w:rsidRPr="00D403F5">
        <w:rPr>
          <w:rFonts w:ascii="Arial" w:eastAsia="SimSun" w:hAnsi="Arial" w:cs="Arial"/>
          <w:color w:val="000000"/>
          <w:sz w:val="18"/>
          <w:szCs w:val="18"/>
          <w:lang w:eastAsia="zh-CN"/>
        </w:rPr>
        <w:t xml:space="preserve"> systems</w:t>
      </w:r>
      <w:r w:rsidRPr="00D403F5">
        <w:rPr>
          <w:rFonts w:ascii="Arial" w:hAnsi="Arial" w:cs="Arial"/>
          <w:color w:val="000000"/>
          <w:sz w:val="18"/>
          <w:szCs w:val="18"/>
        </w:rPr>
        <w:t xml:space="preserve">. Any water that is flowing from </w:t>
      </w:r>
      <w:r w:rsidRPr="00D403F5">
        <w:rPr>
          <w:rFonts w:ascii="Arial" w:hAnsi="Arial" w:cs="Arial"/>
          <w:i/>
          <w:color w:val="000000"/>
          <w:sz w:val="18"/>
          <w:szCs w:val="18"/>
        </w:rPr>
        <w:t xml:space="preserve">aquatic animals </w:t>
      </w:r>
      <w:r w:rsidRPr="00D403F5">
        <w:rPr>
          <w:rFonts w:ascii="Arial" w:hAnsi="Arial" w:cs="Arial"/>
          <w:color w:val="000000"/>
          <w:sz w:val="18"/>
          <w:szCs w:val="18"/>
        </w:rPr>
        <w:t xml:space="preserve">with lower or unknown health status presents a potential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to </w:t>
      </w:r>
      <w:r w:rsidRPr="00D403F5">
        <w:rPr>
          <w:rFonts w:ascii="Arial" w:hAnsi="Arial" w:cs="Arial"/>
          <w:i/>
          <w:color w:val="000000"/>
          <w:sz w:val="18"/>
          <w:szCs w:val="18"/>
        </w:rPr>
        <w:t>aquatic animals</w:t>
      </w:r>
      <w:r w:rsidRPr="00D403F5">
        <w:rPr>
          <w:rFonts w:ascii="Arial" w:hAnsi="Arial" w:cs="Arial"/>
          <w:color w:val="000000"/>
          <w:sz w:val="18"/>
          <w:szCs w:val="18"/>
        </w:rPr>
        <w:t xml:space="preserve"> of a higher health status.</w:t>
      </w:r>
    </w:p>
    <w:p w14:paraId="2A8D8858"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i/>
          <w:color w:val="000000"/>
          <w:sz w:val="18"/>
          <w:szCs w:val="18"/>
        </w:rPr>
        <w:t>risk</w:t>
      </w:r>
      <w:r w:rsidRPr="00D403F5">
        <w:rPr>
          <w:rFonts w:ascii="Arial" w:hAnsi="Arial" w:cs="Arial"/>
          <w:color w:val="000000"/>
          <w:sz w:val="18"/>
          <w:szCs w:val="18"/>
        </w:rPr>
        <w:t xml:space="preserve"> 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Cs/>
          <w:color w:val="000000"/>
          <w:sz w:val="18"/>
          <w:szCs w:val="18"/>
        </w:rPr>
        <w:t>water</w:t>
      </w:r>
      <w:r w:rsidRPr="00D403F5">
        <w:rPr>
          <w:rFonts w:ascii="Arial" w:hAnsi="Arial" w:cs="Arial"/>
          <w:color w:val="000000"/>
          <w:sz w:val="18"/>
          <w:szCs w:val="18"/>
        </w:rPr>
        <w:t xml:space="preserve"> </w:t>
      </w:r>
      <w:r w:rsidRPr="00D403F5">
        <w:rPr>
          <w:rFonts w:ascii="Arial" w:hAnsi="Arial" w:cs="Arial"/>
          <w:sz w:val="18"/>
          <w:szCs w:val="18"/>
          <w:u w:val="double"/>
          <w:lang w:val="en-CA"/>
        </w:rPr>
        <w:t>should be managed</w:t>
      </w:r>
      <w:r w:rsidRPr="00D403F5">
        <w:rPr>
          <w:rFonts w:ascii="Arial" w:hAnsi="Arial" w:cs="Arial"/>
          <w:strike/>
          <w:sz w:val="18"/>
          <w:szCs w:val="18"/>
          <w:highlight w:val="yellow"/>
          <w:u w:val="double"/>
          <w:lang w:val="en-CA"/>
        </w:rPr>
        <w:t>; possible</w:t>
      </w:r>
      <w:r w:rsidRPr="00D403F5">
        <w:rPr>
          <w:rFonts w:ascii="Arial" w:hAnsi="Arial" w:cs="Arial"/>
          <w:strike/>
          <w:sz w:val="18"/>
          <w:szCs w:val="18"/>
          <w:u w:val="double"/>
          <w:lang w:val="en-CA"/>
        </w:rPr>
        <w:t xml:space="preserve"> </w:t>
      </w:r>
      <w:r w:rsidRPr="00D403F5">
        <w:rPr>
          <w:rFonts w:ascii="Arial" w:hAnsi="Arial" w:cs="Arial"/>
          <w:strike/>
          <w:sz w:val="18"/>
          <w:szCs w:val="18"/>
          <w:highlight w:val="yellow"/>
          <w:u w:val="double"/>
          <w:lang w:val="en-CA"/>
        </w:rPr>
        <w:t>mitigation measures</w:t>
      </w:r>
      <w:r w:rsidRPr="00D403F5">
        <w:rPr>
          <w:rFonts w:ascii="Arial" w:hAnsi="Arial" w:cs="Arial"/>
          <w:sz w:val="18"/>
          <w:szCs w:val="18"/>
          <w:u w:val="double"/>
          <w:lang w:val="en-CA"/>
        </w:rPr>
        <w:t xml:space="preserve"> </w:t>
      </w:r>
      <w:r w:rsidRPr="00D403F5">
        <w:rPr>
          <w:rFonts w:ascii="Arial" w:hAnsi="Arial" w:cs="Arial"/>
          <w:strike/>
          <w:sz w:val="18"/>
          <w:szCs w:val="18"/>
          <w:highlight w:val="yellow"/>
          <w:u w:val="double"/>
          <w:lang w:val="en-CA"/>
        </w:rPr>
        <w:t>include the</w:t>
      </w:r>
      <w:r w:rsidRPr="00D403F5">
        <w:rPr>
          <w:rFonts w:ascii="Arial" w:hAnsi="Arial" w:cs="Arial"/>
          <w:sz w:val="18"/>
          <w:szCs w:val="18"/>
          <w:u w:val="double"/>
          <w:lang w:val="en-CA"/>
        </w:rPr>
        <w:t xml:space="preserve"> </w:t>
      </w:r>
      <w:r w:rsidRPr="00D403F5">
        <w:rPr>
          <w:rFonts w:ascii="Arial" w:hAnsi="Arial" w:cs="Arial"/>
          <w:sz w:val="18"/>
          <w:szCs w:val="18"/>
          <w:highlight w:val="yellow"/>
          <w:u w:val="double"/>
          <w:lang w:val="en-CA"/>
        </w:rPr>
        <w:t>giving consideration to the</w:t>
      </w:r>
      <w:r w:rsidRPr="00D403F5">
        <w:rPr>
          <w:rFonts w:ascii="Arial" w:hAnsi="Arial" w:cs="Arial"/>
          <w:sz w:val="18"/>
          <w:szCs w:val="18"/>
          <w:u w:val="double"/>
          <w:lang w:val="en-CA"/>
        </w:rPr>
        <w:t xml:space="preserve"> following </w:t>
      </w:r>
      <w:r w:rsidRPr="00D403F5">
        <w:rPr>
          <w:rFonts w:ascii="Arial" w:hAnsi="Arial" w:cs="Arial"/>
          <w:sz w:val="18"/>
          <w:szCs w:val="18"/>
          <w:highlight w:val="yellow"/>
          <w:u w:val="double"/>
          <w:lang w:val="en-CA"/>
        </w:rPr>
        <w:t>mitigation measures</w:t>
      </w:r>
      <w:r w:rsidRPr="00D403F5">
        <w:rPr>
          <w:rFonts w:ascii="Arial" w:hAnsi="Arial" w:cs="Arial"/>
          <w:color w:val="000000"/>
          <w:sz w:val="18"/>
          <w:szCs w:val="18"/>
        </w:rPr>
        <w:t xml:space="preserve"> </w:t>
      </w:r>
      <w:r w:rsidRPr="00D403F5">
        <w:rPr>
          <w:rFonts w:ascii="Arial" w:hAnsi="Arial" w:cs="Arial"/>
          <w:strike/>
          <w:color w:val="000000"/>
          <w:sz w:val="18"/>
          <w:szCs w:val="18"/>
        </w:rPr>
        <w:t>can be managed by</w:t>
      </w:r>
      <w:r w:rsidRPr="00D403F5">
        <w:rPr>
          <w:rFonts w:ascii="Arial" w:hAnsi="Arial" w:cs="Arial"/>
          <w:color w:val="000000"/>
          <w:sz w:val="18"/>
          <w:szCs w:val="18"/>
        </w:rPr>
        <w:t>:</w:t>
      </w:r>
    </w:p>
    <w:p w14:paraId="12B4678C"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ab/>
        <w:t xml:space="preserve">Where possible, choosing water sources that are entirely free of susceptible </w:t>
      </w:r>
      <w:r w:rsidRPr="00D403F5">
        <w:rPr>
          <w:rFonts w:ascii="Arial" w:hAnsi="Arial" w:cs="Arial"/>
          <w:i/>
          <w:sz w:val="18"/>
          <w:szCs w:val="18"/>
          <w:lang w:val="en-AU"/>
        </w:rPr>
        <w:t>aquatic animal</w:t>
      </w:r>
      <w:r w:rsidRPr="00D403F5">
        <w:rPr>
          <w:rFonts w:ascii="Arial" w:hAnsi="Arial" w:cs="Arial"/>
          <w:sz w:val="18"/>
          <w:szCs w:val="18"/>
          <w:lang w:val="en-AU"/>
        </w:rPr>
        <w:t xml:space="preserve"> populations and </w:t>
      </w:r>
      <w:r w:rsidRPr="00D403F5">
        <w:rPr>
          <w:rFonts w:ascii="Arial" w:hAnsi="Arial" w:cs="Arial"/>
          <w:i/>
          <w:color w:val="000000"/>
          <w:sz w:val="18"/>
          <w:szCs w:val="18"/>
        </w:rPr>
        <w:t>pathogenic agents</w:t>
      </w:r>
      <w:r w:rsidRPr="00D403F5">
        <w:rPr>
          <w:rFonts w:ascii="Arial" w:eastAsia="SimSun" w:hAnsi="Arial" w:cs="Arial"/>
          <w:i/>
          <w:color w:val="000000"/>
          <w:sz w:val="18"/>
          <w:szCs w:val="18"/>
          <w:lang w:eastAsia="zh-CN"/>
        </w:rPr>
        <w:t xml:space="preserve"> </w:t>
      </w:r>
      <w:r w:rsidRPr="00D403F5">
        <w:rPr>
          <w:rFonts w:ascii="Arial" w:hAnsi="Arial" w:cs="Arial"/>
          <w:sz w:val="18"/>
          <w:szCs w:val="18"/>
          <w:lang w:val="en-AU"/>
        </w:rPr>
        <w:t xml:space="preserve">of concern. Such water sources may include saline or fresh groundwater, de-chlorinated municipal water, and artificial seawater. These water sources may be particularly suitable for high health status </w:t>
      </w:r>
      <w:r w:rsidRPr="00D403F5">
        <w:rPr>
          <w:rFonts w:ascii="Arial" w:hAnsi="Arial" w:cs="Arial"/>
          <w:i/>
          <w:sz w:val="18"/>
          <w:szCs w:val="18"/>
          <w:lang w:val="en-AU"/>
        </w:rPr>
        <w:t>aquatic animals</w:t>
      </w:r>
      <w:r w:rsidRPr="00D403F5">
        <w:rPr>
          <w:rFonts w:ascii="Arial" w:hAnsi="Arial" w:cs="Arial"/>
          <w:sz w:val="18"/>
          <w:szCs w:val="18"/>
          <w:lang w:val="en-AU"/>
        </w:rPr>
        <w:t xml:space="preserve"> such as broodstock.</w:t>
      </w:r>
    </w:p>
    <w:p w14:paraId="2DF51597"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b)</w:t>
      </w:r>
      <w:r w:rsidRPr="00D403F5">
        <w:rPr>
          <w:rFonts w:ascii="Arial" w:hAnsi="Arial" w:cs="Arial"/>
          <w:sz w:val="18"/>
          <w:szCs w:val="18"/>
          <w:lang w:val="en-AU"/>
        </w:rPr>
        <w:tab/>
        <w:t>Providing an appropriate level of screening, filtration or disinfection (</w:t>
      </w:r>
      <w:r w:rsidRPr="00D403F5">
        <w:rPr>
          <w:rFonts w:ascii="Arial" w:hAnsi="Arial" w:cs="Arial"/>
          <w:color w:val="000000"/>
          <w:sz w:val="18"/>
          <w:szCs w:val="18"/>
        </w:rPr>
        <w:t xml:space="preserve">in accordance with Chapter 4.3.) </w:t>
      </w:r>
      <w:r w:rsidRPr="00D403F5">
        <w:rPr>
          <w:rFonts w:ascii="Arial" w:hAnsi="Arial" w:cs="Arial"/>
          <w:sz w:val="18"/>
          <w:szCs w:val="18"/>
          <w:lang w:val="en-AU"/>
        </w:rPr>
        <w:t xml:space="preserve">of water from sources that are likely to contain </w:t>
      </w:r>
      <w:r w:rsidRPr="00D403F5">
        <w:rPr>
          <w:rFonts w:ascii="Arial" w:hAnsi="Arial" w:cs="Arial"/>
          <w:i/>
          <w:sz w:val="18"/>
          <w:szCs w:val="18"/>
          <w:lang w:val="en-AU"/>
        </w:rPr>
        <w:t>susceptible species</w:t>
      </w:r>
      <w:r w:rsidRPr="00D403F5">
        <w:rPr>
          <w:rFonts w:ascii="Arial" w:hAnsi="Arial" w:cs="Arial"/>
          <w:sz w:val="18"/>
          <w:szCs w:val="18"/>
          <w:lang w:val="en-AU"/>
        </w:rPr>
        <w:t xml:space="preserve"> and may present a </w:t>
      </w:r>
      <w:r w:rsidRPr="00D403F5">
        <w:rPr>
          <w:rFonts w:ascii="Arial" w:hAnsi="Arial" w:cs="Arial"/>
          <w:i/>
          <w:sz w:val="18"/>
          <w:szCs w:val="18"/>
          <w:lang w:val="en-AU"/>
        </w:rPr>
        <w:t>risk</w:t>
      </w:r>
      <w:r w:rsidRPr="00D403F5">
        <w:rPr>
          <w:rFonts w:ascii="Arial" w:hAnsi="Arial" w:cs="Arial"/>
          <w:sz w:val="18"/>
          <w:szCs w:val="18"/>
          <w:lang w:val="en-AU"/>
        </w:rPr>
        <w:t xml:space="preserve"> of </w:t>
      </w:r>
      <w:r w:rsidRPr="00D403F5">
        <w:rPr>
          <w:rFonts w:ascii="Arial" w:hAnsi="Arial" w:cs="Arial"/>
          <w:i/>
          <w:color w:val="000000"/>
          <w:sz w:val="18"/>
          <w:szCs w:val="18"/>
        </w:rPr>
        <w:t xml:space="preserve">pathogenic agent </w:t>
      </w:r>
      <w:r w:rsidRPr="00D403F5">
        <w:rPr>
          <w:rFonts w:ascii="Arial" w:hAnsi="Arial" w:cs="Arial"/>
          <w:sz w:val="18"/>
          <w:szCs w:val="18"/>
          <w:lang w:val="en-AU"/>
        </w:rPr>
        <w:t xml:space="preserve">transmission (e.g. oceans, streams or lakes). The level of treatment required will depend on the identified </w:t>
      </w:r>
      <w:r w:rsidRPr="00D403F5">
        <w:rPr>
          <w:rFonts w:ascii="Arial" w:hAnsi="Arial" w:cs="Arial"/>
          <w:i/>
          <w:sz w:val="18"/>
          <w:szCs w:val="18"/>
          <w:lang w:val="en-AU"/>
        </w:rPr>
        <w:t>risks</w:t>
      </w:r>
      <w:r w:rsidRPr="00D403F5">
        <w:rPr>
          <w:rFonts w:ascii="Arial" w:hAnsi="Arial" w:cs="Arial"/>
          <w:sz w:val="18"/>
          <w:szCs w:val="18"/>
          <w:lang w:val="en-AU"/>
        </w:rPr>
        <w:t xml:space="preserve">. </w:t>
      </w:r>
    </w:p>
    <w:p w14:paraId="6A6340DD" w14:textId="77777777" w:rsidR="007B3D5C" w:rsidRPr="00D403F5" w:rsidRDefault="007B3D5C" w:rsidP="00456872">
      <w:pPr>
        <w:spacing w:after="480"/>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7CBC4023"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u w:val="double"/>
          <w:lang w:val="en-AU"/>
        </w:rPr>
      </w:pPr>
      <w:r w:rsidRPr="00D403F5">
        <w:rPr>
          <w:rFonts w:ascii="Arial" w:hAnsi="Arial" w:cs="Arial"/>
          <w:i/>
          <w:sz w:val="18"/>
          <w:szCs w:val="18"/>
          <w:highlight w:val="yellow"/>
          <w:u w:val="double"/>
          <w:lang w:val="en-AU"/>
        </w:rPr>
        <w:t>c)</w:t>
      </w:r>
      <w:r w:rsidRPr="00D403F5">
        <w:rPr>
          <w:rFonts w:ascii="Arial" w:hAnsi="Arial" w:cs="Arial"/>
          <w:iCs/>
          <w:sz w:val="18"/>
          <w:szCs w:val="18"/>
          <w:lang w:val="en-AU"/>
        </w:rPr>
        <w:tab/>
      </w:r>
      <w:r w:rsidRPr="00D403F5">
        <w:rPr>
          <w:rFonts w:ascii="Arial" w:hAnsi="Arial" w:cs="Arial"/>
          <w:iCs/>
          <w:sz w:val="18"/>
          <w:szCs w:val="18"/>
          <w:highlight w:val="yellow"/>
          <w:u w:val="double"/>
          <w:lang w:val="en-AU"/>
        </w:rPr>
        <w:t xml:space="preserve">Provide </w:t>
      </w:r>
      <w:r w:rsidRPr="00D403F5">
        <w:rPr>
          <w:rFonts w:ascii="Arial" w:hAnsi="Arial" w:cs="Arial"/>
          <w:sz w:val="18"/>
          <w:szCs w:val="18"/>
          <w:highlight w:val="yellow"/>
          <w:u w:val="double"/>
          <w:lang w:val="en-AU"/>
        </w:rPr>
        <w:t>an appropriate level of filtration, disinfection or holding (</w:t>
      </w:r>
      <w:r w:rsidRPr="00D403F5">
        <w:rPr>
          <w:rFonts w:ascii="Arial" w:hAnsi="Arial" w:cs="Arial"/>
          <w:color w:val="000000"/>
          <w:sz w:val="18"/>
          <w:szCs w:val="18"/>
          <w:highlight w:val="yellow"/>
          <w:u w:val="double"/>
        </w:rPr>
        <w:t>in accordance with Chapter 4.3.)</w:t>
      </w:r>
      <w:r w:rsidRPr="00D403F5">
        <w:rPr>
          <w:rFonts w:ascii="Arial" w:hAnsi="Arial" w:cs="Arial"/>
          <w:iCs/>
          <w:sz w:val="18"/>
          <w:szCs w:val="18"/>
          <w:highlight w:val="yellow"/>
          <w:u w:val="double"/>
          <w:lang w:val="en-AU"/>
        </w:rPr>
        <w:t xml:space="preserve"> of effluent water from </w:t>
      </w:r>
      <w:r w:rsidRPr="00D403F5">
        <w:rPr>
          <w:rFonts w:ascii="Arial" w:hAnsi="Arial" w:cs="Arial"/>
          <w:i/>
          <w:sz w:val="18"/>
          <w:szCs w:val="18"/>
          <w:highlight w:val="yellow"/>
          <w:u w:val="double"/>
          <w:lang w:val="en-AU"/>
        </w:rPr>
        <w:t>aquaculture establishments</w:t>
      </w:r>
      <w:r w:rsidRPr="00D403F5">
        <w:rPr>
          <w:rFonts w:ascii="Arial" w:hAnsi="Arial" w:cs="Arial"/>
          <w:iCs/>
          <w:sz w:val="18"/>
          <w:szCs w:val="18"/>
          <w:highlight w:val="yellow"/>
          <w:u w:val="double"/>
          <w:lang w:val="en-AU"/>
        </w:rPr>
        <w:t xml:space="preserve"> (or associated slaughterhouses or processing facilities) where it </w:t>
      </w:r>
      <w:r w:rsidRPr="00D403F5">
        <w:rPr>
          <w:rFonts w:ascii="Arial" w:hAnsi="Arial" w:cs="Arial"/>
          <w:sz w:val="18"/>
          <w:szCs w:val="18"/>
          <w:highlight w:val="yellow"/>
          <w:u w:val="double"/>
          <w:lang w:val="en-AU"/>
        </w:rPr>
        <w:t xml:space="preserve">may present a </w:t>
      </w:r>
      <w:r w:rsidRPr="00D403F5">
        <w:rPr>
          <w:rFonts w:ascii="Arial" w:hAnsi="Arial" w:cs="Arial"/>
          <w:i/>
          <w:sz w:val="18"/>
          <w:szCs w:val="18"/>
          <w:highlight w:val="yellow"/>
          <w:u w:val="double"/>
          <w:lang w:val="en-AU"/>
        </w:rPr>
        <w:t>risk</w:t>
      </w:r>
      <w:r w:rsidRPr="00D403F5">
        <w:rPr>
          <w:rFonts w:ascii="Arial" w:hAnsi="Arial" w:cs="Arial"/>
          <w:sz w:val="18"/>
          <w:szCs w:val="18"/>
          <w:highlight w:val="yellow"/>
          <w:u w:val="double"/>
          <w:lang w:val="en-AU"/>
        </w:rPr>
        <w:t xml:space="preserve"> of </w:t>
      </w:r>
      <w:r w:rsidRPr="00D403F5">
        <w:rPr>
          <w:rFonts w:ascii="Arial" w:hAnsi="Arial" w:cs="Arial"/>
          <w:i/>
          <w:color w:val="000000"/>
          <w:sz w:val="18"/>
          <w:szCs w:val="18"/>
          <w:highlight w:val="yellow"/>
          <w:u w:val="double"/>
        </w:rPr>
        <w:t xml:space="preserve">pathogenic agent </w:t>
      </w:r>
      <w:r w:rsidRPr="00D403F5">
        <w:rPr>
          <w:rFonts w:ascii="Arial" w:hAnsi="Arial" w:cs="Arial"/>
          <w:sz w:val="18"/>
          <w:szCs w:val="18"/>
          <w:highlight w:val="yellow"/>
          <w:u w:val="double"/>
          <w:lang w:val="en-AU"/>
        </w:rPr>
        <w:t>transmission to</w:t>
      </w:r>
      <w:r w:rsidRPr="00D403F5">
        <w:rPr>
          <w:rFonts w:ascii="Arial" w:hAnsi="Arial" w:cs="Arial"/>
          <w:iCs/>
          <w:sz w:val="18"/>
          <w:szCs w:val="18"/>
          <w:highlight w:val="yellow"/>
          <w:u w:val="double"/>
          <w:lang w:val="en-AU"/>
        </w:rPr>
        <w:t xml:space="preserve"> wild </w:t>
      </w:r>
      <w:r w:rsidRPr="00D403F5">
        <w:rPr>
          <w:rFonts w:ascii="Arial" w:hAnsi="Arial" w:cs="Arial"/>
          <w:i/>
          <w:sz w:val="18"/>
          <w:szCs w:val="18"/>
          <w:highlight w:val="yellow"/>
          <w:u w:val="double"/>
          <w:lang w:val="en-AU"/>
        </w:rPr>
        <w:t>aquatic animals</w:t>
      </w:r>
      <w:r w:rsidRPr="00D403F5">
        <w:rPr>
          <w:rFonts w:ascii="Arial" w:hAnsi="Arial" w:cs="Arial"/>
          <w:iCs/>
          <w:sz w:val="18"/>
          <w:szCs w:val="18"/>
          <w:highlight w:val="yellow"/>
          <w:u w:val="double"/>
          <w:lang w:val="en-AU"/>
        </w:rPr>
        <w:t xml:space="preserve"> or other </w:t>
      </w:r>
      <w:r w:rsidRPr="00D403F5">
        <w:rPr>
          <w:rFonts w:ascii="Arial" w:hAnsi="Arial" w:cs="Arial"/>
          <w:i/>
          <w:sz w:val="18"/>
          <w:szCs w:val="18"/>
          <w:highlight w:val="yellow"/>
          <w:u w:val="double"/>
          <w:lang w:val="en-AU"/>
        </w:rPr>
        <w:t>aquaculture establishments</w:t>
      </w:r>
      <w:r w:rsidRPr="00D403F5">
        <w:rPr>
          <w:rFonts w:ascii="Arial" w:hAnsi="Arial" w:cs="Arial"/>
          <w:iCs/>
          <w:sz w:val="18"/>
          <w:szCs w:val="18"/>
          <w:highlight w:val="yellow"/>
          <w:u w:val="double"/>
          <w:lang w:val="en-AU"/>
        </w:rPr>
        <w:t xml:space="preserve"> with</w:t>
      </w:r>
      <w:r w:rsidRPr="00D403F5">
        <w:rPr>
          <w:rFonts w:ascii="Arial" w:hAnsi="Arial" w:cs="Arial"/>
          <w:i/>
          <w:sz w:val="18"/>
          <w:szCs w:val="18"/>
          <w:highlight w:val="yellow"/>
          <w:u w:val="double"/>
          <w:lang w:val="en-AU"/>
        </w:rPr>
        <w:t xml:space="preserve"> susceptible species</w:t>
      </w:r>
      <w:r w:rsidRPr="00D403F5">
        <w:rPr>
          <w:rFonts w:ascii="Arial" w:hAnsi="Arial" w:cs="Arial"/>
          <w:color w:val="000000"/>
          <w:sz w:val="18"/>
          <w:szCs w:val="18"/>
          <w:highlight w:val="yellow"/>
          <w:u w:val="double"/>
        </w:rPr>
        <w:t xml:space="preserve">. </w:t>
      </w:r>
      <w:r w:rsidRPr="00D403F5">
        <w:rPr>
          <w:rFonts w:ascii="Arial" w:hAnsi="Arial" w:cs="Arial"/>
          <w:sz w:val="18"/>
          <w:szCs w:val="18"/>
          <w:highlight w:val="yellow"/>
          <w:u w:val="double"/>
          <w:lang w:val="en-AU"/>
        </w:rPr>
        <w:t xml:space="preserve">The level of treatment required will depend on the identified </w:t>
      </w:r>
      <w:r w:rsidRPr="00D403F5">
        <w:rPr>
          <w:rFonts w:ascii="Arial" w:hAnsi="Arial" w:cs="Arial"/>
          <w:i/>
          <w:sz w:val="18"/>
          <w:szCs w:val="18"/>
          <w:highlight w:val="yellow"/>
          <w:u w:val="double"/>
          <w:lang w:val="en-AU"/>
        </w:rPr>
        <w:t>risks</w:t>
      </w:r>
      <w:r w:rsidRPr="00D403F5">
        <w:rPr>
          <w:rFonts w:ascii="Arial" w:hAnsi="Arial" w:cs="Arial"/>
          <w:sz w:val="18"/>
          <w:szCs w:val="18"/>
          <w:highlight w:val="yellow"/>
          <w:u w:val="double"/>
          <w:lang w:val="en-AU"/>
        </w:rPr>
        <w:t>.</w:t>
      </w:r>
      <w:r w:rsidRPr="00D403F5">
        <w:rPr>
          <w:rFonts w:ascii="Arial" w:hAnsi="Arial" w:cs="Arial"/>
          <w:sz w:val="18"/>
          <w:szCs w:val="18"/>
          <w:u w:val="double"/>
          <w:lang w:val="en-AU"/>
        </w:rPr>
        <w:t xml:space="preserve"> </w:t>
      </w:r>
    </w:p>
    <w:p w14:paraId="5CF58775"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rPr>
      </w:pPr>
      <w:r w:rsidRPr="00D403F5">
        <w:rPr>
          <w:rFonts w:ascii="Arial" w:hAnsi="Arial" w:cs="Arial"/>
          <w:i/>
          <w:strike/>
          <w:sz w:val="18"/>
          <w:szCs w:val="18"/>
          <w:highlight w:val="yellow"/>
          <w:lang w:val="en-AU"/>
        </w:rPr>
        <w:t>c</w:t>
      </w:r>
      <w:r w:rsidRPr="00D403F5">
        <w:rPr>
          <w:rFonts w:ascii="Arial" w:hAnsi="Arial" w:cs="Arial"/>
          <w:i/>
          <w:sz w:val="18"/>
          <w:szCs w:val="18"/>
          <w:highlight w:val="yellow"/>
          <w:u w:val="double"/>
          <w:lang w:val="en-AU"/>
        </w:rPr>
        <w:t>d)</w:t>
      </w:r>
      <w:r w:rsidRPr="00D403F5">
        <w:rPr>
          <w:rFonts w:ascii="Arial" w:hAnsi="Arial" w:cs="Arial"/>
          <w:sz w:val="18"/>
          <w:szCs w:val="18"/>
          <w:lang w:val="en-AU"/>
        </w:rPr>
        <w:t xml:space="preserve"> </w:t>
      </w:r>
      <w:r w:rsidRPr="00D403F5">
        <w:rPr>
          <w:rFonts w:ascii="Arial" w:hAnsi="Arial" w:cs="Arial"/>
          <w:sz w:val="18"/>
          <w:szCs w:val="18"/>
          <w:lang w:val="en-AU"/>
        </w:rPr>
        <w:tab/>
        <w:t xml:space="preserve">Ensuring the position of water intakes and outlets for semi-closed and closed </w:t>
      </w:r>
      <w:r w:rsidRPr="00D403F5">
        <w:rPr>
          <w:rFonts w:ascii="Arial" w:hAnsi="Arial" w:cs="Arial"/>
          <w:i/>
          <w:sz w:val="18"/>
          <w:szCs w:val="18"/>
          <w:lang w:val="en-AU"/>
        </w:rPr>
        <w:t>aquaculture establishments</w:t>
      </w:r>
      <w:r w:rsidRPr="00D403F5">
        <w:rPr>
          <w:rFonts w:ascii="Arial" w:hAnsi="Arial" w:cs="Arial"/>
          <w:sz w:val="18"/>
          <w:szCs w:val="18"/>
          <w:lang w:val="en-AU"/>
        </w:rPr>
        <w:t xml:space="preserve">, and the location of semi-open </w:t>
      </w:r>
      <w:r w:rsidRPr="00D403F5">
        <w:rPr>
          <w:rFonts w:ascii="Arial" w:hAnsi="Arial" w:cs="Arial"/>
          <w:i/>
          <w:sz w:val="18"/>
          <w:szCs w:val="18"/>
          <w:lang w:val="en-AU"/>
        </w:rPr>
        <w:t>aquaculture establishments</w:t>
      </w:r>
      <w:r w:rsidRPr="00D403F5">
        <w:rPr>
          <w:rFonts w:ascii="Arial" w:hAnsi="Arial" w:cs="Arial"/>
          <w:sz w:val="18"/>
          <w:szCs w:val="18"/>
          <w:lang w:val="en-AU"/>
        </w:rPr>
        <w:t xml:space="preserve">, minimises contamination from </w:t>
      </w:r>
      <w:r w:rsidRPr="00D403F5">
        <w:rPr>
          <w:rFonts w:ascii="Arial" w:hAnsi="Arial" w:cs="Arial"/>
          <w:sz w:val="18"/>
          <w:szCs w:val="18"/>
        </w:rPr>
        <w:t>other farmed or wild populations or processing plants</w:t>
      </w:r>
      <w:r w:rsidRPr="00D403F5">
        <w:rPr>
          <w:rFonts w:ascii="Arial" w:hAnsi="Arial" w:cs="Arial"/>
          <w:sz w:val="18"/>
          <w:szCs w:val="18"/>
          <w:highlight w:val="yellow"/>
          <w:u w:val="double"/>
        </w:rPr>
        <w:t>, taking into account factors such as distance and water currents</w:t>
      </w:r>
      <w:r w:rsidRPr="00D403F5">
        <w:rPr>
          <w:rFonts w:ascii="Arial" w:hAnsi="Arial" w:cs="Arial"/>
          <w:sz w:val="18"/>
          <w:szCs w:val="18"/>
        </w:rPr>
        <w:t>.</w:t>
      </w:r>
    </w:p>
    <w:p w14:paraId="525A8060" w14:textId="77777777" w:rsidR="007B3D5C" w:rsidRPr="00D403F5" w:rsidRDefault="007B3D5C" w:rsidP="00456872">
      <w:pPr>
        <w:autoSpaceDE w:val="0"/>
        <w:autoSpaceDN w:val="0"/>
        <w:adjustRightInd w:val="0"/>
        <w:spacing w:after="240"/>
        <w:ind w:left="851" w:hanging="425"/>
        <w:jc w:val="both"/>
        <w:rPr>
          <w:rFonts w:ascii="Arial" w:hAnsi="Arial" w:cs="Arial"/>
          <w:iCs/>
          <w:sz w:val="18"/>
          <w:szCs w:val="18"/>
          <w:u w:val="double"/>
        </w:rPr>
      </w:pPr>
      <w:r w:rsidRPr="00D403F5">
        <w:rPr>
          <w:rFonts w:ascii="Arial" w:hAnsi="Arial" w:cs="Arial"/>
          <w:i/>
          <w:sz w:val="18"/>
          <w:szCs w:val="18"/>
          <w:highlight w:val="yellow"/>
          <w:u w:val="double"/>
          <w:lang w:val="en-AU"/>
        </w:rPr>
        <w:t>e)</w:t>
      </w:r>
      <w:r w:rsidRPr="00D403F5">
        <w:rPr>
          <w:rFonts w:ascii="Arial" w:hAnsi="Arial" w:cs="Arial"/>
          <w:i/>
          <w:sz w:val="18"/>
          <w:szCs w:val="18"/>
          <w:lang w:val="en-AU"/>
        </w:rPr>
        <w:tab/>
      </w:r>
      <w:r w:rsidRPr="00D403F5">
        <w:rPr>
          <w:rFonts w:ascii="Arial" w:hAnsi="Arial" w:cs="Arial"/>
          <w:iCs/>
          <w:sz w:val="18"/>
          <w:szCs w:val="18"/>
          <w:highlight w:val="yellow"/>
          <w:u w:val="double"/>
          <w:lang w:val="en-AU"/>
        </w:rPr>
        <w:t>The likelihood of ingress of contaminated water either through flooding from external sources or from defective infrastructure (e.g. leaking pipes, blocked drains, bund wall failure) should be assessed and appropriate management or infrastructure measures applied.</w:t>
      </w:r>
    </w:p>
    <w:p w14:paraId="74FBB9CA" w14:textId="77777777" w:rsidR="007B3D5C" w:rsidRPr="00D403F5" w:rsidRDefault="007B3D5C" w:rsidP="00456872">
      <w:pPr>
        <w:spacing w:after="240"/>
        <w:ind w:left="426" w:hanging="426"/>
        <w:jc w:val="both"/>
        <w:rPr>
          <w:rFonts w:ascii="Arial" w:hAnsi="Arial" w:cs="Arial"/>
          <w:color w:val="000000"/>
          <w:sz w:val="18"/>
          <w:szCs w:val="18"/>
        </w:rPr>
      </w:pPr>
      <w:r w:rsidRPr="00D403F5">
        <w:rPr>
          <w:rFonts w:ascii="Arial" w:hAnsi="Arial" w:cs="Arial"/>
          <w:color w:val="000000"/>
          <w:sz w:val="18"/>
          <w:szCs w:val="18"/>
        </w:rPr>
        <w:t>4.</w:t>
      </w:r>
      <w:r w:rsidRPr="00D403F5">
        <w:rPr>
          <w:rFonts w:ascii="Arial" w:hAnsi="Arial" w:cs="Arial"/>
          <w:color w:val="000000"/>
          <w:sz w:val="18"/>
          <w:szCs w:val="18"/>
        </w:rPr>
        <w:tab/>
      </w:r>
      <w:r w:rsidRPr="00D403F5">
        <w:rPr>
          <w:rFonts w:ascii="Arial" w:hAnsi="Arial" w:cs="Arial"/>
          <w:color w:val="000000"/>
          <w:sz w:val="18"/>
          <w:szCs w:val="18"/>
          <w:u w:val="single"/>
        </w:rPr>
        <w:t>Feed</w:t>
      </w:r>
    </w:p>
    <w:p w14:paraId="78136F31"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i/>
          <w:color w:val="000000"/>
          <w:sz w:val="18"/>
          <w:szCs w:val="18"/>
        </w:rPr>
        <w:t>Feed</w:t>
      </w:r>
      <w:r w:rsidRPr="00D403F5">
        <w:rPr>
          <w:rFonts w:ascii="Arial" w:hAnsi="Arial" w:cs="Arial"/>
          <w:color w:val="000000"/>
          <w:sz w:val="18"/>
          <w:szCs w:val="18"/>
        </w:rPr>
        <w:t xml:space="preserve"> can be an important pathway for transmission of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to </w:t>
      </w:r>
      <w:r w:rsidRPr="00D403F5">
        <w:rPr>
          <w:rFonts w:ascii="Arial" w:hAnsi="Arial" w:cs="Arial"/>
          <w:i/>
          <w:color w:val="000000"/>
          <w:sz w:val="18"/>
          <w:szCs w:val="18"/>
        </w:rPr>
        <w:t>aquatic animals</w:t>
      </w:r>
      <w:r w:rsidRPr="00D403F5">
        <w:rPr>
          <w:rFonts w:ascii="Arial" w:hAnsi="Arial" w:cs="Arial"/>
          <w:color w:val="000000"/>
          <w:sz w:val="18"/>
          <w:szCs w:val="18"/>
        </w:rPr>
        <w:t xml:space="preserve">. </w:t>
      </w:r>
      <w:r w:rsidRPr="00D403F5">
        <w:rPr>
          <w:rFonts w:ascii="Arial" w:hAnsi="Arial" w:cs="Arial"/>
          <w:i/>
          <w:color w:val="000000"/>
          <w:sz w:val="18"/>
          <w:szCs w:val="18"/>
        </w:rPr>
        <w:t>Feed</w:t>
      </w:r>
      <w:r w:rsidRPr="00D403F5">
        <w:rPr>
          <w:rFonts w:ascii="Arial" w:hAnsi="Arial" w:cs="Arial"/>
          <w:color w:val="000000"/>
          <w:sz w:val="18"/>
          <w:szCs w:val="18"/>
        </w:rPr>
        <w:t xml:space="preserve"> may be initially infected with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or</w:t>
      </w:r>
      <w:r w:rsidRPr="00D403F5">
        <w:rPr>
          <w:rFonts w:ascii="Arial" w:hAnsi="Arial" w:cs="Arial"/>
          <w:i/>
          <w:color w:val="000000"/>
          <w:sz w:val="18"/>
          <w:szCs w:val="18"/>
        </w:rPr>
        <w:t xml:space="preserve"> </w:t>
      </w:r>
      <w:r w:rsidRPr="00D403F5">
        <w:rPr>
          <w:rFonts w:ascii="Arial" w:hAnsi="Arial" w:cs="Arial"/>
          <w:color w:val="000000"/>
          <w:sz w:val="18"/>
          <w:szCs w:val="18"/>
        </w:rPr>
        <w:t xml:space="preserve">contaminated during harvest, transport, storage and processing of commodities used as feed ingredients. Poor hygiene may contribute to contamination during manufacture, transport, storage and use of </w:t>
      </w:r>
      <w:r w:rsidRPr="00D403F5">
        <w:rPr>
          <w:rFonts w:ascii="Arial" w:hAnsi="Arial" w:cs="Arial"/>
          <w:i/>
          <w:color w:val="000000"/>
          <w:sz w:val="18"/>
          <w:szCs w:val="18"/>
        </w:rPr>
        <w:t>feed</w:t>
      </w:r>
      <w:r w:rsidRPr="00D403F5">
        <w:rPr>
          <w:rFonts w:ascii="Arial" w:hAnsi="Arial" w:cs="Arial"/>
          <w:color w:val="000000"/>
          <w:sz w:val="18"/>
          <w:szCs w:val="18"/>
        </w:rPr>
        <w:t>.</w:t>
      </w:r>
    </w:p>
    <w:p w14:paraId="1C9DB1E6" w14:textId="77777777" w:rsidR="007B3D5C" w:rsidRPr="00D403F5" w:rsidRDefault="007B3D5C" w:rsidP="00456872">
      <w:pPr>
        <w:spacing w:after="240"/>
        <w:ind w:left="426"/>
        <w:jc w:val="both"/>
        <w:rPr>
          <w:rFonts w:ascii="Arial" w:hAnsi="Arial" w:cs="Arial"/>
          <w:sz w:val="18"/>
          <w:szCs w:val="18"/>
        </w:rPr>
      </w:pPr>
      <w:r w:rsidRPr="00D403F5">
        <w:rPr>
          <w:rFonts w:ascii="Arial" w:hAnsi="Arial" w:cs="Arial"/>
          <w:sz w:val="18"/>
          <w:szCs w:val="18"/>
        </w:rPr>
        <w:t xml:space="preserve">In closed or semi-closed production systems there can be a high level of control on </w:t>
      </w:r>
      <w:r w:rsidRPr="00D403F5">
        <w:rPr>
          <w:rFonts w:ascii="Arial" w:hAnsi="Arial" w:cs="Arial"/>
          <w:i/>
          <w:sz w:val="18"/>
          <w:szCs w:val="18"/>
        </w:rPr>
        <w:t>aquatic animal</w:t>
      </w:r>
      <w:r w:rsidRPr="00D403F5">
        <w:rPr>
          <w:rFonts w:ascii="Arial" w:eastAsia="SimSun" w:hAnsi="Arial" w:cs="Arial"/>
          <w:i/>
          <w:sz w:val="18"/>
          <w:szCs w:val="18"/>
          <w:lang w:eastAsia="zh-CN"/>
        </w:rPr>
        <w:t xml:space="preserve"> </w:t>
      </w:r>
      <w:r w:rsidRPr="00D403F5">
        <w:rPr>
          <w:rFonts w:ascii="Arial" w:hAnsi="Arial" w:cs="Arial"/>
          <w:i/>
          <w:sz w:val="18"/>
          <w:szCs w:val="18"/>
        </w:rPr>
        <w:t>feed</w:t>
      </w:r>
      <w:r w:rsidRPr="00D403F5">
        <w:rPr>
          <w:rFonts w:ascii="Arial" w:hAnsi="Arial" w:cs="Arial"/>
          <w:i/>
          <w:strike/>
          <w:sz w:val="18"/>
          <w:szCs w:val="18"/>
          <w:highlight w:val="yellow"/>
        </w:rPr>
        <w:t>s</w:t>
      </w:r>
      <w:r w:rsidRPr="00D403F5">
        <w:rPr>
          <w:rFonts w:ascii="Arial" w:hAnsi="Arial" w:cs="Arial"/>
          <w:sz w:val="18"/>
          <w:szCs w:val="18"/>
        </w:rPr>
        <w:t xml:space="preserve">. However, in semi-open production systems, </w:t>
      </w:r>
      <w:r w:rsidRPr="00D403F5">
        <w:rPr>
          <w:rFonts w:ascii="Arial" w:hAnsi="Arial" w:cs="Arial"/>
          <w:i/>
          <w:sz w:val="18"/>
          <w:szCs w:val="18"/>
        </w:rPr>
        <w:t>aquatic animals</w:t>
      </w:r>
      <w:r w:rsidRPr="00D403F5">
        <w:rPr>
          <w:rFonts w:ascii="Arial" w:eastAsia="SimSun" w:hAnsi="Arial" w:cs="Arial"/>
          <w:i/>
          <w:sz w:val="18"/>
          <w:szCs w:val="18"/>
          <w:lang w:eastAsia="zh-CN"/>
        </w:rPr>
        <w:t xml:space="preserve"> </w:t>
      </w:r>
      <w:r w:rsidRPr="00D403F5">
        <w:rPr>
          <w:rFonts w:ascii="Arial" w:hAnsi="Arial" w:cs="Arial"/>
          <w:sz w:val="18"/>
          <w:szCs w:val="18"/>
        </w:rPr>
        <w:t>may obtain food from their environment (e.g. filter</w:t>
      </w:r>
      <w:r w:rsidRPr="00D403F5">
        <w:rPr>
          <w:rFonts w:ascii="Arial" w:hAnsi="Arial" w:cs="Arial"/>
          <w:sz w:val="18"/>
          <w:szCs w:val="18"/>
          <w:highlight w:val="yellow"/>
          <w:u w:val="double"/>
        </w:rPr>
        <w:t>-</w:t>
      </w:r>
      <w:r w:rsidRPr="00D403F5">
        <w:rPr>
          <w:rFonts w:ascii="Arial" w:hAnsi="Arial" w:cs="Arial"/>
          <w:sz w:val="18"/>
          <w:szCs w:val="18"/>
        </w:rPr>
        <w:t xml:space="preserve">feeding molluscs or wild fish which may be </w:t>
      </w:r>
      <w:r w:rsidRPr="00D403F5">
        <w:rPr>
          <w:rFonts w:ascii="Arial" w:hAnsi="Arial" w:cs="Arial"/>
          <w:sz w:val="18"/>
          <w:szCs w:val="18"/>
          <w:highlight w:val="yellow"/>
          <w:u w:val="double"/>
        </w:rPr>
        <w:t>preyed on</w:t>
      </w:r>
      <w:r w:rsidRPr="00D403F5">
        <w:rPr>
          <w:rFonts w:ascii="Arial" w:hAnsi="Arial" w:cs="Arial"/>
          <w:sz w:val="18"/>
          <w:szCs w:val="18"/>
          <w:highlight w:val="yellow"/>
        </w:rPr>
        <w:t xml:space="preserve"> </w:t>
      </w:r>
      <w:r w:rsidRPr="00D403F5">
        <w:rPr>
          <w:rFonts w:ascii="Arial" w:hAnsi="Arial" w:cs="Arial"/>
          <w:strike/>
          <w:sz w:val="18"/>
          <w:szCs w:val="18"/>
          <w:highlight w:val="yellow"/>
        </w:rPr>
        <w:t>predated</w:t>
      </w:r>
      <w:r w:rsidRPr="00D403F5">
        <w:rPr>
          <w:rFonts w:ascii="Arial" w:hAnsi="Arial" w:cs="Arial"/>
          <w:sz w:val="18"/>
          <w:szCs w:val="18"/>
          <w:highlight w:val="yellow"/>
        </w:rPr>
        <w:t xml:space="preserve"> </w:t>
      </w:r>
      <w:r w:rsidRPr="00D403F5">
        <w:rPr>
          <w:rFonts w:ascii="Arial" w:hAnsi="Arial" w:cs="Arial"/>
          <w:sz w:val="18"/>
          <w:szCs w:val="18"/>
        </w:rPr>
        <w:t xml:space="preserve">in net pens). </w:t>
      </w:r>
    </w:p>
    <w:p w14:paraId="68BE8B36" w14:textId="77777777" w:rsidR="007B3D5C" w:rsidRPr="00D403F5" w:rsidRDefault="007B3D5C" w:rsidP="00456872">
      <w:pPr>
        <w:spacing w:after="240"/>
        <w:ind w:left="426"/>
        <w:jc w:val="both"/>
        <w:rPr>
          <w:rFonts w:ascii="Arial" w:hAnsi="Arial" w:cs="Arial"/>
          <w:sz w:val="18"/>
          <w:szCs w:val="18"/>
        </w:rPr>
      </w:pPr>
      <w:r w:rsidRPr="00D403F5">
        <w:rPr>
          <w:rFonts w:ascii="Arial" w:hAnsi="Arial" w:cs="Arial"/>
          <w:sz w:val="18"/>
          <w:szCs w:val="18"/>
        </w:rPr>
        <w:t xml:space="preserve">The </w:t>
      </w:r>
      <w:r w:rsidRPr="00D403F5">
        <w:rPr>
          <w:rFonts w:ascii="Arial" w:hAnsi="Arial" w:cs="Arial"/>
          <w:i/>
          <w:sz w:val="18"/>
          <w:szCs w:val="18"/>
        </w:rPr>
        <w:t>risk</w:t>
      </w:r>
      <w:r w:rsidRPr="00D403F5">
        <w:rPr>
          <w:rFonts w:ascii="Arial" w:hAnsi="Arial" w:cs="Arial"/>
          <w:sz w:val="18"/>
          <w:szCs w:val="18"/>
        </w:rPr>
        <w:t xml:space="preserve"> of transmitting </w:t>
      </w:r>
      <w:r w:rsidRPr="00D403F5">
        <w:rPr>
          <w:rFonts w:ascii="Arial" w:hAnsi="Arial" w:cs="Arial"/>
          <w:i/>
          <w:sz w:val="18"/>
          <w:szCs w:val="18"/>
        </w:rPr>
        <w:t>pathogenic agents</w:t>
      </w:r>
      <w:r w:rsidRPr="00D403F5">
        <w:rPr>
          <w:rFonts w:ascii="Arial" w:hAnsi="Arial" w:cs="Arial"/>
          <w:sz w:val="18"/>
          <w:szCs w:val="18"/>
        </w:rPr>
        <w:t xml:space="preserve"> via </w:t>
      </w:r>
      <w:r w:rsidRPr="00D403F5">
        <w:rPr>
          <w:rFonts w:ascii="Arial" w:hAnsi="Arial" w:cs="Arial"/>
          <w:i/>
          <w:sz w:val="18"/>
          <w:szCs w:val="18"/>
        </w:rPr>
        <w:t>aquatic animal feed</w:t>
      </w:r>
      <w:r w:rsidRPr="00D403F5">
        <w:rPr>
          <w:rFonts w:ascii="Arial" w:hAnsi="Arial" w:cs="Arial"/>
          <w:sz w:val="18"/>
          <w:szCs w:val="18"/>
        </w:rPr>
        <w:t xml:space="preserve"> </w:t>
      </w:r>
      <w:r w:rsidRPr="00D403F5">
        <w:rPr>
          <w:rFonts w:ascii="Arial" w:hAnsi="Arial" w:cs="Arial"/>
          <w:strike/>
          <w:sz w:val="18"/>
          <w:szCs w:val="18"/>
          <w:highlight w:val="yellow"/>
        </w:rPr>
        <w:t>can</w:t>
      </w:r>
      <w:r w:rsidRPr="00D403F5">
        <w:rPr>
          <w:rFonts w:ascii="Arial" w:hAnsi="Arial" w:cs="Arial"/>
          <w:sz w:val="18"/>
          <w:szCs w:val="18"/>
        </w:rPr>
        <w:t xml:space="preserve"> </w:t>
      </w:r>
      <w:r w:rsidRPr="00D403F5">
        <w:rPr>
          <w:rFonts w:ascii="Arial" w:hAnsi="Arial" w:cs="Arial"/>
          <w:sz w:val="18"/>
          <w:szCs w:val="18"/>
          <w:highlight w:val="yellow"/>
          <w:u w:val="double"/>
        </w:rPr>
        <w:t>should</w:t>
      </w:r>
      <w:r w:rsidRPr="00D403F5">
        <w:rPr>
          <w:rFonts w:ascii="Arial" w:hAnsi="Arial" w:cs="Arial"/>
          <w:sz w:val="18"/>
          <w:szCs w:val="18"/>
          <w:u w:val="double"/>
        </w:rPr>
        <w:t xml:space="preserve"> </w:t>
      </w:r>
      <w:r w:rsidRPr="00D403F5">
        <w:rPr>
          <w:rFonts w:ascii="Arial" w:hAnsi="Arial" w:cs="Arial"/>
          <w:sz w:val="18"/>
          <w:szCs w:val="18"/>
        </w:rPr>
        <w:t xml:space="preserve">be managed </w:t>
      </w:r>
      <w:r w:rsidRPr="00D403F5">
        <w:rPr>
          <w:rFonts w:ascii="Arial" w:hAnsi="Arial" w:cs="Arial"/>
          <w:sz w:val="18"/>
          <w:szCs w:val="18"/>
          <w:highlight w:val="yellow"/>
          <w:u w:val="double"/>
        </w:rPr>
        <w:t>by mitigation measures</w:t>
      </w:r>
      <w:r w:rsidRPr="00D403F5">
        <w:rPr>
          <w:rFonts w:ascii="Arial" w:hAnsi="Arial" w:cs="Arial"/>
          <w:sz w:val="18"/>
          <w:szCs w:val="18"/>
        </w:rPr>
        <w:t xml:space="preserve"> as </w:t>
      </w:r>
      <w:r w:rsidRPr="00D403F5">
        <w:rPr>
          <w:rFonts w:ascii="Arial" w:hAnsi="Arial" w:cs="Arial"/>
          <w:strike/>
          <w:sz w:val="18"/>
          <w:szCs w:val="18"/>
          <w:highlight w:val="yellow"/>
        </w:rPr>
        <w:t>described</w:t>
      </w:r>
      <w:r w:rsidRPr="00D403F5">
        <w:rPr>
          <w:rFonts w:ascii="Arial" w:hAnsi="Arial" w:cs="Arial"/>
          <w:sz w:val="18"/>
          <w:szCs w:val="18"/>
        </w:rPr>
        <w:t xml:space="preserve"> </w:t>
      </w:r>
      <w:r w:rsidRPr="00D403F5">
        <w:rPr>
          <w:rFonts w:ascii="Arial" w:hAnsi="Arial" w:cs="Arial"/>
          <w:sz w:val="18"/>
          <w:szCs w:val="18"/>
          <w:highlight w:val="yellow"/>
          <w:u w:val="double"/>
        </w:rPr>
        <w:t>provided</w:t>
      </w:r>
      <w:r w:rsidRPr="00D403F5">
        <w:rPr>
          <w:rFonts w:ascii="Arial" w:hAnsi="Arial" w:cs="Arial"/>
          <w:sz w:val="18"/>
          <w:szCs w:val="18"/>
          <w:u w:val="double"/>
        </w:rPr>
        <w:t xml:space="preserve"> </w:t>
      </w:r>
      <w:r w:rsidRPr="00D403F5">
        <w:rPr>
          <w:rFonts w:ascii="Arial" w:hAnsi="Arial" w:cs="Arial"/>
          <w:sz w:val="18"/>
          <w:szCs w:val="18"/>
        </w:rPr>
        <w:t>in Chapter 4.8., for example using</w:t>
      </w:r>
      <w:r w:rsidRPr="00D403F5">
        <w:rPr>
          <w:rFonts w:ascii="Arial" w:eastAsia="SimSun" w:hAnsi="Arial" w:cs="Arial"/>
          <w:sz w:val="18"/>
          <w:szCs w:val="18"/>
          <w:lang w:eastAsia="zh-CN"/>
        </w:rPr>
        <w:t xml:space="preserve"> </w:t>
      </w:r>
      <w:r w:rsidRPr="00D403F5">
        <w:rPr>
          <w:rFonts w:ascii="Arial" w:hAnsi="Arial" w:cs="Arial"/>
          <w:i/>
          <w:sz w:val="18"/>
          <w:szCs w:val="18"/>
          <w:lang w:val="en-AU"/>
        </w:rPr>
        <w:t>feed</w:t>
      </w:r>
      <w:r w:rsidRPr="00D403F5">
        <w:rPr>
          <w:rFonts w:ascii="Arial" w:hAnsi="Arial" w:cs="Arial"/>
          <w:sz w:val="18"/>
          <w:szCs w:val="18"/>
          <w:lang w:val="en-AU"/>
        </w:rPr>
        <w:t xml:space="preserve"> and </w:t>
      </w:r>
      <w:r w:rsidRPr="00D403F5">
        <w:rPr>
          <w:rFonts w:ascii="Arial" w:hAnsi="Arial" w:cs="Arial"/>
          <w:i/>
          <w:sz w:val="18"/>
          <w:szCs w:val="18"/>
          <w:lang w:val="en-AU"/>
        </w:rPr>
        <w:t>feed</w:t>
      </w:r>
      <w:r w:rsidRPr="00D403F5">
        <w:rPr>
          <w:rFonts w:ascii="Arial" w:hAnsi="Arial" w:cs="Arial"/>
          <w:sz w:val="18"/>
          <w:szCs w:val="18"/>
          <w:lang w:val="en-AU"/>
        </w:rPr>
        <w:t xml:space="preserve"> ingredients that</w:t>
      </w:r>
      <w:r w:rsidRPr="00D403F5">
        <w:rPr>
          <w:rFonts w:ascii="Arial" w:hAnsi="Arial" w:cs="Arial"/>
          <w:sz w:val="18"/>
          <w:szCs w:val="18"/>
        </w:rPr>
        <w:t>:</w:t>
      </w:r>
    </w:p>
    <w:p w14:paraId="70EF7B78"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a)</w:t>
      </w:r>
      <w:r w:rsidRPr="00D403F5">
        <w:rPr>
          <w:rFonts w:ascii="Arial" w:hAnsi="Arial" w:cs="Arial"/>
          <w:sz w:val="18"/>
          <w:szCs w:val="18"/>
          <w:lang w:val="en-AU"/>
        </w:rPr>
        <w:tab/>
        <w:t xml:space="preserve">have undergone sufficient processing to inactivate </w:t>
      </w:r>
      <w:r w:rsidRPr="00D403F5">
        <w:rPr>
          <w:rFonts w:ascii="Arial" w:hAnsi="Arial" w:cs="Arial"/>
          <w:i/>
          <w:sz w:val="18"/>
          <w:szCs w:val="18"/>
          <w:lang w:val="en-AU"/>
        </w:rPr>
        <w:t>pathogenic agents</w:t>
      </w:r>
      <w:r w:rsidRPr="00D403F5">
        <w:rPr>
          <w:rFonts w:ascii="Arial" w:hAnsi="Arial" w:cs="Arial"/>
          <w:sz w:val="18"/>
          <w:szCs w:val="18"/>
          <w:lang w:val="en-AU"/>
        </w:rPr>
        <w:t xml:space="preserve"> of concern;</w:t>
      </w:r>
    </w:p>
    <w:p w14:paraId="2E60972B"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b)</w:t>
      </w:r>
      <w:r w:rsidRPr="00D403F5">
        <w:rPr>
          <w:rFonts w:ascii="Arial" w:hAnsi="Arial" w:cs="Arial"/>
          <w:sz w:val="18"/>
          <w:szCs w:val="18"/>
          <w:lang w:val="en-AU"/>
        </w:rPr>
        <w:tab/>
        <w:t xml:space="preserve">are from sources that are declared free from the </w:t>
      </w:r>
      <w:r w:rsidRPr="00D403F5">
        <w:rPr>
          <w:rFonts w:ascii="Arial" w:hAnsi="Arial" w:cs="Arial"/>
          <w:i/>
          <w:sz w:val="18"/>
          <w:szCs w:val="18"/>
          <w:lang w:val="en-AU"/>
        </w:rPr>
        <w:t>pathogenic agents</w:t>
      </w:r>
      <w:r w:rsidRPr="00D403F5">
        <w:rPr>
          <w:rFonts w:ascii="Arial" w:hAnsi="Arial" w:cs="Arial"/>
          <w:sz w:val="18"/>
          <w:szCs w:val="18"/>
          <w:lang w:val="en-AU"/>
        </w:rPr>
        <w:t xml:space="preserve"> of concern or have been confirmed (e.g. by testing) that </w:t>
      </w:r>
      <w:hyperlink r:id="rId44" w:anchor="terme_agent_pathogene" w:history="1">
        <w:r w:rsidRPr="00D403F5">
          <w:rPr>
            <w:rFonts w:ascii="Arial" w:hAnsi="Arial" w:cs="Arial"/>
            <w:i/>
            <w:sz w:val="18"/>
            <w:szCs w:val="18"/>
            <w:lang w:val="en-AU"/>
          </w:rPr>
          <w:t>pathogenic agents</w:t>
        </w:r>
      </w:hyperlink>
      <w:r w:rsidRPr="00D403F5">
        <w:rPr>
          <w:rFonts w:ascii="Arial" w:hAnsi="Arial" w:cs="Arial"/>
          <w:i/>
          <w:sz w:val="18"/>
          <w:szCs w:val="18"/>
          <w:lang w:val="en-AU"/>
        </w:rPr>
        <w:t> </w:t>
      </w:r>
      <w:r w:rsidRPr="00D403F5">
        <w:rPr>
          <w:rFonts w:ascii="Arial" w:hAnsi="Arial" w:cs="Arial"/>
          <w:sz w:val="18"/>
          <w:szCs w:val="18"/>
          <w:lang w:val="en-AU"/>
        </w:rPr>
        <w:t xml:space="preserve">are not present in the </w:t>
      </w:r>
      <w:r w:rsidRPr="00D403F5">
        <w:rPr>
          <w:rFonts w:ascii="Arial" w:hAnsi="Arial" w:cs="Arial"/>
          <w:i/>
          <w:iCs/>
          <w:sz w:val="18"/>
          <w:szCs w:val="18"/>
          <w:highlight w:val="yellow"/>
          <w:u w:val="double"/>
          <w:lang w:val="en-AU"/>
        </w:rPr>
        <w:t>feed or feed ingredients</w:t>
      </w:r>
      <w:r w:rsidRPr="00D403F5">
        <w:rPr>
          <w:rFonts w:ascii="Arial" w:hAnsi="Arial" w:cs="Arial"/>
          <w:sz w:val="18"/>
          <w:szCs w:val="18"/>
          <w:lang w:val="en-AU"/>
        </w:rPr>
        <w:t> </w:t>
      </w:r>
      <w:hyperlink r:id="rId45" w:anchor="terme_marchandise" w:history="1">
        <w:r w:rsidRPr="00D403F5">
          <w:rPr>
            <w:rFonts w:ascii="Arial" w:hAnsi="Arial" w:cs="Arial"/>
            <w:i/>
            <w:strike/>
            <w:sz w:val="18"/>
            <w:szCs w:val="18"/>
            <w:highlight w:val="yellow"/>
            <w:lang w:val="en-AU"/>
          </w:rPr>
          <w:t>commodity</w:t>
        </w:r>
      </w:hyperlink>
      <w:r w:rsidRPr="00D403F5">
        <w:rPr>
          <w:rFonts w:ascii="Arial" w:hAnsi="Arial" w:cs="Arial"/>
          <w:sz w:val="18"/>
          <w:szCs w:val="18"/>
          <w:lang w:val="en-AU"/>
        </w:rPr>
        <w:t>;</w:t>
      </w:r>
    </w:p>
    <w:p w14:paraId="4A9407BD" w14:textId="77777777" w:rsidR="007B3D5C" w:rsidRPr="00D403F5" w:rsidRDefault="007B3D5C" w:rsidP="00456872">
      <w:pPr>
        <w:autoSpaceDE w:val="0"/>
        <w:autoSpaceDN w:val="0"/>
        <w:adjustRightInd w:val="0"/>
        <w:spacing w:after="240"/>
        <w:ind w:left="851" w:hanging="425"/>
        <w:jc w:val="both"/>
        <w:rPr>
          <w:rFonts w:ascii="Arial" w:hAnsi="Arial" w:cs="Arial"/>
          <w:sz w:val="18"/>
          <w:szCs w:val="18"/>
          <w:lang w:val="en-AU"/>
        </w:rPr>
      </w:pPr>
      <w:r w:rsidRPr="00D403F5">
        <w:rPr>
          <w:rFonts w:ascii="Arial" w:hAnsi="Arial" w:cs="Arial"/>
          <w:i/>
          <w:sz w:val="18"/>
          <w:szCs w:val="18"/>
          <w:lang w:val="en-AU"/>
        </w:rPr>
        <w:t>c)</w:t>
      </w:r>
      <w:r w:rsidRPr="00D403F5">
        <w:rPr>
          <w:rFonts w:ascii="Arial" w:hAnsi="Arial" w:cs="Arial"/>
          <w:sz w:val="18"/>
          <w:szCs w:val="18"/>
          <w:lang w:val="en-AU"/>
        </w:rPr>
        <w:tab/>
        <w:t xml:space="preserve">have been processed, manufactured, stored, </w:t>
      </w:r>
      <w:r w:rsidRPr="00D403F5">
        <w:rPr>
          <w:rFonts w:ascii="Arial" w:hAnsi="Arial" w:cs="Arial"/>
          <w:strike/>
          <w:sz w:val="18"/>
          <w:szCs w:val="18"/>
          <w:highlight w:val="yellow"/>
          <w:lang w:val="en-AU"/>
        </w:rPr>
        <w:t>and</w:t>
      </w:r>
      <w:r w:rsidRPr="00D403F5">
        <w:rPr>
          <w:rFonts w:ascii="Arial" w:hAnsi="Arial" w:cs="Arial"/>
          <w:sz w:val="18"/>
          <w:szCs w:val="18"/>
          <w:lang w:val="en-AU"/>
        </w:rPr>
        <w:t xml:space="preserve"> transported </w:t>
      </w:r>
      <w:r w:rsidRPr="00D403F5">
        <w:rPr>
          <w:rFonts w:ascii="Arial" w:hAnsi="Arial" w:cs="Arial"/>
          <w:sz w:val="18"/>
          <w:szCs w:val="18"/>
          <w:highlight w:val="yellow"/>
          <w:u w:val="double"/>
          <w:lang w:val="en-AU"/>
        </w:rPr>
        <w:t>and</w:t>
      </w:r>
      <w:r w:rsidRPr="00D403F5">
        <w:rPr>
          <w:rFonts w:ascii="Arial" w:hAnsi="Arial" w:cs="Arial"/>
          <w:sz w:val="18"/>
          <w:szCs w:val="18"/>
          <w:highlight w:val="yellow"/>
          <w:lang w:val="en-AU"/>
        </w:rPr>
        <w:t xml:space="preserve"> </w:t>
      </w:r>
      <w:r w:rsidRPr="00D403F5">
        <w:rPr>
          <w:rFonts w:ascii="Arial" w:hAnsi="Arial" w:cs="Arial"/>
          <w:sz w:val="18"/>
          <w:szCs w:val="18"/>
          <w:highlight w:val="yellow"/>
          <w:u w:val="double"/>
          <w:lang w:val="en-AU"/>
        </w:rPr>
        <w:t xml:space="preserve">delivered during feeding to </w:t>
      </w:r>
      <w:r w:rsidRPr="00D403F5">
        <w:rPr>
          <w:rFonts w:ascii="Arial" w:hAnsi="Arial" w:cs="Arial"/>
          <w:i/>
          <w:iCs/>
          <w:sz w:val="18"/>
          <w:szCs w:val="18"/>
          <w:highlight w:val="yellow"/>
          <w:u w:val="double"/>
          <w:lang w:val="en-AU"/>
        </w:rPr>
        <w:t>aquatic animals</w:t>
      </w:r>
      <w:r w:rsidRPr="00D403F5">
        <w:rPr>
          <w:rFonts w:ascii="Arial" w:hAnsi="Arial" w:cs="Arial"/>
          <w:sz w:val="18"/>
          <w:szCs w:val="18"/>
          <w:lang w:val="en-AU"/>
        </w:rPr>
        <w:t xml:space="preserve"> in a manner to prevent contamination by </w:t>
      </w:r>
      <w:hyperlink r:id="rId46" w:anchor="terme_agent_pathogene" w:history="1">
        <w:r w:rsidRPr="00D403F5">
          <w:rPr>
            <w:rFonts w:ascii="Arial" w:hAnsi="Arial" w:cs="Arial"/>
            <w:i/>
            <w:sz w:val="18"/>
            <w:szCs w:val="18"/>
            <w:lang w:val="en-AU"/>
          </w:rPr>
          <w:t>pathogenic agents</w:t>
        </w:r>
      </w:hyperlink>
      <w:r w:rsidRPr="00D403F5">
        <w:rPr>
          <w:rFonts w:ascii="Arial" w:hAnsi="Arial" w:cs="Arial"/>
          <w:sz w:val="18"/>
          <w:szCs w:val="18"/>
          <w:lang w:val="en-AU"/>
        </w:rPr>
        <w:t xml:space="preserve">. </w:t>
      </w:r>
    </w:p>
    <w:p w14:paraId="2BF9C390" w14:textId="77777777" w:rsidR="007B3D5C" w:rsidRPr="00D403F5" w:rsidRDefault="007B3D5C" w:rsidP="00456872">
      <w:pPr>
        <w:spacing w:after="240"/>
        <w:ind w:left="426" w:hanging="426"/>
        <w:jc w:val="both"/>
        <w:rPr>
          <w:rFonts w:ascii="Arial" w:hAnsi="Arial" w:cs="Arial"/>
          <w:color w:val="000000"/>
          <w:sz w:val="18"/>
          <w:szCs w:val="18"/>
          <w:u w:val="single"/>
        </w:rPr>
      </w:pPr>
      <w:r w:rsidRPr="00D403F5">
        <w:rPr>
          <w:rFonts w:ascii="Arial" w:hAnsi="Arial" w:cs="Arial"/>
          <w:color w:val="000000"/>
          <w:sz w:val="18"/>
          <w:szCs w:val="18"/>
        </w:rPr>
        <w:t>5.</w:t>
      </w:r>
      <w:r w:rsidRPr="00D403F5">
        <w:rPr>
          <w:rFonts w:ascii="Arial" w:hAnsi="Arial" w:cs="Arial"/>
          <w:color w:val="000000"/>
          <w:sz w:val="18"/>
          <w:szCs w:val="18"/>
        </w:rPr>
        <w:tab/>
      </w:r>
      <w:r w:rsidRPr="00D403F5">
        <w:rPr>
          <w:rFonts w:ascii="Arial" w:hAnsi="Arial" w:cs="Arial"/>
          <w:color w:val="000000"/>
          <w:sz w:val="18"/>
          <w:szCs w:val="18"/>
          <w:u w:val="single"/>
        </w:rPr>
        <w:t>Fomites</w:t>
      </w:r>
    </w:p>
    <w:p w14:paraId="27D0465A"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color w:val="000000"/>
          <w:sz w:val="18"/>
          <w:szCs w:val="18"/>
        </w:rPr>
        <w:t xml:space="preserve">Equipment, </w:t>
      </w:r>
      <w:r w:rsidRPr="00D403F5">
        <w:rPr>
          <w:rFonts w:ascii="Arial" w:hAnsi="Arial" w:cs="Arial"/>
          <w:i/>
          <w:color w:val="000000"/>
          <w:sz w:val="18"/>
          <w:szCs w:val="18"/>
        </w:rPr>
        <w:t>vehicles</w:t>
      </w:r>
      <w:r w:rsidRPr="00D403F5">
        <w:rPr>
          <w:rFonts w:ascii="Arial" w:hAnsi="Arial" w:cs="Arial"/>
          <w:color w:val="000000"/>
          <w:sz w:val="18"/>
          <w:szCs w:val="18"/>
        </w:rPr>
        <w:t xml:space="preserve">, </w:t>
      </w:r>
      <w:r w:rsidRPr="00D403F5">
        <w:rPr>
          <w:rFonts w:ascii="Arial" w:eastAsia="SimSun" w:hAnsi="Arial" w:cs="Arial"/>
          <w:sz w:val="18"/>
          <w:szCs w:val="18"/>
          <w:highlight w:val="yellow"/>
          <w:u w:val="double"/>
        </w:rPr>
        <w:t>packaging material,</w:t>
      </w:r>
      <w:r w:rsidRPr="00D403F5">
        <w:rPr>
          <w:rFonts w:ascii="Arial" w:eastAsia="SimSun" w:hAnsi="Arial" w:cs="Arial"/>
          <w:sz w:val="18"/>
          <w:szCs w:val="18"/>
          <w:u w:val="double"/>
        </w:rPr>
        <w:t xml:space="preserve"> </w:t>
      </w:r>
      <w:r w:rsidRPr="00D403F5">
        <w:rPr>
          <w:rFonts w:ascii="Arial" w:hAnsi="Arial" w:cs="Arial"/>
          <w:color w:val="000000"/>
          <w:sz w:val="18"/>
          <w:szCs w:val="18"/>
        </w:rPr>
        <w:t xml:space="preserve">clothing, </w:t>
      </w:r>
      <w:r w:rsidRPr="00D403F5">
        <w:rPr>
          <w:rFonts w:ascii="Arial" w:hAnsi="Arial" w:cs="Arial"/>
          <w:color w:val="000000"/>
          <w:sz w:val="18"/>
          <w:szCs w:val="18"/>
          <w:u w:val="double"/>
        </w:rPr>
        <w:t>footwear,</w:t>
      </w:r>
      <w:r w:rsidRPr="00D403F5">
        <w:rPr>
          <w:rFonts w:ascii="Arial" w:hAnsi="Arial" w:cs="Arial"/>
          <w:color w:val="000000"/>
          <w:sz w:val="18"/>
          <w:szCs w:val="18"/>
        </w:rPr>
        <w:t xml:space="preserve"> sediments, infrastructure and other fomites can mechanically transfer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within and from an </w:t>
      </w:r>
      <w:r w:rsidRPr="00D403F5">
        <w:rPr>
          <w:rFonts w:ascii="Arial" w:hAnsi="Arial" w:cs="Arial"/>
          <w:i/>
          <w:color w:val="000000"/>
          <w:sz w:val="18"/>
          <w:szCs w:val="18"/>
        </w:rPr>
        <w:t>aquaculture establishment</w:t>
      </w:r>
      <w:r w:rsidRPr="00D403F5">
        <w:rPr>
          <w:rFonts w:ascii="Arial" w:hAnsi="Arial" w:cs="Arial"/>
          <w:color w:val="000000"/>
          <w:sz w:val="18"/>
          <w:szCs w:val="18"/>
        </w:rPr>
        <w:t>.</w:t>
      </w:r>
    </w:p>
    <w:p w14:paraId="7C27B8C4" w14:textId="77777777" w:rsidR="007B3D5C" w:rsidRPr="00D403F5" w:rsidRDefault="007B3D5C" w:rsidP="00456872">
      <w:pPr>
        <w:spacing w:after="240"/>
        <w:ind w:left="426"/>
        <w:jc w:val="both"/>
        <w:rPr>
          <w:rFonts w:ascii="Arial" w:hAnsi="Arial" w:cs="Arial"/>
          <w:color w:val="000000"/>
          <w:sz w:val="18"/>
          <w:szCs w:val="18"/>
        </w:rPr>
      </w:pPr>
      <w:r w:rsidRPr="00D403F5">
        <w:rPr>
          <w:rFonts w:ascii="Arial" w:hAnsi="Arial" w:cs="Arial"/>
          <w:color w:val="000000"/>
          <w:sz w:val="18"/>
          <w:szCs w:val="18"/>
        </w:rPr>
        <w:t xml:space="preserve">The </w:t>
      </w:r>
      <w:r w:rsidRPr="00D403F5">
        <w:rPr>
          <w:rFonts w:ascii="Arial" w:hAnsi="Arial" w:cs="Arial"/>
          <w:strike/>
          <w:color w:val="000000"/>
          <w:sz w:val="18"/>
          <w:szCs w:val="18"/>
          <w:highlight w:val="yellow"/>
        </w:rPr>
        <w:t xml:space="preserve">level of </w:t>
      </w:r>
      <w:r w:rsidRPr="00D403F5">
        <w:rPr>
          <w:rFonts w:ascii="Arial" w:hAnsi="Arial" w:cs="Arial"/>
          <w:i/>
          <w:strike/>
          <w:color w:val="000000"/>
          <w:sz w:val="18"/>
          <w:szCs w:val="18"/>
          <w:highlight w:val="yellow"/>
        </w:rPr>
        <w:t>risk</w:t>
      </w:r>
      <w:r w:rsidRPr="00D403F5">
        <w:rPr>
          <w:rFonts w:ascii="Arial" w:hAnsi="Arial" w:cs="Arial"/>
          <w:i/>
          <w:color w:val="000000"/>
          <w:sz w:val="18"/>
          <w:szCs w:val="18"/>
        </w:rPr>
        <w:t xml:space="preserve"> </w:t>
      </w:r>
      <w:r w:rsidRPr="00D403F5">
        <w:rPr>
          <w:rFonts w:ascii="Arial" w:hAnsi="Arial" w:cs="Arial"/>
          <w:color w:val="000000"/>
          <w:sz w:val="18"/>
          <w:szCs w:val="18"/>
          <w:highlight w:val="yellow"/>
          <w:u w:val="double"/>
        </w:rPr>
        <w:t>likelihood</w:t>
      </w:r>
      <w:r w:rsidRPr="00D403F5">
        <w:rPr>
          <w:rFonts w:ascii="Arial" w:hAnsi="Arial" w:cs="Arial"/>
          <w:color w:val="000000"/>
          <w:sz w:val="18"/>
          <w:szCs w:val="18"/>
        </w:rPr>
        <w:t xml:space="preserve"> of transferring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 xml:space="preserve">will depend on the </w:t>
      </w:r>
      <w:r w:rsidRPr="00D403F5">
        <w:rPr>
          <w:rFonts w:ascii="Arial" w:hAnsi="Arial" w:cs="Arial"/>
          <w:color w:val="000000"/>
          <w:sz w:val="18"/>
          <w:szCs w:val="18"/>
          <w:highlight w:val="yellow"/>
          <w:u w:val="double"/>
        </w:rPr>
        <w:t>stability of the pathogenic agent in the environment,</w:t>
      </w:r>
      <w:r w:rsidRPr="00D403F5">
        <w:rPr>
          <w:rFonts w:ascii="Arial" w:hAnsi="Arial" w:cs="Arial"/>
          <w:color w:val="000000"/>
          <w:sz w:val="18"/>
          <w:szCs w:val="18"/>
          <w:u w:val="double"/>
        </w:rPr>
        <w:t xml:space="preserve"> </w:t>
      </w:r>
      <w:r w:rsidRPr="00D403F5">
        <w:rPr>
          <w:rFonts w:ascii="Arial" w:hAnsi="Arial" w:cs="Arial"/>
          <w:color w:val="000000"/>
          <w:sz w:val="18"/>
          <w:szCs w:val="18"/>
          <w:highlight w:val="yellow"/>
          <w:u w:val="double"/>
        </w:rPr>
        <w:t>the</w:t>
      </w:r>
      <w:r w:rsidRPr="00D403F5">
        <w:rPr>
          <w:rFonts w:ascii="Arial" w:hAnsi="Arial" w:cs="Arial"/>
          <w:color w:val="000000"/>
          <w:sz w:val="18"/>
          <w:szCs w:val="18"/>
          <w:u w:val="double"/>
        </w:rPr>
        <w:t xml:space="preserve"> </w:t>
      </w:r>
      <w:r w:rsidRPr="00D403F5">
        <w:rPr>
          <w:rFonts w:ascii="Arial" w:hAnsi="Arial" w:cs="Arial"/>
          <w:color w:val="000000"/>
          <w:sz w:val="18"/>
          <w:szCs w:val="18"/>
        </w:rPr>
        <w:t xml:space="preserve">presence and nature of organic matter on the fomite surface, as well as the type of surface and its </w:t>
      </w:r>
      <w:r w:rsidRPr="00D403F5">
        <w:rPr>
          <w:rFonts w:ascii="Arial" w:hAnsi="Arial" w:cs="Arial"/>
          <w:strike/>
          <w:color w:val="000000"/>
          <w:sz w:val="18"/>
          <w:szCs w:val="18"/>
          <w:highlight w:val="yellow"/>
        </w:rPr>
        <w:t>ability</w:t>
      </w:r>
      <w:r w:rsidRPr="00D403F5">
        <w:rPr>
          <w:rFonts w:ascii="Arial" w:hAnsi="Arial" w:cs="Arial"/>
          <w:color w:val="000000"/>
          <w:sz w:val="18"/>
          <w:szCs w:val="18"/>
        </w:rPr>
        <w:t xml:space="preserve"> </w:t>
      </w:r>
      <w:r w:rsidRPr="00D403F5">
        <w:rPr>
          <w:rFonts w:ascii="Arial" w:hAnsi="Arial" w:cs="Arial"/>
          <w:color w:val="000000"/>
          <w:sz w:val="18"/>
          <w:szCs w:val="18"/>
          <w:highlight w:val="yellow"/>
          <w:u w:val="double"/>
        </w:rPr>
        <w:t>capacity</w:t>
      </w:r>
      <w:r w:rsidRPr="00D403F5">
        <w:rPr>
          <w:rFonts w:ascii="Arial" w:hAnsi="Arial" w:cs="Arial"/>
          <w:color w:val="000000"/>
          <w:sz w:val="18"/>
          <w:szCs w:val="18"/>
        </w:rPr>
        <w:t xml:space="preserve"> to hold water. The </w:t>
      </w:r>
      <w:r w:rsidRPr="00D403F5">
        <w:rPr>
          <w:rFonts w:ascii="Arial" w:hAnsi="Arial" w:cs="Arial"/>
          <w:i/>
          <w:strike/>
          <w:color w:val="000000"/>
          <w:sz w:val="18"/>
          <w:szCs w:val="18"/>
          <w:highlight w:val="yellow"/>
        </w:rPr>
        <w:t>risk</w:t>
      </w:r>
      <w:r w:rsidRPr="00D403F5">
        <w:rPr>
          <w:rFonts w:ascii="Arial" w:hAnsi="Arial" w:cs="Arial"/>
          <w:iCs/>
          <w:color w:val="000000"/>
          <w:sz w:val="18"/>
          <w:szCs w:val="18"/>
        </w:rPr>
        <w:t xml:space="preserve"> </w:t>
      </w:r>
      <w:r w:rsidRPr="00D403F5">
        <w:rPr>
          <w:rFonts w:ascii="Arial" w:hAnsi="Arial" w:cs="Arial"/>
          <w:iCs/>
          <w:color w:val="000000"/>
          <w:sz w:val="18"/>
          <w:szCs w:val="18"/>
          <w:highlight w:val="yellow"/>
          <w:u w:val="double"/>
        </w:rPr>
        <w:t>likelihood</w:t>
      </w:r>
      <w:r w:rsidRPr="00D403F5">
        <w:rPr>
          <w:rFonts w:ascii="Arial" w:hAnsi="Arial" w:cs="Arial"/>
          <w:color w:val="000000"/>
          <w:sz w:val="18"/>
          <w:szCs w:val="18"/>
        </w:rPr>
        <w:t xml:space="preserve"> of transferring </w:t>
      </w:r>
      <w:r w:rsidRPr="00D403F5">
        <w:rPr>
          <w:rFonts w:ascii="Arial" w:hAnsi="Arial" w:cs="Arial"/>
          <w:i/>
          <w:color w:val="000000"/>
          <w:sz w:val="18"/>
          <w:szCs w:val="18"/>
        </w:rPr>
        <w:t xml:space="preserve">pathogenic agents </w:t>
      </w:r>
      <w:r w:rsidRPr="00D403F5">
        <w:rPr>
          <w:rFonts w:ascii="Arial" w:hAnsi="Arial" w:cs="Arial"/>
          <w:color w:val="000000"/>
          <w:sz w:val="18"/>
          <w:szCs w:val="18"/>
        </w:rPr>
        <w:t>may be higher for fomites which are difficult to clean and disinfect.</w:t>
      </w:r>
      <w:r w:rsidRPr="00D403F5">
        <w:rPr>
          <w:rFonts w:ascii="Arial" w:eastAsia="SimSun" w:hAnsi="Arial" w:cs="Arial"/>
          <w:color w:val="000000"/>
          <w:sz w:val="18"/>
          <w:szCs w:val="18"/>
          <w:lang w:eastAsia="zh-CN"/>
        </w:rPr>
        <w:t xml:space="preserve"> </w:t>
      </w:r>
      <w:r w:rsidRPr="00D403F5">
        <w:rPr>
          <w:rFonts w:ascii="Arial" w:eastAsia="SimSun" w:hAnsi="Arial" w:cs="Arial"/>
          <w:color w:val="000000"/>
          <w:sz w:val="18"/>
          <w:szCs w:val="18"/>
          <w:highlight w:val="yellow"/>
          <w:u w:val="double"/>
          <w:lang w:eastAsia="zh-CN"/>
        </w:rPr>
        <w:t>Sharing e</w:t>
      </w:r>
      <w:r w:rsidRPr="00D403F5">
        <w:rPr>
          <w:rFonts w:ascii="Arial" w:hAnsi="Arial" w:cs="Arial"/>
          <w:strike/>
          <w:color w:val="000000"/>
          <w:sz w:val="18"/>
          <w:szCs w:val="18"/>
          <w:highlight w:val="yellow"/>
        </w:rPr>
        <w:t>E</w:t>
      </w:r>
      <w:r w:rsidRPr="00D403F5">
        <w:rPr>
          <w:rFonts w:ascii="Arial" w:hAnsi="Arial" w:cs="Arial"/>
          <w:color w:val="000000"/>
          <w:sz w:val="18"/>
          <w:szCs w:val="18"/>
        </w:rPr>
        <w:t xml:space="preserve">quipment </w:t>
      </w:r>
      <w:r w:rsidRPr="00D403F5">
        <w:rPr>
          <w:rFonts w:ascii="Arial" w:hAnsi="Arial" w:cs="Arial"/>
          <w:strike/>
          <w:color w:val="000000"/>
          <w:sz w:val="18"/>
          <w:szCs w:val="18"/>
          <w:highlight w:val="yellow"/>
        </w:rPr>
        <w:t>that is shared</w:t>
      </w:r>
      <w:r w:rsidRPr="00D403F5">
        <w:rPr>
          <w:rFonts w:ascii="Arial" w:hAnsi="Arial" w:cs="Arial"/>
          <w:color w:val="000000"/>
          <w:sz w:val="18"/>
          <w:szCs w:val="18"/>
        </w:rPr>
        <w:t xml:space="preserve"> between </w:t>
      </w:r>
      <w:r w:rsidRPr="00D403F5">
        <w:rPr>
          <w:rFonts w:ascii="Arial" w:hAnsi="Arial" w:cs="Arial"/>
          <w:i/>
          <w:color w:val="000000"/>
          <w:sz w:val="18"/>
          <w:szCs w:val="18"/>
        </w:rPr>
        <w:t xml:space="preserve">aquaculture establishments, </w:t>
      </w:r>
      <w:r w:rsidRPr="00D403F5">
        <w:rPr>
          <w:rFonts w:ascii="Arial" w:hAnsi="Arial" w:cs="Arial"/>
          <w:color w:val="000000"/>
          <w:sz w:val="18"/>
          <w:szCs w:val="18"/>
        </w:rPr>
        <w:t>between</w:t>
      </w:r>
      <w:r w:rsidRPr="00D403F5">
        <w:rPr>
          <w:rFonts w:ascii="Arial" w:hAnsi="Arial" w:cs="Arial"/>
          <w:i/>
          <w:color w:val="000000"/>
          <w:sz w:val="18"/>
          <w:szCs w:val="18"/>
        </w:rPr>
        <w:t xml:space="preserve"> aquaculture establishments </w:t>
      </w:r>
      <w:r w:rsidRPr="00D403F5">
        <w:rPr>
          <w:rFonts w:ascii="Arial" w:hAnsi="Arial" w:cs="Arial"/>
          <w:color w:val="000000"/>
          <w:sz w:val="18"/>
          <w:szCs w:val="18"/>
        </w:rPr>
        <w:t>and</w:t>
      </w:r>
      <w:r w:rsidRPr="00D403F5">
        <w:rPr>
          <w:rFonts w:ascii="Arial" w:eastAsia="SimSun" w:hAnsi="Arial" w:cs="Arial"/>
          <w:color w:val="000000"/>
          <w:sz w:val="18"/>
          <w:szCs w:val="18"/>
          <w:lang w:eastAsia="zh-CN"/>
        </w:rPr>
        <w:t xml:space="preserve"> </w:t>
      </w:r>
      <w:r w:rsidRPr="00D403F5">
        <w:rPr>
          <w:rFonts w:ascii="Arial" w:hAnsi="Arial" w:cs="Arial"/>
          <w:color w:val="000000"/>
          <w:sz w:val="18"/>
          <w:szCs w:val="18"/>
        </w:rPr>
        <w:t xml:space="preserve">processing facilities, or between different production units </w:t>
      </w:r>
      <w:r w:rsidRPr="00D403F5">
        <w:rPr>
          <w:rFonts w:ascii="Arial" w:hAnsi="Arial" w:cs="Arial"/>
          <w:color w:val="000000"/>
          <w:sz w:val="18"/>
          <w:szCs w:val="18"/>
          <w:highlight w:val="yellow"/>
          <w:u w:val="double"/>
        </w:rPr>
        <w:t>with unequal health status</w:t>
      </w:r>
      <w:r w:rsidRPr="00D403F5">
        <w:rPr>
          <w:rFonts w:ascii="Arial" w:hAnsi="Arial" w:cs="Arial"/>
          <w:color w:val="000000"/>
          <w:sz w:val="18"/>
          <w:szCs w:val="18"/>
        </w:rPr>
        <w:t xml:space="preserve"> within an </w:t>
      </w:r>
      <w:r w:rsidRPr="00D403F5">
        <w:rPr>
          <w:rFonts w:ascii="Arial" w:hAnsi="Arial" w:cs="Arial"/>
          <w:i/>
          <w:color w:val="000000"/>
          <w:sz w:val="18"/>
          <w:szCs w:val="18"/>
        </w:rPr>
        <w:t>aquaculture establishment</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rPr>
        <w:t>with unequal health status,</w:t>
      </w:r>
      <w:r w:rsidRPr="00D403F5">
        <w:rPr>
          <w:rFonts w:ascii="Arial" w:hAnsi="Arial" w:cs="Arial"/>
          <w:color w:val="000000"/>
          <w:sz w:val="18"/>
          <w:szCs w:val="18"/>
        </w:rPr>
        <w:t xml:space="preserve"> may </w:t>
      </w:r>
      <w:r w:rsidRPr="00D403F5">
        <w:rPr>
          <w:rFonts w:ascii="Arial" w:hAnsi="Arial" w:cs="Arial"/>
          <w:color w:val="000000"/>
          <w:sz w:val="18"/>
          <w:szCs w:val="18"/>
          <w:highlight w:val="yellow"/>
          <w:u w:val="double"/>
        </w:rPr>
        <w:t xml:space="preserve">result in the spread of </w:t>
      </w:r>
      <w:r w:rsidRPr="00D403F5">
        <w:rPr>
          <w:rFonts w:ascii="Arial" w:hAnsi="Arial" w:cs="Arial"/>
          <w:i/>
          <w:iCs/>
          <w:color w:val="000000"/>
          <w:sz w:val="18"/>
          <w:szCs w:val="18"/>
          <w:highlight w:val="yellow"/>
          <w:u w:val="double"/>
        </w:rPr>
        <w:t>pathogenic agents</w:t>
      </w:r>
      <w:r w:rsidRPr="00D403F5">
        <w:rPr>
          <w:rFonts w:ascii="Arial" w:hAnsi="Arial" w:cs="Arial"/>
          <w:i/>
          <w:iCs/>
          <w:color w:val="000000"/>
          <w:sz w:val="18"/>
          <w:szCs w:val="18"/>
          <w:u w:val="double"/>
        </w:rPr>
        <w:t xml:space="preserve"> </w:t>
      </w:r>
      <w:r w:rsidRPr="00D403F5">
        <w:rPr>
          <w:rFonts w:ascii="Arial" w:hAnsi="Arial" w:cs="Arial"/>
          <w:strike/>
          <w:color w:val="000000"/>
          <w:sz w:val="18"/>
          <w:szCs w:val="18"/>
          <w:highlight w:val="yellow"/>
        </w:rPr>
        <w:t xml:space="preserve">present a higher </w:t>
      </w:r>
      <w:r w:rsidRPr="00D403F5">
        <w:rPr>
          <w:rFonts w:ascii="Arial" w:hAnsi="Arial" w:cs="Arial"/>
          <w:i/>
          <w:strike/>
          <w:color w:val="000000"/>
          <w:sz w:val="18"/>
          <w:szCs w:val="18"/>
          <w:highlight w:val="yellow"/>
        </w:rPr>
        <w:t>risk</w:t>
      </w:r>
      <w:r w:rsidRPr="00D403F5">
        <w:rPr>
          <w:rFonts w:ascii="Arial" w:hAnsi="Arial" w:cs="Arial"/>
          <w:strike/>
          <w:color w:val="000000"/>
          <w:sz w:val="18"/>
          <w:szCs w:val="18"/>
          <w:highlight w:val="yellow"/>
        </w:rPr>
        <w:t xml:space="preserve"> </w:t>
      </w:r>
      <w:r w:rsidRPr="00D403F5">
        <w:rPr>
          <w:rFonts w:ascii="Arial" w:hAnsi="Arial" w:cs="Arial"/>
          <w:strike/>
          <w:color w:val="000000"/>
          <w:sz w:val="18"/>
          <w:szCs w:val="18"/>
          <w:highlight w:val="yellow"/>
          <w:u w:val="double"/>
        </w:rPr>
        <w:t xml:space="preserve">than </w:t>
      </w:r>
      <w:r w:rsidRPr="00D403F5">
        <w:rPr>
          <w:rFonts w:ascii="Arial" w:hAnsi="Arial" w:cs="Arial"/>
          <w:strike/>
          <w:color w:val="000000"/>
          <w:sz w:val="18"/>
          <w:szCs w:val="18"/>
          <w:highlight w:val="yellow"/>
        </w:rPr>
        <w:t>compared to new or dedicated equipment</w:t>
      </w:r>
      <w:r w:rsidRPr="00D403F5">
        <w:rPr>
          <w:rFonts w:ascii="Arial" w:hAnsi="Arial" w:cs="Arial"/>
          <w:strike/>
          <w:color w:val="000000"/>
          <w:sz w:val="18"/>
          <w:szCs w:val="18"/>
        </w:rPr>
        <w:t>.</w:t>
      </w:r>
      <w:r w:rsidRPr="00D403F5">
        <w:rPr>
          <w:rFonts w:ascii="Arial" w:eastAsia="SimSun" w:hAnsi="Arial" w:cs="Arial"/>
          <w:color w:val="000000"/>
          <w:sz w:val="18"/>
          <w:szCs w:val="18"/>
          <w:lang w:eastAsia="zh-CN"/>
        </w:rPr>
        <w:t xml:space="preserve"> </w:t>
      </w:r>
      <w:r w:rsidRPr="00D403F5">
        <w:rPr>
          <w:rFonts w:ascii="Arial" w:hAnsi="Arial" w:cs="Arial"/>
          <w:color w:val="000000"/>
          <w:sz w:val="18"/>
          <w:szCs w:val="18"/>
        </w:rPr>
        <w:t xml:space="preserve">The </w:t>
      </w:r>
      <w:r w:rsidRPr="00D403F5">
        <w:rPr>
          <w:rFonts w:ascii="Arial" w:hAnsi="Arial" w:cs="Arial"/>
          <w:iCs/>
          <w:strike/>
          <w:color w:val="000000"/>
          <w:sz w:val="18"/>
          <w:szCs w:val="18"/>
          <w:highlight w:val="yellow"/>
        </w:rPr>
        <w:t>risk</w:t>
      </w:r>
      <w:r w:rsidRPr="00D403F5">
        <w:rPr>
          <w:rFonts w:ascii="Arial" w:hAnsi="Arial" w:cs="Arial"/>
          <w:color w:val="000000"/>
          <w:sz w:val="18"/>
          <w:szCs w:val="18"/>
        </w:rPr>
        <w:t xml:space="preserve"> </w:t>
      </w:r>
      <w:r w:rsidRPr="00D403F5">
        <w:rPr>
          <w:rFonts w:ascii="Arial" w:hAnsi="Arial" w:cs="Arial"/>
          <w:iCs/>
          <w:color w:val="000000"/>
          <w:sz w:val="18"/>
          <w:szCs w:val="18"/>
          <w:highlight w:val="yellow"/>
          <w:u w:val="double"/>
        </w:rPr>
        <w:t>likelihood</w:t>
      </w:r>
      <w:r w:rsidRPr="00D403F5">
        <w:rPr>
          <w:rFonts w:ascii="Arial" w:hAnsi="Arial" w:cs="Arial"/>
          <w:iCs/>
          <w:color w:val="000000"/>
          <w:sz w:val="18"/>
          <w:szCs w:val="18"/>
        </w:rPr>
        <w:t xml:space="preserve"> </w:t>
      </w:r>
      <w:r w:rsidRPr="00D403F5">
        <w:rPr>
          <w:rFonts w:ascii="Arial" w:hAnsi="Arial" w:cs="Arial"/>
          <w:color w:val="000000"/>
          <w:sz w:val="18"/>
          <w:szCs w:val="18"/>
        </w:rPr>
        <w:t xml:space="preserve">of transmitting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via </w:t>
      </w:r>
      <w:r w:rsidRPr="00D403F5">
        <w:rPr>
          <w:rFonts w:ascii="Arial" w:hAnsi="Arial" w:cs="Arial"/>
          <w:iCs/>
          <w:color w:val="000000"/>
          <w:sz w:val="18"/>
          <w:szCs w:val="18"/>
        </w:rPr>
        <w:t>fomites</w:t>
      </w:r>
      <w:r w:rsidRPr="00D403F5">
        <w:rPr>
          <w:rFonts w:ascii="Arial" w:hAnsi="Arial" w:cs="Arial"/>
          <w:i/>
          <w:color w:val="000000"/>
          <w:sz w:val="18"/>
          <w:szCs w:val="18"/>
        </w:rPr>
        <w:t xml:space="preserve"> </w:t>
      </w:r>
      <w:r w:rsidRPr="00D403F5">
        <w:rPr>
          <w:rFonts w:ascii="Arial" w:hAnsi="Arial" w:cs="Arial"/>
          <w:sz w:val="18"/>
          <w:szCs w:val="18"/>
          <w:u w:val="double"/>
          <w:lang w:val="en-CA"/>
        </w:rPr>
        <w:t>should be managed</w:t>
      </w:r>
      <w:r w:rsidRPr="00D403F5">
        <w:rPr>
          <w:rFonts w:ascii="Arial" w:hAnsi="Arial" w:cs="Arial"/>
          <w:strike/>
          <w:sz w:val="18"/>
          <w:szCs w:val="18"/>
          <w:highlight w:val="yellow"/>
          <w:u w:val="double"/>
          <w:lang w:val="en-CA"/>
        </w:rPr>
        <w:t>; possible</w:t>
      </w:r>
      <w:r w:rsidRPr="00D403F5">
        <w:rPr>
          <w:rFonts w:ascii="Arial" w:hAnsi="Arial" w:cs="Arial"/>
          <w:strike/>
          <w:sz w:val="18"/>
          <w:szCs w:val="18"/>
          <w:u w:val="double"/>
          <w:lang w:val="en-CA"/>
        </w:rPr>
        <w:t xml:space="preserve"> </w:t>
      </w:r>
      <w:r w:rsidRPr="00D403F5">
        <w:rPr>
          <w:rFonts w:ascii="Arial" w:hAnsi="Arial" w:cs="Arial"/>
          <w:strike/>
          <w:sz w:val="18"/>
          <w:szCs w:val="18"/>
          <w:highlight w:val="yellow"/>
          <w:u w:val="double"/>
          <w:lang w:val="en-CA"/>
        </w:rPr>
        <w:t>mitigation measures</w:t>
      </w:r>
      <w:r w:rsidRPr="00D403F5">
        <w:rPr>
          <w:rFonts w:ascii="Arial" w:hAnsi="Arial" w:cs="Arial"/>
          <w:sz w:val="18"/>
          <w:szCs w:val="18"/>
          <w:u w:val="double"/>
          <w:lang w:val="en-CA"/>
        </w:rPr>
        <w:t xml:space="preserve"> </w:t>
      </w:r>
      <w:r w:rsidRPr="00D403F5">
        <w:rPr>
          <w:rFonts w:ascii="Arial" w:hAnsi="Arial" w:cs="Arial"/>
          <w:strike/>
          <w:sz w:val="18"/>
          <w:szCs w:val="18"/>
          <w:highlight w:val="yellow"/>
          <w:u w:val="double"/>
          <w:lang w:val="en-CA"/>
        </w:rPr>
        <w:t>include the</w:t>
      </w:r>
      <w:r w:rsidRPr="00D403F5">
        <w:rPr>
          <w:rFonts w:ascii="Arial" w:hAnsi="Arial" w:cs="Arial"/>
          <w:sz w:val="18"/>
          <w:szCs w:val="18"/>
          <w:u w:val="double"/>
          <w:lang w:val="en-CA"/>
        </w:rPr>
        <w:t xml:space="preserve"> </w:t>
      </w:r>
      <w:r w:rsidRPr="00D403F5">
        <w:rPr>
          <w:rFonts w:ascii="Arial" w:hAnsi="Arial" w:cs="Arial"/>
          <w:sz w:val="18"/>
          <w:szCs w:val="18"/>
          <w:highlight w:val="yellow"/>
          <w:u w:val="double"/>
          <w:lang w:val="en-CA"/>
        </w:rPr>
        <w:t>giving consideration to the</w:t>
      </w:r>
      <w:r w:rsidRPr="00D403F5">
        <w:rPr>
          <w:rFonts w:ascii="Arial" w:hAnsi="Arial" w:cs="Arial"/>
          <w:sz w:val="18"/>
          <w:szCs w:val="18"/>
          <w:u w:val="double"/>
          <w:lang w:val="en-CA"/>
        </w:rPr>
        <w:t xml:space="preserve"> following </w:t>
      </w:r>
      <w:r w:rsidRPr="00D403F5">
        <w:rPr>
          <w:rFonts w:ascii="Arial" w:hAnsi="Arial" w:cs="Arial"/>
          <w:sz w:val="18"/>
          <w:szCs w:val="18"/>
          <w:highlight w:val="yellow"/>
          <w:u w:val="double"/>
          <w:lang w:val="en-CA"/>
        </w:rPr>
        <w:t>mitigation measures</w:t>
      </w:r>
      <w:r w:rsidRPr="00D403F5">
        <w:rPr>
          <w:rFonts w:ascii="Arial" w:hAnsi="Arial" w:cs="Arial"/>
          <w:color w:val="000000"/>
          <w:sz w:val="18"/>
          <w:szCs w:val="18"/>
        </w:rPr>
        <w:t xml:space="preserve"> </w:t>
      </w:r>
      <w:r w:rsidRPr="00D403F5">
        <w:rPr>
          <w:rFonts w:ascii="Arial" w:hAnsi="Arial" w:cs="Arial"/>
          <w:strike/>
          <w:color w:val="000000"/>
          <w:sz w:val="18"/>
          <w:szCs w:val="18"/>
        </w:rPr>
        <w:t>can be managed by</w:t>
      </w:r>
      <w:r w:rsidRPr="00D403F5">
        <w:rPr>
          <w:rFonts w:ascii="Arial" w:hAnsi="Arial" w:cs="Arial"/>
          <w:color w:val="000000"/>
          <w:sz w:val="18"/>
          <w:szCs w:val="18"/>
        </w:rPr>
        <w:t>:</w:t>
      </w:r>
    </w:p>
    <w:p w14:paraId="1AE841C0" w14:textId="77777777" w:rsidR="007B3D5C" w:rsidRPr="00D403F5" w:rsidRDefault="007B3D5C" w:rsidP="00456872">
      <w:pPr>
        <w:spacing w:after="240"/>
        <w:ind w:left="851" w:hanging="425"/>
        <w:jc w:val="both"/>
        <w:rPr>
          <w:rFonts w:ascii="Arial" w:hAnsi="Arial" w:cs="Arial"/>
          <w:sz w:val="18"/>
          <w:szCs w:val="18"/>
        </w:rPr>
      </w:pPr>
      <w:r w:rsidRPr="00D403F5">
        <w:rPr>
          <w:rFonts w:ascii="Arial" w:hAnsi="Arial" w:cs="Arial"/>
          <w:i/>
          <w:sz w:val="18"/>
          <w:szCs w:val="18"/>
          <w:u w:val="double"/>
        </w:rPr>
        <w:t>a</w:t>
      </w:r>
      <w:r w:rsidRPr="00D403F5">
        <w:rPr>
          <w:rFonts w:ascii="Arial" w:hAnsi="Arial" w:cs="Arial"/>
          <w:i/>
          <w:sz w:val="18"/>
          <w:szCs w:val="18"/>
        </w:rPr>
        <w:t>)</w:t>
      </w:r>
      <w:r w:rsidRPr="00D403F5">
        <w:rPr>
          <w:rFonts w:ascii="Arial" w:hAnsi="Arial" w:cs="Arial"/>
          <w:sz w:val="18"/>
          <w:szCs w:val="18"/>
        </w:rPr>
        <w:tab/>
        <w:t xml:space="preserve">Assessing </w:t>
      </w:r>
      <w:r w:rsidRPr="00D403F5">
        <w:rPr>
          <w:rFonts w:ascii="Arial" w:hAnsi="Arial" w:cs="Arial"/>
          <w:sz w:val="18"/>
          <w:szCs w:val="18"/>
          <w:highlight w:val="yellow"/>
          <w:u w:val="single"/>
        </w:rPr>
        <w:t xml:space="preserve">the </w:t>
      </w:r>
      <w:r w:rsidRPr="00D403F5">
        <w:rPr>
          <w:rFonts w:ascii="Arial" w:hAnsi="Arial" w:cs="Arial"/>
          <w:i/>
          <w:iCs/>
          <w:sz w:val="18"/>
          <w:szCs w:val="18"/>
          <w:highlight w:val="yellow"/>
          <w:u w:val="single"/>
        </w:rPr>
        <w:t xml:space="preserve">disease risk </w:t>
      </w:r>
      <w:r w:rsidRPr="00D403F5">
        <w:rPr>
          <w:rFonts w:ascii="Arial" w:hAnsi="Arial" w:cs="Arial"/>
          <w:sz w:val="18"/>
          <w:szCs w:val="18"/>
          <w:highlight w:val="yellow"/>
          <w:u w:val="single"/>
        </w:rPr>
        <w:t>associated with</w:t>
      </w:r>
      <w:r w:rsidRPr="00D403F5">
        <w:rPr>
          <w:rFonts w:ascii="Arial" w:hAnsi="Arial" w:cs="Arial"/>
          <w:sz w:val="18"/>
          <w:szCs w:val="18"/>
          <w:highlight w:val="yellow"/>
        </w:rPr>
        <w:t xml:space="preserve"> </w:t>
      </w:r>
      <w:r w:rsidRPr="00D403F5">
        <w:rPr>
          <w:rFonts w:ascii="Arial" w:hAnsi="Arial" w:cs="Arial"/>
          <w:sz w:val="18"/>
          <w:szCs w:val="18"/>
        </w:rPr>
        <w:t xml:space="preserve">any fomites brought into the </w:t>
      </w:r>
      <w:r w:rsidRPr="00D403F5">
        <w:rPr>
          <w:rFonts w:ascii="Arial" w:hAnsi="Arial" w:cs="Arial"/>
          <w:i/>
          <w:sz w:val="18"/>
          <w:szCs w:val="18"/>
        </w:rPr>
        <w:t>aquaculture establishment</w:t>
      </w:r>
      <w:r w:rsidRPr="00D403F5">
        <w:rPr>
          <w:rFonts w:ascii="Arial" w:hAnsi="Arial" w:cs="Arial"/>
          <w:sz w:val="18"/>
          <w:szCs w:val="18"/>
        </w:rPr>
        <w:t xml:space="preserve"> </w:t>
      </w:r>
      <w:r w:rsidRPr="00D403F5">
        <w:rPr>
          <w:rFonts w:ascii="Arial" w:hAnsi="Arial" w:cs="Arial"/>
          <w:strike/>
          <w:sz w:val="18"/>
          <w:szCs w:val="18"/>
          <w:highlight w:val="yellow"/>
        </w:rPr>
        <w:t xml:space="preserve">for their </w:t>
      </w:r>
      <w:r w:rsidRPr="00D403F5">
        <w:rPr>
          <w:rFonts w:ascii="Arial" w:hAnsi="Arial" w:cs="Arial"/>
          <w:i/>
          <w:strike/>
          <w:sz w:val="18"/>
          <w:szCs w:val="18"/>
          <w:highlight w:val="yellow"/>
        </w:rPr>
        <w:t>disease</w:t>
      </w:r>
      <w:r w:rsidRPr="00D403F5">
        <w:rPr>
          <w:rFonts w:ascii="Arial" w:eastAsia="SimSun" w:hAnsi="Arial" w:cs="Arial"/>
          <w:i/>
          <w:strike/>
          <w:sz w:val="18"/>
          <w:szCs w:val="18"/>
          <w:highlight w:val="yellow"/>
          <w:lang w:eastAsia="zh-CN"/>
        </w:rPr>
        <w:t xml:space="preserve"> </w:t>
      </w:r>
      <w:r w:rsidRPr="00D403F5">
        <w:rPr>
          <w:rFonts w:ascii="Arial" w:hAnsi="Arial" w:cs="Arial"/>
          <w:i/>
          <w:strike/>
          <w:sz w:val="18"/>
          <w:szCs w:val="18"/>
          <w:highlight w:val="yellow"/>
        </w:rPr>
        <w:t>risk</w:t>
      </w:r>
      <w:r w:rsidRPr="00D403F5">
        <w:rPr>
          <w:rFonts w:ascii="Arial" w:hAnsi="Arial" w:cs="Arial"/>
          <w:sz w:val="18"/>
          <w:szCs w:val="18"/>
        </w:rPr>
        <w:t>.</w:t>
      </w:r>
    </w:p>
    <w:p w14:paraId="379FCA50" w14:textId="77777777" w:rsidR="007B3D5C" w:rsidRPr="00D403F5" w:rsidRDefault="007B3D5C" w:rsidP="00456872">
      <w:pPr>
        <w:spacing w:after="480"/>
        <w:jc w:val="right"/>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08213682" w14:textId="77777777" w:rsidR="007B3D5C" w:rsidRPr="00D403F5" w:rsidRDefault="007B3D5C" w:rsidP="00456872">
      <w:pPr>
        <w:spacing w:after="240"/>
        <w:ind w:left="851" w:hanging="425"/>
        <w:jc w:val="both"/>
        <w:rPr>
          <w:rFonts w:ascii="Arial" w:hAnsi="Arial" w:cs="Arial"/>
          <w:sz w:val="18"/>
          <w:szCs w:val="18"/>
        </w:rPr>
      </w:pPr>
      <w:r w:rsidRPr="00D403F5">
        <w:rPr>
          <w:rFonts w:ascii="Arial" w:hAnsi="Arial" w:cs="Arial"/>
          <w:i/>
          <w:sz w:val="18"/>
          <w:szCs w:val="18"/>
          <w:u w:val="double"/>
        </w:rPr>
        <w:t>b</w:t>
      </w:r>
      <w:r w:rsidRPr="00D403F5">
        <w:rPr>
          <w:rFonts w:ascii="Arial" w:hAnsi="Arial" w:cs="Arial"/>
          <w:i/>
          <w:sz w:val="18"/>
          <w:szCs w:val="18"/>
        </w:rPr>
        <w:t>)</w:t>
      </w:r>
      <w:r w:rsidRPr="00D403F5">
        <w:rPr>
          <w:rFonts w:ascii="Arial" w:hAnsi="Arial" w:cs="Arial"/>
          <w:sz w:val="18"/>
          <w:szCs w:val="18"/>
        </w:rPr>
        <w:tab/>
        <w:t>Ensuring procedures and infrastructure are in place to clean and disinfect fomites, including at designated delivery and loading areas</w:t>
      </w:r>
      <w:r w:rsidRPr="00D403F5">
        <w:rPr>
          <w:rFonts w:ascii="Arial" w:hAnsi="Arial" w:cs="Arial"/>
          <w:sz w:val="18"/>
          <w:szCs w:val="18"/>
          <w:highlight w:val="yellow"/>
          <w:u w:val="double"/>
          <w:lang w:val="en-AU"/>
        </w:rPr>
        <w:t xml:space="preserve">, prior to entry into the </w:t>
      </w:r>
      <w:r w:rsidRPr="00D403F5">
        <w:rPr>
          <w:rFonts w:ascii="Arial" w:hAnsi="Arial" w:cs="Arial"/>
          <w:i/>
          <w:iCs/>
          <w:sz w:val="18"/>
          <w:szCs w:val="18"/>
          <w:highlight w:val="yellow"/>
          <w:u w:val="double"/>
          <w:lang w:val="en-AU"/>
        </w:rPr>
        <w:t>aquaculture establishment</w:t>
      </w:r>
      <w:r w:rsidRPr="00D403F5">
        <w:rPr>
          <w:rFonts w:ascii="Arial" w:hAnsi="Arial" w:cs="Arial"/>
          <w:sz w:val="18"/>
          <w:szCs w:val="18"/>
          <w:highlight w:val="yellow"/>
          <w:u w:val="double"/>
        </w:rPr>
        <w:t>.</w:t>
      </w:r>
      <w:r w:rsidRPr="00D403F5">
        <w:rPr>
          <w:rFonts w:ascii="Arial" w:hAnsi="Arial" w:cs="Arial"/>
          <w:sz w:val="18"/>
          <w:szCs w:val="18"/>
        </w:rPr>
        <w:t xml:space="preserve"> Recommendations for the cleaning and </w:t>
      </w:r>
      <w:r w:rsidRPr="00D403F5">
        <w:rPr>
          <w:rFonts w:ascii="Arial" w:hAnsi="Arial" w:cs="Arial"/>
          <w:strike/>
          <w:sz w:val="18"/>
          <w:szCs w:val="18"/>
          <w:highlight w:val="yellow"/>
        </w:rPr>
        <w:t>disinfection</w:t>
      </w:r>
      <w:r w:rsidRPr="00D403F5">
        <w:rPr>
          <w:rFonts w:ascii="Arial" w:hAnsi="Arial" w:cs="Arial"/>
          <w:sz w:val="18"/>
          <w:szCs w:val="18"/>
        </w:rPr>
        <w:t xml:space="preserve"> </w:t>
      </w:r>
      <w:r w:rsidRPr="00D403F5">
        <w:rPr>
          <w:rFonts w:ascii="Arial" w:hAnsi="Arial" w:cs="Arial"/>
          <w:i/>
          <w:iCs/>
          <w:sz w:val="18"/>
          <w:szCs w:val="18"/>
          <w:highlight w:val="yellow"/>
          <w:u w:val="double"/>
        </w:rPr>
        <w:t>disinfection</w:t>
      </w:r>
      <w:r w:rsidRPr="00D403F5">
        <w:rPr>
          <w:rFonts w:ascii="Arial" w:hAnsi="Arial" w:cs="Arial"/>
          <w:sz w:val="18"/>
          <w:szCs w:val="18"/>
        </w:rPr>
        <w:t xml:space="preserve"> of fomites are described in Chapter 4.3.</w:t>
      </w:r>
    </w:p>
    <w:p w14:paraId="7D34CBBA" w14:textId="77777777" w:rsidR="007B3D5C" w:rsidRPr="00D403F5" w:rsidRDefault="007B3D5C" w:rsidP="00456872">
      <w:pPr>
        <w:spacing w:after="240"/>
        <w:ind w:left="851" w:hanging="425"/>
        <w:jc w:val="both"/>
        <w:rPr>
          <w:rFonts w:ascii="Arial" w:hAnsi="Arial" w:cs="Arial"/>
          <w:strike/>
          <w:sz w:val="18"/>
          <w:szCs w:val="18"/>
        </w:rPr>
      </w:pPr>
      <w:r w:rsidRPr="00D403F5">
        <w:rPr>
          <w:rFonts w:ascii="Arial" w:hAnsi="Arial" w:cs="Arial"/>
          <w:i/>
          <w:strike/>
          <w:sz w:val="18"/>
          <w:szCs w:val="18"/>
          <w:highlight w:val="yellow"/>
          <w:u w:val="double"/>
        </w:rPr>
        <w:t>c</w:t>
      </w:r>
      <w:r w:rsidRPr="00D403F5">
        <w:rPr>
          <w:rFonts w:ascii="Arial" w:hAnsi="Arial" w:cs="Arial"/>
          <w:i/>
          <w:strike/>
          <w:sz w:val="18"/>
          <w:szCs w:val="18"/>
          <w:highlight w:val="yellow"/>
        </w:rPr>
        <w:t>)</w:t>
      </w:r>
      <w:r w:rsidRPr="00D403F5">
        <w:rPr>
          <w:rFonts w:ascii="Arial" w:hAnsi="Arial" w:cs="Arial"/>
          <w:sz w:val="18"/>
          <w:szCs w:val="18"/>
        </w:rPr>
        <w:tab/>
      </w:r>
      <w:r w:rsidRPr="00D403F5">
        <w:rPr>
          <w:rFonts w:ascii="Arial" w:hAnsi="Arial" w:cs="Arial"/>
          <w:strike/>
          <w:sz w:val="18"/>
          <w:szCs w:val="18"/>
          <w:highlight w:val="yellow"/>
        </w:rPr>
        <w:t>Assigning dedicated equipment for use in production units of different health status. Where equipment must be used in multiple production units it should be cleaned and disinfected prior to movement between units.</w:t>
      </w:r>
      <w:r w:rsidRPr="00D403F5">
        <w:rPr>
          <w:rFonts w:ascii="Arial" w:hAnsi="Arial" w:cs="Arial"/>
          <w:strike/>
          <w:sz w:val="18"/>
          <w:szCs w:val="18"/>
        </w:rPr>
        <w:t xml:space="preserve"> </w:t>
      </w:r>
    </w:p>
    <w:p w14:paraId="6D7888BE" w14:textId="77777777" w:rsidR="007B3D5C" w:rsidRPr="00D403F5" w:rsidRDefault="007B3D5C" w:rsidP="00456872">
      <w:pPr>
        <w:pStyle w:val="Web"/>
        <w:spacing w:before="0" w:beforeAutospacing="0" w:after="240" w:afterAutospacing="0"/>
        <w:ind w:left="851" w:hanging="425"/>
        <w:jc w:val="both"/>
        <w:rPr>
          <w:rFonts w:ascii="Arial" w:hAnsi="Arial" w:cs="Arial"/>
          <w:sz w:val="18"/>
          <w:szCs w:val="18"/>
          <w:highlight w:val="yellow"/>
          <w:u w:val="double"/>
          <w:lang w:val="en-AU"/>
        </w:rPr>
      </w:pPr>
      <w:r w:rsidRPr="00D403F5">
        <w:rPr>
          <w:rFonts w:ascii="Arial" w:hAnsi="Arial" w:cs="Arial"/>
          <w:i/>
          <w:sz w:val="18"/>
          <w:szCs w:val="18"/>
          <w:highlight w:val="yellow"/>
          <w:u w:val="double"/>
          <w:lang w:val="en-AU"/>
        </w:rPr>
        <w:t>c)</w:t>
      </w:r>
      <w:r w:rsidRPr="00D403F5">
        <w:rPr>
          <w:rFonts w:ascii="Arial" w:hAnsi="Arial" w:cs="Arial"/>
          <w:sz w:val="18"/>
          <w:szCs w:val="18"/>
          <w:lang w:val="en-AU"/>
        </w:rPr>
        <w:tab/>
      </w:r>
      <w:r w:rsidRPr="00D403F5">
        <w:rPr>
          <w:rFonts w:ascii="Arial" w:hAnsi="Arial" w:cs="Arial"/>
          <w:sz w:val="18"/>
          <w:szCs w:val="18"/>
          <w:highlight w:val="yellow"/>
          <w:u w:val="double"/>
          <w:lang w:val="en-AU"/>
        </w:rPr>
        <w:t xml:space="preserve">Wherever possible, dedicating items that are difficult to disinfect </w:t>
      </w:r>
      <w:r w:rsidRPr="00D403F5">
        <w:rPr>
          <w:rFonts w:ascii="Arial" w:hAnsi="Arial" w:cs="Arial"/>
          <w:strike/>
          <w:sz w:val="18"/>
          <w:szCs w:val="18"/>
          <w:highlight w:val="yellow"/>
          <w:u w:val="double"/>
          <w:lang w:val="en-AU"/>
        </w:rPr>
        <w:t>items</w:t>
      </w:r>
      <w:r w:rsidRPr="00D403F5">
        <w:rPr>
          <w:rFonts w:ascii="Arial" w:hAnsi="Arial" w:cs="Arial"/>
          <w:sz w:val="18"/>
          <w:szCs w:val="18"/>
          <w:highlight w:val="yellow"/>
          <w:u w:val="double"/>
          <w:lang w:val="en-AU"/>
        </w:rPr>
        <w:t xml:space="preserve">, or those with a high likelihood of contamination, to a specific </w:t>
      </w:r>
      <w:r w:rsidRPr="00D403F5">
        <w:rPr>
          <w:rFonts w:ascii="Arial" w:hAnsi="Arial" w:cs="Arial"/>
          <w:i/>
          <w:iCs/>
          <w:sz w:val="18"/>
          <w:szCs w:val="18"/>
          <w:highlight w:val="yellow"/>
          <w:u w:val="double"/>
          <w:lang w:val="en-AU"/>
        </w:rPr>
        <w:t>aquaculture establishment</w:t>
      </w:r>
      <w:r w:rsidRPr="00D403F5">
        <w:rPr>
          <w:rFonts w:ascii="Arial" w:hAnsi="Arial" w:cs="Arial"/>
          <w:sz w:val="18"/>
          <w:szCs w:val="18"/>
          <w:highlight w:val="yellow"/>
          <w:u w:val="double"/>
          <w:lang w:val="en-AU"/>
        </w:rPr>
        <w:t xml:space="preserve"> rather than moving them between </w:t>
      </w:r>
      <w:r w:rsidRPr="00D403F5">
        <w:rPr>
          <w:rFonts w:ascii="Arial" w:hAnsi="Arial" w:cs="Arial"/>
          <w:i/>
          <w:iCs/>
          <w:sz w:val="18"/>
          <w:szCs w:val="18"/>
          <w:highlight w:val="yellow"/>
          <w:u w:val="double"/>
          <w:lang w:val="en-AU"/>
        </w:rPr>
        <w:t xml:space="preserve">aquaculture establishments </w:t>
      </w:r>
      <w:r w:rsidRPr="00D403F5">
        <w:rPr>
          <w:rFonts w:ascii="Arial" w:hAnsi="Arial" w:cs="Arial"/>
          <w:sz w:val="18"/>
          <w:szCs w:val="18"/>
          <w:highlight w:val="yellow"/>
          <w:u w:val="double"/>
          <w:lang w:val="en-AU"/>
        </w:rPr>
        <w:t xml:space="preserve">after </w:t>
      </w:r>
      <w:r w:rsidRPr="00D403F5">
        <w:rPr>
          <w:rFonts w:ascii="Arial" w:hAnsi="Arial" w:cs="Arial"/>
          <w:i/>
          <w:iCs/>
          <w:sz w:val="18"/>
          <w:szCs w:val="18"/>
          <w:highlight w:val="yellow"/>
          <w:u w:val="double"/>
          <w:lang w:val="en-AU"/>
        </w:rPr>
        <w:t>disinfection</w:t>
      </w:r>
      <w:r w:rsidRPr="00D403F5">
        <w:rPr>
          <w:rFonts w:ascii="Arial" w:hAnsi="Arial" w:cs="Arial"/>
          <w:sz w:val="18"/>
          <w:szCs w:val="18"/>
          <w:highlight w:val="yellow"/>
          <w:u w:val="double"/>
          <w:lang w:val="en-AU"/>
        </w:rPr>
        <w:t xml:space="preserve">. </w:t>
      </w:r>
    </w:p>
    <w:p w14:paraId="4422C9B3" w14:textId="77777777" w:rsidR="007B3D5C" w:rsidRPr="00D403F5" w:rsidRDefault="007B3D5C" w:rsidP="00456872">
      <w:pPr>
        <w:spacing w:after="240"/>
        <w:ind w:left="851" w:hanging="425"/>
        <w:jc w:val="both"/>
        <w:rPr>
          <w:rFonts w:ascii="Arial" w:hAnsi="Arial" w:cs="Arial"/>
          <w:sz w:val="18"/>
          <w:szCs w:val="18"/>
          <w:u w:val="double"/>
        </w:rPr>
      </w:pPr>
      <w:r w:rsidRPr="00D403F5">
        <w:rPr>
          <w:rFonts w:ascii="Arial" w:hAnsi="Arial" w:cs="Arial"/>
          <w:i/>
          <w:sz w:val="18"/>
          <w:szCs w:val="18"/>
          <w:highlight w:val="yellow"/>
          <w:u w:val="double"/>
        </w:rPr>
        <w:t>d)</w:t>
      </w:r>
      <w:r w:rsidRPr="00D403F5">
        <w:rPr>
          <w:rFonts w:ascii="Arial" w:hAnsi="Arial" w:cs="Arial"/>
          <w:sz w:val="18"/>
          <w:szCs w:val="18"/>
        </w:rPr>
        <w:tab/>
      </w:r>
      <w:r w:rsidRPr="00D403F5">
        <w:rPr>
          <w:rFonts w:ascii="Arial" w:hAnsi="Arial" w:cs="Arial"/>
          <w:sz w:val="18"/>
          <w:szCs w:val="18"/>
          <w:highlight w:val="yellow"/>
          <w:u w:val="double"/>
        </w:rPr>
        <w:t xml:space="preserve">Applying the mitigation measures described at points a) to c) above to the movement of </w:t>
      </w:r>
      <w:r w:rsidRPr="00D403F5">
        <w:rPr>
          <w:rFonts w:ascii="Arial" w:hAnsi="Arial" w:cs="Arial"/>
          <w:i/>
          <w:iCs/>
          <w:sz w:val="18"/>
          <w:szCs w:val="18"/>
          <w:highlight w:val="yellow"/>
          <w:u w:val="double"/>
        </w:rPr>
        <w:t>fomites</w:t>
      </w:r>
      <w:r w:rsidRPr="00D403F5">
        <w:rPr>
          <w:rFonts w:ascii="Arial" w:hAnsi="Arial" w:cs="Arial"/>
          <w:sz w:val="18"/>
          <w:szCs w:val="18"/>
          <w:highlight w:val="yellow"/>
          <w:u w:val="double"/>
        </w:rPr>
        <w:t xml:space="preserve"> between production units within an </w:t>
      </w:r>
      <w:r w:rsidRPr="00D403F5">
        <w:rPr>
          <w:rFonts w:ascii="Arial" w:hAnsi="Arial" w:cs="Arial"/>
          <w:i/>
          <w:iCs/>
          <w:sz w:val="18"/>
          <w:szCs w:val="18"/>
          <w:highlight w:val="yellow"/>
          <w:u w:val="double"/>
        </w:rPr>
        <w:t>aquaculture establishment</w:t>
      </w:r>
      <w:r w:rsidRPr="00D403F5">
        <w:rPr>
          <w:rFonts w:ascii="Arial" w:hAnsi="Arial" w:cs="Arial"/>
          <w:sz w:val="18"/>
          <w:szCs w:val="18"/>
          <w:highlight w:val="yellow"/>
          <w:u w:val="double"/>
        </w:rPr>
        <w:t xml:space="preserve"> with the measures determined based on an evaluation of the </w:t>
      </w:r>
      <w:r w:rsidRPr="00D403F5">
        <w:rPr>
          <w:rFonts w:ascii="Arial" w:hAnsi="Arial" w:cs="Arial"/>
          <w:i/>
          <w:iCs/>
          <w:sz w:val="18"/>
          <w:szCs w:val="18"/>
          <w:highlight w:val="yellow"/>
          <w:u w:val="double"/>
        </w:rPr>
        <w:t>disease risks</w:t>
      </w:r>
      <w:r w:rsidRPr="00D403F5">
        <w:rPr>
          <w:rFonts w:ascii="Arial" w:hAnsi="Arial" w:cs="Arial"/>
          <w:sz w:val="18"/>
          <w:szCs w:val="18"/>
          <w:highlight w:val="yellow"/>
          <w:u w:val="double"/>
        </w:rPr>
        <w:t>.</w:t>
      </w:r>
    </w:p>
    <w:p w14:paraId="05A0A86E" w14:textId="77777777" w:rsidR="007B3D5C" w:rsidRPr="00D403F5" w:rsidRDefault="007B3D5C" w:rsidP="00456872">
      <w:pPr>
        <w:spacing w:after="240"/>
        <w:ind w:left="426" w:hanging="426"/>
        <w:jc w:val="both"/>
        <w:rPr>
          <w:rFonts w:ascii="Arial" w:hAnsi="Arial" w:cs="Arial"/>
          <w:color w:val="000000"/>
          <w:sz w:val="18"/>
          <w:szCs w:val="18"/>
          <w:u w:val="single"/>
        </w:rPr>
      </w:pPr>
      <w:r w:rsidRPr="00D403F5">
        <w:rPr>
          <w:rFonts w:ascii="Arial" w:hAnsi="Arial" w:cs="Arial"/>
          <w:color w:val="000000"/>
          <w:sz w:val="18"/>
          <w:szCs w:val="18"/>
        </w:rPr>
        <w:t>6. </w:t>
      </w:r>
      <w:r w:rsidRPr="00D403F5">
        <w:rPr>
          <w:rFonts w:ascii="Arial" w:hAnsi="Arial" w:cs="Arial"/>
          <w:color w:val="000000"/>
          <w:sz w:val="18"/>
          <w:szCs w:val="18"/>
        </w:rPr>
        <w:tab/>
      </w:r>
      <w:r w:rsidRPr="00D403F5">
        <w:rPr>
          <w:rFonts w:ascii="Arial" w:hAnsi="Arial" w:cs="Arial"/>
          <w:color w:val="000000"/>
          <w:sz w:val="18"/>
          <w:szCs w:val="18"/>
          <w:u w:val="single"/>
        </w:rPr>
        <w:t>Vectors</w:t>
      </w:r>
    </w:p>
    <w:p w14:paraId="7F6A339D" w14:textId="77777777" w:rsidR="007B3D5C" w:rsidRPr="00D403F5" w:rsidRDefault="007B3D5C" w:rsidP="00456872">
      <w:pPr>
        <w:spacing w:after="240"/>
        <w:ind w:left="426"/>
        <w:jc w:val="both"/>
        <w:rPr>
          <w:rFonts w:ascii="Arial" w:hAnsi="Arial" w:cs="Arial"/>
          <w:strike/>
          <w:color w:val="000000"/>
          <w:sz w:val="18"/>
          <w:szCs w:val="18"/>
          <w:u w:val="double"/>
        </w:rPr>
      </w:pPr>
      <w:r w:rsidRPr="00D403F5">
        <w:rPr>
          <w:rFonts w:ascii="Arial" w:hAnsi="Arial" w:cs="Arial"/>
          <w:i/>
          <w:color w:val="000000"/>
          <w:sz w:val="18"/>
          <w:szCs w:val="18"/>
        </w:rPr>
        <w:t>Vectors</w:t>
      </w:r>
      <w:r w:rsidRPr="00D403F5">
        <w:rPr>
          <w:rFonts w:ascii="Arial" w:hAnsi="Arial" w:cs="Arial"/>
          <w:color w:val="000000"/>
          <w:sz w:val="18"/>
          <w:szCs w:val="18"/>
        </w:rPr>
        <w:t xml:space="preserve"> can </w:t>
      </w:r>
      <w:r w:rsidRPr="00D403F5">
        <w:rPr>
          <w:rFonts w:ascii="Arial" w:hAnsi="Arial" w:cs="Arial"/>
          <w:sz w:val="18"/>
          <w:szCs w:val="18"/>
        </w:rPr>
        <w:t xml:space="preserve">transport </w:t>
      </w:r>
      <w:r w:rsidRPr="00D403F5">
        <w:rPr>
          <w:rFonts w:ascii="Arial" w:hAnsi="Arial" w:cs="Arial"/>
          <w:i/>
          <w:color w:val="000000"/>
          <w:sz w:val="18"/>
          <w:szCs w:val="18"/>
        </w:rPr>
        <w:t>pathogenic agents</w:t>
      </w:r>
      <w:r w:rsidRPr="00D403F5">
        <w:rPr>
          <w:rFonts w:ascii="Arial" w:hAnsi="Arial" w:cs="Arial"/>
          <w:sz w:val="18"/>
          <w:szCs w:val="18"/>
        </w:rPr>
        <w:t xml:space="preserve"> to susceptible </w:t>
      </w:r>
      <w:r w:rsidRPr="00D403F5">
        <w:rPr>
          <w:rFonts w:ascii="Arial" w:hAnsi="Arial" w:cs="Arial"/>
          <w:i/>
          <w:color w:val="000000"/>
          <w:sz w:val="18"/>
          <w:szCs w:val="18"/>
        </w:rPr>
        <w:t>aquatic animals</w:t>
      </w:r>
      <w:r w:rsidRPr="00D403F5">
        <w:rPr>
          <w:rFonts w:ascii="Arial" w:eastAsia="SimSun" w:hAnsi="Arial" w:cs="Arial"/>
          <w:i/>
          <w:color w:val="000000"/>
          <w:sz w:val="18"/>
          <w:szCs w:val="18"/>
          <w:lang w:eastAsia="zh-CN"/>
        </w:rPr>
        <w:t xml:space="preserve"> </w:t>
      </w:r>
      <w:r w:rsidRPr="00D403F5">
        <w:rPr>
          <w:rFonts w:ascii="Arial" w:hAnsi="Arial" w:cs="Arial"/>
          <w:color w:val="000000"/>
          <w:sz w:val="18"/>
          <w:szCs w:val="18"/>
        </w:rPr>
        <w:t xml:space="preserve">in </w:t>
      </w:r>
      <w:r w:rsidRPr="00D403F5">
        <w:rPr>
          <w:rFonts w:ascii="Arial" w:hAnsi="Arial" w:cs="Arial"/>
          <w:i/>
          <w:color w:val="000000"/>
          <w:sz w:val="18"/>
          <w:szCs w:val="18"/>
        </w:rPr>
        <w:t>aquaculture establishments</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rPr>
        <w:t xml:space="preserve">These </w:t>
      </w:r>
      <w:r w:rsidRPr="00D403F5">
        <w:rPr>
          <w:rFonts w:ascii="Arial" w:hAnsi="Arial" w:cs="Arial"/>
          <w:color w:val="000000"/>
          <w:sz w:val="18"/>
          <w:szCs w:val="18"/>
          <w:highlight w:val="yellow"/>
          <w:u w:val="single"/>
        </w:rPr>
        <w:t>They</w:t>
      </w:r>
      <w:r w:rsidRPr="00D403F5">
        <w:rPr>
          <w:rFonts w:ascii="Arial" w:hAnsi="Arial" w:cs="Arial"/>
          <w:color w:val="000000"/>
          <w:sz w:val="18"/>
          <w:szCs w:val="18"/>
        </w:rPr>
        <w:t xml:space="preserve"> include wild </w:t>
      </w:r>
      <w:r w:rsidRPr="00D403F5">
        <w:rPr>
          <w:rFonts w:ascii="Arial" w:hAnsi="Arial" w:cs="Arial"/>
          <w:i/>
          <w:color w:val="000000"/>
          <w:sz w:val="18"/>
          <w:szCs w:val="18"/>
        </w:rPr>
        <w:t>aquatic animals</w:t>
      </w:r>
      <w:r w:rsidRPr="00D403F5">
        <w:rPr>
          <w:rFonts w:ascii="Arial" w:hAnsi="Arial" w:cs="Arial"/>
          <w:color w:val="000000"/>
          <w:sz w:val="18"/>
          <w:szCs w:val="18"/>
        </w:rPr>
        <w:t xml:space="preserve"> entering via the water supply, predators, wild birds, </w:t>
      </w:r>
      <w:r w:rsidRPr="00D403F5">
        <w:rPr>
          <w:rFonts w:ascii="Arial" w:hAnsi="Arial" w:cs="Arial"/>
          <w:strike/>
          <w:color w:val="000000"/>
          <w:sz w:val="18"/>
          <w:szCs w:val="18"/>
        </w:rPr>
        <w:t>and</w:t>
      </w:r>
      <w:r w:rsidRPr="00D403F5">
        <w:rPr>
          <w:rFonts w:ascii="Arial" w:hAnsi="Arial" w:cs="Arial"/>
          <w:color w:val="000000"/>
          <w:sz w:val="18"/>
          <w:szCs w:val="18"/>
          <w:u w:val="double"/>
        </w:rPr>
        <w:t xml:space="preserve"> </w:t>
      </w:r>
      <w:r w:rsidRPr="00D403F5">
        <w:rPr>
          <w:rFonts w:ascii="Arial" w:hAnsi="Arial" w:cs="Arial"/>
          <w:color w:val="000000"/>
          <w:sz w:val="18"/>
          <w:szCs w:val="18"/>
          <w:highlight w:val="yellow"/>
          <w:u w:val="double"/>
        </w:rPr>
        <w:t>scavengers,</w:t>
      </w:r>
      <w:r w:rsidRPr="00D403F5">
        <w:rPr>
          <w:rFonts w:ascii="Arial" w:hAnsi="Arial" w:cs="Arial"/>
          <w:color w:val="000000"/>
          <w:sz w:val="18"/>
          <w:szCs w:val="18"/>
        </w:rPr>
        <w:t xml:space="preserve"> pest animals such as rodents</w:t>
      </w:r>
      <w:r w:rsidRPr="00D403F5">
        <w:rPr>
          <w:rFonts w:ascii="Arial" w:hAnsi="Arial" w:cs="Arial"/>
          <w:color w:val="000000"/>
          <w:sz w:val="18"/>
          <w:szCs w:val="18"/>
          <w:highlight w:val="yellow"/>
          <w:u w:val="double"/>
        </w:rPr>
        <w:t>,</w:t>
      </w:r>
      <w:r w:rsidRPr="00D403F5">
        <w:rPr>
          <w:rFonts w:ascii="Arial" w:hAnsi="Arial" w:cs="Arial"/>
          <w:color w:val="000000"/>
          <w:sz w:val="18"/>
          <w:szCs w:val="18"/>
        </w:rPr>
        <w:t xml:space="preserve"> </w:t>
      </w:r>
      <w:r w:rsidRPr="00D403F5">
        <w:rPr>
          <w:rFonts w:ascii="Arial" w:hAnsi="Arial" w:cs="Arial"/>
          <w:color w:val="000000"/>
          <w:sz w:val="18"/>
          <w:szCs w:val="18"/>
          <w:u w:val="double"/>
        </w:rPr>
        <w:t>and people</w:t>
      </w:r>
      <w:r w:rsidRPr="00D403F5">
        <w:rPr>
          <w:rFonts w:ascii="Arial" w:hAnsi="Arial" w:cs="Arial"/>
          <w:color w:val="000000"/>
          <w:sz w:val="18"/>
          <w:szCs w:val="18"/>
        </w:rPr>
        <w:t xml:space="preserve">. </w:t>
      </w:r>
      <w:r w:rsidRPr="00D403F5">
        <w:rPr>
          <w:rFonts w:ascii="Arial" w:hAnsi="Arial" w:cs="Arial"/>
          <w:i/>
          <w:color w:val="000000"/>
          <w:sz w:val="18"/>
          <w:szCs w:val="18"/>
        </w:rPr>
        <w:t>Vectors</w:t>
      </w:r>
      <w:r w:rsidRPr="00D403F5">
        <w:rPr>
          <w:rFonts w:ascii="Arial" w:hAnsi="Arial" w:cs="Arial"/>
          <w:color w:val="000000"/>
          <w:sz w:val="18"/>
          <w:szCs w:val="18"/>
        </w:rPr>
        <w:t xml:space="preserve"> can transfer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into, within and from an </w:t>
      </w:r>
      <w:r w:rsidRPr="00D403F5">
        <w:rPr>
          <w:rFonts w:ascii="Arial" w:hAnsi="Arial" w:cs="Arial"/>
          <w:i/>
          <w:color w:val="000000"/>
          <w:sz w:val="18"/>
          <w:szCs w:val="18"/>
        </w:rPr>
        <w:t>aquaculture establishment</w:t>
      </w:r>
      <w:r w:rsidRPr="00D403F5">
        <w:rPr>
          <w:rFonts w:ascii="Arial" w:hAnsi="Arial" w:cs="Arial"/>
          <w:color w:val="000000"/>
          <w:sz w:val="18"/>
          <w:szCs w:val="18"/>
        </w:rPr>
        <w:t xml:space="preserve">, either by mechanical transfer or as a developmental stage of the </w:t>
      </w:r>
      <w:r w:rsidRPr="00D403F5">
        <w:rPr>
          <w:rFonts w:ascii="Arial" w:hAnsi="Arial" w:cs="Arial"/>
          <w:i/>
          <w:color w:val="000000"/>
          <w:sz w:val="18"/>
          <w:szCs w:val="18"/>
        </w:rPr>
        <w:t xml:space="preserve">pathogenic agent </w:t>
      </w:r>
      <w:r w:rsidRPr="00D403F5">
        <w:rPr>
          <w:rFonts w:ascii="Arial" w:hAnsi="Arial" w:cs="Arial"/>
          <w:color w:val="000000"/>
          <w:sz w:val="18"/>
          <w:szCs w:val="18"/>
        </w:rPr>
        <w:t xml:space="preserve">within the </w:t>
      </w:r>
      <w:r w:rsidRPr="00D403F5">
        <w:rPr>
          <w:rFonts w:ascii="Arial" w:hAnsi="Arial" w:cs="Arial"/>
          <w:i/>
          <w:color w:val="000000"/>
          <w:sz w:val="18"/>
          <w:szCs w:val="18"/>
        </w:rPr>
        <w:t>vector</w:t>
      </w:r>
      <w:r w:rsidRPr="00D403F5">
        <w:rPr>
          <w:rFonts w:ascii="Arial" w:hAnsi="Arial" w:cs="Arial"/>
          <w:color w:val="000000"/>
          <w:sz w:val="18"/>
          <w:szCs w:val="18"/>
        </w:rPr>
        <w:t>.</w:t>
      </w:r>
      <w:r w:rsidRPr="00D403F5">
        <w:rPr>
          <w:rFonts w:ascii="Arial" w:hAnsi="Arial" w:cs="Arial"/>
          <w:sz w:val="18"/>
          <w:szCs w:val="18"/>
          <w:lang w:val="en-CA"/>
        </w:rPr>
        <w:t xml:space="preserve"> </w:t>
      </w:r>
      <w:r w:rsidRPr="00D403F5">
        <w:rPr>
          <w:rFonts w:ascii="Arial" w:hAnsi="Arial" w:cs="Arial"/>
          <w:strike/>
          <w:sz w:val="18"/>
          <w:szCs w:val="18"/>
          <w:highlight w:val="yellow"/>
          <w:u w:val="double"/>
          <w:lang w:val="en-CA"/>
        </w:rPr>
        <w:t xml:space="preserve">The </w:t>
      </w:r>
      <w:r w:rsidRPr="00D403F5">
        <w:rPr>
          <w:rFonts w:ascii="Arial" w:hAnsi="Arial" w:cs="Arial"/>
          <w:i/>
          <w:strike/>
          <w:sz w:val="18"/>
          <w:szCs w:val="18"/>
          <w:highlight w:val="yellow"/>
          <w:u w:val="double"/>
          <w:lang w:val="en-CA"/>
        </w:rPr>
        <w:t>risk</w:t>
      </w:r>
      <w:r w:rsidRPr="00D403F5">
        <w:rPr>
          <w:rFonts w:ascii="Arial" w:hAnsi="Arial" w:cs="Arial"/>
          <w:strike/>
          <w:sz w:val="18"/>
          <w:szCs w:val="18"/>
          <w:highlight w:val="yellow"/>
          <w:u w:val="double"/>
          <w:lang w:val="en-CA"/>
        </w:rPr>
        <w:t xml:space="preserve"> of unintentional exposure to </w:t>
      </w:r>
      <w:r w:rsidRPr="00D403F5">
        <w:rPr>
          <w:rFonts w:ascii="Arial" w:hAnsi="Arial" w:cs="Arial"/>
          <w:i/>
          <w:strike/>
          <w:sz w:val="18"/>
          <w:szCs w:val="18"/>
          <w:highlight w:val="yellow"/>
          <w:u w:val="double"/>
          <w:lang w:val="en-CA"/>
        </w:rPr>
        <w:t>vectors</w:t>
      </w:r>
      <w:r w:rsidRPr="00D403F5">
        <w:rPr>
          <w:rFonts w:ascii="Arial" w:hAnsi="Arial" w:cs="Arial"/>
          <w:strike/>
          <w:sz w:val="18"/>
          <w:szCs w:val="18"/>
          <w:highlight w:val="yellow"/>
          <w:u w:val="double"/>
          <w:lang w:val="en-CA"/>
        </w:rPr>
        <w:t xml:space="preserve"> will be influenced by the category of </w:t>
      </w:r>
      <w:r w:rsidRPr="00D403F5">
        <w:rPr>
          <w:rFonts w:ascii="Arial" w:hAnsi="Arial" w:cs="Arial"/>
          <w:i/>
          <w:strike/>
          <w:sz w:val="18"/>
          <w:szCs w:val="18"/>
          <w:highlight w:val="yellow"/>
          <w:u w:val="double"/>
          <w:lang w:val="en-CA"/>
        </w:rPr>
        <w:t>aquaculture</w:t>
      </w:r>
      <w:r w:rsidRPr="00D403F5">
        <w:rPr>
          <w:rFonts w:ascii="Arial" w:hAnsi="Arial" w:cs="Arial"/>
          <w:strike/>
          <w:sz w:val="18"/>
          <w:szCs w:val="18"/>
          <w:highlight w:val="yellow"/>
          <w:u w:val="double"/>
          <w:lang w:val="en-CA"/>
        </w:rPr>
        <w:t xml:space="preserve"> production system.</w:t>
      </w:r>
    </w:p>
    <w:p w14:paraId="284AFBF5" w14:textId="77777777" w:rsidR="007B3D5C" w:rsidRPr="00D403F5" w:rsidRDefault="007B3D5C" w:rsidP="00456872">
      <w:pPr>
        <w:spacing w:after="240"/>
        <w:ind w:left="426"/>
        <w:jc w:val="both"/>
        <w:rPr>
          <w:rFonts w:ascii="Arial" w:hAnsi="Arial" w:cs="Arial"/>
          <w:strike/>
          <w:color w:val="000000"/>
          <w:sz w:val="18"/>
          <w:szCs w:val="18"/>
          <w:u w:val="double"/>
        </w:rPr>
      </w:pPr>
      <w:r w:rsidRPr="00D403F5">
        <w:rPr>
          <w:rFonts w:ascii="Arial" w:hAnsi="Arial" w:cs="Arial"/>
          <w:color w:val="000000"/>
          <w:sz w:val="18"/>
          <w:szCs w:val="18"/>
        </w:rPr>
        <w:t xml:space="preserve">The </w:t>
      </w:r>
      <w:r w:rsidRPr="00D403F5">
        <w:rPr>
          <w:rFonts w:ascii="Arial" w:hAnsi="Arial" w:cs="Arial"/>
          <w:i/>
          <w:iCs/>
          <w:color w:val="000000"/>
          <w:sz w:val="18"/>
          <w:szCs w:val="18"/>
        </w:rPr>
        <w:t>risk</w:t>
      </w:r>
      <w:r w:rsidRPr="00D403F5">
        <w:rPr>
          <w:rFonts w:ascii="Arial" w:hAnsi="Arial" w:cs="Arial"/>
          <w:color w:val="000000"/>
          <w:sz w:val="18"/>
          <w:szCs w:val="18"/>
        </w:rPr>
        <w:t xml:space="preserve"> of transferring </w:t>
      </w:r>
      <w:r w:rsidRPr="00D403F5">
        <w:rPr>
          <w:rFonts w:ascii="Arial" w:hAnsi="Arial" w:cs="Arial"/>
          <w:i/>
          <w:color w:val="000000"/>
          <w:sz w:val="18"/>
          <w:szCs w:val="18"/>
        </w:rPr>
        <w:t>pathogenic</w:t>
      </w:r>
      <w:r w:rsidRPr="00D403F5">
        <w:rPr>
          <w:rFonts w:ascii="Arial" w:eastAsia="SimSun" w:hAnsi="Arial" w:cs="Arial"/>
          <w:i/>
          <w:color w:val="000000"/>
          <w:sz w:val="18"/>
          <w:szCs w:val="18"/>
          <w:lang w:eastAsia="zh-CN"/>
        </w:rPr>
        <w:t xml:space="preserve"> </w:t>
      </w:r>
      <w:r w:rsidRPr="00D403F5">
        <w:rPr>
          <w:rFonts w:ascii="Arial" w:hAnsi="Arial" w:cs="Arial"/>
          <w:i/>
          <w:color w:val="000000"/>
          <w:sz w:val="18"/>
          <w:szCs w:val="18"/>
        </w:rPr>
        <w:t>agents</w:t>
      </w:r>
      <w:r w:rsidRPr="00D403F5">
        <w:rPr>
          <w:rFonts w:ascii="Arial" w:hAnsi="Arial" w:cs="Arial"/>
          <w:color w:val="000000"/>
          <w:sz w:val="18"/>
          <w:szCs w:val="18"/>
        </w:rPr>
        <w:t xml:space="preserve"> via </w:t>
      </w:r>
      <w:r w:rsidRPr="00D403F5">
        <w:rPr>
          <w:rFonts w:ascii="Arial" w:hAnsi="Arial" w:cs="Arial"/>
          <w:i/>
          <w:color w:val="000000"/>
          <w:sz w:val="18"/>
          <w:szCs w:val="18"/>
        </w:rPr>
        <w:t>vectors</w:t>
      </w:r>
      <w:r w:rsidRPr="00D403F5">
        <w:rPr>
          <w:rFonts w:ascii="Arial" w:hAnsi="Arial" w:cs="Arial"/>
          <w:color w:val="000000"/>
          <w:sz w:val="18"/>
          <w:szCs w:val="18"/>
        </w:rPr>
        <w:t xml:space="preserve"> varies with </w:t>
      </w:r>
      <w:r w:rsidRPr="00D403F5">
        <w:rPr>
          <w:rFonts w:ascii="Arial" w:hAnsi="Arial" w:cs="Arial"/>
          <w:color w:val="000000"/>
          <w:sz w:val="18"/>
          <w:szCs w:val="18"/>
          <w:u w:val="double"/>
        </w:rPr>
        <w:t xml:space="preserve">the type of </w:t>
      </w:r>
      <w:r w:rsidRPr="00D403F5">
        <w:rPr>
          <w:rFonts w:ascii="Arial" w:hAnsi="Arial" w:cs="Arial"/>
          <w:i/>
          <w:color w:val="000000"/>
          <w:sz w:val="18"/>
          <w:szCs w:val="18"/>
        </w:rPr>
        <w:t>vector</w:t>
      </w:r>
      <w:r w:rsidRPr="00D403F5">
        <w:rPr>
          <w:rFonts w:ascii="Arial" w:hAnsi="Arial" w:cs="Arial"/>
          <w:color w:val="000000"/>
          <w:sz w:val="18"/>
          <w:szCs w:val="18"/>
        </w:rPr>
        <w:t xml:space="preserve"> </w:t>
      </w:r>
      <w:r w:rsidRPr="00D403F5">
        <w:rPr>
          <w:rFonts w:ascii="Arial" w:hAnsi="Arial" w:cs="Arial"/>
          <w:strike/>
          <w:color w:val="000000"/>
          <w:sz w:val="18"/>
          <w:szCs w:val="18"/>
        </w:rPr>
        <w:t>species</w:t>
      </w:r>
      <w:r w:rsidRPr="00D403F5">
        <w:rPr>
          <w:rFonts w:ascii="Arial" w:hAnsi="Arial" w:cs="Arial"/>
          <w:color w:val="000000"/>
          <w:sz w:val="18"/>
          <w:szCs w:val="18"/>
        </w:rPr>
        <w:t xml:space="preserve">, the nature of the </w:t>
      </w:r>
      <w:r w:rsidRPr="00D403F5">
        <w:rPr>
          <w:rFonts w:ascii="Arial" w:hAnsi="Arial" w:cs="Arial"/>
          <w:i/>
          <w:color w:val="000000"/>
          <w:sz w:val="18"/>
          <w:szCs w:val="18"/>
        </w:rPr>
        <w:t>pathogenic agent</w:t>
      </w:r>
      <w:r w:rsidRPr="00D403F5">
        <w:rPr>
          <w:rFonts w:ascii="Arial" w:hAnsi="Arial" w:cs="Arial"/>
          <w:color w:val="000000"/>
          <w:sz w:val="18"/>
          <w:szCs w:val="18"/>
        </w:rPr>
        <w:t xml:space="preserve">, the category of </w:t>
      </w:r>
      <w:r w:rsidRPr="00D403F5">
        <w:rPr>
          <w:rFonts w:ascii="Arial" w:hAnsi="Arial" w:cs="Arial"/>
          <w:i/>
          <w:color w:val="000000"/>
          <w:sz w:val="18"/>
          <w:szCs w:val="18"/>
        </w:rPr>
        <w:t>aquaculture</w:t>
      </w:r>
      <w:r w:rsidRPr="00D403F5">
        <w:rPr>
          <w:rFonts w:ascii="Arial" w:eastAsia="SimSun" w:hAnsi="Arial" w:cs="Arial"/>
          <w:i/>
          <w:color w:val="000000"/>
          <w:sz w:val="18"/>
          <w:szCs w:val="18"/>
          <w:lang w:eastAsia="zh-CN"/>
        </w:rPr>
        <w:t xml:space="preserve"> </w:t>
      </w:r>
      <w:r w:rsidRPr="00D403F5">
        <w:rPr>
          <w:rFonts w:ascii="Arial" w:hAnsi="Arial" w:cs="Arial"/>
          <w:color w:val="000000"/>
          <w:sz w:val="18"/>
          <w:szCs w:val="18"/>
        </w:rPr>
        <w:t xml:space="preserve">production system, and the level of </w:t>
      </w:r>
      <w:r w:rsidRPr="00D403F5">
        <w:rPr>
          <w:rFonts w:ascii="Arial" w:hAnsi="Arial" w:cs="Arial"/>
          <w:i/>
          <w:color w:val="000000"/>
          <w:sz w:val="18"/>
          <w:szCs w:val="18"/>
        </w:rPr>
        <w:t>biosecurity</w:t>
      </w:r>
      <w:r w:rsidRPr="00D403F5">
        <w:rPr>
          <w:rFonts w:ascii="Arial" w:hAnsi="Arial" w:cs="Arial"/>
          <w:color w:val="000000"/>
          <w:sz w:val="18"/>
          <w:szCs w:val="18"/>
        </w:rPr>
        <w:t xml:space="preserve">. </w:t>
      </w:r>
      <w:r w:rsidRPr="00D403F5">
        <w:rPr>
          <w:rFonts w:ascii="Arial" w:hAnsi="Arial" w:cs="Arial"/>
          <w:strike/>
          <w:color w:val="000000"/>
          <w:sz w:val="18"/>
          <w:szCs w:val="18"/>
          <w:highlight w:val="yellow"/>
          <w:u w:val="double"/>
        </w:rPr>
        <w:t xml:space="preserve">Measures identified to mitigate </w:t>
      </w:r>
      <w:r w:rsidRPr="00D403F5">
        <w:rPr>
          <w:rFonts w:ascii="Arial" w:hAnsi="Arial" w:cs="Arial"/>
          <w:i/>
          <w:strike/>
          <w:color w:val="000000"/>
          <w:sz w:val="18"/>
          <w:szCs w:val="18"/>
          <w:highlight w:val="yellow"/>
          <w:u w:val="double"/>
        </w:rPr>
        <w:t>risks</w:t>
      </w:r>
      <w:r w:rsidRPr="00D403F5">
        <w:rPr>
          <w:rFonts w:ascii="Arial" w:hAnsi="Arial" w:cs="Arial"/>
          <w:strike/>
          <w:color w:val="000000"/>
          <w:sz w:val="18"/>
          <w:szCs w:val="18"/>
          <w:highlight w:val="yellow"/>
          <w:u w:val="double"/>
        </w:rPr>
        <w:t xml:space="preserve"> associated with </w:t>
      </w:r>
      <w:r w:rsidRPr="00D403F5">
        <w:rPr>
          <w:rFonts w:ascii="Arial" w:hAnsi="Arial" w:cs="Arial"/>
          <w:i/>
          <w:strike/>
          <w:color w:val="000000"/>
          <w:sz w:val="18"/>
          <w:szCs w:val="18"/>
          <w:highlight w:val="yellow"/>
          <w:u w:val="double"/>
        </w:rPr>
        <w:t>aquatic animals,</w:t>
      </w:r>
      <w:r w:rsidRPr="00D403F5">
        <w:rPr>
          <w:rFonts w:ascii="Arial" w:hAnsi="Arial" w:cs="Arial"/>
          <w:strike/>
          <w:color w:val="000000"/>
          <w:sz w:val="18"/>
          <w:szCs w:val="18"/>
          <w:highlight w:val="yellow"/>
          <w:u w:val="double"/>
        </w:rPr>
        <w:t xml:space="preserve"> as described in point 1, can also be applied to mitigate </w:t>
      </w:r>
      <w:r w:rsidRPr="00D403F5">
        <w:rPr>
          <w:rFonts w:ascii="Arial" w:hAnsi="Arial" w:cs="Arial"/>
          <w:i/>
          <w:strike/>
          <w:color w:val="000000"/>
          <w:sz w:val="18"/>
          <w:szCs w:val="18"/>
          <w:highlight w:val="yellow"/>
          <w:u w:val="double"/>
        </w:rPr>
        <w:t>risks</w:t>
      </w:r>
      <w:r w:rsidRPr="00D403F5">
        <w:rPr>
          <w:rFonts w:ascii="Arial" w:hAnsi="Arial" w:cs="Arial"/>
          <w:strike/>
          <w:color w:val="000000"/>
          <w:sz w:val="18"/>
          <w:szCs w:val="18"/>
          <w:highlight w:val="yellow"/>
          <w:u w:val="double"/>
        </w:rPr>
        <w:t xml:space="preserve"> associated with </w:t>
      </w:r>
      <w:r w:rsidRPr="00D403F5">
        <w:rPr>
          <w:rFonts w:ascii="Arial" w:hAnsi="Arial" w:cs="Arial"/>
          <w:i/>
          <w:strike/>
          <w:color w:val="000000"/>
          <w:sz w:val="18"/>
          <w:szCs w:val="18"/>
          <w:highlight w:val="yellow"/>
          <w:u w:val="double"/>
        </w:rPr>
        <w:t>vectors</w:t>
      </w:r>
      <w:r w:rsidRPr="00D403F5">
        <w:rPr>
          <w:rFonts w:ascii="Arial" w:hAnsi="Arial" w:cs="Arial"/>
          <w:strike/>
          <w:color w:val="000000"/>
          <w:sz w:val="18"/>
          <w:szCs w:val="18"/>
          <w:highlight w:val="yellow"/>
          <w:u w:val="double"/>
        </w:rPr>
        <w:t xml:space="preserve">. Mitigation measures for other </w:t>
      </w:r>
      <w:r w:rsidRPr="00D403F5">
        <w:rPr>
          <w:rFonts w:ascii="Arial" w:hAnsi="Arial" w:cs="Arial"/>
          <w:i/>
          <w:strike/>
          <w:color w:val="000000"/>
          <w:sz w:val="18"/>
          <w:szCs w:val="18"/>
          <w:highlight w:val="yellow"/>
          <w:u w:val="double"/>
        </w:rPr>
        <w:t>vectors</w:t>
      </w:r>
      <w:r w:rsidRPr="00D403F5">
        <w:rPr>
          <w:rFonts w:ascii="Arial" w:hAnsi="Arial" w:cs="Arial"/>
          <w:strike/>
          <w:color w:val="000000"/>
          <w:sz w:val="18"/>
          <w:szCs w:val="18"/>
          <w:highlight w:val="yellow"/>
          <w:u w:val="double"/>
        </w:rPr>
        <w:t xml:space="preserve"> include:</w:t>
      </w:r>
    </w:p>
    <w:p w14:paraId="5FB0AB76" w14:textId="77777777" w:rsidR="007B3D5C" w:rsidRPr="00D403F5" w:rsidRDefault="007B3D5C" w:rsidP="00456872">
      <w:pPr>
        <w:spacing w:after="240"/>
        <w:ind w:left="425"/>
        <w:jc w:val="both"/>
        <w:rPr>
          <w:sz w:val="18"/>
          <w:szCs w:val="18"/>
          <w:u w:val="double"/>
          <w:lang w:val="en-US"/>
        </w:rPr>
      </w:pPr>
      <w:r w:rsidRPr="00D403F5">
        <w:rPr>
          <w:rFonts w:ascii="Arial" w:hAnsi="Arial" w:cs="Arial"/>
          <w:sz w:val="18"/>
          <w:szCs w:val="18"/>
          <w:highlight w:val="yellow"/>
          <w:u w:val="double"/>
          <w:lang w:val="en-US"/>
        </w:rPr>
        <w:t xml:space="preserve">The </w:t>
      </w:r>
      <w:r w:rsidRPr="00D403F5">
        <w:rPr>
          <w:rFonts w:ascii="Arial" w:hAnsi="Arial" w:cs="Arial"/>
          <w:i/>
          <w:sz w:val="18"/>
          <w:szCs w:val="18"/>
          <w:highlight w:val="yellow"/>
          <w:u w:val="double"/>
          <w:lang w:val="en-US"/>
        </w:rPr>
        <w:t>risk</w:t>
      </w:r>
      <w:r w:rsidRPr="00D403F5">
        <w:rPr>
          <w:rFonts w:ascii="Arial" w:hAnsi="Arial" w:cs="Arial"/>
          <w:sz w:val="18"/>
          <w:szCs w:val="18"/>
          <w:highlight w:val="yellow"/>
          <w:u w:val="double"/>
          <w:lang w:val="en-US"/>
        </w:rPr>
        <w:t xml:space="preserve"> of transmitting </w:t>
      </w:r>
      <w:r w:rsidRPr="00D403F5">
        <w:rPr>
          <w:rFonts w:ascii="Arial" w:hAnsi="Arial" w:cs="Arial"/>
          <w:i/>
          <w:sz w:val="18"/>
          <w:szCs w:val="18"/>
          <w:highlight w:val="yellow"/>
          <w:u w:val="double"/>
          <w:lang w:val="en-US"/>
        </w:rPr>
        <w:t>pathogenic agents</w:t>
      </w:r>
      <w:r w:rsidRPr="00D403F5">
        <w:rPr>
          <w:rFonts w:ascii="Arial" w:hAnsi="Arial" w:cs="Arial"/>
          <w:sz w:val="18"/>
          <w:szCs w:val="18"/>
          <w:highlight w:val="yellow"/>
          <w:u w:val="double"/>
          <w:lang w:val="en-US"/>
        </w:rPr>
        <w:t xml:space="preserve"> via </w:t>
      </w:r>
      <w:r w:rsidRPr="00D403F5">
        <w:rPr>
          <w:rFonts w:ascii="Arial" w:hAnsi="Arial" w:cs="Arial"/>
          <w:i/>
          <w:iCs/>
          <w:sz w:val="18"/>
          <w:szCs w:val="18"/>
          <w:highlight w:val="yellow"/>
          <w:u w:val="double"/>
          <w:lang w:val="en-US"/>
        </w:rPr>
        <w:t>vectors</w:t>
      </w:r>
      <w:r w:rsidRPr="00D403F5">
        <w:rPr>
          <w:rFonts w:ascii="Arial" w:hAnsi="Arial" w:cs="Arial"/>
          <w:sz w:val="18"/>
          <w:szCs w:val="18"/>
          <w:highlight w:val="yellow"/>
          <w:u w:val="double"/>
          <w:lang w:val="en-US"/>
        </w:rPr>
        <w:t xml:space="preserve"> </w:t>
      </w:r>
      <w:r w:rsidRPr="00D403F5">
        <w:rPr>
          <w:rFonts w:ascii="Arial" w:hAnsi="Arial" w:cs="Arial"/>
          <w:sz w:val="18"/>
          <w:szCs w:val="18"/>
          <w:highlight w:val="yellow"/>
          <w:u w:val="double"/>
          <w:lang w:val="en-CA"/>
        </w:rPr>
        <w:t>should be managed giving consideration to the following mitigation measures:</w:t>
      </w:r>
    </w:p>
    <w:p w14:paraId="17AEB652" w14:textId="77777777" w:rsidR="007B3D5C" w:rsidRPr="00D403F5" w:rsidRDefault="007B3D5C" w:rsidP="00456872">
      <w:pPr>
        <w:autoSpaceDE w:val="0"/>
        <w:autoSpaceDN w:val="0"/>
        <w:spacing w:after="240"/>
        <w:ind w:left="851" w:hanging="425"/>
        <w:jc w:val="both"/>
        <w:rPr>
          <w:rFonts w:ascii="Arial" w:hAnsi="Arial" w:cs="Arial"/>
          <w:sz w:val="18"/>
          <w:szCs w:val="18"/>
          <w:highlight w:val="yellow"/>
          <w:u w:val="double"/>
          <w:lang w:val="en-US"/>
        </w:rPr>
      </w:pPr>
      <w:r w:rsidRPr="00D403F5">
        <w:rPr>
          <w:rFonts w:ascii="Arial" w:hAnsi="Arial" w:cs="Arial"/>
          <w:i/>
          <w:sz w:val="18"/>
          <w:szCs w:val="18"/>
          <w:u w:val="double"/>
          <w:lang w:val="en-AU"/>
        </w:rPr>
        <w:t>a)</w:t>
      </w:r>
      <w:r w:rsidRPr="00D403F5">
        <w:rPr>
          <w:rFonts w:ascii="Arial" w:hAnsi="Arial" w:cs="Arial"/>
          <w:sz w:val="18"/>
          <w:szCs w:val="18"/>
          <w:lang w:val="en-AU"/>
        </w:rPr>
        <w:tab/>
      </w:r>
      <w:r w:rsidRPr="00D403F5">
        <w:rPr>
          <w:rFonts w:ascii="Arial" w:hAnsi="Arial" w:cs="Arial"/>
          <w:strike/>
          <w:sz w:val="18"/>
          <w:szCs w:val="18"/>
          <w:highlight w:val="yellow"/>
          <w:u w:val="double"/>
          <w:lang w:val="en-AU"/>
        </w:rPr>
        <w:t>netting (to prevent access by birds);</w:t>
      </w:r>
      <w:r w:rsidRPr="00D403F5">
        <w:rPr>
          <w:rFonts w:ascii="Arial" w:hAnsi="Arial" w:cs="Arial"/>
          <w:color w:val="FF0000"/>
          <w:sz w:val="18"/>
          <w:szCs w:val="18"/>
          <w:highlight w:val="yellow"/>
          <w:lang w:val="en-AU"/>
        </w:rPr>
        <w:t xml:space="preserve"> </w:t>
      </w:r>
      <w:r w:rsidRPr="00D403F5">
        <w:rPr>
          <w:rFonts w:ascii="Arial" w:hAnsi="Arial" w:cs="Arial"/>
          <w:sz w:val="18"/>
          <w:szCs w:val="18"/>
          <w:highlight w:val="yellow"/>
          <w:u w:val="double"/>
          <w:lang w:val="en-AU"/>
        </w:rPr>
        <w:t>P</w:t>
      </w:r>
      <w:r w:rsidRPr="00D403F5">
        <w:rPr>
          <w:rFonts w:ascii="Arial" w:hAnsi="Arial" w:cs="Arial"/>
          <w:sz w:val="18"/>
          <w:szCs w:val="18"/>
          <w:highlight w:val="yellow"/>
          <w:u w:val="double"/>
          <w:lang w:val="en-US"/>
        </w:rPr>
        <w:t xml:space="preserve">hysical mitigation measures should be used to prevent the access of </w:t>
      </w:r>
      <w:r w:rsidRPr="00D403F5">
        <w:rPr>
          <w:rFonts w:ascii="Arial" w:hAnsi="Arial" w:cs="Arial"/>
          <w:i/>
          <w:iCs/>
          <w:sz w:val="18"/>
          <w:szCs w:val="18"/>
          <w:highlight w:val="yellow"/>
          <w:u w:val="double"/>
          <w:lang w:val="en-US"/>
        </w:rPr>
        <w:t>vectors</w:t>
      </w:r>
      <w:r w:rsidRPr="00D403F5">
        <w:rPr>
          <w:rFonts w:ascii="Arial" w:hAnsi="Arial" w:cs="Arial"/>
          <w:sz w:val="18"/>
          <w:szCs w:val="18"/>
          <w:highlight w:val="yellow"/>
          <w:u w:val="double"/>
          <w:lang w:val="en-US"/>
        </w:rPr>
        <w:t xml:space="preserve"> to </w:t>
      </w:r>
      <w:r w:rsidRPr="00D403F5">
        <w:rPr>
          <w:rFonts w:ascii="Arial" w:hAnsi="Arial" w:cs="Arial"/>
          <w:i/>
          <w:iCs/>
          <w:sz w:val="18"/>
          <w:szCs w:val="18"/>
          <w:highlight w:val="yellow"/>
          <w:u w:val="double"/>
          <w:lang w:val="en-US"/>
        </w:rPr>
        <w:t xml:space="preserve">aquaculture establishments </w:t>
      </w:r>
      <w:r w:rsidRPr="00D403F5">
        <w:rPr>
          <w:rFonts w:ascii="Arial" w:hAnsi="Arial" w:cs="Arial"/>
          <w:sz w:val="18"/>
          <w:szCs w:val="18"/>
          <w:highlight w:val="yellow"/>
          <w:u w:val="double"/>
          <w:lang w:val="en-US"/>
        </w:rPr>
        <w:t>including</w:t>
      </w:r>
      <w:r w:rsidRPr="00D403F5">
        <w:rPr>
          <w:rFonts w:ascii="Arial" w:hAnsi="Arial" w:cs="Arial"/>
          <w:iCs/>
          <w:sz w:val="18"/>
          <w:szCs w:val="18"/>
          <w:highlight w:val="yellow"/>
          <w:u w:val="double"/>
          <w:lang w:val="en-US"/>
        </w:rPr>
        <w:t>:</w:t>
      </w:r>
    </w:p>
    <w:p w14:paraId="24952336" w14:textId="77777777" w:rsidR="007B3D5C" w:rsidRPr="00D403F5" w:rsidRDefault="007B3D5C" w:rsidP="00456872">
      <w:pPr>
        <w:autoSpaceDE w:val="0"/>
        <w:autoSpaceDN w:val="0"/>
        <w:spacing w:after="240"/>
        <w:ind w:left="1276" w:hanging="425"/>
        <w:jc w:val="both"/>
        <w:rPr>
          <w:rFonts w:ascii="Arial" w:hAnsi="Arial" w:cs="Arial"/>
          <w:sz w:val="18"/>
          <w:szCs w:val="18"/>
          <w:highlight w:val="yellow"/>
          <w:u w:val="double"/>
          <w:shd w:val="clear" w:color="auto" w:fill="FFFFFF"/>
        </w:rPr>
      </w:pPr>
      <w:r w:rsidRPr="00D403F5">
        <w:rPr>
          <w:rFonts w:ascii="Arial" w:hAnsi="Arial" w:cs="Arial"/>
          <w:i/>
          <w:sz w:val="18"/>
          <w:szCs w:val="18"/>
          <w:highlight w:val="yellow"/>
          <w:u w:val="double"/>
          <w:lang w:val="en-AU"/>
        </w:rPr>
        <w:t>i)</w:t>
      </w:r>
      <w:r w:rsidRPr="00D403F5">
        <w:rPr>
          <w:rFonts w:ascii="Arial" w:hAnsi="Arial" w:cs="Arial"/>
          <w:i/>
          <w:sz w:val="18"/>
          <w:szCs w:val="18"/>
          <w:highlight w:val="yellow"/>
          <w:shd w:val="clear" w:color="auto" w:fill="FFFFFF"/>
        </w:rPr>
        <w:t xml:space="preserve"> </w:t>
      </w:r>
      <w:r w:rsidRPr="00D403F5">
        <w:rPr>
          <w:rFonts w:ascii="Arial" w:hAnsi="Arial" w:cs="Arial"/>
          <w:i/>
          <w:sz w:val="18"/>
          <w:szCs w:val="18"/>
          <w:shd w:val="clear" w:color="auto" w:fill="FFFFFF"/>
        </w:rPr>
        <w:tab/>
      </w:r>
      <w:r w:rsidRPr="00D403F5">
        <w:rPr>
          <w:rFonts w:ascii="Arial" w:hAnsi="Arial" w:cs="Arial"/>
          <w:sz w:val="18"/>
          <w:szCs w:val="18"/>
          <w:highlight w:val="yellow"/>
          <w:u w:val="double"/>
          <w:shd w:val="clear" w:color="auto" w:fill="FFFFFF"/>
        </w:rPr>
        <w:t>filtering or screening of water entering semi-closed and closed </w:t>
      </w:r>
      <w:r w:rsidRPr="00D403F5">
        <w:rPr>
          <w:rFonts w:ascii="Arial" w:hAnsi="Arial" w:cs="Arial"/>
          <w:i/>
          <w:iCs/>
          <w:sz w:val="18"/>
          <w:szCs w:val="18"/>
          <w:highlight w:val="yellow"/>
          <w:u w:val="double"/>
          <w:shd w:val="clear" w:color="auto" w:fill="FFFFFF"/>
        </w:rPr>
        <w:t>aquaculture</w:t>
      </w:r>
      <w:r w:rsidRPr="00D403F5">
        <w:rPr>
          <w:rFonts w:ascii="Arial" w:hAnsi="Arial" w:cs="Arial"/>
          <w:sz w:val="18"/>
          <w:szCs w:val="18"/>
          <w:highlight w:val="yellow"/>
          <w:u w:val="double"/>
          <w:shd w:val="clear" w:color="auto" w:fill="FFFFFF"/>
        </w:rPr>
        <w:t xml:space="preserve"> production systems to prevent entry of wild </w:t>
      </w:r>
      <w:r w:rsidRPr="00D403F5">
        <w:rPr>
          <w:rFonts w:ascii="Arial" w:hAnsi="Arial" w:cs="Arial"/>
          <w:i/>
          <w:iCs/>
          <w:sz w:val="18"/>
          <w:szCs w:val="18"/>
          <w:highlight w:val="yellow"/>
          <w:u w:val="double"/>
          <w:shd w:val="clear" w:color="auto" w:fill="FFFFFF"/>
        </w:rPr>
        <w:t>aquatic animals</w:t>
      </w:r>
      <w:r w:rsidRPr="00D403F5">
        <w:rPr>
          <w:rFonts w:ascii="Arial" w:hAnsi="Arial" w:cs="Arial"/>
          <w:sz w:val="18"/>
          <w:szCs w:val="18"/>
          <w:highlight w:val="yellow"/>
          <w:u w:val="double"/>
          <w:shd w:val="clear" w:color="auto" w:fill="FFFFFF"/>
        </w:rPr>
        <w:t>;</w:t>
      </w:r>
    </w:p>
    <w:p w14:paraId="087483AC" w14:textId="77777777" w:rsidR="007B3D5C" w:rsidRPr="00D403F5" w:rsidRDefault="007B3D5C" w:rsidP="00456872">
      <w:pPr>
        <w:spacing w:after="240"/>
        <w:ind w:left="1276" w:hanging="425"/>
        <w:jc w:val="both"/>
        <w:rPr>
          <w:rFonts w:ascii="Arial" w:hAnsi="Arial" w:cs="Arial"/>
          <w:iCs/>
          <w:sz w:val="18"/>
          <w:szCs w:val="18"/>
          <w:highlight w:val="yellow"/>
          <w:u w:val="double"/>
          <w:lang w:val="en-AU"/>
        </w:rPr>
      </w:pPr>
      <w:r w:rsidRPr="00D403F5">
        <w:rPr>
          <w:rFonts w:ascii="Arial" w:hAnsi="Arial" w:cs="Arial"/>
          <w:i/>
          <w:sz w:val="18"/>
          <w:szCs w:val="18"/>
          <w:highlight w:val="yellow"/>
          <w:u w:val="double"/>
          <w:shd w:val="clear" w:color="auto" w:fill="FFFFFF"/>
        </w:rPr>
        <w:t>ii)</w:t>
      </w:r>
      <w:r w:rsidRPr="00D403F5">
        <w:rPr>
          <w:rFonts w:ascii="Arial" w:hAnsi="Arial" w:cs="Arial"/>
          <w:sz w:val="18"/>
          <w:szCs w:val="18"/>
          <w:shd w:val="clear" w:color="auto" w:fill="FFFFFF"/>
        </w:rPr>
        <w:tab/>
      </w:r>
      <w:r w:rsidRPr="00D403F5">
        <w:rPr>
          <w:rFonts w:ascii="Arial" w:hAnsi="Arial" w:cs="Arial"/>
          <w:iCs/>
          <w:sz w:val="18"/>
          <w:szCs w:val="18"/>
          <w:highlight w:val="yellow"/>
          <w:u w:val="double"/>
          <w:lang w:val="en-AU"/>
        </w:rPr>
        <w:t>surrounding land-based</w:t>
      </w:r>
      <w:r w:rsidRPr="00D403F5">
        <w:rPr>
          <w:rFonts w:ascii="Arial" w:hAnsi="Arial" w:cs="Arial"/>
          <w:sz w:val="18"/>
          <w:szCs w:val="18"/>
          <w:highlight w:val="yellow"/>
          <w:u w:val="double"/>
          <w:shd w:val="clear" w:color="auto" w:fill="FFFFFF"/>
        </w:rPr>
        <w:t> </w:t>
      </w:r>
      <w:r w:rsidRPr="00D403F5">
        <w:rPr>
          <w:rFonts w:ascii="Arial" w:hAnsi="Arial" w:cs="Arial"/>
          <w:i/>
          <w:iCs/>
          <w:sz w:val="18"/>
          <w:szCs w:val="18"/>
          <w:highlight w:val="yellow"/>
          <w:u w:val="double"/>
          <w:shd w:val="clear" w:color="auto" w:fill="FFFFFF"/>
        </w:rPr>
        <w:t>aquaculture</w:t>
      </w:r>
      <w:r w:rsidRPr="00D403F5">
        <w:rPr>
          <w:rFonts w:ascii="Arial" w:hAnsi="Arial" w:cs="Arial"/>
          <w:sz w:val="18"/>
          <w:szCs w:val="18"/>
          <w:highlight w:val="yellow"/>
          <w:u w:val="double"/>
          <w:shd w:val="clear" w:color="auto" w:fill="FFFFFF"/>
        </w:rPr>
        <w:t> production systems</w:t>
      </w:r>
      <w:r w:rsidRPr="00D403F5">
        <w:rPr>
          <w:rFonts w:ascii="Arial" w:hAnsi="Arial" w:cs="Arial"/>
          <w:iCs/>
          <w:sz w:val="18"/>
          <w:szCs w:val="18"/>
          <w:highlight w:val="yellow"/>
          <w:u w:val="double"/>
          <w:lang w:val="en-AU"/>
        </w:rPr>
        <w:t xml:space="preserve"> by a fence or a wall to prevent entry of animals and people, with a gate for controlled access;</w:t>
      </w:r>
    </w:p>
    <w:p w14:paraId="78EC01AC" w14:textId="77777777" w:rsidR="007B3D5C" w:rsidRPr="00D403F5" w:rsidRDefault="007B3D5C" w:rsidP="00456872">
      <w:pPr>
        <w:autoSpaceDE w:val="0"/>
        <w:autoSpaceDN w:val="0"/>
        <w:spacing w:after="240"/>
        <w:ind w:left="1276" w:hanging="425"/>
        <w:jc w:val="both"/>
        <w:rPr>
          <w:rFonts w:ascii="Arial" w:hAnsi="Arial" w:cs="Arial"/>
          <w:sz w:val="18"/>
          <w:szCs w:val="18"/>
          <w:highlight w:val="yellow"/>
          <w:u w:val="double"/>
          <w:lang w:val="en-AU"/>
        </w:rPr>
      </w:pPr>
      <w:r w:rsidRPr="00D403F5">
        <w:rPr>
          <w:rFonts w:ascii="Arial" w:hAnsi="Arial" w:cs="Arial"/>
          <w:i/>
          <w:iCs/>
          <w:sz w:val="18"/>
          <w:szCs w:val="18"/>
          <w:highlight w:val="yellow"/>
          <w:u w:val="double"/>
          <w:lang w:val="en-AU"/>
        </w:rPr>
        <w:t>iii)</w:t>
      </w:r>
      <w:r w:rsidRPr="00D403F5">
        <w:rPr>
          <w:rFonts w:ascii="Arial" w:hAnsi="Arial" w:cs="Arial"/>
          <w:iCs/>
          <w:sz w:val="18"/>
          <w:szCs w:val="18"/>
          <w:lang w:val="en-AU"/>
        </w:rPr>
        <w:tab/>
      </w:r>
      <w:r w:rsidRPr="00D403F5">
        <w:rPr>
          <w:rFonts w:ascii="Arial" w:hAnsi="Arial" w:cs="Arial"/>
          <w:iCs/>
          <w:sz w:val="18"/>
          <w:szCs w:val="18"/>
          <w:highlight w:val="yellow"/>
          <w:u w:val="double"/>
          <w:lang w:val="en-AU"/>
        </w:rPr>
        <w:t xml:space="preserve">surrounding floating </w:t>
      </w:r>
      <w:r w:rsidRPr="00D403F5">
        <w:rPr>
          <w:rFonts w:ascii="Arial" w:hAnsi="Arial" w:cs="Arial"/>
          <w:i/>
          <w:iCs/>
          <w:sz w:val="18"/>
          <w:szCs w:val="18"/>
          <w:highlight w:val="yellow"/>
          <w:u w:val="double"/>
          <w:shd w:val="clear" w:color="auto" w:fill="FFFFFF"/>
        </w:rPr>
        <w:t>aquaculture</w:t>
      </w:r>
      <w:r w:rsidRPr="00D403F5">
        <w:rPr>
          <w:rFonts w:ascii="Arial" w:hAnsi="Arial" w:cs="Arial"/>
          <w:sz w:val="18"/>
          <w:szCs w:val="18"/>
          <w:highlight w:val="yellow"/>
          <w:u w:val="double"/>
          <w:shd w:val="clear" w:color="auto" w:fill="FFFFFF"/>
        </w:rPr>
        <w:t xml:space="preserve"> production systems </w:t>
      </w:r>
      <w:r w:rsidRPr="00D403F5">
        <w:rPr>
          <w:rFonts w:ascii="Arial" w:hAnsi="Arial" w:cs="Arial"/>
          <w:iCs/>
          <w:sz w:val="18"/>
          <w:szCs w:val="18"/>
          <w:highlight w:val="yellow"/>
          <w:u w:val="double"/>
          <w:lang w:val="en-AU"/>
        </w:rPr>
        <w:t xml:space="preserve">by </w:t>
      </w:r>
      <w:r w:rsidRPr="00D403F5">
        <w:rPr>
          <w:rFonts w:ascii="Arial" w:hAnsi="Arial" w:cs="Arial"/>
          <w:sz w:val="18"/>
          <w:szCs w:val="18"/>
          <w:highlight w:val="yellow"/>
          <w:u w:val="double"/>
          <w:lang w:val="en-AU"/>
        </w:rPr>
        <w:t xml:space="preserve">barriers on the establishment perimeter to prevent contact with or entry of </w:t>
      </w:r>
      <w:r w:rsidRPr="00D403F5">
        <w:rPr>
          <w:rFonts w:ascii="Arial" w:hAnsi="Arial" w:cs="Arial"/>
          <w:sz w:val="18"/>
          <w:szCs w:val="18"/>
          <w:highlight w:val="yellow"/>
          <w:u w:val="double"/>
        </w:rPr>
        <w:t xml:space="preserve">wild </w:t>
      </w:r>
      <w:r w:rsidRPr="00D403F5">
        <w:rPr>
          <w:rFonts w:ascii="Arial" w:hAnsi="Arial" w:cs="Arial"/>
          <w:i/>
          <w:sz w:val="18"/>
          <w:szCs w:val="18"/>
          <w:highlight w:val="yellow"/>
          <w:u w:val="double"/>
        </w:rPr>
        <w:t xml:space="preserve">aquatic animals </w:t>
      </w:r>
      <w:r w:rsidRPr="00D403F5">
        <w:rPr>
          <w:rFonts w:ascii="Arial" w:hAnsi="Arial" w:cs="Arial"/>
          <w:iCs/>
          <w:sz w:val="18"/>
          <w:szCs w:val="18"/>
          <w:highlight w:val="yellow"/>
          <w:u w:val="double"/>
        </w:rPr>
        <w:t xml:space="preserve">and </w:t>
      </w:r>
      <w:r w:rsidRPr="00D403F5">
        <w:rPr>
          <w:rFonts w:ascii="Arial" w:hAnsi="Arial" w:cs="Arial"/>
          <w:sz w:val="18"/>
          <w:szCs w:val="18"/>
          <w:highlight w:val="yellow"/>
          <w:u w:val="double"/>
          <w:lang w:val="en-AU"/>
        </w:rPr>
        <w:t>other animals;</w:t>
      </w:r>
    </w:p>
    <w:p w14:paraId="1109196D" w14:textId="77777777" w:rsidR="007B3D5C" w:rsidRPr="00D403F5" w:rsidRDefault="007B3D5C" w:rsidP="00456872">
      <w:pPr>
        <w:autoSpaceDE w:val="0"/>
        <w:autoSpaceDN w:val="0"/>
        <w:spacing w:after="240"/>
        <w:ind w:left="1276" w:hanging="425"/>
        <w:jc w:val="both"/>
        <w:rPr>
          <w:rFonts w:ascii="Arial" w:hAnsi="Arial" w:cs="Arial"/>
          <w:sz w:val="18"/>
          <w:szCs w:val="18"/>
          <w:highlight w:val="yellow"/>
          <w:u w:val="double"/>
          <w:lang w:val="en-AU"/>
        </w:rPr>
      </w:pPr>
      <w:r w:rsidRPr="00D403F5">
        <w:rPr>
          <w:rFonts w:ascii="Arial" w:hAnsi="Arial" w:cs="Arial"/>
          <w:i/>
          <w:sz w:val="18"/>
          <w:szCs w:val="18"/>
          <w:highlight w:val="yellow"/>
          <w:u w:val="double"/>
          <w:lang w:val="en-AU"/>
        </w:rPr>
        <w:t>iv)</w:t>
      </w:r>
      <w:r w:rsidRPr="00D403F5">
        <w:rPr>
          <w:rFonts w:ascii="Arial" w:hAnsi="Arial" w:cs="Arial"/>
          <w:sz w:val="18"/>
          <w:szCs w:val="18"/>
          <w:lang w:val="en-AU"/>
        </w:rPr>
        <w:tab/>
      </w:r>
      <w:r w:rsidRPr="00D403F5">
        <w:rPr>
          <w:rFonts w:ascii="Arial" w:hAnsi="Arial" w:cs="Arial"/>
          <w:sz w:val="18"/>
          <w:szCs w:val="18"/>
          <w:lang w:val="en-AU"/>
        </w:rPr>
        <w:tab/>
      </w:r>
      <w:r w:rsidRPr="00D403F5">
        <w:rPr>
          <w:rFonts w:ascii="Arial" w:hAnsi="Arial" w:cs="Arial"/>
          <w:sz w:val="18"/>
          <w:szCs w:val="18"/>
          <w:highlight w:val="yellow"/>
          <w:u w:val="double"/>
          <w:lang w:val="en-AU"/>
        </w:rPr>
        <w:t xml:space="preserve">covering outdoor </w:t>
      </w:r>
      <w:r w:rsidRPr="00D403F5">
        <w:rPr>
          <w:rFonts w:ascii="Arial" w:hAnsi="Arial" w:cs="Arial"/>
          <w:i/>
          <w:iCs/>
          <w:sz w:val="18"/>
          <w:szCs w:val="18"/>
          <w:highlight w:val="yellow"/>
          <w:u w:val="double"/>
          <w:shd w:val="clear" w:color="auto" w:fill="FFFFFF"/>
        </w:rPr>
        <w:t>aquaculture</w:t>
      </w:r>
      <w:r w:rsidRPr="00D403F5">
        <w:rPr>
          <w:rFonts w:ascii="Arial" w:hAnsi="Arial" w:cs="Arial"/>
          <w:sz w:val="18"/>
          <w:szCs w:val="18"/>
          <w:highlight w:val="yellow"/>
          <w:u w:val="double"/>
          <w:shd w:val="clear" w:color="auto" w:fill="FFFFFF"/>
        </w:rPr>
        <w:t> production systems</w:t>
      </w:r>
      <w:r w:rsidRPr="00D403F5">
        <w:rPr>
          <w:rFonts w:ascii="Arial" w:hAnsi="Arial" w:cs="Arial"/>
          <w:sz w:val="18"/>
          <w:szCs w:val="18"/>
          <w:highlight w:val="yellow"/>
          <w:u w:val="double"/>
          <w:lang w:val="en-AU"/>
        </w:rPr>
        <w:t xml:space="preserve"> with nets to prevent access by birds</w:t>
      </w:r>
      <w:r w:rsidRPr="00D403F5">
        <w:rPr>
          <w:rFonts w:ascii="Arial" w:hAnsi="Arial" w:cs="Arial"/>
          <w:strike/>
          <w:sz w:val="18"/>
          <w:szCs w:val="18"/>
          <w:highlight w:val="yellow"/>
          <w:u w:val="double"/>
          <w:lang w:val="en-AU"/>
        </w:rPr>
        <w:t>.</w:t>
      </w:r>
    </w:p>
    <w:p w14:paraId="25211A54" w14:textId="77777777" w:rsidR="007B3D5C" w:rsidRPr="00D403F5" w:rsidRDefault="007B3D5C" w:rsidP="00456872">
      <w:pPr>
        <w:autoSpaceDE w:val="0"/>
        <w:autoSpaceDN w:val="0"/>
        <w:spacing w:after="240"/>
        <w:ind w:left="851" w:hanging="425"/>
        <w:jc w:val="both"/>
        <w:rPr>
          <w:rFonts w:ascii="Arial" w:hAnsi="Arial" w:cs="Arial"/>
          <w:strike/>
          <w:sz w:val="18"/>
          <w:szCs w:val="18"/>
          <w:highlight w:val="yellow"/>
          <w:u w:val="double"/>
          <w:lang w:val="en-AU"/>
        </w:rPr>
      </w:pPr>
      <w:r w:rsidRPr="00D403F5">
        <w:rPr>
          <w:rFonts w:ascii="Arial" w:hAnsi="Arial" w:cs="Arial"/>
          <w:i/>
          <w:strike/>
          <w:sz w:val="18"/>
          <w:szCs w:val="18"/>
          <w:highlight w:val="yellow"/>
          <w:u w:val="double"/>
          <w:lang w:val="en-AU"/>
        </w:rPr>
        <w:t>b)</w:t>
      </w:r>
      <w:r w:rsidRPr="00D403F5">
        <w:rPr>
          <w:rFonts w:ascii="Arial" w:hAnsi="Arial" w:cs="Arial"/>
          <w:sz w:val="18"/>
          <w:szCs w:val="18"/>
          <w:lang w:val="en-AU"/>
        </w:rPr>
        <w:tab/>
      </w:r>
      <w:r w:rsidRPr="00D403F5">
        <w:rPr>
          <w:rFonts w:ascii="Arial" w:hAnsi="Arial" w:cs="Arial"/>
          <w:strike/>
          <w:sz w:val="18"/>
          <w:szCs w:val="18"/>
          <w:highlight w:val="yellow"/>
          <w:u w:val="double"/>
          <w:lang w:val="en-AU"/>
        </w:rPr>
        <w:t>barriers on the establishment perimeter to prevent entry by of other animals (e.g. electric fencing);</w:t>
      </w:r>
    </w:p>
    <w:p w14:paraId="01FBD70B" w14:textId="77777777" w:rsidR="007B3D5C" w:rsidRPr="00D403F5" w:rsidRDefault="007B3D5C" w:rsidP="00456872">
      <w:pPr>
        <w:autoSpaceDE w:val="0"/>
        <w:autoSpaceDN w:val="0"/>
        <w:spacing w:after="240"/>
        <w:ind w:left="851" w:hanging="425"/>
        <w:jc w:val="both"/>
        <w:rPr>
          <w:rFonts w:ascii="Arial" w:hAnsi="Arial" w:cs="Arial"/>
          <w:i/>
          <w:iCs/>
          <w:sz w:val="18"/>
          <w:szCs w:val="18"/>
          <w:highlight w:val="yellow"/>
          <w:u w:val="double"/>
          <w:lang w:val="en-AU"/>
        </w:rPr>
      </w:pPr>
      <w:r w:rsidRPr="00D403F5">
        <w:rPr>
          <w:rFonts w:ascii="Arial" w:hAnsi="Arial" w:cs="Arial"/>
          <w:i/>
          <w:iCs/>
          <w:sz w:val="18"/>
          <w:szCs w:val="18"/>
          <w:highlight w:val="yellow"/>
          <w:u w:val="double"/>
          <w:lang w:val="en-AU"/>
        </w:rPr>
        <w:br w:type="page"/>
      </w:r>
    </w:p>
    <w:p w14:paraId="35758242" w14:textId="77777777" w:rsidR="007B3D5C" w:rsidRPr="00D403F5" w:rsidRDefault="007B3D5C" w:rsidP="00456872">
      <w:pPr>
        <w:spacing w:after="480"/>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7812FFD5" w14:textId="77777777" w:rsidR="007B3D5C" w:rsidRPr="00D403F5" w:rsidRDefault="007B3D5C" w:rsidP="00456872">
      <w:pPr>
        <w:autoSpaceDE w:val="0"/>
        <w:autoSpaceDN w:val="0"/>
        <w:spacing w:after="240"/>
        <w:ind w:left="851" w:hanging="425"/>
        <w:jc w:val="both"/>
        <w:rPr>
          <w:rFonts w:ascii="Arial" w:hAnsi="Arial" w:cs="Arial"/>
          <w:sz w:val="18"/>
          <w:szCs w:val="18"/>
          <w:highlight w:val="yellow"/>
          <w:u w:val="double"/>
          <w:lang w:val="en-US"/>
        </w:rPr>
      </w:pPr>
      <w:r w:rsidRPr="00D403F5">
        <w:rPr>
          <w:rFonts w:ascii="Arial" w:hAnsi="Arial" w:cs="Arial"/>
          <w:i/>
          <w:iCs/>
          <w:sz w:val="18"/>
          <w:szCs w:val="18"/>
          <w:highlight w:val="yellow"/>
          <w:u w:val="double"/>
          <w:lang w:val="en-AU"/>
        </w:rPr>
        <w:t>b)</w:t>
      </w:r>
      <w:r w:rsidRPr="00D403F5">
        <w:rPr>
          <w:rFonts w:ascii="Arial" w:hAnsi="Arial" w:cs="Arial"/>
          <w:i/>
          <w:iCs/>
          <w:sz w:val="18"/>
          <w:szCs w:val="18"/>
          <w:lang w:val="en-AU"/>
        </w:rPr>
        <w:tab/>
      </w:r>
      <w:r w:rsidRPr="00D403F5">
        <w:rPr>
          <w:rFonts w:ascii="Arial" w:hAnsi="Arial" w:cs="Arial"/>
          <w:strike/>
          <w:sz w:val="18"/>
          <w:szCs w:val="18"/>
          <w:highlight w:val="yellow"/>
          <w:u w:val="double"/>
          <w:lang w:val="en-AU"/>
        </w:rPr>
        <w:t>Controlling</w:t>
      </w:r>
      <w:r w:rsidRPr="00D403F5">
        <w:rPr>
          <w:rFonts w:ascii="Arial" w:hAnsi="Arial" w:cs="Arial"/>
          <w:i/>
          <w:iCs/>
          <w:sz w:val="18"/>
          <w:szCs w:val="18"/>
          <w:highlight w:val="yellow"/>
          <w:u w:val="double"/>
          <w:lang w:val="en-AU"/>
        </w:rPr>
        <w:t xml:space="preserve"> </w:t>
      </w:r>
      <w:r w:rsidRPr="00D403F5">
        <w:rPr>
          <w:rFonts w:ascii="Arial" w:hAnsi="Arial" w:cs="Arial"/>
          <w:iCs/>
          <w:sz w:val="18"/>
          <w:szCs w:val="18"/>
          <w:highlight w:val="yellow"/>
          <w:u w:val="double"/>
          <w:lang w:val="en-AU"/>
        </w:rPr>
        <w:t>A</w:t>
      </w:r>
      <w:r w:rsidRPr="00D403F5">
        <w:rPr>
          <w:rFonts w:ascii="Arial" w:hAnsi="Arial" w:cs="Arial"/>
          <w:sz w:val="18"/>
          <w:szCs w:val="18"/>
          <w:highlight w:val="yellow"/>
          <w:u w:val="double"/>
          <w:lang w:val="en-AU"/>
        </w:rPr>
        <w:t xml:space="preserve">ccess of personnel to </w:t>
      </w:r>
      <w:r w:rsidRPr="00D403F5">
        <w:rPr>
          <w:rFonts w:ascii="Arial" w:hAnsi="Arial" w:cs="Arial"/>
          <w:i/>
          <w:iCs/>
          <w:sz w:val="18"/>
          <w:szCs w:val="18"/>
          <w:highlight w:val="yellow"/>
          <w:u w:val="double"/>
          <w:lang w:val="en-US"/>
        </w:rPr>
        <w:t>aquaculture establishments</w:t>
      </w:r>
      <w:r w:rsidRPr="00D403F5">
        <w:rPr>
          <w:rFonts w:ascii="Arial" w:hAnsi="Arial" w:cs="Arial"/>
          <w:sz w:val="18"/>
          <w:szCs w:val="18"/>
          <w:highlight w:val="yellow"/>
          <w:u w:val="double"/>
          <w:lang w:val="en-US"/>
        </w:rPr>
        <w:t xml:space="preserve"> should be controlled by creating a </w:t>
      </w:r>
      <w:r w:rsidRPr="00D403F5">
        <w:rPr>
          <w:rFonts w:ascii="Arial" w:hAnsi="Arial" w:cs="Arial"/>
          <w:sz w:val="18"/>
          <w:szCs w:val="18"/>
          <w:highlight w:val="yellow"/>
          <w:u w:val="double"/>
          <w:lang w:val="en-US" w:eastAsia="nb-NO"/>
        </w:rPr>
        <w:t>defined border between the outer risk area and the inner biosecure area comprising facilities for</w:t>
      </w:r>
      <w:r w:rsidRPr="00D403F5">
        <w:rPr>
          <w:rFonts w:ascii="Arial" w:hAnsi="Arial" w:cs="Arial"/>
          <w:sz w:val="18"/>
          <w:szCs w:val="18"/>
          <w:highlight w:val="yellow"/>
          <w:u w:val="double"/>
          <w:lang w:val="en-US"/>
        </w:rPr>
        <w:t>:</w:t>
      </w:r>
    </w:p>
    <w:p w14:paraId="0BED87C4" w14:textId="77777777" w:rsidR="007B3D5C" w:rsidRPr="00D403F5" w:rsidRDefault="007B3D5C" w:rsidP="00456872">
      <w:pPr>
        <w:autoSpaceDE w:val="0"/>
        <w:autoSpaceDN w:val="0"/>
        <w:spacing w:after="240"/>
        <w:ind w:left="1276" w:hanging="425"/>
        <w:jc w:val="both"/>
        <w:rPr>
          <w:rFonts w:ascii="Arial" w:hAnsi="Arial" w:cs="Arial"/>
          <w:sz w:val="18"/>
          <w:szCs w:val="18"/>
          <w:highlight w:val="yellow"/>
          <w:u w:val="double"/>
          <w:lang w:val="en-AU"/>
        </w:rPr>
      </w:pPr>
      <w:r w:rsidRPr="00D403F5">
        <w:rPr>
          <w:rFonts w:ascii="Arial" w:hAnsi="Arial" w:cs="Arial"/>
          <w:i/>
          <w:sz w:val="18"/>
          <w:szCs w:val="18"/>
          <w:highlight w:val="yellow"/>
          <w:u w:val="double"/>
          <w:lang w:val="en-AU"/>
        </w:rPr>
        <w:t>i)</w:t>
      </w:r>
      <w:r w:rsidRPr="00D403F5">
        <w:rPr>
          <w:rFonts w:ascii="Arial" w:hAnsi="Arial" w:cs="Arial"/>
          <w:i/>
          <w:sz w:val="18"/>
          <w:szCs w:val="18"/>
          <w:lang w:val="en-AU"/>
        </w:rPr>
        <w:t xml:space="preserve"> </w:t>
      </w:r>
      <w:r w:rsidRPr="00D403F5">
        <w:rPr>
          <w:rFonts w:ascii="Arial" w:hAnsi="Arial" w:cs="Arial"/>
          <w:sz w:val="18"/>
          <w:szCs w:val="18"/>
          <w:lang w:val="en-AU"/>
        </w:rPr>
        <w:tab/>
      </w:r>
      <w:r w:rsidRPr="00D403F5">
        <w:rPr>
          <w:rFonts w:ascii="Arial" w:hAnsi="Arial" w:cs="Arial"/>
          <w:sz w:val="18"/>
          <w:szCs w:val="18"/>
          <w:highlight w:val="yellow"/>
          <w:u w:val="double"/>
          <w:lang w:val="en-AU"/>
        </w:rPr>
        <w:t>changing of clothes and shoes, or use of disposal coverings (hoods, coats, shoe coverings);</w:t>
      </w:r>
    </w:p>
    <w:p w14:paraId="327E2792" w14:textId="77777777" w:rsidR="007B3D5C" w:rsidRPr="00D403F5" w:rsidRDefault="007B3D5C" w:rsidP="00456872">
      <w:pPr>
        <w:autoSpaceDE w:val="0"/>
        <w:autoSpaceDN w:val="0"/>
        <w:spacing w:after="240"/>
        <w:ind w:left="1276" w:hanging="425"/>
        <w:jc w:val="both"/>
        <w:rPr>
          <w:rFonts w:ascii="Arial" w:hAnsi="Arial" w:cs="Arial"/>
          <w:sz w:val="18"/>
          <w:szCs w:val="18"/>
          <w:u w:val="double"/>
          <w:lang w:val="en-AU"/>
        </w:rPr>
      </w:pPr>
      <w:r w:rsidRPr="00D403F5">
        <w:rPr>
          <w:rFonts w:ascii="Arial" w:hAnsi="Arial" w:cs="Arial"/>
          <w:i/>
          <w:sz w:val="18"/>
          <w:szCs w:val="18"/>
          <w:highlight w:val="yellow"/>
          <w:u w:val="double"/>
          <w:lang w:val="en-AU"/>
        </w:rPr>
        <w:t>ii)</w:t>
      </w:r>
      <w:r w:rsidRPr="00D403F5">
        <w:rPr>
          <w:rFonts w:ascii="Arial" w:hAnsi="Arial" w:cs="Arial"/>
          <w:sz w:val="18"/>
          <w:szCs w:val="18"/>
          <w:lang w:val="en-AU"/>
        </w:rPr>
        <w:tab/>
      </w:r>
      <w:r w:rsidRPr="00D403F5">
        <w:rPr>
          <w:rFonts w:ascii="Arial" w:hAnsi="Arial" w:cs="Arial"/>
          <w:sz w:val="18"/>
          <w:szCs w:val="18"/>
          <w:highlight w:val="yellow"/>
          <w:u w:val="double"/>
          <w:lang w:val="en-AU"/>
        </w:rPr>
        <w:t xml:space="preserve">cleaning and </w:t>
      </w:r>
      <w:r w:rsidRPr="00D403F5">
        <w:rPr>
          <w:rFonts w:ascii="Arial" w:hAnsi="Arial" w:cs="Arial"/>
          <w:i/>
          <w:sz w:val="18"/>
          <w:szCs w:val="18"/>
          <w:highlight w:val="yellow"/>
          <w:u w:val="double"/>
          <w:lang w:val="en-AU"/>
        </w:rPr>
        <w:t>disinfection</w:t>
      </w:r>
      <w:r w:rsidRPr="00D403F5">
        <w:rPr>
          <w:rFonts w:ascii="Arial" w:hAnsi="Arial" w:cs="Arial"/>
          <w:sz w:val="18"/>
          <w:szCs w:val="18"/>
          <w:highlight w:val="yellow"/>
          <w:u w:val="double"/>
          <w:lang w:val="en-AU"/>
        </w:rPr>
        <w:t xml:space="preserve"> of hands, and the use of foot baths </w:t>
      </w:r>
      <w:r w:rsidRPr="00D403F5">
        <w:rPr>
          <w:rFonts w:ascii="Arial" w:hAnsi="Arial" w:cs="Arial"/>
          <w:strike/>
          <w:sz w:val="18"/>
          <w:szCs w:val="18"/>
          <w:highlight w:val="yellow"/>
          <w:u w:val="double"/>
          <w:lang w:val="en-AU"/>
        </w:rPr>
        <w:t>for shoe disinfection</w:t>
      </w:r>
      <w:r w:rsidRPr="00D403F5">
        <w:rPr>
          <w:rFonts w:ascii="Arial" w:hAnsi="Arial" w:cs="Arial"/>
          <w:sz w:val="18"/>
          <w:szCs w:val="18"/>
          <w:highlight w:val="yellow"/>
          <w:u w:val="double"/>
          <w:lang w:val="en-AU"/>
        </w:rPr>
        <w:t>;</w:t>
      </w:r>
    </w:p>
    <w:p w14:paraId="2CC0DCD0" w14:textId="77777777" w:rsidR="007B3D5C" w:rsidRPr="00D403F5" w:rsidRDefault="007B3D5C" w:rsidP="00456872">
      <w:pPr>
        <w:autoSpaceDE w:val="0"/>
        <w:autoSpaceDN w:val="0"/>
        <w:spacing w:after="240"/>
        <w:ind w:left="851" w:hanging="425"/>
        <w:jc w:val="both"/>
        <w:rPr>
          <w:rFonts w:ascii="Arial" w:hAnsi="Arial" w:cs="Arial"/>
          <w:sz w:val="18"/>
          <w:szCs w:val="18"/>
          <w:u w:val="double"/>
          <w:lang w:val="en-AU"/>
        </w:rPr>
      </w:pPr>
      <w:r w:rsidRPr="00D403F5">
        <w:rPr>
          <w:rFonts w:ascii="Arial" w:hAnsi="Arial" w:cs="Arial"/>
          <w:i/>
          <w:sz w:val="18"/>
          <w:szCs w:val="18"/>
          <w:u w:val="double"/>
          <w:lang w:val="en-AU"/>
        </w:rPr>
        <w:t>c)</w:t>
      </w:r>
      <w:r w:rsidRPr="00D403F5">
        <w:rPr>
          <w:rFonts w:ascii="Arial" w:hAnsi="Arial" w:cs="Arial"/>
          <w:sz w:val="18"/>
          <w:szCs w:val="18"/>
          <w:lang w:val="en-AU"/>
        </w:rPr>
        <w:tab/>
      </w:r>
      <w:r w:rsidRPr="00D403F5">
        <w:rPr>
          <w:rFonts w:ascii="Arial" w:hAnsi="Arial" w:cs="Arial"/>
          <w:sz w:val="18"/>
          <w:szCs w:val="18"/>
          <w:highlight w:val="yellow"/>
          <w:u w:val="double"/>
          <w:lang w:val="en-AU"/>
        </w:rPr>
        <w:t>P</w:t>
      </w:r>
      <w:r w:rsidRPr="00D403F5">
        <w:rPr>
          <w:rFonts w:ascii="Arial" w:hAnsi="Arial" w:cs="Arial"/>
          <w:strike/>
          <w:sz w:val="18"/>
          <w:szCs w:val="18"/>
          <w:highlight w:val="yellow"/>
          <w:u w:val="double"/>
          <w:lang w:val="en-AU"/>
        </w:rPr>
        <w:t>p</w:t>
      </w:r>
      <w:r w:rsidRPr="00D403F5">
        <w:rPr>
          <w:rFonts w:ascii="Arial" w:hAnsi="Arial" w:cs="Arial"/>
          <w:sz w:val="18"/>
          <w:szCs w:val="18"/>
          <w:u w:val="double"/>
          <w:lang w:val="en-AU"/>
        </w:rPr>
        <w:t xml:space="preserve">est control </w:t>
      </w:r>
      <w:r w:rsidRPr="00D403F5">
        <w:rPr>
          <w:rFonts w:ascii="Arial" w:hAnsi="Arial" w:cs="Arial"/>
          <w:strike/>
          <w:sz w:val="18"/>
          <w:szCs w:val="18"/>
          <w:highlight w:val="yellow"/>
          <w:u w:val="double"/>
          <w:lang w:val="en-AU"/>
        </w:rPr>
        <w:t>and secure storage of feed and mortalities</w:t>
      </w:r>
      <w:r w:rsidRPr="00D403F5">
        <w:rPr>
          <w:rFonts w:ascii="Arial" w:hAnsi="Arial" w:cs="Arial"/>
          <w:sz w:val="18"/>
          <w:szCs w:val="18"/>
          <w:u w:val="double"/>
          <w:lang w:val="en-AU"/>
        </w:rPr>
        <w:t>.</w:t>
      </w:r>
    </w:p>
    <w:p w14:paraId="7DE3EA0E" w14:textId="77777777" w:rsidR="007B3D5C" w:rsidRPr="00D403F5" w:rsidRDefault="007B3D5C" w:rsidP="00456872">
      <w:pPr>
        <w:spacing w:after="240"/>
        <w:jc w:val="center"/>
        <w:rPr>
          <w:rFonts w:ascii="Ottawa" w:hAnsi="Ottawa" w:cs="Arial"/>
          <w:sz w:val="18"/>
          <w:szCs w:val="18"/>
        </w:rPr>
      </w:pPr>
      <w:r w:rsidRPr="00D403F5">
        <w:rPr>
          <w:rFonts w:ascii="Ottawa" w:hAnsi="Ottawa" w:cs="Arial"/>
          <w:sz w:val="18"/>
          <w:szCs w:val="18"/>
        </w:rPr>
        <w:t>Article 4.X.7.</w:t>
      </w:r>
    </w:p>
    <w:p w14:paraId="2B971AC4" w14:textId="77777777" w:rsidR="007B3D5C" w:rsidRPr="00D403F5" w:rsidRDefault="007B3D5C" w:rsidP="00456872">
      <w:pPr>
        <w:spacing w:after="240"/>
        <w:jc w:val="both"/>
        <w:rPr>
          <w:rFonts w:ascii="Ottawa" w:hAnsi="Ottawa" w:cs="Arial"/>
          <w:b/>
          <w:color w:val="000000"/>
          <w:sz w:val="18"/>
          <w:szCs w:val="18"/>
        </w:rPr>
      </w:pPr>
      <w:r w:rsidRPr="00D403F5">
        <w:rPr>
          <w:rFonts w:ascii="Ottawa" w:hAnsi="Ottawa" w:cs="Arial"/>
          <w:b/>
          <w:color w:val="000000"/>
          <w:sz w:val="18"/>
          <w:szCs w:val="18"/>
        </w:rPr>
        <w:t xml:space="preserve">Risk analysis </w:t>
      </w:r>
    </w:p>
    <w:p w14:paraId="5EEA9875" w14:textId="77777777" w:rsidR="007B3D5C" w:rsidRPr="00D403F5" w:rsidRDefault="007B3D5C" w:rsidP="00456872">
      <w:pPr>
        <w:pStyle w:val="Web"/>
        <w:spacing w:before="0" w:beforeAutospacing="0" w:after="240" w:afterAutospacing="0"/>
        <w:jc w:val="both"/>
        <w:rPr>
          <w:rFonts w:ascii="Arial" w:hAnsi="Arial" w:cs="Arial"/>
          <w:sz w:val="18"/>
          <w:szCs w:val="18"/>
          <w:u w:val="double"/>
          <w:lang w:val="en-US"/>
        </w:rPr>
      </w:pPr>
      <w:r w:rsidRPr="00D403F5">
        <w:rPr>
          <w:rFonts w:ascii="Arial" w:hAnsi="Arial" w:cs="Arial"/>
          <w:i/>
          <w:sz w:val="18"/>
          <w:szCs w:val="18"/>
          <w:lang w:val="en-US"/>
        </w:rPr>
        <w:t>Risk analysis</w:t>
      </w:r>
      <w:r w:rsidRPr="00D403F5">
        <w:rPr>
          <w:rFonts w:ascii="Arial" w:hAnsi="Arial" w:cs="Arial"/>
          <w:sz w:val="18"/>
          <w:szCs w:val="18"/>
          <w:lang w:val="en-US"/>
        </w:rPr>
        <w:t xml:space="preserve"> is an accepted approach for evaluating </w:t>
      </w:r>
      <w:r w:rsidRPr="00D403F5">
        <w:rPr>
          <w:rFonts w:ascii="Arial" w:hAnsi="Arial" w:cs="Arial"/>
          <w:i/>
          <w:sz w:val="18"/>
          <w:szCs w:val="18"/>
          <w:lang w:val="en-US"/>
        </w:rPr>
        <w:t>biosecurity</w:t>
      </w:r>
      <w:r w:rsidRPr="00D403F5">
        <w:rPr>
          <w:rFonts w:ascii="Arial" w:hAnsi="Arial" w:cs="Arial"/>
          <w:sz w:val="18"/>
          <w:szCs w:val="18"/>
          <w:lang w:val="en-US"/>
        </w:rPr>
        <w:t xml:space="preserve"> threats and </w:t>
      </w:r>
      <w:r w:rsidRPr="00D403F5">
        <w:rPr>
          <w:rFonts w:ascii="Arial" w:hAnsi="Arial" w:cs="Arial"/>
          <w:sz w:val="18"/>
          <w:szCs w:val="18"/>
          <w:highlight w:val="yellow"/>
          <w:u w:val="single"/>
          <w:lang w:val="en-US"/>
        </w:rPr>
        <w:t>is used</w:t>
      </w:r>
      <w:r w:rsidRPr="00D403F5">
        <w:rPr>
          <w:rFonts w:ascii="Arial" w:hAnsi="Arial" w:cs="Arial"/>
          <w:sz w:val="18"/>
          <w:szCs w:val="18"/>
          <w:lang w:val="en-US"/>
        </w:rPr>
        <w:t xml:space="preserve"> to support the development of mitigation measures. A formal </w:t>
      </w:r>
      <w:r w:rsidRPr="00D403F5">
        <w:rPr>
          <w:rFonts w:ascii="Arial" w:hAnsi="Arial" w:cs="Arial"/>
          <w:i/>
          <w:sz w:val="18"/>
          <w:szCs w:val="18"/>
          <w:lang w:val="en-US"/>
        </w:rPr>
        <w:t xml:space="preserve">risk analysis </w:t>
      </w:r>
      <w:r w:rsidRPr="00D403F5">
        <w:rPr>
          <w:rFonts w:ascii="Arial" w:hAnsi="Arial" w:cs="Arial"/>
          <w:sz w:val="18"/>
          <w:szCs w:val="18"/>
          <w:lang w:val="en-US"/>
        </w:rPr>
        <w:t xml:space="preserve">has four components: </w:t>
      </w:r>
      <w:r w:rsidRPr="00D403F5">
        <w:rPr>
          <w:rFonts w:ascii="Arial" w:hAnsi="Arial" w:cs="Arial"/>
          <w:i/>
          <w:sz w:val="18"/>
          <w:szCs w:val="18"/>
          <w:lang w:val="en-US"/>
        </w:rPr>
        <w:t>hazard</w:t>
      </w:r>
      <w:r w:rsidRPr="00D403F5">
        <w:rPr>
          <w:rFonts w:ascii="Arial" w:hAnsi="Arial" w:cs="Arial"/>
          <w:sz w:val="18"/>
          <w:szCs w:val="18"/>
          <w:lang w:val="en-US"/>
        </w:rPr>
        <w:t xml:space="preserve"> identification, </w:t>
      </w:r>
      <w:r w:rsidRPr="00D403F5">
        <w:rPr>
          <w:rFonts w:ascii="Arial" w:hAnsi="Arial" w:cs="Arial"/>
          <w:i/>
          <w:sz w:val="18"/>
          <w:szCs w:val="18"/>
          <w:lang w:val="en-US"/>
        </w:rPr>
        <w:t>risk assessment</w:t>
      </w:r>
      <w:r w:rsidRPr="00D403F5">
        <w:rPr>
          <w:rFonts w:ascii="Arial" w:hAnsi="Arial" w:cs="Arial"/>
          <w:sz w:val="18"/>
          <w:szCs w:val="18"/>
          <w:lang w:val="en-US"/>
        </w:rPr>
        <w:t xml:space="preserve">, </w:t>
      </w:r>
      <w:r w:rsidRPr="00D403F5">
        <w:rPr>
          <w:rFonts w:ascii="Arial" w:hAnsi="Arial" w:cs="Arial"/>
          <w:i/>
          <w:sz w:val="18"/>
          <w:szCs w:val="18"/>
          <w:lang w:val="en-US"/>
        </w:rPr>
        <w:t>risk management</w:t>
      </w:r>
      <w:r w:rsidRPr="00D403F5">
        <w:rPr>
          <w:rFonts w:ascii="Arial" w:hAnsi="Arial" w:cs="Arial"/>
          <w:sz w:val="18"/>
          <w:szCs w:val="18"/>
          <w:lang w:val="en-US"/>
        </w:rPr>
        <w:t xml:space="preserve"> and </w:t>
      </w:r>
      <w:r w:rsidRPr="00D403F5">
        <w:rPr>
          <w:rFonts w:ascii="Arial" w:hAnsi="Arial" w:cs="Arial"/>
          <w:i/>
          <w:sz w:val="18"/>
          <w:szCs w:val="18"/>
          <w:lang w:val="en-US"/>
        </w:rPr>
        <w:t>risk communication</w:t>
      </w:r>
      <w:r w:rsidRPr="00D403F5">
        <w:rPr>
          <w:rFonts w:ascii="Arial" w:hAnsi="Arial" w:cs="Arial"/>
          <w:sz w:val="18"/>
          <w:szCs w:val="18"/>
          <w:lang w:val="en-US"/>
        </w:rPr>
        <w:t xml:space="preserve"> </w:t>
      </w:r>
      <w:r w:rsidRPr="00D403F5">
        <w:rPr>
          <w:rFonts w:ascii="Arial" w:hAnsi="Arial" w:cs="Arial"/>
          <w:strike/>
          <w:sz w:val="18"/>
          <w:szCs w:val="18"/>
          <w:highlight w:val="yellow"/>
          <w:lang w:val="en-US"/>
        </w:rPr>
        <w:t>(see Chapter 2.1.)</w:t>
      </w:r>
      <w:r w:rsidRPr="00D403F5">
        <w:rPr>
          <w:rFonts w:ascii="Arial" w:hAnsi="Arial" w:cs="Arial"/>
          <w:sz w:val="18"/>
          <w:szCs w:val="18"/>
          <w:lang w:val="en-US"/>
        </w:rPr>
        <w:t xml:space="preserve">. </w:t>
      </w:r>
      <w:r w:rsidRPr="00D403F5">
        <w:rPr>
          <w:rFonts w:ascii="Arial" w:hAnsi="Arial" w:cs="Arial"/>
          <w:sz w:val="18"/>
          <w:szCs w:val="18"/>
          <w:u w:val="double"/>
          <w:lang w:val="en-US"/>
        </w:rPr>
        <w:t xml:space="preserve">This article elaborates the principles in Chapter 2.1. and applies them for the development of </w:t>
      </w:r>
      <w:r w:rsidRPr="00D403F5">
        <w:rPr>
          <w:rFonts w:ascii="Arial" w:hAnsi="Arial" w:cs="Arial"/>
          <w:i/>
          <w:sz w:val="18"/>
          <w:szCs w:val="18"/>
          <w:u w:val="double"/>
          <w:lang w:val="en-US"/>
        </w:rPr>
        <w:t>biosecurity</w:t>
      </w:r>
      <w:r w:rsidRPr="00D403F5">
        <w:rPr>
          <w:rFonts w:ascii="Arial" w:hAnsi="Arial" w:cs="Arial"/>
          <w:sz w:val="18"/>
          <w:szCs w:val="18"/>
          <w:u w:val="double"/>
          <w:lang w:val="en-US"/>
        </w:rPr>
        <w:t xml:space="preserve"> </w:t>
      </w:r>
      <w:r w:rsidRPr="00D403F5">
        <w:rPr>
          <w:rFonts w:ascii="Arial" w:hAnsi="Arial" w:cs="Arial"/>
          <w:i/>
          <w:sz w:val="18"/>
          <w:szCs w:val="18"/>
          <w:highlight w:val="yellow"/>
          <w:u w:val="double"/>
          <w:lang w:val="en-US"/>
        </w:rPr>
        <w:t>plans</w:t>
      </w:r>
      <w:r w:rsidRPr="00D403F5">
        <w:rPr>
          <w:rFonts w:ascii="Arial" w:hAnsi="Arial" w:cs="Arial"/>
          <w:sz w:val="18"/>
          <w:szCs w:val="18"/>
          <w:u w:val="double"/>
          <w:lang w:val="en-US"/>
        </w:rPr>
        <w:t xml:space="preserve"> for </w:t>
      </w:r>
      <w:r w:rsidRPr="00D403F5">
        <w:rPr>
          <w:rFonts w:ascii="Arial" w:hAnsi="Arial" w:cs="Arial"/>
          <w:i/>
          <w:sz w:val="18"/>
          <w:szCs w:val="18"/>
          <w:u w:val="double"/>
          <w:lang w:val="en-US"/>
        </w:rPr>
        <w:t>aquaculture establishments</w:t>
      </w:r>
      <w:r w:rsidRPr="00D403F5">
        <w:rPr>
          <w:rFonts w:ascii="Arial" w:hAnsi="Arial" w:cs="Arial"/>
          <w:sz w:val="18"/>
          <w:szCs w:val="18"/>
          <w:u w:val="double"/>
          <w:lang w:val="en-US"/>
        </w:rPr>
        <w:t xml:space="preserve">. </w:t>
      </w:r>
    </w:p>
    <w:p w14:paraId="68E7B6BD" w14:textId="77777777" w:rsidR="007B3D5C" w:rsidRPr="00D403F5" w:rsidRDefault="007B3D5C" w:rsidP="00456872">
      <w:pPr>
        <w:pStyle w:val="Web"/>
        <w:spacing w:before="0" w:beforeAutospacing="0" w:after="240" w:afterAutospacing="0"/>
        <w:jc w:val="both"/>
        <w:rPr>
          <w:rFonts w:ascii="Arial" w:hAnsi="Arial" w:cs="Arial"/>
          <w:sz w:val="18"/>
          <w:szCs w:val="18"/>
          <w:lang w:val="en-US"/>
        </w:rPr>
      </w:pPr>
      <w:r w:rsidRPr="00D403F5">
        <w:rPr>
          <w:rFonts w:ascii="Arial" w:hAnsi="Arial" w:cs="Arial"/>
          <w:sz w:val="18"/>
          <w:szCs w:val="18"/>
          <w:lang w:val="en-US"/>
        </w:rPr>
        <w:t xml:space="preserve">A </w:t>
      </w:r>
      <w:r w:rsidRPr="00D403F5">
        <w:rPr>
          <w:rFonts w:ascii="Arial" w:hAnsi="Arial" w:cs="Arial"/>
          <w:i/>
          <w:sz w:val="18"/>
          <w:szCs w:val="18"/>
          <w:lang w:val="en-US"/>
        </w:rPr>
        <w:t>biosecurity plan</w:t>
      </w:r>
      <w:r w:rsidRPr="00D403F5">
        <w:rPr>
          <w:rFonts w:ascii="Arial" w:hAnsi="Arial" w:cs="Arial"/>
          <w:sz w:val="18"/>
          <w:szCs w:val="18"/>
          <w:lang w:val="en-US"/>
        </w:rPr>
        <w:t xml:space="preserve"> may not necessarily require a comprehensive </w:t>
      </w:r>
      <w:r w:rsidRPr="00D403F5">
        <w:rPr>
          <w:rFonts w:ascii="Arial" w:hAnsi="Arial" w:cs="Arial"/>
          <w:i/>
          <w:sz w:val="18"/>
          <w:szCs w:val="18"/>
          <w:lang w:val="en-US"/>
        </w:rPr>
        <w:t>risk analysis</w:t>
      </w:r>
      <w:r w:rsidRPr="00D403F5">
        <w:rPr>
          <w:rFonts w:ascii="Arial" w:hAnsi="Arial" w:cs="Arial"/>
          <w:sz w:val="18"/>
          <w:szCs w:val="18"/>
          <w:lang w:val="en-US"/>
        </w:rPr>
        <w:t xml:space="preserve"> to evaluate </w:t>
      </w:r>
      <w:r w:rsidRPr="00D403F5">
        <w:rPr>
          <w:rFonts w:ascii="Arial" w:hAnsi="Arial" w:cs="Arial"/>
          <w:i/>
          <w:sz w:val="18"/>
          <w:szCs w:val="18"/>
          <w:lang w:val="en-US"/>
        </w:rPr>
        <w:t>disease risks</w:t>
      </w:r>
      <w:r w:rsidRPr="00D403F5">
        <w:rPr>
          <w:rFonts w:ascii="Arial" w:hAnsi="Arial" w:cs="Arial"/>
          <w:sz w:val="18"/>
          <w:szCs w:val="18"/>
          <w:lang w:val="en-US"/>
        </w:rPr>
        <w:t xml:space="preserve"> linked to transmission pathways. The chosen approach may depend on the objectives of the </w:t>
      </w:r>
      <w:r w:rsidRPr="00D403F5">
        <w:rPr>
          <w:rFonts w:ascii="Arial" w:hAnsi="Arial" w:cs="Arial"/>
          <w:i/>
          <w:sz w:val="18"/>
          <w:szCs w:val="18"/>
          <w:lang w:val="en-US"/>
        </w:rPr>
        <w:t>biosecurity plan</w:t>
      </w:r>
      <w:r w:rsidRPr="00D403F5">
        <w:rPr>
          <w:rFonts w:ascii="Arial" w:eastAsia="SimSun" w:hAnsi="Arial" w:cs="Arial" w:hint="eastAsia"/>
          <w:sz w:val="18"/>
          <w:szCs w:val="18"/>
          <w:lang w:val="en-US" w:eastAsia="zh-CN"/>
        </w:rPr>
        <w:t>,</w:t>
      </w:r>
      <w:r w:rsidRPr="00D403F5">
        <w:rPr>
          <w:rFonts w:ascii="Arial" w:hAnsi="Arial" w:cs="Arial"/>
          <w:sz w:val="18"/>
          <w:szCs w:val="18"/>
          <w:lang w:val="en-US"/>
        </w:rPr>
        <w:t xml:space="preserve"> the level of </w:t>
      </w:r>
      <w:r w:rsidRPr="00D403F5">
        <w:rPr>
          <w:rFonts w:ascii="Arial" w:hAnsi="Arial" w:cs="Arial"/>
          <w:i/>
          <w:sz w:val="18"/>
          <w:szCs w:val="18"/>
          <w:lang w:val="en-US"/>
        </w:rPr>
        <w:t>biosecurity</w:t>
      </w:r>
      <w:r w:rsidRPr="00D403F5">
        <w:rPr>
          <w:rFonts w:ascii="Arial" w:hAnsi="Arial" w:cs="Arial"/>
          <w:sz w:val="18"/>
          <w:szCs w:val="18"/>
          <w:lang w:val="en-US"/>
        </w:rPr>
        <w:t xml:space="preserve"> that is appropriate for the specific production requirements of the </w:t>
      </w:r>
      <w:r w:rsidRPr="00D403F5">
        <w:rPr>
          <w:rFonts w:ascii="Arial" w:hAnsi="Arial" w:cs="Arial"/>
          <w:i/>
          <w:sz w:val="18"/>
          <w:szCs w:val="18"/>
          <w:lang w:val="en-US"/>
        </w:rPr>
        <w:t>aquaculture establishment</w:t>
      </w:r>
      <w:r w:rsidRPr="00D403F5">
        <w:rPr>
          <w:rFonts w:ascii="Arial" w:hAnsi="Arial" w:cs="Arial"/>
          <w:sz w:val="18"/>
          <w:szCs w:val="18"/>
          <w:lang w:val="en-US"/>
        </w:rPr>
        <w:t xml:space="preserve">, the complexity of the threats to be addressed, and </w:t>
      </w:r>
      <w:r w:rsidRPr="00D403F5">
        <w:rPr>
          <w:rFonts w:ascii="Arial" w:eastAsia="SimSun" w:hAnsi="Arial" w:cs="Arial" w:hint="eastAsia"/>
          <w:sz w:val="18"/>
          <w:szCs w:val="18"/>
          <w:lang w:val="en-US" w:eastAsia="zh-CN"/>
        </w:rPr>
        <w:t xml:space="preserve">the </w:t>
      </w:r>
      <w:r w:rsidRPr="00D403F5">
        <w:rPr>
          <w:rFonts w:ascii="Arial" w:hAnsi="Arial" w:cs="Arial"/>
          <w:sz w:val="18"/>
          <w:szCs w:val="18"/>
          <w:lang w:val="en-US"/>
        </w:rPr>
        <w:t xml:space="preserve">availability of information and resources. Depending on these circumstances, a partial analysis may be appropriate, and can build on previous experiences to identify the </w:t>
      </w:r>
      <w:r w:rsidRPr="00D403F5">
        <w:rPr>
          <w:rFonts w:ascii="Arial" w:hAnsi="Arial" w:cs="Arial"/>
          <w:i/>
          <w:sz w:val="18"/>
          <w:szCs w:val="18"/>
          <w:lang w:val="en-US"/>
        </w:rPr>
        <w:t>hazards</w:t>
      </w:r>
      <w:r w:rsidRPr="00D403F5">
        <w:rPr>
          <w:rFonts w:ascii="Arial" w:hAnsi="Arial" w:cs="Arial"/>
          <w:sz w:val="18"/>
          <w:szCs w:val="18"/>
          <w:lang w:val="en-US"/>
        </w:rPr>
        <w:t xml:space="preserve"> associated with relevant transmission pathways.</w:t>
      </w:r>
    </w:p>
    <w:p w14:paraId="1C5A62A1" w14:textId="77777777" w:rsidR="007B3D5C" w:rsidRPr="00D403F5" w:rsidRDefault="007B3D5C" w:rsidP="00456872">
      <w:pPr>
        <w:spacing w:after="240"/>
        <w:jc w:val="both"/>
        <w:rPr>
          <w:rFonts w:ascii="Arial" w:hAnsi="Arial" w:cs="Arial"/>
          <w:sz w:val="18"/>
          <w:szCs w:val="18"/>
        </w:rPr>
      </w:pPr>
      <w:r w:rsidRPr="00D403F5">
        <w:rPr>
          <w:rFonts w:ascii="Arial" w:hAnsi="Arial" w:cs="Arial"/>
          <w:sz w:val="18"/>
          <w:szCs w:val="18"/>
        </w:rPr>
        <w:t xml:space="preserve">The three formal steps of the </w:t>
      </w:r>
      <w:r w:rsidRPr="00D403F5">
        <w:rPr>
          <w:rFonts w:ascii="Arial" w:hAnsi="Arial" w:cs="Arial"/>
          <w:i/>
          <w:sz w:val="18"/>
          <w:szCs w:val="18"/>
        </w:rPr>
        <w:t>risk analysis</w:t>
      </w:r>
      <w:r w:rsidRPr="00D403F5">
        <w:rPr>
          <w:rFonts w:ascii="Arial" w:hAnsi="Arial" w:cs="Arial"/>
          <w:sz w:val="18"/>
          <w:szCs w:val="18"/>
        </w:rPr>
        <w:t xml:space="preserve"> process to underpin </w:t>
      </w:r>
      <w:r w:rsidRPr="00D403F5">
        <w:rPr>
          <w:rFonts w:ascii="Arial" w:hAnsi="Arial" w:cs="Arial"/>
          <w:sz w:val="18"/>
          <w:szCs w:val="18"/>
          <w:highlight w:val="yellow"/>
          <w:u w:val="double"/>
        </w:rPr>
        <w:t>a</w:t>
      </w:r>
      <w:r w:rsidRPr="00D403F5">
        <w:rPr>
          <w:rFonts w:ascii="Arial" w:hAnsi="Arial" w:cs="Arial"/>
          <w:sz w:val="18"/>
          <w:szCs w:val="18"/>
          <w:highlight w:val="yellow"/>
        </w:rPr>
        <w:t xml:space="preserve"> </w:t>
      </w:r>
      <w:r w:rsidRPr="00D403F5">
        <w:rPr>
          <w:rFonts w:ascii="Arial" w:hAnsi="Arial" w:cs="Arial"/>
          <w:strike/>
          <w:sz w:val="18"/>
          <w:szCs w:val="18"/>
          <w:highlight w:val="yellow"/>
        </w:rPr>
        <w:t>the</w:t>
      </w:r>
      <w:r w:rsidRPr="00D403F5">
        <w:rPr>
          <w:rFonts w:ascii="Arial" w:hAnsi="Arial" w:cs="Arial"/>
          <w:sz w:val="18"/>
          <w:szCs w:val="18"/>
          <w:highlight w:val="yellow"/>
        </w:rPr>
        <w:t xml:space="preserve"> </w:t>
      </w:r>
      <w:r w:rsidRPr="00D403F5">
        <w:rPr>
          <w:rFonts w:ascii="Arial" w:hAnsi="Arial" w:cs="Arial"/>
          <w:i/>
          <w:sz w:val="18"/>
          <w:szCs w:val="18"/>
        </w:rPr>
        <w:t>biosecurity plan</w:t>
      </w:r>
      <w:r w:rsidRPr="00D403F5">
        <w:rPr>
          <w:rFonts w:ascii="Arial" w:hAnsi="Arial" w:cs="Arial"/>
          <w:sz w:val="18"/>
          <w:szCs w:val="18"/>
        </w:rPr>
        <w:t xml:space="preserve"> are: </w:t>
      </w:r>
    </w:p>
    <w:p w14:paraId="52867887" w14:textId="77777777" w:rsidR="007B3D5C" w:rsidRPr="00D403F5" w:rsidRDefault="007B3D5C" w:rsidP="00456872">
      <w:pPr>
        <w:spacing w:after="240"/>
        <w:jc w:val="both"/>
        <w:rPr>
          <w:rFonts w:ascii="Ottawa" w:hAnsi="Ottawa" w:cs="Arial"/>
          <w:b/>
          <w:color w:val="000000"/>
          <w:sz w:val="18"/>
          <w:szCs w:val="18"/>
        </w:rPr>
      </w:pPr>
      <w:r w:rsidRPr="00D403F5">
        <w:rPr>
          <w:rFonts w:ascii="Ottawa" w:hAnsi="Ottawa" w:cs="Arial"/>
          <w:b/>
          <w:color w:val="000000"/>
          <w:sz w:val="18"/>
          <w:szCs w:val="18"/>
        </w:rPr>
        <w:t xml:space="preserve">Step 1 </w:t>
      </w:r>
      <w:r w:rsidRPr="00D403F5">
        <w:rPr>
          <w:rFonts w:ascii="Arial" w:hAnsi="Arial" w:cs="Arial"/>
          <w:b/>
          <w:color w:val="000000"/>
          <w:sz w:val="18"/>
          <w:szCs w:val="18"/>
        </w:rPr>
        <w:t>‒</w:t>
      </w:r>
      <w:r w:rsidRPr="00D403F5">
        <w:rPr>
          <w:rFonts w:ascii="Ottawa" w:hAnsi="Ottawa" w:cs="Arial"/>
          <w:b/>
          <w:color w:val="000000"/>
          <w:sz w:val="18"/>
          <w:szCs w:val="18"/>
        </w:rPr>
        <w:t xml:space="preserve"> Hazard </w:t>
      </w:r>
      <w:r w:rsidRPr="00D403F5">
        <w:rPr>
          <w:rFonts w:ascii="Ottawa" w:hAnsi="Ottawa" w:cs="Arial"/>
          <w:b/>
          <w:strike/>
          <w:color w:val="000000"/>
          <w:sz w:val="18"/>
          <w:szCs w:val="18"/>
          <w:highlight w:val="yellow"/>
        </w:rPr>
        <w:t>I</w:t>
      </w:r>
      <w:r w:rsidRPr="00D403F5">
        <w:rPr>
          <w:rFonts w:ascii="Ottawa" w:hAnsi="Ottawa" w:cs="Arial"/>
          <w:b/>
          <w:color w:val="000000"/>
          <w:sz w:val="18"/>
          <w:szCs w:val="18"/>
          <w:highlight w:val="yellow"/>
        </w:rPr>
        <w:t>i</w:t>
      </w:r>
      <w:r w:rsidRPr="00D403F5">
        <w:rPr>
          <w:rFonts w:ascii="Ottawa" w:hAnsi="Ottawa" w:cs="Arial"/>
          <w:b/>
          <w:color w:val="000000"/>
          <w:sz w:val="18"/>
          <w:szCs w:val="18"/>
        </w:rPr>
        <w:t>dentification</w:t>
      </w:r>
    </w:p>
    <w:p w14:paraId="0BCABC2C" w14:textId="77777777" w:rsidR="007B3D5C" w:rsidRPr="00D403F5" w:rsidRDefault="007B3D5C" w:rsidP="00456872">
      <w:pPr>
        <w:shd w:val="clear" w:color="auto" w:fill="FFFFFF"/>
        <w:spacing w:after="240"/>
        <w:jc w:val="both"/>
        <w:rPr>
          <w:rFonts w:ascii="Arial" w:hAnsi="Arial" w:cs="Arial"/>
          <w:sz w:val="18"/>
          <w:szCs w:val="18"/>
        </w:rPr>
      </w:pPr>
      <w:r w:rsidRPr="00D403F5">
        <w:rPr>
          <w:rFonts w:ascii="Arial" w:hAnsi="Arial" w:cs="Arial"/>
          <w:i/>
          <w:sz w:val="18"/>
          <w:szCs w:val="18"/>
        </w:rPr>
        <w:t xml:space="preserve">Hazard </w:t>
      </w:r>
      <w:r w:rsidRPr="00D403F5">
        <w:rPr>
          <w:rFonts w:ascii="Arial" w:hAnsi="Arial" w:cs="Arial"/>
          <w:sz w:val="18"/>
          <w:szCs w:val="18"/>
        </w:rPr>
        <w:t xml:space="preserve">identification determines which </w:t>
      </w:r>
      <w:r w:rsidRPr="00D403F5">
        <w:rPr>
          <w:rFonts w:ascii="Arial" w:hAnsi="Arial" w:cs="Arial"/>
          <w:i/>
          <w:sz w:val="18"/>
          <w:szCs w:val="18"/>
        </w:rPr>
        <w:t>pathogenic agents</w:t>
      </w:r>
      <w:r w:rsidRPr="00D403F5">
        <w:rPr>
          <w:rFonts w:ascii="Arial" w:hAnsi="Arial" w:cs="Arial"/>
          <w:sz w:val="18"/>
          <w:szCs w:val="18"/>
        </w:rPr>
        <w:t xml:space="preserve"> should be the subject of the </w:t>
      </w:r>
      <w:r w:rsidRPr="00D403F5">
        <w:rPr>
          <w:rFonts w:ascii="Arial" w:hAnsi="Arial" w:cs="Arial"/>
          <w:i/>
          <w:sz w:val="18"/>
          <w:szCs w:val="18"/>
        </w:rPr>
        <w:t>risk assessment</w:t>
      </w:r>
      <w:r w:rsidRPr="00D403F5">
        <w:rPr>
          <w:rFonts w:ascii="Arial" w:hAnsi="Arial" w:cs="Arial"/>
          <w:sz w:val="18"/>
          <w:szCs w:val="18"/>
        </w:rPr>
        <w:t xml:space="preserve">. </w:t>
      </w:r>
      <w:r w:rsidRPr="00D403F5">
        <w:rPr>
          <w:rFonts w:ascii="Arial" w:hAnsi="Arial" w:cs="Arial"/>
          <w:sz w:val="18"/>
          <w:szCs w:val="18"/>
          <w:u w:val="double"/>
        </w:rPr>
        <w:t xml:space="preserve">A </w:t>
      </w:r>
      <w:r w:rsidRPr="00D403F5">
        <w:rPr>
          <w:rFonts w:ascii="Arial" w:hAnsi="Arial" w:cs="Arial"/>
          <w:i/>
          <w:sz w:val="18"/>
          <w:szCs w:val="18"/>
          <w:u w:val="double"/>
        </w:rPr>
        <w:t>hazard</w:t>
      </w:r>
      <w:r w:rsidRPr="00D403F5">
        <w:rPr>
          <w:rFonts w:ascii="Arial" w:hAnsi="Arial" w:cs="Arial"/>
          <w:sz w:val="18"/>
          <w:szCs w:val="18"/>
          <w:u w:val="double"/>
        </w:rPr>
        <w:t xml:space="preserve"> may include a specific </w:t>
      </w:r>
      <w:r w:rsidRPr="00D403F5">
        <w:rPr>
          <w:rFonts w:ascii="Arial" w:hAnsi="Arial" w:cs="Arial"/>
          <w:i/>
          <w:sz w:val="18"/>
          <w:szCs w:val="18"/>
          <w:u w:val="double"/>
        </w:rPr>
        <w:t>pathogenic agent</w:t>
      </w:r>
      <w:r w:rsidRPr="00D403F5">
        <w:rPr>
          <w:rFonts w:ascii="Arial" w:hAnsi="Arial" w:cs="Arial"/>
          <w:sz w:val="18"/>
          <w:szCs w:val="18"/>
          <w:u w:val="double"/>
        </w:rPr>
        <w:t xml:space="preserve"> or be defined in more general terms as a group of </w:t>
      </w:r>
      <w:r w:rsidRPr="00D403F5">
        <w:rPr>
          <w:rFonts w:ascii="Arial" w:hAnsi="Arial" w:cs="Arial"/>
          <w:i/>
          <w:sz w:val="18"/>
          <w:szCs w:val="18"/>
          <w:u w:val="double"/>
        </w:rPr>
        <w:t xml:space="preserve">pathogenic agents. </w:t>
      </w:r>
      <w:r w:rsidRPr="00D403F5">
        <w:rPr>
          <w:rFonts w:ascii="Arial" w:hAnsi="Arial" w:cs="Arial"/>
          <w:sz w:val="18"/>
          <w:szCs w:val="18"/>
        </w:rPr>
        <w:t xml:space="preserve">This step includes identifying and collecting relevant information on the </w:t>
      </w:r>
      <w:r w:rsidRPr="00D403F5">
        <w:rPr>
          <w:rFonts w:ascii="Arial" w:hAnsi="Arial" w:cs="Arial"/>
          <w:i/>
          <w:sz w:val="18"/>
          <w:szCs w:val="18"/>
        </w:rPr>
        <w:t>pathogenic agents</w:t>
      </w:r>
      <w:r w:rsidRPr="00D403F5">
        <w:rPr>
          <w:rFonts w:ascii="Arial" w:hAnsi="Arial" w:cs="Arial"/>
          <w:sz w:val="18"/>
          <w:szCs w:val="18"/>
        </w:rPr>
        <w:t xml:space="preserve"> that have </w:t>
      </w:r>
      <w:r w:rsidRPr="00D403F5">
        <w:rPr>
          <w:rFonts w:ascii="Arial" w:hAnsi="Arial" w:cs="Arial"/>
          <w:strike/>
          <w:sz w:val="18"/>
          <w:szCs w:val="18"/>
          <w:highlight w:val="yellow"/>
        </w:rPr>
        <w:t>a</w:t>
      </w:r>
      <w:r w:rsidRPr="00D403F5">
        <w:rPr>
          <w:rFonts w:ascii="Arial" w:hAnsi="Arial" w:cs="Arial"/>
          <w:sz w:val="18"/>
          <w:szCs w:val="18"/>
        </w:rPr>
        <w:t xml:space="preserve"> potential to cause </w:t>
      </w:r>
      <w:r w:rsidRPr="00D403F5">
        <w:rPr>
          <w:rFonts w:ascii="Arial" w:hAnsi="Arial" w:cs="Arial"/>
          <w:i/>
          <w:sz w:val="18"/>
          <w:szCs w:val="18"/>
        </w:rPr>
        <w:t>diseases</w:t>
      </w:r>
      <w:r w:rsidRPr="00D403F5">
        <w:rPr>
          <w:rFonts w:ascii="Arial" w:hAnsi="Arial" w:cs="Arial"/>
          <w:sz w:val="18"/>
          <w:szCs w:val="18"/>
        </w:rPr>
        <w:t xml:space="preserve"> in</w:t>
      </w:r>
      <w:r w:rsidRPr="00D403F5">
        <w:rPr>
          <w:rFonts w:ascii="Arial" w:eastAsia="SimSun" w:hAnsi="Arial" w:cs="Arial" w:hint="eastAsia"/>
          <w:sz w:val="18"/>
          <w:szCs w:val="18"/>
          <w:lang w:eastAsia="zh-CN"/>
        </w:rPr>
        <w:t xml:space="preserve"> </w:t>
      </w:r>
      <w:r w:rsidRPr="00D403F5">
        <w:rPr>
          <w:rFonts w:ascii="Arial" w:hAnsi="Arial" w:cs="Arial"/>
          <w:i/>
          <w:sz w:val="18"/>
          <w:szCs w:val="18"/>
        </w:rPr>
        <w:t>aquatic animal</w:t>
      </w:r>
      <w:r w:rsidRPr="00D403F5">
        <w:rPr>
          <w:rFonts w:ascii="Arial" w:hAnsi="Arial" w:cs="Arial"/>
          <w:sz w:val="18"/>
          <w:szCs w:val="18"/>
        </w:rPr>
        <w:t xml:space="preserve"> populations within an </w:t>
      </w:r>
      <w:r w:rsidRPr="00D403F5">
        <w:rPr>
          <w:rFonts w:ascii="Arial" w:hAnsi="Arial" w:cs="Arial"/>
          <w:i/>
          <w:sz w:val="18"/>
          <w:szCs w:val="18"/>
        </w:rPr>
        <w:t>aquaculture establishment</w:t>
      </w:r>
      <w:r w:rsidRPr="00D403F5">
        <w:rPr>
          <w:rFonts w:ascii="Arial" w:hAnsi="Arial" w:cs="Arial"/>
          <w:sz w:val="18"/>
          <w:szCs w:val="18"/>
        </w:rPr>
        <w:t xml:space="preserve">. This process must consider the </w:t>
      </w:r>
      <w:r w:rsidRPr="00D403F5">
        <w:rPr>
          <w:rFonts w:ascii="Arial" w:hAnsi="Arial" w:cs="Arial"/>
          <w:i/>
          <w:sz w:val="18"/>
          <w:szCs w:val="18"/>
        </w:rPr>
        <w:t>aquatic animal health</w:t>
      </w:r>
      <w:r w:rsidRPr="00D403F5">
        <w:rPr>
          <w:rFonts w:ascii="Arial" w:eastAsia="SimSun" w:hAnsi="Arial" w:cs="Arial" w:hint="eastAsia"/>
          <w:i/>
          <w:sz w:val="18"/>
          <w:szCs w:val="18"/>
          <w:lang w:eastAsia="zh-CN"/>
        </w:rPr>
        <w:t xml:space="preserve"> </w:t>
      </w:r>
      <w:r w:rsidRPr="00D403F5">
        <w:rPr>
          <w:rFonts w:ascii="Arial" w:hAnsi="Arial" w:cs="Arial"/>
          <w:i/>
          <w:sz w:val="18"/>
          <w:szCs w:val="18"/>
        </w:rPr>
        <w:t>status</w:t>
      </w:r>
      <w:r w:rsidRPr="00D403F5">
        <w:rPr>
          <w:rFonts w:ascii="Arial" w:hAnsi="Arial" w:cs="Arial"/>
          <w:sz w:val="18"/>
          <w:szCs w:val="18"/>
        </w:rPr>
        <w:t xml:space="preserve"> of the establishment and, for semi-open and semi-closed </w:t>
      </w:r>
      <w:r w:rsidRPr="00D403F5">
        <w:rPr>
          <w:rFonts w:ascii="Arial" w:hAnsi="Arial" w:cs="Arial"/>
          <w:i/>
          <w:sz w:val="18"/>
          <w:szCs w:val="18"/>
        </w:rPr>
        <w:t>aquaculture</w:t>
      </w:r>
      <w:r w:rsidRPr="00D403F5">
        <w:rPr>
          <w:rFonts w:ascii="Arial" w:hAnsi="Arial" w:cs="Arial"/>
          <w:sz w:val="18"/>
          <w:szCs w:val="18"/>
        </w:rPr>
        <w:t xml:space="preserve"> production systems, the </w:t>
      </w:r>
      <w:r w:rsidRPr="00D403F5">
        <w:rPr>
          <w:rFonts w:ascii="Arial" w:hAnsi="Arial" w:cs="Arial"/>
          <w:i/>
          <w:sz w:val="18"/>
          <w:szCs w:val="18"/>
        </w:rPr>
        <w:t>aquatic animal health</w:t>
      </w:r>
      <w:r w:rsidRPr="00D403F5">
        <w:rPr>
          <w:rFonts w:ascii="Arial" w:eastAsia="SimSun" w:hAnsi="Arial" w:cs="Arial" w:hint="eastAsia"/>
          <w:i/>
          <w:sz w:val="18"/>
          <w:szCs w:val="18"/>
          <w:lang w:eastAsia="zh-CN"/>
        </w:rPr>
        <w:t xml:space="preserve"> </w:t>
      </w:r>
      <w:r w:rsidRPr="00D403F5">
        <w:rPr>
          <w:rFonts w:ascii="Arial" w:hAnsi="Arial" w:cs="Arial"/>
          <w:i/>
          <w:sz w:val="18"/>
          <w:szCs w:val="18"/>
        </w:rPr>
        <w:t>status</w:t>
      </w:r>
      <w:r w:rsidRPr="00D403F5">
        <w:rPr>
          <w:rFonts w:ascii="Arial" w:hAnsi="Arial" w:cs="Arial"/>
          <w:sz w:val="18"/>
          <w:szCs w:val="18"/>
        </w:rPr>
        <w:t xml:space="preserve"> of the epidemiologically linked environments. The following step is to identify both known and </w:t>
      </w:r>
      <w:r w:rsidRPr="00D403F5">
        <w:rPr>
          <w:rFonts w:ascii="Arial" w:hAnsi="Arial" w:cs="Arial"/>
          <w:i/>
          <w:sz w:val="18"/>
          <w:szCs w:val="18"/>
        </w:rPr>
        <w:t>emerging diseases</w:t>
      </w:r>
      <w:r w:rsidRPr="00D403F5">
        <w:rPr>
          <w:rFonts w:ascii="Arial" w:hAnsi="Arial" w:cs="Arial"/>
          <w:sz w:val="18"/>
          <w:szCs w:val="18"/>
        </w:rPr>
        <w:t xml:space="preserve">, not present in the </w:t>
      </w:r>
      <w:r w:rsidRPr="00D403F5">
        <w:rPr>
          <w:rFonts w:ascii="Arial" w:hAnsi="Arial" w:cs="Arial"/>
          <w:i/>
          <w:sz w:val="18"/>
          <w:szCs w:val="18"/>
        </w:rPr>
        <w:t xml:space="preserve">aquaculture </w:t>
      </w:r>
      <w:r w:rsidRPr="00D403F5">
        <w:rPr>
          <w:rFonts w:ascii="Arial" w:hAnsi="Arial" w:cs="Arial"/>
          <w:i/>
          <w:sz w:val="18"/>
          <w:szCs w:val="18"/>
          <w:lang w:val="en-AU"/>
        </w:rPr>
        <w:t>establishment</w:t>
      </w:r>
      <w:r w:rsidRPr="00D403F5">
        <w:rPr>
          <w:rFonts w:ascii="Arial" w:hAnsi="Arial" w:cs="Arial"/>
          <w:sz w:val="18"/>
          <w:szCs w:val="18"/>
        </w:rPr>
        <w:t xml:space="preserve">, which may negatively impact the farmed population. </w:t>
      </w:r>
    </w:p>
    <w:p w14:paraId="7BA19163" w14:textId="77777777" w:rsidR="007B3D5C" w:rsidRPr="00D403F5" w:rsidRDefault="007B3D5C" w:rsidP="00456872">
      <w:pPr>
        <w:spacing w:after="240"/>
        <w:jc w:val="both"/>
        <w:rPr>
          <w:rFonts w:ascii="Arial" w:hAnsi="Arial" w:cs="Arial"/>
          <w:i/>
          <w:sz w:val="18"/>
          <w:szCs w:val="18"/>
        </w:rPr>
      </w:pPr>
      <w:r w:rsidRPr="00D403F5">
        <w:rPr>
          <w:rFonts w:ascii="Arial" w:hAnsi="Arial" w:cs="Arial"/>
          <w:sz w:val="18"/>
          <w:szCs w:val="18"/>
        </w:rPr>
        <w:t xml:space="preserve">To complete the next steps of the </w:t>
      </w:r>
      <w:r w:rsidRPr="00D403F5">
        <w:rPr>
          <w:rFonts w:ascii="Arial" w:hAnsi="Arial" w:cs="Arial"/>
          <w:i/>
          <w:sz w:val="18"/>
          <w:szCs w:val="18"/>
        </w:rPr>
        <w:t>risk assessment</w:t>
      </w:r>
      <w:r w:rsidRPr="00D403F5">
        <w:rPr>
          <w:rFonts w:ascii="Arial" w:hAnsi="Arial" w:cs="Arial"/>
          <w:sz w:val="18"/>
          <w:szCs w:val="18"/>
        </w:rPr>
        <w:t xml:space="preserve">, </w:t>
      </w:r>
      <w:r w:rsidRPr="00D403F5">
        <w:rPr>
          <w:rFonts w:ascii="Arial" w:hAnsi="Arial" w:cs="Arial"/>
          <w:strike/>
          <w:sz w:val="18"/>
          <w:szCs w:val="18"/>
          <w:highlight w:val="yellow"/>
        </w:rPr>
        <w:t>required</w:t>
      </w:r>
      <w:r w:rsidRPr="00D403F5">
        <w:rPr>
          <w:rFonts w:ascii="Arial" w:hAnsi="Arial" w:cs="Arial"/>
          <w:sz w:val="18"/>
          <w:szCs w:val="18"/>
          <w:highlight w:val="yellow"/>
        </w:rPr>
        <w:t xml:space="preserve"> </w:t>
      </w:r>
      <w:r w:rsidRPr="00D403F5">
        <w:rPr>
          <w:rFonts w:ascii="Arial" w:hAnsi="Arial" w:cs="Arial"/>
          <w:sz w:val="18"/>
          <w:szCs w:val="18"/>
        </w:rPr>
        <w:t xml:space="preserve">information on the identified </w:t>
      </w:r>
      <w:r w:rsidRPr="00D403F5">
        <w:rPr>
          <w:rFonts w:ascii="Arial" w:hAnsi="Arial" w:cs="Arial"/>
          <w:i/>
          <w:sz w:val="18"/>
          <w:szCs w:val="18"/>
        </w:rPr>
        <w:t>hazards</w:t>
      </w:r>
      <w:r w:rsidRPr="00D403F5">
        <w:rPr>
          <w:rFonts w:ascii="Arial" w:hAnsi="Arial" w:cs="Arial"/>
          <w:sz w:val="18"/>
          <w:szCs w:val="18"/>
        </w:rPr>
        <w:t xml:space="preserve"> is </w:t>
      </w:r>
      <w:r w:rsidRPr="00D403F5">
        <w:rPr>
          <w:rFonts w:ascii="Arial" w:hAnsi="Arial" w:cs="Arial"/>
          <w:sz w:val="18"/>
          <w:szCs w:val="18"/>
          <w:highlight w:val="yellow"/>
          <w:u w:val="single"/>
        </w:rPr>
        <w:t>required</w:t>
      </w:r>
      <w:r w:rsidRPr="00D403F5">
        <w:rPr>
          <w:rFonts w:ascii="Arial" w:hAnsi="Arial" w:cs="Arial"/>
          <w:sz w:val="18"/>
          <w:szCs w:val="18"/>
          <w:highlight w:val="yellow"/>
        </w:rPr>
        <w:t xml:space="preserve"> </w:t>
      </w:r>
      <w:r w:rsidRPr="00D403F5">
        <w:rPr>
          <w:rFonts w:ascii="Arial" w:hAnsi="Arial" w:cs="Arial"/>
          <w:strike/>
          <w:sz w:val="18"/>
          <w:szCs w:val="18"/>
          <w:highlight w:val="yellow"/>
        </w:rPr>
        <w:t>needed</w:t>
      </w:r>
      <w:r w:rsidRPr="00D403F5">
        <w:rPr>
          <w:rFonts w:ascii="Arial" w:hAnsi="Arial" w:cs="Arial"/>
          <w:sz w:val="18"/>
          <w:szCs w:val="18"/>
          <w:highlight w:val="yellow"/>
        </w:rPr>
        <w:t xml:space="preserve"> </w:t>
      </w:r>
      <w:r w:rsidRPr="00D403F5">
        <w:rPr>
          <w:rFonts w:ascii="Arial" w:hAnsi="Arial" w:cs="Arial"/>
          <w:sz w:val="18"/>
          <w:szCs w:val="18"/>
        </w:rPr>
        <w:t xml:space="preserve">and includes: i) the frequency of occurrence, ii) </w:t>
      </w:r>
      <w:r w:rsidRPr="00D403F5">
        <w:rPr>
          <w:rFonts w:ascii="Arial" w:eastAsia="SimSun" w:hAnsi="Arial" w:cs="Arial" w:hint="eastAsia"/>
          <w:sz w:val="18"/>
          <w:szCs w:val="18"/>
          <w:lang w:eastAsia="zh-CN"/>
        </w:rPr>
        <w:t xml:space="preserve">the </w:t>
      </w:r>
      <w:r w:rsidRPr="00D403F5">
        <w:rPr>
          <w:rFonts w:ascii="Arial" w:hAnsi="Arial" w:cs="Arial"/>
          <w:sz w:val="18"/>
          <w:szCs w:val="18"/>
        </w:rPr>
        <w:t xml:space="preserve">biophysical characteristics, iii) </w:t>
      </w:r>
      <w:r w:rsidRPr="00D403F5">
        <w:rPr>
          <w:rFonts w:ascii="Arial" w:eastAsia="SimSun" w:hAnsi="Arial" w:cs="Arial" w:hint="eastAsia"/>
          <w:sz w:val="18"/>
          <w:szCs w:val="18"/>
          <w:lang w:eastAsia="zh-CN"/>
        </w:rPr>
        <w:t xml:space="preserve">the </w:t>
      </w:r>
      <w:r w:rsidRPr="00D403F5">
        <w:rPr>
          <w:rFonts w:ascii="Arial" w:hAnsi="Arial" w:cs="Arial"/>
          <w:sz w:val="18"/>
          <w:szCs w:val="18"/>
        </w:rPr>
        <w:t xml:space="preserve">likelihood of detection if present and iv) </w:t>
      </w:r>
      <w:r w:rsidRPr="00D403F5">
        <w:rPr>
          <w:rFonts w:ascii="Arial" w:eastAsia="SimSun" w:hAnsi="Arial" w:cs="Arial" w:hint="eastAsia"/>
          <w:sz w:val="18"/>
          <w:szCs w:val="18"/>
          <w:lang w:eastAsia="zh-CN"/>
        </w:rPr>
        <w:t xml:space="preserve">the </w:t>
      </w:r>
      <w:r w:rsidRPr="00D403F5">
        <w:rPr>
          <w:rFonts w:ascii="Arial" w:hAnsi="Arial" w:cs="Arial"/>
          <w:sz w:val="18"/>
          <w:szCs w:val="18"/>
        </w:rPr>
        <w:t xml:space="preserve">possible transmission pathways </w:t>
      </w:r>
      <w:r w:rsidRPr="00D403F5">
        <w:rPr>
          <w:rFonts w:ascii="Arial" w:hAnsi="Arial" w:cs="Arial"/>
          <w:sz w:val="18"/>
          <w:szCs w:val="18"/>
          <w:u w:val="double"/>
        </w:rPr>
        <w:t>(described in Article 4.X.6.)</w:t>
      </w:r>
      <w:r w:rsidRPr="00D403F5">
        <w:rPr>
          <w:rFonts w:ascii="Arial" w:hAnsi="Arial" w:cs="Arial"/>
          <w:sz w:val="18"/>
          <w:szCs w:val="18"/>
        </w:rPr>
        <w:t xml:space="preserve">. </w:t>
      </w:r>
      <w:r w:rsidRPr="00D403F5">
        <w:rPr>
          <w:rFonts w:ascii="Arial" w:hAnsi="Arial" w:cs="Arial"/>
          <w:sz w:val="18"/>
          <w:szCs w:val="18"/>
          <w:u w:val="double"/>
        </w:rPr>
        <w:t xml:space="preserve">Many of the </w:t>
      </w:r>
      <w:r w:rsidRPr="00D403F5">
        <w:rPr>
          <w:rFonts w:ascii="Arial" w:hAnsi="Arial" w:cs="Arial"/>
          <w:i/>
          <w:iCs/>
          <w:sz w:val="18"/>
          <w:szCs w:val="18"/>
          <w:highlight w:val="yellow"/>
          <w:u w:val="double"/>
        </w:rPr>
        <w:t>hazards</w:t>
      </w:r>
      <w:r w:rsidRPr="00D403F5">
        <w:rPr>
          <w:rFonts w:ascii="Arial" w:hAnsi="Arial" w:cs="Arial"/>
          <w:sz w:val="18"/>
          <w:szCs w:val="18"/>
          <w:u w:val="double"/>
        </w:rPr>
        <w:t xml:space="preserve"> will share the same pathways.</w:t>
      </w:r>
      <w:r w:rsidRPr="00D403F5">
        <w:rPr>
          <w:rFonts w:ascii="Arial" w:hAnsi="Arial" w:cs="Arial"/>
          <w:sz w:val="18"/>
          <w:szCs w:val="18"/>
        </w:rPr>
        <w:t xml:space="preserve"> </w:t>
      </w:r>
      <w:r w:rsidRPr="00D403F5">
        <w:rPr>
          <w:rFonts w:ascii="Arial" w:hAnsi="Arial" w:cs="Arial"/>
          <w:strike/>
          <w:sz w:val="18"/>
          <w:szCs w:val="18"/>
        </w:rPr>
        <w:t xml:space="preserve">A </w:t>
      </w:r>
      <w:r w:rsidRPr="00D403F5">
        <w:rPr>
          <w:rFonts w:ascii="Arial" w:hAnsi="Arial" w:cs="Arial"/>
          <w:i/>
          <w:strike/>
          <w:sz w:val="18"/>
          <w:szCs w:val="18"/>
        </w:rPr>
        <w:t>hazard</w:t>
      </w:r>
      <w:r w:rsidRPr="00D403F5">
        <w:rPr>
          <w:rFonts w:ascii="Arial" w:hAnsi="Arial" w:cs="Arial"/>
          <w:strike/>
          <w:sz w:val="18"/>
          <w:szCs w:val="18"/>
        </w:rPr>
        <w:t xml:space="preserve"> may include a specific </w:t>
      </w:r>
      <w:r w:rsidRPr="00D403F5">
        <w:rPr>
          <w:rFonts w:ascii="Arial" w:hAnsi="Arial" w:cs="Arial"/>
          <w:i/>
          <w:strike/>
          <w:sz w:val="18"/>
          <w:szCs w:val="18"/>
        </w:rPr>
        <w:t>pathogenic agent</w:t>
      </w:r>
      <w:r w:rsidRPr="00D403F5">
        <w:rPr>
          <w:rFonts w:ascii="Arial" w:hAnsi="Arial" w:cs="Arial"/>
          <w:strike/>
          <w:sz w:val="18"/>
          <w:szCs w:val="18"/>
        </w:rPr>
        <w:t xml:space="preserve"> or be defined in more general terms as a group of </w:t>
      </w:r>
      <w:r w:rsidRPr="00D403F5">
        <w:rPr>
          <w:rFonts w:ascii="Arial" w:hAnsi="Arial" w:cs="Arial"/>
          <w:i/>
          <w:strike/>
          <w:sz w:val="18"/>
          <w:szCs w:val="18"/>
        </w:rPr>
        <w:t>pathogenic agents.</w:t>
      </w:r>
    </w:p>
    <w:p w14:paraId="00538605" w14:textId="77777777" w:rsidR="007B3D5C" w:rsidRPr="00D403F5" w:rsidRDefault="007B3D5C" w:rsidP="00456872">
      <w:pPr>
        <w:spacing w:after="240"/>
        <w:jc w:val="both"/>
        <w:rPr>
          <w:rFonts w:ascii="Ottawa" w:hAnsi="Ottawa" w:cs="Arial"/>
          <w:b/>
          <w:color w:val="000000"/>
          <w:sz w:val="18"/>
          <w:szCs w:val="18"/>
        </w:rPr>
      </w:pPr>
      <w:r w:rsidRPr="00D403F5">
        <w:rPr>
          <w:rFonts w:ascii="Ottawa" w:hAnsi="Ottawa" w:cs="Arial"/>
          <w:b/>
          <w:color w:val="000000"/>
          <w:sz w:val="18"/>
          <w:szCs w:val="18"/>
        </w:rPr>
        <w:t xml:space="preserve">Step 2 – Risk </w:t>
      </w:r>
      <w:r w:rsidRPr="00D403F5">
        <w:rPr>
          <w:rFonts w:ascii="Ottawa" w:hAnsi="Ottawa" w:cs="Arial"/>
          <w:b/>
          <w:strike/>
          <w:color w:val="000000"/>
          <w:sz w:val="18"/>
          <w:szCs w:val="18"/>
          <w:highlight w:val="yellow"/>
          <w:u w:val="double"/>
        </w:rPr>
        <w:t>A</w:t>
      </w:r>
      <w:r w:rsidRPr="00D403F5">
        <w:rPr>
          <w:rFonts w:ascii="Ottawa" w:hAnsi="Ottawa" w:cs="Arial"/>
          <w:b/>
          <w:color w:val="000000"/>
          <w:sz w:val="18"/>
          <w:szCs w:val="18"/>
          <w:highlight w:val="yellow"/>
          <w:u w:val="double"/>
        </w:rPr>
        <w:t>a</w:t>
      </w:r>
      <w:r w:rsidRPr="00D403F5">
        <w:rPr>
          <w:rFonts w:ascii="Ottawa" w:hAnsi="Ottawa" w:cs="Arial"/>
          <w:b/>
          <w:color w:val="000000"/>
          <w:sz w:val="18"/>
          <w:szCs w:val="18"/>
          <w:u w:val="double"/>
        </w:rPr>
        <w:t>ssessment</w:t>
      </w:r>
    </w:p>
    <w:p w14:paraId="1F491575" w14:textId="77777777" w:rsidR="007B3D5C" w:rsidRPr="00D403F5" w:rsidRDefault="007B3D5C" w:rsidP="00456872">
      <w:pPr>
        <w:spacing w:after="240"/>
        <w:jc w:val="both"/>
        <w:rPr>
          <w:rFonts w:ascii="Arial" w:hAnsi="Arial" w:cs="Arial"/>
          <w:sz w:val="18"/>
          <w:szCs w:val="18"/>
        </w:rPr>
      </w:pPr>
      <w:r w:rsidRPr="00D403F5">
        <w:rPr>
          <w:rFonts w:ascii="Arial" w:hAnsi="Arial" w:cs="Arial"/>
          <w:sz w:val="18"/>
          <w:szCs w:val="18"/>
        </w:rPr>
        <w:t xml:space="preserve">A </w:t>
      </w:r>
      <w:r w:rsidRPr="00D403F5">
        <w:rPr>
          <w:rFonts w:ascii="Arial" w:hAnsi="Arial" w:cs="Arial"/>
          <w:i/>
          <w:sz w:val="18"/>
          <w:szCs w:val="18"/>
        </w:rPr>
        <w:t>risk assessment</w:t>
      </w:r>
      <w:r w:rsidRPr="00D403F5">
        <w:rPr>
          <w:rFonts w:ascii="Arial" w:hAnsi="Arial" w:cs="Arial"/>
          <w:sz w:val="18"/>
          <w:szCs w:val="18"/>
        </w:rPr>
        <w:t xml:space="preserve"> can be initiated once it has been identified that a </w:t>
      </w:r>
      <w:r w:rsidRPr="00D403F5">
        <w:rPr>
          <w:rFonts w:ascii="Arial" w:hAnsi="Arial" w:cs="Arial"/>
          <w:strike/>
          <w:sz w:val="18"/>
          <w:szCs w:val="18"/>
          <w:highlight w:val="yellow"/>
        </w:rPr>
        <w:t>biological</w:t>
      </w:r>
      <w:r w:rsidRPr="00D403F5">
        <w:rPr>
          <w:rFonts w:ascii="Arial" w:hAnsi="Arial" w:cs="Arial"/>
          <w:sz w:val="18"/>
          <w:szCs w:val="18"/>
        </w:rPr>
        <w:t xml:space="preserve"> </w:t>
      </w:r>
      <w:r w:rsidRPr="00D403F5">
        <w:rPr>
          <w:rFonts w:ascii="Arial" w:hAnsi="Arial" w:cs="Arial"/>
          <w:i/>
          <w:sz w:val="18"/>
          <w:szCs w:val="18"/>
        </w:rPr>
        <w:t>hazard</w:t>
      </w:r>
      <w:r w:rsidRPr="00D403F5">
        <w:rPr>
          <w:rFonts w:ascii="Arial" w:hAnsi="Arial" w:cs="Arial"/>
          <w:sz w:val="18"/>
          <w:szCs w:val="18"/>
        </w:rPr>
        <w:t xml:space="preserve"> exists </w:t>
      </w:r>
      <w:r w:rsidRPr="00D403F5">
        <w:rPr>
          <w:rFonts w:ascii="Arial" w:hAnsi="Arial" w:cs="Arial"/>
          <w:sz w:val="18"/>
          <w:szCs w:val="18"/>
          <w:highlight w:val="yellow"/>
          <w:u w:val="double"/>
        </w:rPr>
        <w:t>and the required information listed under step 1 has been gathered</w:t>
      </w:r>
      <w:r w:rsidRPr="00D403F5">
        <w:rPr>
          <w:rFonts w:ascii="Arial" w:hAnsi="Arial" w:cs="Arial"/>
          <w:sz w:val="18"/>
          <w:szCs w:val="18"/>
        </w:rPr>
        <w:t xml:space="preserve">. The aim of the </w:t>
      </w:r>
      <w:r w:rsidRPr="00D403F5">
        <w:rPr>
          <w:rFonts w:ascii="Arial" w:hAnsi="Arial" w:cs="Arial"/>
          <w:i/>
          <w:sz w:val="18"/>
          <w:szCs w:val="18"/>
        </w:rPr>
        <w:t>risk assessment</w:t>
      </w:r>
      <w:r w:rsidRPr="00D403F5">
        <w:rPr>
          <w:rFonts w:ascii="Arial" w:hAnsi="Arial" w:cs="Arial"/>
          <w:sz w:val="18"/>
          <w:szCs w:val="18"/>
        </w:rPr>
        <w:t xml:space="preserve"> is to establish a </w:t>
      </w:r>
      <w:r w:rsidRPr="00D403F5">
        <w:rPr>
          <w:rFonts w:ascii="Arial" w:hAnsi="Arial" w:cs="Arial"/>
          <w:i/>
          <w:sz w:val="18"/>
          <w:szCs w:val="18"/>
        </w:rPr>
        <w:t>risk</w:t>
      </w:r>
      <w:r w:rsidRPr="00D403F5">
        <w:rPr>
          <w:rFonts w:ascii="Arial" w:hAnsi="Arial" w:cs="Arial"/>
          <w:sz w:val="18"/>
          <w:szCs w:val="18"/>
        </w:rPr>
        <w:t xml:space="preserve"> estimate, which is the product of the likelihood and consequences of </w:t>
      </w:r>
      <w:r w:rsidRPr="00D403F5">
        <w:rPr>
          <w:rFonts w:ascii="Arial" w:hAnsi="Arial" w:cs="Arial"/>
          <w:sz w:val="18"/>
          <w:szCs w:val="18"/>
          <w:highlight w:val="yellow"/>
          <w:u w:val="single"/>
        </w:rPr>
        <w:t>entry of a</w:t>
      </w:r>
      <w:r w:rsidRPr="00D403F5">
        <w:rPr>
          <w:rFonts w:ascii="Arial" w:hAnsi="Arial" w:cs="Arial"/>
          <w:sz w:val="18"/>
          <w:szCs w:val="18"/>
          <w:highlight w:val="yellow"/>
        </w:rPr>
        <w:t xml:space="preserve"> </w:t>
      </w:r>
      <w:r w:rsidRPr="00D403F5">
        <w:rPr>
          <w:rFonts w:ascii="Arial" w:hAnsi="Arial" w:cs="Arial"/>
          <w:i/>
          <w:sz w:val="18"/>
          <w:szCs w:val="18"/>
        </w:rPr>
        <w:t>pathogenic agent</w:t>
      </w:r>
      <w:r w:rsidRPr="00D403F5">
        <w:rPr>
          <w:rFonts w:ascii="Arial" w:hAnsi="Arial" w:cs="Arial"/>
          <w:sz w:val="18"/>
          <w:szCs w:val="18"/>
        </w:rPr>
        <w:t xml:space="preserve"> </w:t>
      </w:r>
      <w:r w:rsidRPr="00D403F5">
        <w:rPr>
          <w:rFonts w:ascii="Arial" w:hAnsi="Arial" w:cs="Arial"/>
          <w:strike/>
          <w:sz w:val="18"/>
          <w:szCs w:val="18"/>
          <w:highlight w:val="yellow"/>
        </w:rPr>
        <w:t>entry</w:t>
      </w:r>
      <w:r w:rsidRPr="00D403F5">
        <w:rPr>
          <w:rFonts w:ascii="Arial" w:hAnsi="Arial" w:cs="Arial"/>
          <w:sz w:val="18"/>
          <w:szCs w:val="18"/>
          <w:highlight w:val="yellow"/>
        </w:rPr>
        <w:t xml:space="preserve"> </w:t>
      </w:r>
      <w:r w:rsidRPr="00D403F5">
        <w:rPr>
          <w:rFonts w:ascii="Arial" w:hAnsi="Arial" w:cs="Arial"/>
          <w:sz w:val="18"/>
          <w:szCs w:val="18"/>
        </w:rPr>
        <w:t xml:space="preserve">into, spread within or release from the </w:t>
      </w:r>
      <w:r w:rsidRPr="00D403F5">
        <w:rPr>
          <w:rFonts w:ascii="Arial" w:hAnsi="Arial" w:cs="Arial"/>
          <w:i/>
          <w:sz w:val="18"/>
          <w:szCs w:val="18"/>
        </w:rPr>
        <w:t>aquaculture establishment</w:t>
      </w:r>
      <w:r w:rsidRPr="00D403F5">
        <w:rPr>
          <w:rFonts w:ascii="Arial" w:hAnsi="Arial" w:cs="Arial"/>
          <w:sz w:val="18"/>
          <w:szCs w:val="18"/>
        </w:rPr>
        <w:t xml:space="preserve">. </w:t>
      </w:r>
    </w:p>
    <w:p w14:paraId="51C8E05A" w14:textId="77777777" w:rsidR="007B3D5C" w:rsidRPr="00D403F5" w:rsidRDefault="007B3D5C" w:rsidP="00456872">
      <w:pPr>
        <w:spacing w:after="240"/>
        <w:jc w:val="both"/>
        <w:rPr>
          <w:rFonts w:ascii="Arial" w:hAnsi="Arial" w:cs="Arial"/>
          <w:sz w:val="18"/>
          <w:szCs w:val="18"/>
        </w:rPr>
      </w:pPr>
      <w:r w:rsidRPr="00D403F5">
        <w:rPr>
          <w:rFonts w:ascii="Arial" w:hAnsi="Arial" w:cs="Arial"/>
          <w:sz w:val="18"/>
          <w:szCs w:val="18"/>
        </w:rPr>
        <w:br w:type="page"/>
      </w:r>
    </w:p>
    <w:p w14:paraId="2253C36D" w14:textId="77777777" w:rsidR="007B3D5C" w:rsidRPr="00D403F5" w:rsidRDefault="007B3D5C" w:rsidP="00456872">
      <w:pPr>
        <w:spacing w:after="480"/>
        <w:jc w:val="right"/>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027CE134"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 </w:t>
      </w:r>
      <w:r w:rsidRPr="00D403F5">
        <w:rPr>
          <w:rFonts w:ascii="Arial" w:hAnsi="Arial" w:cs="Arial"/>
          <w:i/>
          <w:sz w:val="18"/>
          <w:szCs w:val="18"/>
        </w:rPr>
        <w:t>risk assessment</w:t>
      </w:r>
      <w:r w:rsidRPr="00D403F5">
        <w:rPr>
          <w:rFonts w:ascii="Arial" w:hAnsi="Arial" w:cs="Arial"/>
          <w:sz w:val="18"/>
          <w:szCs w:val="18"/>
        </w:rPr>
        <w:t xml:space="preserve"> can be quantitative or qualitative. Both methods require the same conceptual pathway which identifies the necessary steps for </w:t>
      </w:r>
      <w:r w:rsidRPr="00D403F5">
        <w:rPr>
          <w:rFonts w:ascii="Arial" w:hAnsi="Arial" w:cs="Arial"/>
          <w:i/>
          <w:sz w:val="18"/>
          <w:szCs w:val="18"/>
        </w:rPr>
        <w:t>hazard</w:t>
      </w:r>
      <w:r w:rsidRPr="00D403F5">
        <w:rPr>
          <w:rFonts w:ascii="Arial" w:hAnsi="Arial" w:cs="Arial"/>
          <w:sz w:val="18"/>
          <w:szCs w:val="18"/>
        </w:rPr>
        <w:t xml:space="preserve"> introduction, establishment and spread to be constructed. In a qualitative assessment, introduction and establishment are estimated using descriptors of likelihood. A quantitative assessment requires data on which to estimate likelihood. In most circumstances, transmission pathways will be assessed qualitatively but within a formal </w:t>
      </w:r>
      <w:r w:rsidRPr="00D403F5">
        <w:rPr>
          <w:rFonts w:ascii="Arial" w:hAnsi="Arial" w:cs="Arial"/>
          <w:i/>
          <w:sz w:val="18"/>
          <w:szCs w:val="18"/>
        </w:rPr>
        <w:t>risk assessment</w:t>
      </w:r>
      <w:r w:rsidRPr="00D403F5">
        <w:rPr>
          <w:rFonts w:ascii="Arial" w:hAnsi="Arial" w:cs="Arial"/>
          <w:sz w:val="18"/>
          <w:szCs w:val="18"/>
        </w:rPr>
        <w:t xml:space="preserve"> framework. Examples of descriptors for </w:t>
      </w:r>
      <w:r w:rsidRPr="00D403F5">
        <w:rPr>
          <w:rFonts w:ascii="Arial" w:hAnsi="Arial" w:cs="Arial"/>
          <w:sz w:val="18"/>
          <w:szCs w:val="18"/>
          <w:highlight w:val="yellow"/>
          <w:u w:val="double"/>
        </w:rPr>
        <w:t>qualitative</w:t>
      </w:r>
      <w:r w:rsidRPr="00D403F5">
        <w:rPr>
          <w:rFonts w:ascii="Arial" w:hAnsi="Arial" w:cs="Arial"/>
          <w:sz w:val="18"/>
          <w:szCs w:val="18"/>
        </w:rPr>
        <w:t xml:space="preserve"> estimates of likelihood and consequence are given in Tables 1 and 2. Table 3 illustrates how estimates of likelihood and consequence can be combined in a matrix to give an estimate of </w:t>
      </w:r>
      <w:r w:rsidRPr="00D403F5">
        <w:rPr>
          <w:rFonts w:ascii="Arial" w:hAnsi="Arial" w:cs="Arial"/>
          <w:i/>
          <w:sz w:val="18"/>
          <w:szCs w:val="18"/>
        </w:rPr>
        <w:t>risk</w:t>
      </w:r>
      <w:r w:rsidRPr="00D403F5">
        <w:rPr>
          <w:rFonts w:ascii="Arial" w:hAnsi="Arial" w:cs="Arial"/>
          <w:sz w:val="18"/>
          <w:szCs w:val="18"/>
        </w:rPr>
        <w:t xml:space="preserve">. </w:t>
      </w:r>
    </w:p>
    <w:p w14:paraId="0BD828A3" w14:textId="77777777" w:rsidR="007B3D5C" w:rsidRPr="00D403F5" w:rsidRDefault="007B3D5C" w:rsidP="00D403F5">
      <w:pPr>
        <w:spacing w:after="0"/>
        <w:ind w:left="709" w:hanging="709"/>
        <w:jc w:val="both"/>
        <w:rPr>
          <w:rFonts w:ascii="Arial" w:hAnsi="Arial" w:cs="Arial"/>
          <w:b/>
          <w:sz w:val="18"/>
          <w:szCs w:val="18"/>
        </w:rPr>
      </w:pPr>
      <w:r w:rsidRPr="00D403F5">
        <w:rPr>
          <w:rFonts w:ascii="Arial" w:hAnsi="Arial" w:cs="Arial"/>
          <w:b/>
          <w:sz w:val="18"/>
          <w:szCs w:val="18"/>
        </w:rPr>
        <w:t>Table 1. Qualitative descriptors of likelihood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7B3D5C" w:rsidRPr="00D403F5" w14:paraId="212D9E08" w14:textId="77777777" w:rsidTr="007B3D5C">
        <w:tc>
          <w:tcPr>
            <w:tcW w:w="1560" w:type="dxa"/>
            <w:shd w:val="clear" w:color="auto" w:fill="auto"/>
          </w:tcPr>
          <w:p w14:paraId="7E9BB727"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Estimate</w:t>
            </w:r>
          </w:p>
        </w:tc>
        <w:tc>
          <w:tcPr>
            <w:tcW w:w="7796" w:type="dxa"/>
            <w:shd w:val="clear" w:color="auto" w:fill="auto"/>
          </w:tcPr>
          <w:p w14:paraId="36CE3E02"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Descriptor</w:t>
            </w:r>
          </w:p>
        </w:tc>
      </w:tr>
      <w:tr w:rsidR="007B3D5C" w:rsidRPr="00D403F5" w14:paraId="32911B2C" w14:textId="77777777" w:rsidTr="007B3D5C">
        <w:tc>
          <w:tcPr>
            <w:tcW w:w="1560" w:type="dxa"/>
            <w:shd w:val="clear" w:color="auto" w:fill="auto"/>
          </w:tcPr>
          <w:p w14:paraId="6E14616F"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Remote</w:t>
            </w:r>
          </w:p>
        </w:tc>
        <w:tc>
          <w:tcPr>
            <w:tcW w:w="7796" w:type="dxa"/>
            <w:shd w:val="clear" w:color="auto" w:fill="auto"/>
          </w:tcPr>
          <w:p w14:paraId="1EEAD8EF"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Never heard of, but not impossible.</w:t>
            </w:r>
          </w:p>
        </w:tc>
      </w:tr>
      <w:tr w:rsidR="007B3D5C" w:rsidRPr="00D403F5" w14:paraId="766664A4" w14:textId="77777777" w:rsidTr="007B3D5C">
        <w:tc>
          <w:tcPr>
            <w:tcW w:w="1560" w:type="dxa"/>
            <w:shd w:val="clear" w:color="auto" w:fill="auto"/>
          </w:tcPr>
          <w:p w14:paraId="03CC325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Unlikely</w:t>
            </w:r>
          </w:p>
        </w:tc>
        <w:tc>
          <w:tcPr>
            <w:tcW w:w="7796" w:type="dxa"/>
            <w:shd w:val="clear" w:color="auto" w:fill="auto"/>
          </w:tcPr>
          <w:p w14:paraId="4BB4E949"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May occur here, but only in rare circumstances.</w:t>
            </w:r>
          </w:p>
        </w:tc>
      </w:tr>
      <w:tr w:rsidR="007B3D5C" w:rsidRPr="00D403F5" w14:paraId="6E635B45" w14:textId="77777777" w:rsidTr="007B3D5C">
        <w:tc>
          <w:tcPr>
            <w:tcW w:w="1560" w:type="dxa"/>
            <w:shd w:val="clear" w:color="auto" w:fill="auto"/>
          </w:tcPr>
          <w:p w14:paraId="512FE096"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Possible</w:t>
            </w:r>
          </w:p>
        </w:tc>
        <w:tc>
          <w:tcPr>
            <w:tcW w:w="7796" w:type="dxa"/>
            <w:shd w:val="clear" w:color="auto" w:fill="auto"/>
          </w:tcPr>
          <w:p w14:paraId="34C7C1D2"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Clear evidence to suggest this is possible in this situation.</w:t>
            </w:r>
          </w:p>
        </w:tc>
      </w:tr>
      <w:tr w:rsidR="007B3D5C" w:rsidRPr="00D403F5" w14:paraId="67270975" w14:textId="77777777" w:rsidTr="007B3D5C">
        <w:tc>
          <w:tcPr>
            <w:tcW w:w="1560" w:type="dxa"/>
            <w:shd w:val="clear" w:color="auto" w:fill="auto"/>
          </w:tcPr>
          <w:p w14:paraId="74B158E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Likely</w:t>
            </w:r>
          </w:p>
        </w:tc>
        <w:tc>
          <w:tcPr>
            <w:tcW w:w="7796" w:type="dxa"/>
            <w:shd w:val="clear" w:color="auto" w:fill="auto"/>
          </w:tcPr>
          <w:p w14:paraId="52AD8DD5"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It is likely, but not certain, to occur here.</w:t>
            </w:r>
          </w:p>
        </w:tc>
      </w:tr>
      <w:tr w:rsidR="007B3D5C" w:rsidRPr="00D403F5" w14:paraId="676AF11B" w14:textId="77777777" w:rsidTr="007B3D5C">
        <w:tc>
          <w:tcPr>
            <w:tcW w:w="1560" w:type="dxa"/>
            <w:shd w:val="clear" w:color="auto" w:fill="auto"/>
          </w:tcPr>
          <w:p w14:paraId="5FA2A89D"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Certain</w:t>
            </w:r>
          </w:p>
        </w:tc>
        <w:tc>
          <w:tcPr>
            <w:tcW w:w="7796" w:type="dxa"/>
            <w:shd w:val="clear" w:color="auto" w:fill="auto"/>
          </w:tcPr>
          <w:p w14:paraId="7E2B8A70"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It is certain to occur.</w:t>
            </w:r>
          </w:p>
        </w:tc>
      </w:tr>
    </w:tbl>
    <w:p w14:paraId="0CB093C5" w14:textId="77777777" w:rsidR="007B3D5C" w:rsidRPr="00D403F5" w:rsidRDefault="007B3D5C" w:rsidP="00D403F5">
      <w:pPr>
        <w:spacing w:after="0"/>
        <w:rPr>
          <w:color w:val="000000"/>
          <w:sz w:val="18"/>
          <w:szCs w:val="18"/>
          <w:lang w:val="en-US" w:eastAsia="en-AU"/>
        </w:rPr>
      </w:pPr>
    </w:p>
    <w:p w14:paraId="6D21A2D0" w14:textId="77777777" w:rsidR="007B3D5C" w:rsidRPr="00D403F5" w:rsidRDefault="007B3D5C" w:rsidP="00D403F5">
      <w:pPr>
        <w:spacing w:after="0"/>
        <w:jc w:val="both"/>
        <w:rPr>
          <w:rFonts w:ascii="Arial" w:hAnsi="Arial" w:cs="Arial"/>
          <w:b/>
          <w:color w:val="FF0000"/>
          <w:sz w:val="18"/>
          <w:szCs w:val="18"/>
        </w:rPr>
      </w:pPr>
      <w:r w:rsidRPr="00D403F5">
        <w:rPr>
          <w:rFonts w:ascii="Arial" w:hAnsi="Arial" w:cs="Arial"/>
          <w:b/>
          <w:sz w:val="18"/>
          <w:szCs w:val="18"/>
        </w:rPr>
        <w:t xml:space="preserve">Table 2. Qualitative descriptors of consequences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7B3D5C" w:rsidRPr="00D403F5" w14:paraId="23F96B31" w14:textId="77777777" w:rsidTr="007B3D5C">
        <w:trPr>
          <w:trHeight w:val="361"/>
        </w:trPr>
        <w:tc>
          <w:tcPr>
            <w:tcW w:w="1560" w:type="dxa"/>
            <w:shd w:val="clear" w:color="auto" w:fill="auto"/>
          </w:tcPr>
          <w:p w14:paraId="3E6FF2E2"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Estimate</w:t>
            </w:r>
          </w:p>
        </w:tc>
        <w:tc>
          <w:tcPr>
            <w:tcW w:w="7796" w:type="dxa"/>
            <w:shd w:val="clear" w:color="auto" w:fill="auto"/>
          </w:tcPr>
          <w:p w14:paraId="67C5A28A"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 xml:space="preserve">Descriptor </w:t>
            </w:r>
            <w:r w:rsidRPr="00D403F5">
              <w:rPr>
                <w:rFonts w:ascii="Arial" w:hAnsi="Arial" w:cs="Arial"/>
                <w:b/>
                <w:bCs/>
                <w:sz w:val="18"/>
                <w:szCs w:val="18"/>
                <w:highlight w:val="yellow"/>
                <w:u w:val="double"/>
              </w:rPr>
              <w:t>of consequences at level of the aquaculture establishment</w:t>
            </w:r>
          </w:p>
        </w:tc>
      </w:tr>
      <w:tr w:rsidR="007B3D5C" w:rsidRPr="00D403F5" w14:paraId="607C3667" w14:textId="77777777" w:rsidTr="007B3D5C">
        <w:tc>
          <w:tcPr>
            <w:tcW w:w="1560" w:type="dxa"/>
            <w:shd w:val="clear" w:color="auto" w:fill="auto"/>
          </w:tcPr>
          <w:p w14:paraId="3291EF39"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Insignificant</w:t>
            </w:r>
          </w:p>
        </w:tc>
        <w:tc>
          <w:tcPr>
            <w:tcW w:w="7796" w:type="dxa"/>
            <w:shd w:val="clear" w:color="auto" w:fill="auto"/>
          </w:tcPr>
          <w:p w14:paraId="23932EE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Impact not detectable or minimal. </w:t>
            </w:r>
            <w:r w:rsidRPr="00D403F5">
              <w:rPr>
                <w:rFonts w:ascii="Arial" w:hAnsi="Arial" w:cs="Arial"/>
                <w:sz w:val="18"/>
                <w:szCs w:val="18"/>
                <w:highlight w:val="yellow"/>
                <w:u w:val="double"/>
              </w:rPr>
              <w:t>No trade impact.</w:t>
            </w:r>
          </w:p>
        </w:tc>
      </w:tr>
      <w:tr w:rsidR="007B3D5C" w:rsidRPr="00D403F5" w14:paraId="441D3C8F" w14:textId="77777777" w:rsidTr="007B3D5C">
        <w:tc>
          <w:tcPr>
            <w:tcW w:w="1560" w:type="dxa"/>
            <w:shd w:val="clear" w:color="auto" w:fill="auto"/>
          </w:tcPr>
          <w:p w14:paraId="183FF45F"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Minor</w:t>
            </w:r>
          </w:p>
        </w:tc>
        <w:tc>
          <w:tcPr>
            <w:tcW w:w="7796" w:type="dxa"/>
            <w:shd w:val="clear" w:color="auto" w:fill="auto"/>
          </w:tcPr>
          <w:p w14:paraId="688EAA04" w14:textId="77777777" w:rsidR="007B3D5C" w:rsidRPr="00D403F5" w:rsidRDefault="007B3D5C" w:rsidP="00D403F5">
            <w:pPr>
              <w:spacing w:after="0"/>
              <w:jc w:val="both"/>
              <w:rPr>
                <w:rFonts w:ascii="Arial" w:hAnsi="Arial" w:cs="Arial"/>
                <w:sz w:val="18"/>
                <w:szCs w:val="18"/>
              </w:rPr>
            </w:pPr>
            <w:r w:rsidRPr="00D403F5">
              <w:rPr>
                <w:rFonts w:ascii="Arial" w:hAnsi="Arial" w:cs="Arial"/>
                <w:strike/>
                <w:sz w:val="18"/>
                <w:szCs w:val="18"/>
                <w:highlight w:val="yellow"/>
              </w:rPr>
              <w:t>Impact</w:t>
            </w:r>
            <w:r w:rsidRPr="00D403F5">
              <w:rPr>
                <w:rFonts w:ascii="Arial" w:hAnsi="Arial" w:cs="Arial"/>
                <w:sz w:val="18"/>
                <w:szCs w:val="18"/>
              </w:rPr>
              <w:t xml:space="preserve"> </w:t>
            </w:r>
            <w:r w:rsidRPr="00D403F5">
              <w:rPr>
                <w:rFonts w:ascii="Arial" w:hAnsi="Arial" w:cs="Arial"/>
                <w:sz w:val="18"/>
                <w:szCs w:val="18"/>
                <w:highlight w:val="yellow"/>
                <w:u w:val="double"/>
              </w:rPr>
              <w:t>Limited decreased production</w:t>
            </w:r>
            <w:r w:rsidRPr="00D403F5">
              <w:rPr>
                <w:rFonts w:ascii="Arial" w:hAnsi="Arial" w:cs="Arial"/>
                <w:sz w:val="18"/>
                <w:szCs w:val="18"/>
                <w:u w:val="double"/>
              </w:rPr>
              <w:t xml:space="preserve"> </w:t>
            </w:r>
            <w:r w:rsidRPr="00D403F5">
              <w:rPr>
                <w:rFonts w:ascii="Arial" w:hAnsi="Arial" w:cs="Arial"/>
                <w:strike/>
                <w:sz w:val="18"/>
                <w:szCs w:val="18"/>
                <w:highlight w:val="yellow"/>
              </w:rPr>
              <w:t xml:space="preserve">on </w:t>
            </w:r>
            <w:r w:rsidRPr="00D403F5">
              <w:rPr>
                <w:rFonts w:ascii="Arial" w:hAnsi="Arial" w:cs="Arial"/>
                <w:i/>
                <w:strike/>
                <w:sz w:val="18"/>
                <w:szCs w:val="18"/>
                <w:highlight w:val="yellow"/>
              </w:rPr>
              <w:t>aquaculture establishment</w:t>
            </w:r>
            <w:r w:rsidRPr="00D403F5">
              <w:rPr>
                <w:rFonts w:ascii="Arial" w:hAnsi="Arial" w:cs="Arial"/>
                <w:strike/>
                <w:sz w:val="18"/>
                <w:szCs w:val="18"/>
                <w:highlight w:val="yellow"/>
              </w:rPr>
              <w:t xml:space="preserve"> productivity limited to some</w:t>
            </w:r>
            <w:r w:rsidRPr="00D403F5">
              <w:rPr>
                <w:rFonts w:ascii="Arial" w:hAnsi="Arial" w:cs="Arial"/>
                <w:sz w:val="18"/>
                <w:szCs w:val="18"/>
              </w:rPr>
              <w:t xml:space="preserve"> </w:t>
            </w:r>
            <w:r w:rsidRPr="00D403F5">
              <w:rPr>
                <w:rFonts w:ascii="Arial" w:hAnsi="Arial" w:cs="Arial"/>
                <w:sz w:val="18"/>
                <w:szCs w:val="18"/>
                <w:highlight w:val="yellow"/>
                <w:u w:val="double"/>
              </w:rPr>
              <w:t>affecting only a small number of</w:t>
            </w:r>
            <w:r w:rsidRPr="00D403F5">
              <w:rPr>
                <w:rFonts w:ascii="Arial" w:hAnsi="Arial" w:cs="Arial"/>
                <w:sz w:val="18"/>
                <w:szCs w:val="18"/>
                <w:u w:val="double"/>
              </w:rPr>
              <w:t xml:space="preserve"> </w:t>
            </w:r>
            <w:r w:rsidRPr="00D403F5">
              <w:rPr>
                <w:rFonts w:ascii="Arial" w:hAnsi="Arial" w:cs="Arial"/>
                <w:sz w:val="18"/>
                <w:szCs w:val="18"/>
              </w:rPr>
              <w:t xml:space="preserve"> </w:t>
            </w:r>
            <w:r w:rsidRPr="00D403F5">
              <w:rPr>
                <w:rFonts w:ascii="Arial" w:hAnsi="Arial" w:cs="Arial"/>
                <w:strike/>
                <w:sz w:val="18"/>
                <w:szCs w:val="18"/>
                <w:highlight w:val="yellow"/>
              </w:rPr>
              <w:t>production</w:t>
            </w:r>
            <w:r w:rsidRPr="00D403F5">
              <w:rPr>
                <w:rFonts w:ascii="Arial" w:hAnsi="Arial" w:cs="Arial"/>
                <w:strike/>
                <w:sz w:val="18"/>
                <w:szCs w:val="18"/>
              </w:rPr>
              <w:t xml:space="preserve"> </w:t>
            </w:r>
            <w:r w:rsidRPr="00D403F5">
              <w:rPr>
                <w:rFonts w:ascii="Arial" w:hAnsi="Arial" w:cs="Arial"/>
                <w:sz w:val="18"/>
                <w:szCs w:val="18"/>
              </w:rPr>
              <w:t>units or short</w:t>
            </w:r>
            <w:r w:rsidRPr="00D403F5">
              <w:rPr>
                <w:rFonts w:ascii="Arial" w:hAnsi="Arial" w:cs="Arial"/>
                <w:sz w:val="18"/>
                <w:szCs w:val="18"/>
                <w:highlight w:val="yellow"/>
                <w:u w:val="double"/>
              </w:rPr>
              <w:t>-</w:t>
            </w:r>
            <w:r w:rsidRPr="00D403F5">
              <w:rPr>
                <w:rFonts w:ascii="Arial" w:hAnsi="Arial" w:cs="Arial"/>
                <w:sz w:val="18"/>
                <w:szCs w:val="18"/>
              </w:rPr>
              <w:t>term</w:t>
            </w:r>
            <w:r w:rsidRPr="00D403F5">
              <w:rPr>
                <w:rFonts w:ascii="Arial" w:hAnsi="Arial" w:cs="Arial"/>
                <w:sz w:val="18"/>
                <w:szCs w:val="18"/>
                <w:highlight w:val="yellow"/>
                <w:u w:val="double"/>
              </w:rPr>
              <w:t>,</w:t>
            </w:r>
            <w:r w:rsidRPr="00D403F5">
              <w:rPr>
                <w:rFonts w:ascii="Arial" w:hAnsi="Arial" w:cs="Arial"/>
                <w:sz w:val="18"/>
                <w:szCs w:val="18"/>
                <w:u w:val="double"/>
              </w:rPr>
              <w:t xml:space="preserve"> </w:t>
            </w:r>
            <w:r w:rsidRPr="00D403F5">
              <w:rPr>
                <w:rFonts w:ascii="Arial" w:hAnsi="Arial" w:cs="Arial"/>
                <w:sz w:val="18"/>
                <w:szCs w:val="18"/>
                <w:highlight w:val="yellow"/>
                <w:u w:val="double"/>
              </w:rPr>
              <w:t>and/or very limited and transitory disruption to trade.</w:t>
            </w:r>
            <w:r w:rsidRPr="00D403F5">
              <w:rPr>
                <w:rFonts w:ascii="Arial" w:hAnsi="Arial" w:cs="Arial"/>
                <w:sz w:val="18"/>
                <w:szCs w:val="18"/>
              </w:rPr>
              <w:t xml:space="preserve"> </w:t>
            </w:r>
            <w:r w:rsidRPr="00D403F5">
              <w:rPr>
                <w:rFonts w:ascii="Arial" w:hAnsi="Arial" w:cs="Arial"/>
                <w:strike/>
                <w:sz w:val="18"/>
                <w:szCs w:val="18"/>
                <w:highlight w:val="yellow"/>
              </w:rPr>
              <w:t>only.</w:t>
            </w:r>
          </w:p>
        </w:tc>
      </w:tr>
      <w:tr w:rsidR="007B3D5C" w:rsidRPr="00D403F5" w14:paraId="2D1D41BC" w14:textId="77777777" w:rsidTr="007B3D5C">
        <w:tc>
          <w:tcPr>
            <w:tcW w:w="1560" w:type="dxa"/>
            <w:shd w:val="clear" w:color="auto" w:fill="auto"/>
          </w:tcPr>
          <w:p w14:paraId="30A92360"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Moderate</w:t>
            </w:r>
          </w:p>
        </w:tc>
        <w:tc>
          <w:tcPr>
            <w:tcW w:w="7796" w:type="dxa"/>
            <w:shd w:val="clear" w:color="auto" w:fill="auto"/>
          </w:tcPr>
          <w:p w14:paraId="63BEE327" w14:textId="77777777" w:rsidR="007B3D5C" w:rsidRPr="00D403F5" w:rsidRDefault="007B3D5C" w:rsidP="00D403F5">
            <w:pPr>
              <w:spacing w:after="0"/>
              <w:jc w:val="both"/>
              <w:rPr>
                <w:rFonts w:ascii="Arial" w:hAnsi="Arial" w:cs="Arial"/>
                <w:sz w:val="18"/>
                <w:szCs w:val="18"/>
                <w:u w:val="double"/>
              </w:rPr>
            </w:pPr>
            <w:r w:rsidRPr="00D403F5">
              <w:rPr>
                <w:rFonts w:ascii="Arial" w:hAnsi="Arial" w:cs="Arial"/>
                <w:strike/>
                <w:sz w:val="18"/>
                <w:szCs w:val="18"/>
                <w:highlight w:val="yellow"/>
              </w:rPr>
              <w:t xml:space="preserve">Widespread impact on </w:t>
            </w:r>
            <w:r w:rsidRPr="00D403F5">
              <w:rPr>
                <w:rFonts w:ascii="Arial" w:hAnsi="Arial" w:cs="Arial"/>
                <w:i/>
                <w:strike/>
                <w:sz w:val="18"/>
                <w:szCs w:val="18"/>
                <w:highlight w:val="yellow"/>
              </w:rPr>
              <w:t>aquaculture establishment</w:t>
            </w:r>
            <w:r w:rsidRPr="00D403F5">
              <w:rPr>
                <w:rFonts w:ascii="Arial" w:hAnsi="Arial" w:cs="Arial"/>
                <w:strike/>
                <w:sz w:val="18"/>
                <w:szCs w:val="18"/>
                <w:highlight w:val="yellow"/>
              </w:rPr>
              <w:t xml:space="preserve"> productivity due to increased mortality or decreased performance.</w:t>
            </w:r>
            <w:r w:rsidRPr="00D403F5">
              <w:rPr>
                <w:rFonts w:ascii="Arial" w:hAnsi="Arial" w:cs="Arial"/>
                <w:strike/>
                <w:sz w:val="18"/>
                <w:szCs w:val="18"/>
              </w:rPr>
              <w:t xml:space="preserve"> </w:t>
            </w:r>
            <w:r w:rsidRPr="00D403F5">
              <w:rPr>
                <w:rFonts w:ascii="Arial" w:hAnsi="Arial" w:cs="Arial"/>
                <w:sz w:val="18"/>
                <w:szCs w:val="18"/>
                <w:highlight w:val="yellow"/>
                <w:u w:val="double"/>
              </w:rPr>
              <w:t>Decreased production (e.g. sustained increased mortality or decreased growth rate) and/or some short -term to medium-term disruption to trade, resulting in financial loss.</w:t>
            </w:r>
            <w:r w:rsidRPr="00D403F5">
              <w:rPr>
                <w:rFonts w:ascii="Arial" w:hAnsi="Arial" w:cs="Arial"/>
                <w:sz w:val="18"/>
                <w:szCs w:val="18"/>
                <w:u w:val="double"/>
              </w:rPr>
              <w:t xml:space="preserve"> </w:t>
            </w:r>
          </w:p>
        </w:tc>
      </w:tr>
      <w:tr w:rsidR="007B3D5C" w:rsidRPr="00D403F5" w14:paraId="24CDFB8E" w14:textId="77777777" w:rsidTr="007B3D5C">
        <w:tc>
          <w:tcPr>
            <w:tcW w:w="1560" w:type="dxa"/>
            <w:shd w:val="clear" w:color="auto" w:fill="auto"/>
          </w:tcPr>
          <w:p w14:paraId="566F98B8"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Major</w:t>
            </w:r>
          </w:p>
        </w:tc>
        <w:tc>
          <w:tcPr>
            <w:tcW w:w="7796" w:type="dxa"/>
            <w:shd w:val="clear" w:color="auto" w:fill="auto"/>
          </w:tcPr>
          <w:p w14:paraId="1242B95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Considerable</w:t>
            </w:r>
            <w:r w:rsidRPr="00D403F5">
              <w:rPr>
                <w:rFonts w:ascii="Arial" w:hAnsi="Arial" w:cs="Arial"/>
                <w:sz w:val="18"/>
                <w:szCs w:val="18"/>
                <w:highlight w:val="yellow"/>
                <w:u w:val="double"/>
              </w:rPr>
              <w:t>,</w:t>
            </w:r>
            <w:r w:rsidRPr="00D403F5">
              <w:rPr>
                <w:rFonts w:ascii="Arial" w:hAnsi="Arial" w:cs="Arial"/>
                <w:sz w:val="18"/>
                <w:szCs w:val="18"/>
              </w:rPr>
              <w:t xml:space="preserve"> </w:t>
            </w:r>
            <w:r w:rsidRPr="00D403F5">
              <w:rPr>
                <w:rFonts w:ascii="Arial" w:hAnsi="Arial" w:cs="Arial"/>
                <w:sz w:val="18"/>
                <w:szCs w:val="18"/>
                <w:highlight w:val="yellow"/>
                <w:u w:val="double"/>
              </w:rPr>
              <w:t>decreased</w:t>
            </w:r>
            <w:r w:rsidRPr="00D403F5">
              <w:rPr>
                <w:rFonts w:ascii="Arial" w:hAnsi="Arial" w:cs="Arial"/>
                <w:sz w:val="18"/>
                <w:szCs w:val="18"/>
                <w:u w:val="double"/>
              </w:rPr>
              <w:t xml:space="preserve"> </w:t>
            </w:r>
            <w:r w:rsidRPr="00D403F5">
              <w:rPr>
                <w:rFonts w:ascii="Arial" w:hAnsi="Arial" w:cs="Arial"/>
                <w:strike/>
                <w:sz w:val="18"/>
                <w:szCs w:val="18"/>
                <w:highlight w:val="yellow"/>
              </w:rPr>
              <w:t xml:space="preserve">impact on </w:t>
            </w:r>
            <w:r w:rsidRPr="00D403F5">
              <w:rPr>
                <w:rFonts w:ascii="Arial" w:hAnsi="Arial" w:cs="Arial"/>
                <w:i/>
                <w:strike/>
                <w:sz w:val="18"/>
                <w:szCs w:val="18"/>
                <w:highlight w:val="yellow"/>
              </w:rPr>
              <w:t>aquaculture establishment</w:t>
            </w:r>
            <w:r w:rsidRPr="00D403F5">
              <w:rPr>
                <w:rFonts w:ascii="Arial" w:hAnsi="Arial" w:cs="Arial"/>
                <w:sz w:val="18"/>
                <w:szCs w:val="18"/>
              </w:rPr>
              <w:t xml:space="preserve"> production</w:t>
            </w:r>
            <w:r w:rsidRPr="00D403F5">
              <w:rPr>
                <w:rFonts w:ascii="Arial" w:hAnsi="Arial" w:cs="Arial"/>
                <w:sz w:val="18"/>
                <w:szCs w:val="18"/>
                <w:highlight w:val="yellow"/>
                <w:u w:val="double"/>
              </w:rPr>
              <w:t>,</w:t>
            </w:r>
            <w:r w:rsidRPr="00D403F5">
              <w:rPr>
                <w:rFonts w:ascii="Arial" w:hAnsi="Arial" w:cs="Arial"/>
                <w:sz w:val="18"/>
                <w:szCs w:val="18"/>
                <w:highlight w:val="yellow"/>
                <w:u w:val="single"/>
              </w:rPr>
              <w:t xml:space="preserve"> </w:t>
            </w:r>
            <w:r w:rsidRPr="00D403F5">
              <w:rPr>
                <w:rFonts w:ascii="Arial" w:hAnsi="Arial" w:cs="Arial"/>
                <w:sz w:val="18"/>
                <w:szCs w:val="18"/>
                <w:highlight w:val="yellow"/>
                <w:u w:val="double"/>
              </w:rPr>
              <w:t>and/or some medium-term to long-term disruption to trade, resulting in significant financial loss</w:t>
            </w:r>
            <w:r w:rsidRPr="00D403F5">
              <w:rPr>
                <w:rFonts w:ascii="Arial" w:hAnsi="Arial" w:cs="Arial"/>
                <w:sz w:val="18"/>
                <w:szCs w:val="18"/>
                <w:u w:val="double"/>
              </w:rPr>
              <w:t xml:space="preserve"> </w:t>
            </w:r>
            <w:r w:rsidRPr="00D403F5">
              <w:rPr>
                <w:rFonts w:ascii="Arial" w:hAnsi="Arial" w:cs="Arial"/>
                <w:sz w:val="18"/>
                <w:szCs w:val="18"/>
              </w:rPr>
              <w:t xml:space="preserve"> </w:t>
            </w:r>
            <w:r w:rsidRPr="00D403F5">
              <w:rPr>
                <w:rFonts w:ascii="Arial" w:hAnsi="Arial" w:cs="Arial"/>
                <w:strike/>
                <w:sz w:val="18"/>
                <w:szCs w:val="18"/>
                <w:highlight w:val="yellow"/>
              </w:rPr>
              <w:t>resulting in serious supply constraints and financial impact</w:t>
            </w:r>
            <w:r w:rsidRPr="00D403F5">
              <w:rPr>
                <w:rFonts w:ascii="Arial" w:hAnsi="Arial" w:cs="Arial"/>
                <w:sz w:val="18"/>
                <w:szCs w:val="18"/>
              </w:rPr>
              <w:t>.</w:t>
            </w:r>
          </w:p>
        </w:tc>
      </w:tr>
      <w:tr w:rsidR="007B3D5C" w:rsidRPr="00D403F5" w14:paraId="53C75C69" w14:textId="77777777" w:rsidTr="007B3D5C">
        <w:tc>
          <w:tcPr>
            <w:tcW w:w="1560" w:type="dxa"/>
            <w:shd w:val="clear" w:color="auto" w:fill="auto"/>
          </w:tcPr>
          <w:p w14:paraId="0D38371A"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Catastrophic</w:t>
            </w:r>
          </w:p>
        </w:tc>
        <w:tc>
          <w:tcPr>
            <w:tcW w:w="7796" w:type="dxa"/>
            <w:shd w:val="clear" w:color="auto" w:fill="auto"/>
          </w:tcPr>
          <w:p w14:paraId="40A6A2FB"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Complete </w:t>
            </w:r>
            <w:r w:rsidRPr="00D403F5">
              <w:rPr>
                <w:rFonts w:ascii="Arial" w:hAnsi="Arial" w:cs="Arial"/>
                <w:strike/>
                <w:sz w:val="18"/>
                <w:szCs w:val="18"/>
              </w:rPr>
              <w:t>depopulation</w:t>
            </w:r>
            <w:r w:rsidRPr="00D403F5">
              <w:rPr>
                <w:rFonts w:ascii="Arial" w:hAnsi="Arial" w:cs="Arial"/>
                <w:sz w:val="18"/>
                <w:szCs w:val="18"/>
              </w:rPr>
              <w:t xml:space="preserve"> </w:t>
            </w:r>
            <w:r w:rsidRPr="00D403F5">
              <w:rPr>
                <w:rFonts w:ascii="Arial" w:hAnsi="Arial" w:cs="Arial"/>
                <w:sz w:val="18"/>
                <w:szCs w:val="18"/>
                <w:u w:val="double"/>
              </w:rPr>
              <w:t>production loss</w:t>
            </w:r>
            <w:r w:rsidRPr="00D403F5">
              <w:rPr>
                <w:rFonts w:ascii="Arial" w:hAnsi="Arial" w:cs="Arial"/>
                <w:sz w:val="18"/>
                <w:szCs w:val="18"/>
                <w:highlight w:val="yellow"/>
                <w:u w:val="double"/>
              </w:rPr>
              <w:t>,</w:t>
            </w:r>
            <w:r w:rsidRPr="00D403F5">
              <w:rPr>
                <w:rFonts w:ascii="Arial" w:hAnsi="Arial" w:cs="Arial"/>
                <w:sz w:val="18"/>
                <w:szCs w:val="18"/>
                <w:u w:val="double"/>
              </w:rPr>
              <w:t xml:space="preserve"> </w:t>
            </w:r>
            <w:r w:rsidRPr="00D403F5">
              <w:rPr>
                <w:rFonts w:ascii="Arial" w:hAnsi="Arial" w:cs="Arial"/>
                <w:strike/>
                <w:sz w:val="18"/>
                <w:szCs w:val="18"/>
                <w:highlight w:val="yellow"/>
                <w:u w:val="double"/>
              </w:rPr>
              <w:t xml:space="preserve">in </w:t>
            </w:r>
            <w:r w:rsidRPr="00D403F5">
              <w:rPr>
                <w:rFonts w:ascii="Arial" w:hAnsi="Arial" w:cs="Arial"/>
                <w:strike/>
                <w:sz w:val="18"/>
                <w:szCs w:val="18"/>
                <w:highlight w:val="yellow"/>
              </w:rPr>
              <w:t xml:space="preserve">of the </w:t>
            </w:r>
            <w:r w:rsidRPr="00D403F5">
              <w:rPr>
                <w:rFonts w:ascii="Arial" w:hAnsi="Arial" w:cs="Arial"/>
                <w:i/>
                <w:strike/>
                <w:sz w:val="18"/>
                <w:szCs w:val="18"/>
                <w:highlight w:val="yellow"/>
              </w:rPr>
              <w:t>aquaculture establishment</w:t>
            </w:r>
            <w:r w:rsidRPr="00D403F5">
              <w:rPr>
                <w:rFonts w:ascii="Arial" w:hAnsi="Arial" w:cs="Arial"/>
                <w:strike/>
                <w:sz w:val="18"/>
                <w:szCs w:val="18"/>
                <w:highlight w:val="yellow"/>
              </w:rPr>
              <w:t xml:space="preserve"> and</w:t>
            </w:r>
            <w:r w:rsidRPr="00D403F5">
              <w:rPr>
                <w:rFonts w:ascii="Arial" w:hAnsi="Arial" w:cs="Arial"/>
                <w:sz w:val="18"/>
                <w:szCs w:val="18"/>
              </w:rPr>
              <w:t xml:space="preserve"> possibly barriers to resumption of production</w:t>
            </w:r>
            <w:r w:rsidRPr="00D403F5">
              <w:rPr>
                <w:rFonts w:ascii="Arial" w:hAnsi="Arial" w:cs="Arial"/>
                <w:sz w:val="18"/>
                <w:szCs w:val="18"/>
                <w:highlight w:val="yellow"/>
                <w:u w:val="double"/>
              </w:rPr>
              <w:t>, and/or complete loss of trade, resulting in extreme financial loss</w:t>
            </w:r>
            <w:r w:rsidRPr="00D403F5">
              <w:rPr>
                <w:rFonts w:ascii="Arial" w:hAnsi="Arial" w:cs="Arial"/>
                <w:sz w:val="18"/>
                <w:szCs w:val="18"/>
              </w:rPr>
              <w:t>.</w:t>
            </w:r>
          </w:p>
        </w:tc>
      </w:tr>
    </w:tbl>
    <w:p w14:paraId="22311132" w14:textId="77777777" w:rsidR="007B3D5C" w:rsidRPr="00D403F5" w:rsidRDefault="007B3D5C" w:rsidP="00D403F5">
      <w:pPr>
        <w:spacing w:after="0"/>
        <w:jc w:val="both"/>
        <w:rPr>
          <w:rFonts w:ascii="Arial" w:hAnsi="Arial" w:cs="Arial"/>
          <w:b/>
          <w:sz w:val="18"/>
          <w:szCs w:val="18"/>
        </w:rPr>
      </w:pPr>
    </w:p>
    <w:p w14:paraId="4F6D77F7"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br w:type="page"/>
      </w:r>
    </w:p>
    <w:p w14:paraId="35A01F8A" w14:textId="77777777" w:rsidR="007B3D5C" w:rsidRPr="00D403F5" w:rsidRDefault="007B3D5C" w:rsidP="00804DF6">
      <w:pPr>
        <w:spacing w:after="480"/>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5AE6BEAF"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 xml:space="preserve">Table 3. Matrix for assessing risk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1316"/>
        <w:gridCol w:w="1316"/>
        <w:gridCol w:w="1316"/>
        <w:gridCol w:w="1316"/>
        <w:gridCol w:w="1316"/>
        <w:gridCol w:w="1316"/>
      </w:tblGrid>
      <w:tr w:rsidR="007B3D5C" w:rsidRPr="00D403F5" w14:paraId="45995936" w14:textId="77777777" w:rsidTr="007B3D5C">
        <w:tc>
          <w:tcPr>
            <w:tcW w:w="1315" w:type="dxa"/>
            <w:vMerge w:val="restart"/>
            <w:shd w:val="clear" w:color="auto" w:fill="auto"/>
            <w:textDirection w:val="btLr"/>
          </w:tcPr>
          <w:p w14:paraId="612E1956" w14:textId="77777777" w:rsidR="007B3D5C" w:rsidRPr="00D403F5" w:rsidRDefault="007B3D5C" w:rsidP="00D403F5">
            <w:pPr>
              <w:spacing w:after="0"/>
              <w:ind w:left="113" w:right="113"/>
              <w:jc w:val="both"/>
              <w:rPr>
                <w:rFonts w:ascii="Arial" w:hAnsi="Arial" w:cs="Arial"/>
                <w:b/>
                <w:sz w:val="18"/>
                <w:szCs w:val="18"/>
              </w:rPr>
            </w:pPr>
            <w:r w:rsidRPr="00D403F5">
              <w:rPr>
                <w:rFonts w:ascii="Arial" w:hAnsi="Arial" w:cs="Arial"/>
                <w:b/>
                <w:sz w:val="18"/>
                <w:szCs w:val="18"/>
              </w:rPr>
              <w:t>Likelihood estimate</w:t>
            </w:r>
          </w:p>
        </w:tc>
        <w:tc>
          <w:tcPr>
            <w:tcW w:w="7896" w:type="dxa"/>
            <w:gridSpan w:val="6"/>
            <w:shd w:val="clear" w:color="auto" w:fill="auto"/>
          </w:tcPr>
          <w:p w14:paraId="408EE94F" w14:textId="77777777" w:rsidR="007B3D5C" w:rsidRPr="00D403F5" w:rsidRDefault="007B3D5C" w:rsidP="00D403F5">
            <w:pPr>
              <w:spacing w:after="0"/>
              <w:jc w:val="center"/>
              <w:rPr>
                <w:rFonts w:ascii="Arial" w:hAnsi="Arial" w:cs="Arial"/>
                <w:b/>
                <w:sz w:val="18"/>
                <w:szCs w:val="18"/>
              </w:rPr>
            </w:pPr>
            <w:r w:rsidRPr="00D403F5">
              <w:rPr>
                <w:rFonts w:ascii="Arial" w:hAnsi="Arial" w:cs="Arial"/>
                <w:sz w:val="18"/>
                <w:szCs w:val="18"/>
              </w:rPr>
              <w:t>Consequence rating</w:t>
            </w:r>
          </w:p>
        </w:tc>
      </w:tr>
      <w:tr w:rsidR="007B3D5C" w:rsidRPr="00D403F5" w14:paraId="3067FC4F" w14:textId="77777777" w:rsidTr="007B3D5C">
        <w:tc>
          <w:tcPr>
            <w:tcW w:w="1315" w:type="dxa"/>
            <w:vMerge/>
            <w:shd w:val="clear" w:color="auto" w:fill="auto"/>
          </w:tcPr>
          <w:p w14:paraId="27003A78"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4ECFDCDE" w14:textId="77777777" w:rsidR="007B3D5C" w:rsidRPr="00D403F5" w:rsidRDefault="007B3D5C" w:rsidP="00D403F5">
            <w:pPr>
              <w:spacing w:after="0"/>
              <w:jc w:val="both"/>
              <w:rPr>
                <w:rFonts w:ascii="Arial" w:hAnsi="Arial" w:cs="Arial"/>
                <w:b/>
                <w:sz w:val="18"/>
                <w:szCs w:val="18"/>
              </w:rPr>
            </w:pPr>
          </w:p>
        </w:tc>
        <w:tc>
          <w:tcPr>
            <w:tcW w:w="1316" w:type="dxa"/>
            <w:tcBorders>
              <w:bottom w:val="single" w:sz="4" w:space="0" w:color="auto"/>
            </w:tcBorders>
            <w:shd w:val="clear" w:color="auto" w:fill="auto"/>
          </w:tcPr>
          <w:p w14:paraId="1759113C"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insignificant</w:t>
            </w:r>
          </w:p>
        </w:tc>
        <w:tc>
          <w:tcPr>
            <w:tcW w:w="1316" w:type="dxa"/>
            <w:tcBorders>
              <w:bottom w:val="single" w:sz="4" w:space="0" w:color="auto"/>
            </w:tcBorders>
            <w:shd w:val="clear" w:color="auto" w:fill="auto"/>
          </w:tcPr>
          <w:p w14:paraId="4EF6E371"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minor</w:t>
            </w:r>
          </w:p>
        </w:tc>
        <w:tc>
          <w:tcPr>
            <w:tcW w:w="1316" w:type="dxa"/>
            <w:tcBorders>
              <w:bottom w:val="single" w:sz="4" w:space="0" w:color="auto"/>
            </w:tcBorders>
            <w:shd w:val="clear" w:color="auto" w:fill="auto"/>
          </w:tcPr>
          <w:p w14:paraId="70804C2D"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moderate</w:t>
            </w:r>
          </w:p>
        </w:tc>
        <w:tc>
          <w:tcPr>
            <w:tcW w:w="1316" w:type="dxa"/>
            <w:tcBorders>
              <w:bottom w:val="single" w:sz="4" w:space="0" w:color="auto"/>
            </w:tcBorders>
            <w:shd w:val="clear" w:color="auto" w:fill="auto"/>
          </w:tcPr>
          <w:p w14:paraId="04F74A4B"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major</w:t>
            </w:r>
          </w:p>
        </w:tc>
        <w:tc>
          <w:tcPr>
            <w:tcW w:w="1316" w:type="dxa"/>
            <w:tcBorders>
              <w:bottom w:val="single" w:sz="4" w:space="0" w:color="auto"/>
            </w:tcBorders>
            <w:shd w:val="clear" w:color="auto" w:fill="auto"/>
          </w:tcPr>
          <w:p w14:paraId="1DE9E0F6"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catastrophic</w:t>
            </w:r>
          </w:p>
        </w:tc>
      </w:tr>
      <w:tr w:rsidR="007B3D5C" w:rsidRPr="00D403F5" w14:paraId="053CD357" w14:textId="77777777" w:rsidTr="007B3D5C">
        <w:tc>
          <w:tcPr>
            <w:tcW w:w="1315" w:type="dxa"/>
            <w:vMerge/>
            <w:shd w:val="clear" w:color="auto" w:fill="auto"/>
          </w:tcPr>
          <w:p w14:paraId="20472C5B"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657D67BD"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remote</w:t>
            </w:r>
          </w:p>
        </w:tc>
        <w:tc>
          <w:tcPr>
            <w:tcW w:w="1316" w:type="dxa"/>
            <w:tcBorders>
              <w:bottom w:val="single" w:sz="4" w:space="0" w:color="auto"/>
            </w:tcBorders>
            <w:shd w:val="clear" w:color="auto" w:fill="F2F2F2"/>
          </w:tcPr>
          <w:p w14:paraId="17019ED8"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negligible</w:t>
            </w:r>
          </w:p>
        </w:tc>
        <w:tc>
          <w:tcPr>
            <w:tcW w:w="1316" w:type="dxa"/>
            <w:shd w:val="clear" w:color="auto" w:fill="F2F2F2"/>
          </w:tcPr>
          <w:p w14:paraId="34378E80"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F2F2F2"/>
          </w:tcPr>
          <w:p w14:paraId="526289A8"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F2F2F2"/>
          </w:tcPr>
          <w:p w14:paraId="2947E4F9"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D9D9D9"/>
          </w:tcPr>
          <w:p w14:paraId="4627F05C"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r>
      <w:tr w:rsidR="007B3D5C" w:rsidRPr="00D403F5" w14:paraId="33340F5C" w14:textId="77777777" w:rsidTr="007B3D5C">
        <w:tc>
          <w:tcPr>
            <w:tcW w:w="1315" w:type="dxa"/>
            <w:vMerge/>
            <w:shd w:val="clear" w:color="auto" w:fill="auto"/>
          </w:tcPr>
          <w:p w14:paraId="098462E3"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36D24D5F"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unlikely</w:t>
            </w:r>
          </w:p>
        </w:tc>
        <w:tc>
          <w:tcPr>
            <w:tcW w:w="1316" w:type="dxa"/>
            <w:shd w:val="clear" w:color="auto" w:fill="F2F2F2"/>
          </w:tcPr>
          <w:p w14:paraId="3CEF041D"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F2F2F2"/>
          </w:tcPr>
          <w:p w14:paraId="387D94C4"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D9D9D9"/>
          </w:tcPr>
          <w:p w14:paraId="44C100F0"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tcBorders>
              <w:bottom w:val="single" w:sz="4" w:space="0" w:color="auto"/>
            </w:tcBorders>
            <w:shd w:val="clear" w:color="auto" w:fill="D9D9D9"/>
          </w:tcPr>
          <w:p w14:paraId="3B4DD9F2"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shd w:val="clear" w:color="auto" w:fill="BFBFBF"/>
          </w:tcPr>
          <w:p w14:paraId="34AEDBD3"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r>
      <w:tr w:rsidR="007B3D5C" w:rsidRPr="00D403F5" w14:paraId="62FE0B70" w14:textId="77777777" w:rsidTr="007B3D5C">
        <w:tc>
          <w:tcPr>
            <w:tcW w:w="1315" w:type="dxa"/>
            <w:vMerge/>
            <w:shd w:val="clear" w:color="auto" w:fill="auto"/>
          </w:tcPr>
          <w:p w14:paraId="6F3E10DD"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3B19E353"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possible</w:t>
            </w:r>
          </w:p>
        </w:tc>
        <w:tc>
          <w:tcPr>
            <w:tcW w:w="1316" w:type="dxa"/>
            <w:shd w:val="clear" w:color="auto" w:fill="F2F2F2"/>
          </w:tcPr>
          <w:p w14:paraId="6B32B659"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bottom w:val="single" w:sz="4" w:space="0" w:color="auto"/>
            </w:tcBorders>
            <w:shd w:val="clear" w:color="auto" w:fill="D9D9D9"/>
          </w:tcPr>
          <w:p w14:paraId="138A7450"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tcBorders>
              <w:top w:val="single" w:sz="4" w:space="0" w:color="auto"/>
              <w:bottom w:val="single" w:sz="4" w:space="0" w:color="auto"/>
            </w:tcBorders>
            <w:shd w:val="clear" w:color="auto" w:fill="D9D9D9"/>
          </w:tcPr>
          <w:p w14:paraId="419CDDD4"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shd w:val="clear" w:color="auto" w:fill="BFBFBF"/>
          </w:tcPr>
          <w:p w14:paraId="39F6F3C5"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tcBorders>
              <w:bottom w:val="single" w:sz="4" w:space="0" w:color="auto"/>
            </w:tcBorders>
            <w:shd w:val="clear" w:color="auto" w:fill="BFBFBF"/>
          </w:tcPr>
          <w:p w14:paraId="51F299AB"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r>
      <w:tr w:rsidR="007B3D5C" w:rsidRPr="00D403F5" w14:paraId="4F5D6904" w14:textId="77777777" w:rsidTr="007B3D5C">
        <w:tc>
          <w:tcPr>
            <w:tcW w:w="1315" w:type="dxa"/>
            <w:vMerge/>
            <w:shd w:val="clear" w:color="auto" w:fill="auto"/>
          </w:tcPr>
          <w:p w14:paraId="4709AB1E"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58F67929"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likely</w:t>
            </w:r>
          </w:p>
        </w:tc>
        <w:tc>
          <w:tcPr>
            <w:tcW w:w="1316" w:type="dxa"/>
            <w:tcBorders>
              <w:bottom w:val="single" w:sz="4" w:space="0" w:color="auto"/>
            </w:tcBorders>
            <w:shd w:val="clear" w:color="auto" w:fill="F2F2F2"/>
          </w:tcPr>
          <w:p w14:paraId="0292FCE1"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low</w:t>
            </w:r>
          </w:p>
        </w:tc>
        <w:tc>
          <w:tcPr>
            <w:tcW w:w="1316" w:type="dxa"/>
            <w:tcBorders>
              <w:top w:val="single" w:sz="4" w:space="0" w:color="auto"/>
              <w:bottom w:val="single" w:sz="4" w:space="0" w:color="auto"/>
            </w:tcBorders>
            <w:shd w:val="clear" w:color="auto" w:fill="D9D9D9"/>
          </w:tcPr>
          <w:p w14:paraId="5BFBF531"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shd w:val="clear" w:color="auto" w:fill="BFBFBF"/>
          </w:tcPr>
          <w:p w14:paraId="6BFA2E25"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tcBorders>
              <w:bottom w:val="single" w:sz="4" w:space="0" w:color="auto"/>
            </w:tcBorders>
            <w:shd w:val="clear" w:color="auto" w:fill="BFBFBF"/>
          </w:tcPr>
          <w:p w14:paraId="77C92E02"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tcBorders>
              <w:bottom w:val="single" w:sz="4" w:space="0" w:color="auto"/>
            </w:tcBorders>
            <w:shd w:val="clear" w:color="auto" w:fill="A6A6A6"/>
          </w:tcPr>
          <w:p w14:paraId="7BF70A91"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extreme</w:t>
            </w:r>
          </w:p>
        </w:tc>
      </w:tr>
      <w:tr w:rsidR="007B3D5C" w:rsidRPr="00D403F5" w14:paraId="5D322C69" w14:textId="77777777" w:rsidTr="007B3D5C">
        <w:tc>
          <w:tcPr>
            <w:tcW w:w="1315" w:type="dxa"/>
            <w:vMerge/>
            <w:shd w:val="clear" w:color="auto" w:fill="auto"/>
          </w:tcPr>
          <w:p w14:paraId="4D92A089" w14:textId="77777777" w:rsidR="007B3D5C" w:rsidRPr="00D403F5" w:rsidRDefault="007B3D5C" w:rsidP="00D403F5">
            <w:pPr>
              <w:spacing w:after="0"/>
              <w:jc w:val="both"/>
              <w:rPr>
                <w:rFonts w:ascii="Arial" w:hAnsi="Arial" w:cs="Arial"/>
                <w:b/>
                <w:sz w:val="18"/>
                <w:szCs w:val="18"/>
              </w:rPr>
            </w:pPr>
          </w:p>
        </w:tc>
        <w:tc>
          <w:tcPr>
            <w:tcW w:w="1316" w:type="dxa"/>
            <w:shd w:val="clear" w:color="auto" w:fill="auto"/>
          </w:tcPr>
          <w:p w14:paraId="0D2578B2" w14:textId="77777777" w:rsidR="007B3D5C" w:rsidRPr="00D403F5" w:rsidRDefault="007B3D5C" w:rsidP="00D403F5">
            <w:pPr>
              <w:spacing w:after="0"/>
              <w:jc w:val="center"/>
              <w:rPr>
                <w:rFonts w:ascii="Arial" w:hAnsi="Arial" w:cs="Arial"/>
                <w:sz w:val="18"/>
                <w:szCs w:val="18"/>
              </w:rPr>
            </w:pPr>
            <w:r w:rsidRPr="00D403F5">
              <w:rPr>
                <w:rFonts w:ascii="Arial" w:hAnsi="Arial" w:cs="Arial"/>
                <w:sz w:val="18"/>
                <w:szCs w:val="18"/>
              </w:rPr>
              <w:t>certain</w:t>
            </w:r>
          </w:p>
        </w:tc>
        <w:tc>
          <w:tcPr>
            <w:tcW w:w="1316" w:type="dxa"/>
            <w:shd w:val="clear" w:color="auto" w:fill="D9D9D9"/>
          </w:tcPr>
          <w:p w14:paraId="7193FEBB"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medium</w:t>
            </w:r>
          </w:p>
        </w:tc>
        <w:tc>
          <w:tcPr>
            <w:tcW w:w="1316" w:type="dxa"/>
            <w:shd w:val="clear" w:color="auto" w:fill="BFBFBF"/>
          </w:tcPr>
          <w:p w14:paraId="55A0435E"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shd w:val="clear" w:color="auto" w:fill="BFBFBF"/>
          </w:tcPr>
          <w:p w14:paraId="00455B86"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high</w:t>
            </w:r>
          </w:p>
        </w:tc>
        <w:tc>
          <w:tcPr>
            <w:tcW w:w="1316" w:type="dxa"/>
            <w:shd w:val="clear" w:color="auto" w:fill="A6A6A6"/>
          </w:tcPr>
          <w:p w14:paraId="7FD4C625"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extreme</w:t>
            </w:r>
          </w:p>
        </w:tc>
        <w:tc>
          <w:tcPr>
            <w:tcW w:w="1316" w:type="dxa"/>
            <w:shd w:val="clear" w:color="auto" w:fill="A6A6A6"/>
          </w:tcPr>
          <w:p w14:paraId="20C26890" w14:textId="77777777" w:rsidR="007B3D5C" w:rsidRPr="00D403F5" w:rsidDel="00535AF7" w:rsidRDefault="007B3D5C" w:rsidP="00D403F5">
            <w:pPr>
              <w:spacing w:after="0"/>
              <w:jc w:val="center"/>
              <w:rPr>
                <w:rFonts w:ascii="Arial" w:hAnsi="Arial" w:cs="Arial"/>
                <w:sz w:val="18"/>
                <w:szCs w:val="18"/>
              </w:rPr>
            </w:pPr>
            <w:r w:rsidRPr="00D403F5">
              <w:rPr>
                <w:rFonts w:ascii="Arial" w:hAnsi="Arial" w:cs="Arial"/>
                <w:sz w:val="18"/>
                <w:szCs w:val="18"/>
              </w:rPr>
              <w:t>extreme</w:t>
            </w:r>
          </w:p>
        </w:tc>
      </w:tr>
    </w:tbl>
    <w:p w14:paraId="68DE98A6" w14:textId="77777777" w:rsidR="007B3D5C" w:rsidRPr="00D403F5" w:rsidRDefault="007B3D5C" w:rsidP="00D403F5">
      <w:pPr>
        <w:spacing w:after="0"/>
        <w:jc w:val="both"/>
        <w:rPr>
          <w:rFonts w:ascii="Arial" w:hAnsi="Arial" w:cs="Arial"/>
          <w:sz w:val="18"/>
          <w:szCs w:val="18"/>
        </w:rPr>
      </w:pPr>
      <w:r w:rsidRPr="00D403F5">
        <w:rPr>
          <w:rFonts w:ascii="Arial" w:hAnsi="Arial" w:cs="Arial"/>
          <w:strike/>
          <w:sz w:val="18"/>
          <w:szCs w:val="18"/>
          <w:highlight w:val="yellow"/>
        </w:rPr>
        <w:t xml:space="preserve">Results of </w:t>
      </w:r>
      <w:r w:rsidRPr="00D403F5">
        <w:rPr>
          <w:rFonts w:ascii="Arial" w:hAnsi="Arial" w:cs="Arial"/>
          <w:i/>
          <w:sz w:val="18"/>
          <w:szCs w:val="18"/>
          <w:highlight w:val="yellow"/>
          <w:u w:val="double"/>
        </w:rPr>
        <w:t>rR</w:t>
      </w:r>
      <w:r w:rsidRPr="00D403F5">
        <w:rPr>
          <w:rFonts w:ascii="Arial" w:hAnsi="Arial" w:cs="Arial"/>
          <w:i/>
          <w:sz w:val="18"/>
          <w:szCs w:val="18"/>
          <w:u w:val="double"/>
        </w:rPr>
        <w:t>isk</w:t>
      </w:r>
      <w:r w:rsidRPr="00D403F5">
        <w:rPr>
          <w:rFonts w:ascii="Arial" w:hAnsi="Arial" w:cs="Arial"/>
          <w:i/>
          <w:sz w:val="18"/>
          <w:szCs w:val="18"/>
        </w:rPr>
        <w:t xml:space="preserve"> assessment</w:t>
      </w:r>
      <w:r w:rsidRPr="00D403F5">
        <w:rPr>
          <w:rFonts w:ascii="Arial" w:hAnsi="Arial" w:cs="Arial"/>
          <w:i/>
          <w:sz w:val="18"/>
          <w:szCs w:val="18"/>
          <w:highlight w:val="yellow"/>
          <w:u w:val="double"/>
        </w:rPr>
        <w:t>s</w:t>
      </w:r>
      <w:r w:rsidRPr="00D403F5">
        <w:rPr>
          <w:rFonts w:ascii="Arial" w:hAnsi="Arial" w:cs="Arial"/>
          <w:i/>
          <w:sz w:val="18"/>
          <w:szCs w:val="18"/>
        </w:rPr>
        <w:t xml:space="preserve"> </w:t>
      </w:r>
      <w:r w:rsidRPr="00D403F5">
        <w:rPr>
          <w:rFonts w:ascii="Arial" w:hAnsi="Arial" w:cs="Arial"/>
          <w:sz w:val="18"/>
          <w:szCs w:val="18"/>
        </w:rPr>
        <w:t>inform</w:t>
      </w:r>
      <w:r w:rsidRPr="00D403F5">
        <w:rPr>
          <w:rFonts w:ascii="Arial" w:hAnsi="Arial" w:cs="Arial"/>
          <w:strike/>
          <w:sz w:val="18"/>
          <w:szCs w:val="18"/>
          <w:highlight w:val="yellow"/>
        </w:rPr>
        <w:t>s</w:t>
      </w:r>
      <w:r w:rsidRPr="00D403F5">
        <w:rPr>
          <w:rFonts w:ascii="Arial" w:hAnsi="Arial" w:cs="Arial"/>
          <w:sz w:val="18"/>
          <w:szCs w:val="18"/>
        </w:rPr>
        <w:t xml:space="preserve"> which biological </w:t>
      </w:r>
      <w:r w:rsidRPr="00D403F5">
        <w:rPr>
          <w:rFonts w:ascii="Arial" w:hAnsi="Arial" w:cs="Arial"/>
          <w:i/>
          <w:sz w:val="18"/>
          <w:szCs w:val="18"/>
        </w:rPr>
        <w:t>hazards</w:t>
      </w:r>
      <w:r w:rsidRPr="00D403F5">
        <w:rPr>
          <w:rFonts w:ascii="Arial" w:hAnsi="Arial" w:cs="Arial"/>
          <w:sz w:val="18"/>
          <w:szCs w:val="18"/>
        </w:rPr>
        <w:t xml:space="preserve"> need to be addressed, which critical control points on the transmission pathway should be targeted, and the measures </w:t>
      </w:r>
      <w:r w:rsidRPr="00D403F5">
        <w:rPr>
          <w:rFonts w:ascii="Arial" w:hAnsi="Arial" w:cs="Arial"/>
          <w:strike/>
          <w:sz w:val="18"/>
          <w:szCs w:val="18"/>
          <w:highlight w:val="yellow"/>
        </w:rPr>
        <w:t>which</w:t>
      </w:r>
      <w:r w:rsidRPr="00D403F5">
        <w:rPr>
          <w:rFonts w:ascii="Arial" w:hAnsi="Arial" w:cs="Arial"/>
          <w:sz w:val="18"/>
          <w:szCs w:val="18"/>
          <w:highlight w:val="yellow"/>
        </w:rPr>
        <w:t xml:space="preserve"> </w:t>
      </w:r>
      <w:r w:rsidRPr="00D403F5">
        <w:rPr>
          <w:rFonts w:ascii="Arial" w:hAnsi="Arial" w:cs="Arial"/>
          <w:sz w:val="18"/>
          <w:szCs w:val="18"/>
          <w:highlight w:val="yellow"/>
          <w:u w:val="double"/>
        </w:rPr>
        <w:t>that</w:t>
      </w:r>
      <w:r w:rsidRPr="00D403F5">
        <w:rPr>
          <w:rFonts w:ascii="Arial" w:hAnsi="Arial" w:cs="Arial"/>
          <w:sz w:val="18"/>
          <w:szCs w:val="18"/>
        </w:rPr>
        <w:t xml:space="preserve"> are most likely to be effective in reducing </w:t>
      </w:r>
      <w:r w:rsidRPr="00D403F5">
        <w:rPr>
          <w:rFonts w:ascii="Arial" w:hAnsi="Arial" w:cs="Arial"/>
          <w:i/>
          <w:sz w:val="18"/>
          <w:szCs w:val="18"/>
        </w:rPr>
        <w:t>risk</w:t>
      </w:r>
      <w:r w:rsidRPr="00D403F5">
        <w:rPr>
          <w:rFonts w:ascii="Arial" w:hAnsi="Arial" w:cs="Arial"/>
          <w:sz w:val="18"/>
          <w:szCs w:val="18"/>
        </w:rPr>
        <w:t xml:space="preserve">. </w:t>
      </w:r>
    </w:p>
    <w:p w14:paraId="3E9316B6" w14:textId="77777777" w:rsidR="007B3D5C" w:rsidRPr="00D403F5" w:rsidRDefault="007B3D5C" w:rsidP="00D403F5">
      <w:pPr>
        <w:spacing w:after="0"/>
        <w:ind w:left="709" w:hanging="709"/>
        <w:jc w:val="both"/>
        <w:rPr>
          <w:rFonts w:ascii="Arial" w:hAnsi="Arial" w:cs="Arial"/>
          <w:b/>
          <w:sz w:val="18"/>
          <w:szCs w:val="18"/>
        </w:rPr>
      </w:pPr>
      <w:r w:rsidRPr="00D403F5">
        <w:rPr>
          <w:rFonts w:ascii="Arial" w:hAnsi="Arial" w:cs="Arial"/>
          <w:b/>
          <w:sz w:val="18"/>
          <w:szCs w:val="18"/>
        </w:rPr>
        <w:t>Table 4. Interpretation of risk estimates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12"/>
      </w:tblGrid>
      <w:tr w:rsidR="007B3D5C" w:rsidRPr="00D403F5" w14:paraId="7630C145" w14:textId="77777777" w:rsidTr="007B3D5C">
        <w:tc>
          <w:tcPr>
            <w:tcW w:w="1668" w:type="dxa"/>
            <w:shd w:val="clear" w:color="auto" w:fill="auto"/>
          </w:tcPr>
          <w:p w14:paraId="2BDB0801" w14:textId="77777777" w:rsidR="007B3D5C" w:rsidRPr="00D403F5" w:rsidRDefault="007B3D5C" w:rsidP="00D403F5">
            <w:pPr>
              <w:spacing w:after="0"/>
              <w:jc w:val="both"/>
              <w:rPr>
                <w:rFonts w:ascii="Arial" w:hAnsi="Arial" w:cs="Arial"/>
                <w:b/>
                <w:sz w:val="18"/>
                <w:szCs w:val="18"/>
              </w:rPr>
            </w:pPr>
            <w:r w:rsidRPr="00D403F5">
              <w:rPr>
                <w:rFonts w:ascii="Arial" w:hAnsi="Arial" w:cs="Arial"/>
                <w:b/>
                <w:i/>
                <w:sz w:val="18"/>
                <w:szCs w:val="18"/>
              </w:rPr>
              <w:t>Risk</w:t>
            </w:r>
            <w:r w:rsidRPr="00D403F5">
              <w:rPr>
                <w:rFonts w:ascii="Arial" w:hAnsi="Arial" w:cs="Arial"/>
                <w:b/>
                <w:sz w:val="18"/>
                <w:szCs w:val="18"/>
              </w:rPr>
              <w:t xml:space="preserve"> level*</w:t>
            </w:r>
          </w:p>
        </w:tc>
        <w:tc>
          <w:tcPr>
            <w:tcW w:w="7512" w:type="dxa"/>
            <w:shd w:val="clear" w:color="auto" w:fill="auto"/>
          </w:tcPr>
          <w:p w14:paraId="0CCED792" w14:textId="77777777" w:rsidR="007B3D5C" w:rsidRPr="00D403F5" w:rsidRDefault="007B3D5C" w:rsidP="00D403F5">
            <w:pPr>
              <w:spacing w:after="0"/>
              <w:jc w:val="both"/>
              <w:rPr>
                <w:rFonts w:ascii="Arial" w:hAnsi="Arial" w:cs="Arial"/>
                <w:b/>
                <w:sz w:val="18"/>
                <w:szCs w:val="18"/>
              </w:rPr>
            </w:pPr>
            <w:r w:rsidRPr="00D403F5">
              <w:rPr>
                <w:rFonts w:ascii="Arial" w:hAnsi="Arial" w:cs="Arial"/>
                <w:b/>
                <w:sz w:val="18"/>
                <w:szCs w:val="18"/>
              </w:rPr>
              <w:t>Explanation and management response</w:t>
            </w:r>
          </w:p>
        </w:tc>
      </w:tr>
      <w:tr w:rsidR="007B3D5C" w:rsidRPr="00D403F5" w14:paraId="15B4E91C" w14:textId="77777777" w:rsidTr="007B3D5C">
        <w:tc>
          <w:tcPr>
            <w:tcW w:w="1668" w:type="dxa"/>
            <w:shd w:val="clear" w:color="auto" w:fill="auto"/>
          </w:tcPr>
          <w:p w14:paraId="47736DFA"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Negligible</w:t>
            </w:r>
          </w:p>
        </w:tc>
        <w:tc>
          <w:tcPr>
            <w:tcW w:w="7512" w:type="dxa"/>
            <w:shd w:val="clear" w:color="auto" w:fill="auto"/>
          </w:tcPr>
          <w:p w14:paraId="324ED7AD"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Acceptable level of </w:t>
            </w:r>
            <w:r w:rsidRPr="00D403F5">
              <w:rPr>
                <w:rFonts w:ascii="Arial" w:hAnsi="Arial" w:cs="Arial"/>
                <w:i/>
                <w:sz w:val="18"/>
                <w:szCs w:val="18"/>
              </w:rPr>
              <w:t>risk</w:t>
            </w:r>
            <w:r w:rsidRPr="00D403F5">
              <w:rPr>
                <w:rFonts w:ascii="Arial" w:hAnsi="Arial" w:cs="Arial"/>
                <w:sz w:val="18"/>
                <w:szCs w:val="18"/>
              </w:rPr>
              <w:t>. No action required.</w:t>
            </w:r>
          </w:p>
        </w:tc>
      </w:tr>
      <w:tr w:rsidR="007B3D5C" w:rsidRPr="00D403F5" w14:paraId="1D9A281D" w14:textId="77777777" w:rsidTr="007B3D5C">
        <w:tc>
          <w:tcPr>
            <w:tcW w:w="1668" w:type="dxa"/>
            <w:shd w:val="clear" w:color="auto" w:fill="auto"/>
          </w:tcPr>
          <w:p w14:paraId="585F81C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Low</w:t>
            </w:r>
          </w:p>
        </w:tc>
        <w:tc>
          <w:tcPr>
            <w:tcW w:w="7512" w:type="dxa"/>
            <w:shd w:val="clear" w:color="auto" w:fill="auto"/>
          </w:tcPr>
          <w:p w14:paraId="6303A33C"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Acceptable level of </w:t>
            </w:r>
            <w:r w:rsidRPr="00D403F5">
              <w:rPr>
                <w:rFonts w:ascii="Arial" w:hAnsi="Arial" w:cs="Arial"/>
                <w:i/>
                <w:sz w:val="18"/>
                <w:szCs w:val="18"/>
              </w:rPr>
              <w:t>risk</w:t>
            </w:r>
            <w:r w:rsidRPr="00D403F5">
              <w:rPr>
                <w:rFonts w:ascii="Arial" w:hAnsi="Arial" w:cs="Arial"/>
                <w:sz w:val="18"/>
                <w:szCs w:val="18"/>
              </w:rPr>
              <w:t>. On-going monitoring may be required.</w:t>
            </w:r>
          </w:p>
        </w:tc>
      </w:tr>
      <w:tr w:rsidR="007B3D5C" w:rsidRPr="00D403F5" w14:paraId="5B5261B9" w14:textId="77777777" w:rsidTr="007B3D5C">
        <w:tc>
          <w:tcPr>
            <w:tcW w:w="1668" w:type="dxa"/>
            <w:shd w:val="clear" w:color="auto" w:fill="auto"/>
          </w:tcPr>
          <w:p w14:paraId="3E01A8EB"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Medium</w:t>
            </w:r>
          </w:p>
        </w:tc>
        <w:tc>
          <w:tcPr>
            <w:tcW w:w="7512" w:type="dxa"/>
            <w:shd w:val="clear" w:color="auto" w:fill="auto"/>
          </w:tcPr>
          <w:p w14:paraId="60BA04AE"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Unacceptable level of </w:t>
            </w:r>
            <w:r w:rsidRPr="00D403F5">
              <w:rPr>
                <w:rFonts w:ascii="Arial" w:hAnsi="Arial" w:cs="Arial"/>
                <w:i/>
                <w:sz w:val="18"/>
                <w:szCs w:val="18"/>
              </w:rPr>
              <w:t>risk</w:t>
            </w:r>
            <w:r w:rsidRPr="00D403F5">
              <w:rPr>
                <w:rFonts w:ascii="Arial" w:hAnsi="Arial" w:cs="Arial"/>
                <w:sz w:val="18"/>
                <w:szCs w:val="18"/>
              </w:rPr>
              <w:t xml:space="preserve">. </w:t>
            </w:r>
            <w:r w:rsidRPr="00D403F5">
              <w:rPr>
                <w:rFonts w:ascii="Arial" w:hAnsi="Arial" w:cs="Arial"/>
                <w:strike/>
                <w:sz w:val="18"/>
                <w:szCs w:val="18"/>
              </w:rPr>
              <w:t>Active management</w:t>
            </w:r>
            <w:r w:rsidRPr="00D403F5">
              <w:rPr>
                <w:rFonts w:ascii="Arial" w:hAnsi="Arial" w:cs="Arial"/>
                <w:sz w:val="18"/>
                <w:szCs w:val="18"/>
              </w:rPr>
              <w:t xml:space="preserve"> </w:t>
            </w:r>
            <w:r w:rsidRPr="00D403F5">
              <w:rPr>
                <w:rFonts w:ascii="Arial" w:hAnsi="Arial" w:cs="Arial"/>
                <w:sz w:val="18"/>
                <w:szCs w:val="18"/>
                <w:u w:val="double"/>
              </w:rPr>
              <w:t xml:space="preserve">Review and strengthen the risk mitigation measures </w:t>
            </w:r>
            <w:r w:rsidRPr="00D403F5">
              <w:rPr>
                <w:rFonts w:ascii="Arial" w:hAnsi="Arial" w:cs="Arial"/>
                <w:strike/>
                <w:sz w:val="18"/>
                <w:szCs w:val="18"/>
              </w:rPr>
              <w:t>is required</w:t>
            </w:r>
            <w:r w:rsidRPr="00D403F5">
              <w:rPr>
                <w:rFonts w:ascii="Arial" w:hAnsi="Arial" w:cs="Arial"/>
                <w:sz w:val="18"/>
                <w:szCs w:val="18"/>
              </w:rPr>
              <w:t xml:space="preserve"> </w:t>
            </w:r>
            <w:r w:rsidRPr="00D403F5">
              <w:rPr>
                <w:rFonts w:ascii="Arial" w:hAnsi="Arial" w:cs="Arial"/>
                <w:strike/>
                <w:sz w:val="18"/>
                <w:szCs w:val="18"/>
              </w:rPr>
              <w:t xml:space="preserve">to reduce the level of </w:t>
            </w:r>
            <w:r w:rsidRPr="00D403F5">
              <w:rPr>
                <w:rFonts w:ascii="Arial" w:hAnsi="Arial" w:cs="Arial"/>
                <w:i/>
                <w:strike/>
                <w:sz w:val="18"/>
                <w:szCs w:val="18"/>
              </w:rPr>
              <w:t>risk</w:t>
            </w:r>
            <w:r w:rsidRPr="00D403F5">
              <w:rPr>
                <w:rFonts w:ascii="Arial" w:hAnsi="Arial" w:cs="Arial"/>
                <w:i/>
                <w:sz w:val="18"/>
                <w:szCs w:val="18"/>
              </w:rPr>
              <w:t>.</w:t>
            </w:r>
          </w:p>
        </w:tc>
      </w:tr>
      <w:tr w:rsidR="007B3D5C" w:rsidRPr="00D403F5" w14:paraId="32011AAF" w14:textId="77777777" w:rsidTr="007B3D5C">
        <w:tc>
          <w:tcPr>
            <w:tcW w:w="1668" w:type="dxa"/>
            <w:shd w:val="clear" w:color="auto" w:fill="auto"/>
          </w:tcPr>
          <w:p w14:paraId="027BE03C"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High</w:t>
            </w:r>
          </w:p>
        </w:tc>
        <w:tc>
          <w:tcPr>
            <w:tcW w:w="7512" w:type="dxa"/>
            <w:shd w:val="clear" w:color="auto" w:fill="auto"/>
          </w:tcPr>
          <w:p w14:paraId="65561218"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Unacceptable level of </w:t>
            </w:r>
            <w:r w:rsidRPr="00D403F5">
              <w:rPr>
                <w:rFonts w:ascii="Arial" w:hAnsi="Arial" w:cs="Arial"/>
                <w:i/>
                <w:sz w:val="18"/>
                <w:szCs w:val="18"/>
              </w:rPr>
              <w:t>risk</w:t>
            </w:r>
            <w:r w:rsidRPr="00D403F5">
              <w:rPr>
                <w:rFonts w:ascii="Arial" w:hAnsi="Arial" w:cs="Arial"/>
                <w:sz w:val="18"/>
                <w:szCs w:val="18"/>
              </w:rPr>
              <w:t xml:space="preserve">. </w:t>
            </w:r>
            <w:r w:rsidRPr="00D403F5">
              <w:rPr>
                <w:rFonts w:ascii="Arial" w:hAnsi="Arial" w:cs="Arial"/>
                <w:strike/>
                <w:sz w:val="18"/>
                <w:szCs w:val="18"/>
              </w:rPr>
              <w:t>Intervention</w:t>
            </w:r>
            <w:r w:rsidRPr="00D403F5">
              <w:rPr>
                <w:rFonts w:ascii="Arial" w:hAnsi="Arial" w:cs="Arial"/>
                <w:sz w:val="18"/>
                <w:szCs w:val="18"/>
                <w:u w:val="double"/>
              </w:rPr>
              <w:t xml:space="preserve"> Identify and implement additional mitigation measures</w:t>
            </w:r>
            <w:r w:rsidRPr="00D403F5">
              <w:rPr>
                <w:rFonts w:ascii="Arial" w:hAnsi="Arial" w:cs="Arial"/>
                <w:sz w:val="18"/>
                <w:szCs w:val="18"/>
              </w:rPr>
              <w:t xml:space="preserve"> </w:t>
            </w:r>
            <w:r w:rsidRPr="00D403F5">
              <w:rPr>
                <w:rFonts w:ascii="Arial" w:hAnsi="Arial" w:cs="Arial"/>
                <w:strike/>
                <w:sz w:val="18"/>
                <w:szCs w:val="18"/>
              </w:rPr>
              <w:t xml:space="preserve">is required to mitigate the </w:t>
            </w:r>
            <w:r w:rsidRPr="00D403F5">
              <w:rPr>
                <w:rFonts w:ascii="Arial" w:hAnsi="Arial" w:cs="Arial"/>
                <w:i/>
                <w:strike/>
                <w:sz w:val="18"/>
                <w:szCs w:val="18"/>
              </w:rPr>
              <w:t>risk</w:t>
            </w:r>
            <w:r w:rsidRPr="00D403F5">
              <w:rPr>
                <w:rFonts w:ascii="Arial" w:hAnsi="Arial" w:cs="Arial"/>
                <w:i/>
                <w:sz w:val="18"/>
                <w:szCs w:val="18"/>
              </w:rPr>
              <w:t>.</w:t>
            </w:r>
          </w:p>
        </w:tc>
      </w:tr>
      <w:tr w:rsidR="007B3D5C" w:rsidRPr="00D403F5" w14:paraId="5FA5D056" w14:textId="77777777" w:rsidTr="007B3D5C">
        <w:tc>
          <w:tcPr>
            <w:tcW w:w="1668" w:type="dxa"/>
            <w:shd w:val="clear" w:color="auto" w:fill="auto"/>
          </w:tcPr>
          <w:p w14:paraId="6F696EA2"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Extreme</w:t>
            </w:r>
          </w:p>
        </w:tc>
        <w:tc>
          <w:tcPr>
            <w:tcW w:w="7512" w:type="dxa"/>
            <w:shd w:val="clear" w:color="auto" w:fill="auto"/>
          </w:tcPr>
          <w:p w14:paraId="3AC62C7F"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Unacceptable level of </w:t>
            </w:r>
            <w:r w:rsidRPr="00D403F5">
              <w:rPr>
                <w:rFonts w:ascii="Arial" w:hAnsi="Arial" w:cs="Arial"/>
                <w:i/>
                <w:sz w:val="18"/>
                <w:szCs w:val="18"/>
              </w:rPr>
              <w:t>risk</w:t>
            </w:r>
            <w:r w:rsidRPr="00D403F5">
              <w:rPr>
                <w:rFonts w:ascii="Arial" w:hAnsi="Arial" w:cs="Arial"/>
                <w:sz w:val="18"/>
                <w:szCs w:val="18"/>
              </w:rPr>
              <w:t xml:space="preserve">. </w:t>
            </w:r>
            <w:r w:rsidRPr="00D403F5">
              <w:rPr>
                <w:rFonts w:ascii="Arial" w:hAnsi="Arial" w:cs="Arial"/>
                <w:sz w:val="18"/>
                <w:szCs w:val="18"/>
                <w:u w:val="double"/>
              </w:rPr>
              <w:t>Take immediate action to mitigate the risk.</w:t>
            </w:r>
            <w:r w:rsidRPr="00D403F5">
              <w:rPr>
                <w:rFonts w:ascii="Arial" w:hAnsi="Arial" w:cs="Arial"/>
                <w:sz w:val="18"/>
                <w:szCs w:val="18"/>
              </w:rPr>
              <w:t xml:space="preserve"> </w:t>
            </w:r>
            <w:r w:rsidRPr="00D403F5">
              <w:rPr>
                <w:rFonts w:ascii="Arial" w:hAnsi="Arial" w:cs="Arial"/>
                <w:strike/>
                <w:sz w:val="18"/>
                <w:szCs w:val="18"/>
              </w:rPr>
              <w:t xml:space="preserve">Urgent intervention is required to mitigate the level of </w:t>
            </w:r>
            <w:r w:rsidRPr="00D403F5">
              <w:rPr>
                <w:rFonts w:ascii="Arial" w:hAnsi="Arial" w:cs="Arial"/>
                <w:i/>
                <w:strike/>
                <w:sz w:val="18"/>
                <w:szCs w:val="18"/>
              </w:rPr>
              <w:t>risk.</w:t>
            </w:r>
          </w:p>
        </w:tc>
      </w:tr>
    </w:tbl>
    <w:p w14:paraId="77366907"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w:t>
      </w:r>
      <w:r w:rsidRPr="00D403F5">
        <w:rPr>
          <w:rFonts w:ascii="Arial" w:hAnsi="Arial" w:cs="Arial"/>
          <w:sz w:val="18"/>
          <w:szCs w:val="18"/>
          <w:highlight w:val="yellow"/>
          <w:u w:val="double"/>
        </w:rPr>
        <w:t>The</w:t>
      </w:r>
      <w:r w:rsidRPr="00D403F5">
        <w:rPr>
          <w:rFonts w:ascii="Arial" w:hAnsi="Arial" w:cs="Arial"/>
          <w:sz w:val="18"/>
          <w:szCs w:val="18"/>
        </w:rPr>
        <w:t xml:space="preserve"> </w:t>
      </w:r>
      <w:r w:rsidRPr="00D403F5">
        <w:rPr>
          <w:rFonts w:ascii="Arial" w:hAnsi="Arial" w:cs="Arial"/>
          <w:i/>
          <w:strike/>
          <w:sz w:val="18"/>
          <w:szCs w:val="18"/>
          <w:highlight w:val="yellow"/>
          <w:u w:val="double"/>
        </w:rPr>
        <w:t>R</w:t>
      </w:r>
      <w:r w:rsidRPr="00D403F5">
        <w:rPr>
          <w:rFonts w:ascii="Arial" w:hAnsi="Arial" w:cs="Arial"/>
          <w:i/>
          <w:sz w:val="18"/>
          <w:szCs w:val="18"/>
          <w:highlight w:val="yellow"/>
          <w:u w:val="double"/>
        </w:rPr>
        <w:t>r</w:t>
      </w:r>
      <w:r w:rsidRPr="00D403F5">
        <w:rPr>
          <w:rFonts w:ascii="Arial" w:hAnsi="Arial" w:cs="Arial"/>
          <w:i/>
          <w:sz w:val="18"/>
          <w:szCs w:val="18"/>
          <w:u w:val="double"/>
        </w:rPr>
        <w:t>isk</w:t>
      </w:r>
      <w:r w:rsidRPr="00D403F5">
        <w:rPr>
          <w:rFonts w:ascii="Arial" w:hAnsi="Arial" w:cs="Arial"/>
          <w:sz w:val="18"/>
          <w:szCs w:val="18"/>
        </w:rPr>
        <w:t xml:space="preserve"> level </w:t>
      </w:r>
      <w:r w:rsidRPr="00D403F5">
        <w:rPr>
          <w:rFonts w:ascii="Arial" w:hAnsi="Arial" w:cs="Arial"/>
          <w:sz w:val="18"/>
          <w:szCs w:val="18"/>
          <w:highlight w:val="yellow"/>
          <w:u w:val="double"/>
        </w:rPr>
        <w:t>is</w:t>
      </w:r>
      <w:r w:rsidRPr="00D403F5">
        <w:rPr>
          <w:rFonts w:ascii="Arial" w:hAnsi="Arial" w:cs="Arial"/>
          <w:sz w:val="18"/>
          <w:szCs w:val="18"/>
          <w:highlight w:val="yellow"/>
        </w:rPr>
        <w:t xml:space="preserve"> </w:t>
      </w:r>
      <w:r w:rsidRPr="00D403F5">
        <w:rPr>
          <w:rFonts w:ascii="Arial" w:hAnsi="Arial" w:cs="Arial"/>
          <w:sz w:val="18"/>
          <w:szCs w:val="18"/>
        </w:rPr>
        <w:t xml:space="preserve">determined </w:t>
      </w:r>
      <w:r w:rsidRPr="00D403F5">
        <w:rPr>
          <w:rFonts w:ascii="Arial" w:hAnsi="Arial" w:cs="Arial"/>
          <w:strike/>
          <w:sz w:val="18"/>
          <w:szCs w:val="18"/>
          <w:highlight w:val="yellow"/>
        </w:rPr>
        <w:t>by</w:t>
      </w:r>
      <w:r w:rsidRPr="00D403F5">
        <w:rPr>
          <w:rFonts w:ascii="Arial" w:hAnsi="Arial" w:cs="Arial"/>
          <w:sz w:val="18"/>
          <w:szCs w:val="18"/>
          <w:highlight w:val="yellow"/>
        </w:rPr>
        <w:t xml:space="preserve"> </w:t>
      </w:r>
      <w:r w:rsidRPr="00D403F5">
        <w:rPr>
          <w:rFonts w:ascii="Arial" w:hAnsi="Arial" w:cs="Arial"/>
          <w:sz w:val="18"/>
          <w:szCs w:val="18"/>
          <w:highlight w:val="yellow"/>
          <w:u w:val="double"/>
        </w:rPr>
        <w:t>from</w:t>
      </w:r>
      <w:r w:rsidRPr="00D403F5">
        <w:rPr>
          <w:rFonts w:ascii="Arial" w:hAnsi="Arial" w:cs="Arial"/>
          <w:sz w:val="18"/>
          <w:szCs w:val="18"/>
          <w:highlight w:val="yellow"/>
        </w:rPr>
        <w:t xml:space="preserve"> </w:t>
      </w:r>
      <w:r w:rsidRPr="00D403F5">
        <w:rPr>
          <w:rFonts w:ascii="Arial" w:hAnsi="Arial" w:cs="Arial"/>
          <w:sz w:val="18"/>
          <w:szCs w:val="18"/>
          <w:highlight w:val="yellow"/>
          <w:u w:val="double"/>
        </w:rPr>
        <w:t>a</w:t>
      </w:r>
      <w:r w:rsidRPr="00D403F5">
        <w:rPr>
          <w:rFonts w:ascii="Arial" w:hAnsi="Arial" w:cs="Arial"/>
          <w:sz w:val="18"/>
          <w:szCs w:val="18"/>
          <w:highlight w:val="yellow"/>
        </w:rPr>
        <w:t xml:space="preserve"> </w:t>
      </w:r>
      <w:r w:rsidRPr="00D403F5">
        <w:rPr>
          <w:rFonts w:ascii="Arial" w:hAnsi="Arial" w:cs="Arial"/>
          <w:sz w:val="18"/>
          <w:szCs w:val="18"/>
        </w:rPr>
        <w:t xml:space="preserve">combination of </w:t>
      </w:r>
      <w:r w:rsidRPr="00D403F5">
        <w:rPr>
          <w:rFonts w:ascii="Arial" w:hAnsi="Arial" w:cs="Arial"/>
          <w:sz w:val="18"/>
          <w:szCs w:val="18"/>
          <w:highlight w:val="yellow"/>
          <w:u w:val="double"/>
        </w:rPr>
        <w:t>the</w:t>
      </w:r>
      <w:r w:rsidRPr="00D403F5">
        <w:rPr>
          <w:rFonts w:ascii="Arial" w:hAnsi="Arial" w:cs="Arial"/>
          <w:sz w:val="18"/>
          <w:szCs w:val="18"/>
          <w:highlight w:val="yellow"/>
        </w:rPr>
        <w:t xml:space="preserve"> </w:t>
      </w:r>
      <w:r w:rsidRPr="00D403F5">
        <w:rPr>
          <w:rFonts w:ascii="Arial" w:hAnsi="Arial" w:cs="Arial"/>
          <w:sz w:val="18"/>
          <w:szCs w:val="18"/>
        </w:rPr>
        <w:t>likelihood and consequence score</w:t>
      </w:r>
      <w:r w:rsidRPr="00D403F5">
        <w:rPr>
          <w:rFonts w:ascii="Arial" w:hAnsi="Arial" w:cs="Arial"/>
          <w:sz w:val="18"/>
          <w:szCs w:val="18"/>
          <w:highlight w:val="yellow"/>
          <w:u w:val="double"/>
        </w:rPr>
        <w:t>s</w:t>
      </w:r>
      <w:r w:rsidRPr="00D403F5">
        <w:rPr>
          <w:rFonts w:ascii="Arial" w:hAnsi="Arial" w:cs="Arial"/>
          <w:sz w:val="18"/>
          <w:szCs w:val="18"/>
          <w:highlight w:val="yellow"/>
        </w:rPr>
        <w:t xml:space="preserve"> </w:t>
      </w:r>
      <w:r w:rsidRPr="00D403F5">
        <w:rPr>
          <w:rFonts w:ascii="Arial" w:hAnsi="Arial" w:cs="Arial"/>
          <w:sz w:val="18"/>
          <w:szCs w:val="18"/>
          <w:highlight w:val="yellow"/>
          <w:u w:val="double"/>
        </w:rPr>
        <w:t>obtained</w:t>
      </w:r>
      <w:r w:rsidRPr="00D403F5">
        <w:rPr>
          <w:rFonts w:ascii="Arial" w:hAnsi="Arial" w:cs="Arial"/>
          <w:sz w:val="18"/>
          <w:szCs w:val="18"/>
          <w:highlight w:val="yellow"/>
        </w:rPr>
        <w:t xml:space="preserve"> </w:t>
      </w:r>
      <w:r w:rsidRPr="00D403F5">
        <w:rPr>
          <w:rFonts w:ascii="Arial" w:hAnsi="Arial" w:cs="Arial"/>
          <w:sz w:val="18"/>
          <w:szCs w:val="18"/>
        </w:rPr>
        <w:t xml:space="preserve">using the </w:t>
      </w:r>
      <w:r w:rsidRPr="00D403F5">
        <w:rPr>
          <w:rFonts w:ascii="Arial" w:hAnsi="Arial" w:cs="Arial"/>
          <w:i/>
          <w:sz w:val="18"/>
          <w:szCs w:val="18"/>
        </w:rPr>
        <w:t>risk</w:t>
      </w:r>
      <w:r w:rsidRPr="00D403F5">
        <w:rPr>
          <w:rFonts w:ascii="Arial" w:hAnsi="Arial" w:cs="Arial"/>
          <w:sz w:val="18"/>
          <w:szCs w:val="18"/>
        </w:rPr>
        <w:t xml:space="preserve"> matrix (Table 3).</w:t>
      </w:r>
    </w:p>
    <w:p w14:paraId="7D68200F" w14:textId="77777777" w:rsidR="007B3D5C" w:rsidRPr="00D403F5" w:rsidRDefault="007B3D5C" w:rsidP="00D403F5">
      <w:pPr>
        <w:spacing w:after="0"/>
        <w:rPr>
          <w:rFonts w:ascii="Arial" w:hAnsi="Arial" w:cs="Arial"/>
          <w:b/>
          <w:sz w:val="18"/>
          <w:szCs w:val="18"/>
        </w:rPr>
      </w:pPr>
      <w:r w:rsidRPr="00D403F5">
        <w:rPr>
          <w:rFonts w:ascii="Arial" w:hAnsi="Arial" w:cs="Arial"/>
          <w:b/>
          <w:sz w:val="18"/>
          <w:szCs w:val="18"/>
        </w:rPr>
        <w:t>Step 3 ‒ Risk Management</w:t>
      </w:r>
    </w:p>
    <w:p w14:paraId="1EA2DCA8" w14:textId="77777777" w:rsidR="007B3D5C" w:rsidRPr="00D403F5" w:rsidRDefault="007B3D5C" w:rsidP="00D403F5">
      <w:pPr>
        <w:spacing w:after="0"/>
        <w:jc w:val="both"/>
        <w:rPr>
          <w:rFonts w:ascii="Arial" w:hAnsi="Arial" w:cs="Arial"/>
          <w:b/>
          <w:sz w:val="18"/>
          <w:szCs w:val="18"/>
        </w:rPr>
      </w:pPr>
      <w:r w:rsidRPr="00D403F5">
        <w:rPr>
          <w:rFonts w:ascii="Arial" w:hAnsi="Arial" w:cs="Arial"/>
          <w:i/>
          <w:iCs/>
          <w:sz w:val="18"/>
          <w:szCs w:val="18"/>
        </w:rPr>
        <w:t>Risk management</w:t>
      </w:r>
      <w:r w:rsidRPr="00D403F5">
        <w:rPr>
          <w:rFonts w:ascii="Arial" w:hAnsi="Arial" w:cs="Arial"/>
          <w:sz w:val="18"/>
          <w:szCs w:val="18"/>
        </w:rPr>
        <w:t> is used to determine the appropriate management</w:t>
      </w:r>
      <w:r w:rsidRPr="00D403F5">
        <w:rPr>
          <w:rFonts w:ascii="Arial" w:eastAsia="SimSun" w:hAnsi="Arial" w:cs="Arial" w:hint="eastAsia"/>
          <w:sz w:val="18"/>
          <w:szCs w:val="18"/>
          <w:lang w:eastAsia="zh-CN"/>
        </w:rPr>
        <w:t xml:space="preserve"> </w:t>
      </w:r>
      <w:r w:rsidRPr="00D403F5">
        <w:rPr>
          <w:rFonts w:ascii="Arial" w:hAnsi="Arial" w:cs="Arial"/>
          <w:sz w:val="18"/>
          <w:szCs w:val="18"/>
        </w:rPr>
        <w:t xml:space="preserve">response for the assessed level of </w:t>
      </w:r>
      <w:r w:rsidRPr="00D403F5">
        <w:rPr>
          <w:rFonts w:ascii="Arial" w:hAnsi="Arial" w:cs="Arial"/>
          <w:i/>
          <w:sz w:val="18"/>
          <w:szCs w:val="18"/>
        </w:rPr>
        <w:t>risk</w:t>
      </w:r>
      <w:r w:rsidRPr="00D403F5">
        <w:rPr>
          <w:rFonts w:ascii="Arial" w:hAnsi="Arial" w:cs="Arial"/>
          <w:sz w:val="18"/>
          <w:szCs w:val="18"/>
        </w:rPr>
        <w:t xml:space="preserve"> as described in Table 4. The </w:t>
      </w:r>
      <w:r w:rsidRPr="00D403F5">
        <w:rPr>
          <w:rFonts w:ascii="Arial" w:hAnsi="Arial" w:cs="Arial"/>
          <w:i/>
          <w:sz w:val="18"/>
          <w:szCs w:val="18"/>
        </w:rPr>
        <w:t>risk assessment</w:t>
      </w:r>
      <w:r w:rsidRPr="00D403F5">
        <w:rPr>
          <w:rFonts w:ascii="Arial" w:hAnsi="Arial" w:cs="Arial"/>
          <w:sz w:val="18"/>
          <w:szCs w:val="18"/>
        </w:rPr>
        <w:t xml:space="preserve"> process identifies the steps within transmission pathways necessary for a </w:t>
      </w:r>
      <w:r w:rsidRPr="00D403F5">
        <w:rPr>
          <w:rFonts w:ascii="Arial" w:hAnsi="Arial" w:cs="Arial"/>
          <w:i/>
          <w:sz w:val="18"/>
          <w:szCs w:val="18"/>
        </w:rPr>
        <w:t>risk</w:t>
      </w:r>
      <w:r w:rsidRPr="00D403F5">
        <w:rPr>
          <w:rFonts w:ascii="Arial" w:hAnsi="Arial" w:cs="Arial"/>
          <w:sz w:val="18"/>
          <w:szCs w:val="18"/>
        </w:rPr>
        <w:t xml:space="preserve"> to be realised</w:t>
      </w:r>
      <w:r w:rsidRPr="00D403F5">
        <w:rPr>
          <w:rFonts w:ascii="Arial" w:eastAsia="SimSun" w:hAnsi="Arial" w:cs="Arial" w:hint="eastAsia"/>
          <w:sz w:val="18"/>
          <w:szCs w:val="18"/>
          <w:lang w:eastAsia="zh-CN"/>
        </w:rPr>
        <w:t xml:space="preserve"> </w:t>
      </w:r>
      <w:r w:rsidRPr="00D403F5">
        <w:rPr>
          <w:rFonts w:ascii="Arial" w:hAnsi="Arial" w:cs="Arial"/>
          <w:sz w:val="18"/>
          <w:szCs w:val="18"/>
        </w:rPr>
        <w:t xml:space="preserve">and thus allows the most effective mitigation measures to be determined. Many of the </w:t>
      </w:r>
      <w:r w:rsidRPr="00D403F5">
        <w:rPr>
          <w:rFonts w:ascii="Arial" w:hAnsi="Arial" w:cs="Arial"/>
          <w:i/>
          <w:sz w:val="18"/>
          <w:szCs w:val="18"/>
        </w:rPr>
        <w:t>hazards</w:t>
      </w:r>
      <w:r w:rsidRPr="00D403F5">
        <w:rPr>
          <w:rFonts w:ascii="Arial" w:hAnsi="Arial" w:cs="Arial"/>
          <w:sz w:val="18"/>
          <w:szCs w:val="18"/>
        </w:rPr>
        <w:t xml:space="preserve"> will share the same pathways and </w:t>
      </w:r>
      <w:r w:rsidRPr="00D403F5">
        <w:rPr>
          <w:rFonts w:ascii="Arial" w:hAnsi="Arial" w:cs="Arial"/>
          <w:strike/>
          <w:sz w:val="18"/>
          <w:szCs w:val="18"/>
          <w:highlight w:val="yellow"/>
        </w:rPr>
        <w:t>thus</w:t>
      </w:r>
      <w:r w:rsidRPr="00D403F5">
        <w:rPr>
          <w:rFonts w:ascii="Arial" w:hAnsi="Arial" w:cs="Arial"/>
          <w:sz w:val="18"/>
          <w:szCs w:val="18"/>
          <w:highlight w:val="yellow"/>
        </w:rPr>
        <w:t xml:space="preserve"> </w:t>
      </w:r>
      <w:r w:rsidRPr="00D403F5">
        <w:rPr>
          <w:rFonts w:ascii="Arial" w:hAnsi="Arial" w:cs="Arial"/>
          <w:sz w:val="18"/>
          <w:szCs w:val="18"/>
          <w:highlight w:val="yellow"/>
          <w:u w:val="double"/>
        </w:rPr>
        <w:t>therefore</w:t>
      </w:r>
      <w:r w:rsidRPr="00D403F5">
        <w:rPr>
          <w:rFonts w:ascii="Arial" w:hAnsi="Arial" w:cs="Arial"/>
          <w:sz w:val="18"/>
          <w:szCs w:val="18"/>
        </w:rPr>
        <w:t xml:space="preserve"> mitigation measures may be effective against more than one </w:t>
      </w:r>
      <w:r w:rsidRPr="00D403F5">
        <w:rPr>
          <w:rFonts w:ascii="Arial" w:hAnsi="Arial" w:cs="Arial"/>
          <w:i/>
          <w:sz w:val="18"/>
          <w:szCs w:val="18"/>
        </w:rPr>
        <w:t>hazard</w:t>
      </w:r>
      <w:r w:rsidRPr="00D403F5">
        <w:rPr>
          <w:rFonts w:ascii="Arial" w:hAnsi="Arial" w:cs="Arial"/>
          <w:sz w:val="18"/>
          <w:szCs w:val="18"/>
        </w:rPr>
        <w:t xml:space="preserve">. </w:t>
      </w:r>
      <w:r w:rsidRPr="00D403F5">
        <w:rPr>
          <w:rFonts w:ascii="Arial" w:hAnsi="Arial" w:cs="Arial"/>
          <w:sz w:val="18"/>
          <w:szCs w:val="18"/>
          <w:u w:val="double"/>
        </w:rPr>
        <w:t xml:space="preserve">Information on hazards and their pathways of introduction (step 1) should be combined with the assessment of the pathways (step 2) to identify the most appropriate and cost-effective risk mitigation measures. </w:t>
      </w:r>
    </w:p>
    <w:p w14:paraId="68F7E096"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br w:type="page"/>
      </w:r>
    </w:p>
    <w:p w14:paraId="086FC63E" w14:textId="77777777" w:rsidR="007B3D5C" w:rsidRPr="00D403F5" w:rsidRDefault="007B3D5C" w:rsidP="00804DF6">
      <w:pPr>
        <w:spacing w:after="480"/>
        <w:jc w:val="right"/>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4314F3A4"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Article X.X.6. describes some possible mitigation measures relevant </w:t>
      </w:r>
      <w:r w:rsidRPr="00D403F5">
        <w:rPr>
          <w:rFonts w:ascii="Arial" w:hAnsi="Arial" w:cs="Arial"/>
          <w:strike/>
          <w:sz w:val="18"/>
          <w:szCs w:val="18"/>
          <w:highlight w:val="yellow"/>
        </w:rPr>
        <w:t>for</w:t>
      </w:r>
      <w:r w:rsidRPr="00D403F5">
        <w:rPr>
          <w:rFonts w:ascii="Arial" w:hAnsi="Arial" w:cs="Arial"/>
          <w:sz w:val="18"/>
          <w:szCs w:val="18"/>
          <w:highlight w:val="yellow"/>
        </w:rPr>
        <w:t xml:space="preserve"> </w:t>
      </w:r>
      <w:r w:rsidRPr="00D403F5">
        <w:rPr>
          <w:rFonts w:ascii="Arial" w:hAnsi="Arial" w:cs="Arial"/>
          <w:sz w:val="18"/>
          <w:szCs w:val="18"/>
          <w:highlight w:val="yellow"/>
          <w:u w:val="double"/>
        </w:rPr>
        <w:t>to</w:t>
      </w:r>
      <w:r w:rsidRPr="00D403F5">
        <w:rPr>
          <w:rFonts w:ascii="Arial" w:hAnsi="Arial" w:cs="Arial"/>
          <w:sz w:val="18"/>
          <w:szCs w:val="18"/>
        </w:rPr>
        <w:t xml:space="preserve"> different transmission pathways. The most appropriate mitigation measures for a specific </w:t>
      </w:r>
      <w:r w:rsidRPr="00D403F5">
        <w:rPr>
          <w:rFonts w:ascii="Arial" w:hAnsi="Arial" w:cs="Arial"/>
          <w:i/>
          <w:sz w:val="18"/>
          <w:szCs w:val="18"/>
        </w:rPr>
        <w:t>aquaculture establishment</w:t>
      </w:r>
      <w:r w:rsidRPr="00D403F5">
        <w:rPr>
          <w:rFonts w:ascii="Arial" w:hAnsi="Arial" w:cs="Arial"/>
          <w:sz w:val="18"/>
          <w:szCs w:val="18"/>
        </w:rPr>
        <w:t xml:space="preserve"> will depend on the </w:t>
      </w:r>
      <w:r w:rsidRPr="00D403F5">
        <w:rPr>
          <w:rFonts w:ascii="Arial" w:hAnsi="Arial" w:cs="Arial"/>
          <w:i/>
          <w:strike/>
          <w:sz w:val="18"/>
          <w:szCs w:val="18"/>
          <w:highlight w:val="yellow"/>
        </w:rPr>
        <w:t>risks</w:t>
      </w:r>
      <w:r w:rsidRPr="00D403F5">
        <w:rPr>
          <w:rFonts w:ascii="Arial" w:hAnsi="Arial" w:cs="Arial"/>
          <w:sz w:val="18"/>
          <w:szCs w:val="18"/>
        </w:rPr>
        <w:t xml:space="preserve"> </w:t>
      </w:r>
      <w:r w:rsidRPr="00D403F5">
        <w:rPr>
          <w:rFonts w:ascii="Arial" w:hAnsi="Arial" w:cs="Arial"/>
          <w:i/>
          <w:sz w:val="18"/>
          <w:szCs w:val="18"/>
          <w:highlight w:val="yellow"/>
          <w:u w:val="double"/>
        </w:rPr>
        <w:t>hazards</w:t>
      </w:r>
      <w:r w:rsidRPr="00D403F5">
        <w:rPr>
          <w:rFonts w:ascii="Arial" w:hAnsi="Arial" w:cs="Arial"/>
          <w:sz w:val="18"/>
          <w:szCs w:val="18"/>
        </w:rPr>
        <w:t xml:space="preserve"> identified, the effectiveness and reliability of the mitigation measure, the category of </w:t>
      </w:r>
      <w:r w:rsidRPr="00D403F5">
        <w:rPr>
          <w:rFonts w:ascii="Arial" w:hAnsi="Arial" w:cs="Arial"/>
          <w:i/>
          <w:sz w:val="18"/>
          <w:szCs w:val="18"/>
        </w:rPr>
        <w:t>aquaculture</w:t>
      </w:r>
      <w:r w:rsidRPr="00D403F5">
        <w:rPr>
          <w:rFonts w:ascii="Arial" w:hAnsi="Arial" w:cs="Arial"/>
          <w:sz w:val="18"/>
          <w:szCs w:val="18"/>
        </w:rPr>
        <w:t xml:space="preserve"> production system and cost.</w:t>
      </w:r>
    </w:p>
    <w:p w14:paraId="15D3C07C" w14:textId="77777777" w:rsidR="007B3D5C" w:rsidRPr="00D403F5" w:rsidRDefault="007B3D5C" w:rsidP="00D403F5">
      <w:pPr>
        <w:spacing w:after="0"/>
        <w:jc w:val="both"/>
        <w:rPr>
          <w:rFonts w:ascii="Arial" w:hAnsi="Arial" w:cs="Arial"/>
          <w:sz w:val="18"/>
          <w:szCs w:val="18"/>
        </w:rPr>
      </w:pPr>
      <w:r w:rsidRPr="00D403F5">
        <w:rPr>
          <w:rFonts w:ascii="Arial" w:hAnsi="Arial" w:cs="Arial"/>
          <w:sz w:val="18"/>
          <w:szCs w:val="18"/>
        </w:rPr>
        <w:t xml:space="preserve">After the implementation of the </w:t>
      </w:r>
      <w:r w:rsidRPr="00D403F5">
        <w:rPr>
          <w:rFonts w:ascii="Arial" w:hAnsi="Arial" w:cs="Arial"/>
          <w:i/>
          <w:sz w:val="18"/>
          <w:szCs w:val="18"/>
        </w:rPr>
        <w:t>biosecurity plan</w:t>
      </w:r>
      <w:r w:rsidRPr="00D403F5">
        <w:rPr>
          <w:rFonts w:ascii="Arial" w:hAnsi="Arial" w:cs="Arial"/>
          <w:sz w:val="18"/>
          <w:szCs w:val="18"/>
        </w:rPr>
        <w:t xml:space="preserve">, </w:t>
      </w:r>
      <w:r w:rsidRPr="00D403F5">
        <w:rPr>
          <w:rFonts w:ascii="Arial" w:hAnsi="Arial" w:cs="Arial"/>
          <w:i/>
          <w:sz w:val="18"/>
          <w:szCs w:val="18"/>
        </w:rPr>
        <w:t>hazards</w:t>
      </w:r>
      <w:r w:rsidRPr="00D403F5">
        <w:rPr>
          <w:rFonts w:ascii="Arial" w:hAnsi="Arial" w:cs="Arial"/>
          <w:sz w:val="18"/>
          <w:szCs w:val="18"/>
        </w:rPr>
        <w:t xml:space="preserve"> should be regularly reassessed, and measures adjusted according to any changed </w:t>
      </w:r>
      <w:r w:rsidRPr="00D403F5">
        <w:rPr>
          <w:rFonts w:ascii="Arial" w:hAnsi="Arial" w:cs="Arial"/>
          <w:i/>
          <w:sz w:val="18"/>
          <w:szCs w:val="18"/>
        </w:rPr>
        <w:t>risk</w:t>
      </w:r>
      <w:r w:rsidRPr="00D403F5">
        <w:rPr>
          <w:rFonts w:ascii="Arial" w:hAnsi="Arial" w:cs="Arial"/>
          <w:sz w:val="18"/>
          <w:szCs w:val="18"/>
        </w:rPr>
        <w:t xml:space="preserve"> estimates.</w:t>
      </w:r>
    </w:p>
    <w:p w14:paraId="778C09B8" w14:textId="77777777" w:rsidR="007B3D5C" w:rsidRPr="00D403F5" w:rsidRDefault="007B3D5C" w:rsidP="00D403F5">
      <w:pPr>
        <w:spacing w:after="0"/>
        <w:jc w:val="center"/>
        <w:rPr>
          <w:rFonts w:ascii="Ottawa" w:hAnsi="Ottawa" w:cs="Arial"/>
          <w:sz w:val="18"/>
          <w:szCs w:val="18"/>
        </w:rPr>
      </w:pPr>
      <w:r w:rsidRPr="00D403F5">
        <w:rPr>
          <w:rFonts w:ascii="Ottawa" w:hAnsi="Ottawa" w:cs="Arial"/>
          <w:sz w:val="18"/>
          <w:szCs w:val="18"/>
        </w:rPr>
        <w:t>Article 4.X.8.</w:t>
      </w:r>
    </w:p>
    <w:p w14:paraId="525DCC48" w14:textId="77777777" w:rsidR="007B3D5C" w:rsidRPr="00D403F5" w:rsidRDefault="007B3D5C" w:rsidP="00D403F5">
      <w:pPr>
        <w:spacing w:after="0"/>
        <w:jc w:val="both"/>
        <w:rPr>
          <w:rFonts w:ascii="Ottawa" w:hAnsi="Ottawa" w:cs="Arial"/>
          <w:b/>
          <w:color w:val="000000"/>
          <w:sz w:val="18"/>
          <w:szCs w:val="18"/>
        </w:rPr>
      </w:pPr>
      <w:r w:rsidRPr="00D403F5">
        <w:rPr>
          <w:rFonts w:ascii="Ottawa" w:hAnsi="Ottawa" w:cs="Arial"/>
          <w:b/>
          <w:color w:val="000000"/>
          <w:sz w:val="18"/>
          <w:szCs w:val="18"/>
        </w:rPr>
        <w:t>Biosecurity plan development</w:t>
      </w:r>
    </w:p>
    <w:p w14:paraId="7372CA55" w14:textId="77777777" w:rsidR="007B3D5C" w:rsidRPr="00D403F5" w:rsidRDefault="007B3D5C" w:rsidP="00D403F5">
      <w:pPr>
        <w:spacing w:after="0"/>
        <w:jc w:val="both"/>
        <w:rPr>
          <w:rFonts w:ascii="Arial" w:hAnsi="Arial" w:cs="Arial"/>
          <w:i/>
          <w:color w:val="000000"/>
          <w:sz w:val="18"/>
          <w:szCs w:val="18"/>
          <w:shd w:val="clear" w:color="auto" w:fill="FFFFFF"/>
        </w:rPr>
      </w:pPr>
      <w:r w:rsidRPr="00D403F5">
        <w:rPr>
          <w:rFonts w:ascii="Arial" w:hAnsi="Arial" w:cs="Arial"/>
          <w:sz w:val="18"/>
          <w:szCs w:val="18"/>
          <w:lang w:eastAsia="fr-FR"/>
        </w:rPr>
        <w:t xml:space="preserve">The purpose of a </w:t>
      </w:r>
      <w:r w:rsidRPr="00D403F5">
        <w:rPr>
          <w:rFonts w:ascii="Arial" w:hAnsi="Arial" w:cs="Arial"/>
          <w:i/>
          <w:sz w:val="18"/>
          <w:szCs w:val="18"/>
          <w:lang w:eastAsia="fr-FR"/>
        </w:rPr>
        <w:t>biosecurity</w:t>
      </w:r>
      <w:r w:rsidRPr="00D403F5">
        <w:rPr>
          <w:rFonts w:ascii="Arial" w:eastAsia="SimSun" w:hAnsi="Arial" w:cs="Arial" w:hint="eastAsia"/>
          <w:i/>
          <w:sz w:val="18"/>
          <w:szCs w:val="18"/>
          <w:lang w:eastAsia="zh-CN"/>
        </w:rPr>
        <w:t xml:space="preserve"> </w:t>
      </w:r>
      <w:r w:rsidRPr="00D403F5">
        <w:rPr>
          <w:rFonts w:ascii="Arial" w:hAnsi="Arial" w:cs="Arial"/>
          <w:i/>
          <w:sz w:val="18"/>
          <w:szCs w:val="18"/>
          <w:lang w:eastAsia="fr-FR"/>
        </w:rPr>
        <w:t>plan</w:t>
      </w:r>
      <w:r w:rsidRPr="00D403F5">
        <w:rPr>
          <w:rFonts w:ascii="Arial" w:hAnsi="Arial" w:cs="Arial"/>
          <w:sz w:val="18"/>
          <w:szCs w:val="18"/>
          <w:lang w:eastAsia="fr-FR"/>
        </w:rPr>
        <w:t xml:space="preserve"> is </w:t>
      </w:r>
      <w:r w:rsidRPr="00D403F5">
        <w:rPr>
          <w:rStyle w:val="normaltextrun"/>
          <w:rFonts w:ascii="Arial" w:hAnsi="Arial" w:cs="Arial"/>
          <w:color w:val="000000"/>
          <w:sz w:val="18"/>
          <w:szCs w:val="18"/>
          <w:shd w:val="clear" w:color="auto" w:fill="FFFFFF"/>
        </w:rPr>
        <w:t xml:space="preserve">primarily </w:t>
      </w:r>
      <w:r w:rsidRPr="00D403F5">
        <w:rPr>
          <w:rFonts w:ascii="Arial" w:hAnsi="Arial" w:cs="Arial"/>
          <w:sz w:val="18"/>
          <w:szCs w:val="18"/>
          <w:lang w:eastAsia="fr-FR"/>
        </w:rPr>
        <w:t xml:space="preserve">to reduce the </w:t>
      </w:r>
      <w:r w:rsidRPr="00D403F5">
        <w:rPr>
          <w:rFonts w:ascii="Arial" w:hAnsi="Arial" w:cs="Arial"/>
          <w:i/>
          <w:sz w:val="18"/>
          <w:szCs w:val="18"/>
          <w:lang w:eastAsia="fr-FR"/>
        </w:rPr>
        <w:t>risk</w:t>
      </w:r>
      <w:r w:rsidRPr="00D403F5">
        <w:rPr>
          <w:rFonts w:ascii="Arial" w:hAnsi="Arial" w:cs="Arial"/>
          <w:sz w:val="18"/>
          <w:szCs w:val="18"/>
          <w:lang w:eastAsia="fr-FR"/>
        </w:rPr>
        <w:t xml:space="preserve"> of introducing </w:t>
      </w:r>
      <w:r w:rsidRPr="00D403F5">
        <w:rPr>
          <w:rFonts w:ascii="Arial" w:hAnsi="Arial" w:cs="Arial"/>
          <w:i/>
          <w:sz w:val="18"/>
          <w:szCs w:val="18"/>
          <w:lang w:eastAsia="fr-FR"/>
        </w:rPr>
        <w:t xml:space="preserve">pathogenic agents </w:t>
      </w:r>
      <w:r w:rsidRPr="00D403F5">
        <w:rPr>
          <w:rFonts w:ascii="Arial" w:hAnsi="Arial" w:cs="Arial"/>
          <w:sz w:val="18"/>
          <w:szCs w:val="18"/>
          <w:lang w:eastAsia="fr-FR"/>
        </w:rPr>
        <w:t>into</w:t>
      </w:r>
      <w:r w:rsidRPr="00D403F5">
        <w:rPr>
          <w:rFonts w:ascii="Arial" w:hAnsi="Arial" w:cs="Arial"/>
          <w:i/>
          <w:color w:val="000000"/>
          <w:sz w:val="18"/>
          <w:szCs w:val="18"/>
        </w:rPr>
        <w:t xml:space="preserve"> </w:t>
      </w:r>
      <w:r w:rsidRPr="00D403F5">
        <w:rPr>
          <w:rFonts w:ascii="Arial" w:hAnsi="Arial" w:cs="Arial"/>
          <w:color w:val="000000"/>
          <w:sz w:val="18"/>
          <w:szCs w:val="18"/>
        </w:rPr>
        <w:t>an</w:t>
      </w:r>
      <w:r w:rsidRPr="00D403F5">
        <w:rPr>
          <w:rFonts w:ascii="Arial" w:hAnsi="Arial" w:cs="Arial"/>
          <w:i/>
          <w:color w:val="000000"/>
          <w:sz w:val="18"/>
          <w:szCs w:val="18"/>
        </w:rPr>
        <w:t xml:space="preserve"> aquacultur</w:t>
      </w:r>
      <w:r w:rsidRPr="00D403F5">
        <w:rPr>
          <w:rFonts w:ascii="Arial" w:hAnsi="Arial" w:cs="Arial"/>
          <w:color w:val="000000"/>
          <w:sz w:val="18"/>
          <w:szCs w:val="18"/>
        </w:rPr>
        <w:t>e</w:t>
      </w:r>
      <w:r w:rsidRPr="00D403F5">
        <w:rPr>
          <w:rStyle w:val="normaltextrun"/>
          <w:rFonts w:ascii="Arial" w:hAnsi="Arial" w:cs="Arial"/>
          <w:color w:val="000000"/>
          <w:sz w:val="18"/>
          <w:szCs w:val="18"/>
          <w:shd w:val="clear" w:color="auto" w:fill="FFFFFF"/>
        </w:rPr>
        <w:t xml:space="preserve"> establishment</w:t>
      </w:r>
      <w:r w:rsidRPr="00D403F5">
        <w:rPr>
          <w:rFonts w:ascii="Arial" w:hAnsi="Arial" w:cs="Arial"/>
          <w:sz w:val="18"/>
          <w:szCs w:val="18"/>
          <w:lang w:eastAsia="fr-FR"/>
        </w:rPr>
        <w:t xml:space="preserve">, </w:t>
      </w:r>
      <w:r w:rsidRPr="00D403F5">
        <w:rPr>
          <w:rFonts w:ascii="Arial" w:hAnsi="Arial" w:cs="Arial"/>
          <w:color w:val="000000"/>
          <w:sz w:val="18"/>
          <w:szCs w:val="18"/>
        </w:rPr>
        <w:t xml:space="preserve">and if </w:t>
      </w:r>
      <w:r w:rsidRPr="00D403F5">
        <w:rPr>
          <w:rFonts w:ascii="Arial" w:hAnsi="Arial" w:cs="Arial"/>
          <w:i/>
          <w:color w:val="000000"/>
          <w:sz w:val="18"/>
          <w:szCs w:val="18"/>
        </w:rPr>
        <w:t>pathogenic agents</w:t>
      </w:r>
      <w:r w:rsidRPr="00D403F5">
        <w:rPr>
          <w:rFonts w:ascii="Arial" w:hAnsi="Arial" w:cs="Arial"/>
          <w:color w:val="000000"/>
          <w:sz w:val="18"/>
          <w:szCs w:val="18"/>
        </w:rPr>
        <w:t xml:space="preserve"> are introduced, to reduce the </w:t>
      </w:r>
      <w:r w:rsidRPr="00D403F5">
        <w:rPr>
          <w:rFonts w:ascii="Arial" w:hAnsi="Arial" w:cs="Arial"/>
          <w:i/>
          <w:color w:val="000000"/>
          <w:sz w:val="18"/>
          <w:szCs w:val="18"/>
        </w:rPr>
        <w:t>risk</w:t>
      </w:r>
      <w:r w:rsidRPr="00D403F5">
        <w:rPr>
          <w:rFonts w:ascii="Arial" w:hAnsi="Arial" w:cs="Arial"/>
          <w:color w:val="000000"/>
          <w:sz w:val="18"/>
          <w:szCs w:val="18"/>
        </w:rPr>
        <w:t xml:space="preserve"> of further </w:t>
      </w:r>
      <w:r w:rsidRPr="00D403F5">
        <w:rPr>
          <w:rFonts w:ascii="Arial" w:hAnsi="Arial" w:cs="Arial"/>
          <w:sz w:val="18"/>
          <w:szCs w:val="18"/>
          <w:lang w:eastAsia="fr-FR"/>
        </w:rPr>
        <w:t xml:space="preserve">spread within or release from the </w:t>
      </w:r>
      <w:r w:rsidRPr="00D403F5">
        <w:rPr>
          <w:rFonts w:ascii="Arial" w:hAnsi="Arial" w:cs="Arial"/>
          <w:i/>
          <w:sz w:val="18"/>
          <w:szCs w:val="18"/>
          <w:lang w:eastAsia="fr-FR"/>
        </w:rPr>
        <w:t>aquaculture establishment</w:t>
      </w:r>
      <w:r w:rsidRPr="00D403F5">
        <w:rPr>
          <w:rFonts w:ascii="Arial" w:hAnsi="Arial" w:cs="Arial"/>
          <w:sz w:val="18"/>
          <w:szCs w:val="18"/>
          <w:lang w:eastAsia="fr-FR"/>
        </w:rPr>
        <w:t xml:space="preserve">. The plan will document identified transmission pathways and the outputs of any </w:t>
      </w:r>
      <w:r w:rsidRPr="00D403F5">
        <w:rPr>
          <w:rFonts w:ascii="Arial" w:hAnsi="Arial" w:cs="Arial"/>
          <w:i/>
          <w:sz w:val="18"/>
          <w:szCs w:val="18"/>
          <w:lang w:eastAsia="fr-FR"/>
        </w:rPr>
        <w:t>risk analysis</w:t>
      </w:r>
      <w:r w:rsidRPr="00D403F5">
        <w:rPr>
          <w:rFonts w:ascii="Arial" w:hAnsi="Arial" w:cs="Arial"/>
          <w:sz w:val="18"/>
          <w:szCs w:val="18"/>
          <w:lang w:eastAsia="fr-FR"/>
        </w:rPr>
        <w:t xml:space="preserve"> performed (</w:t>
      </w:r>
      <w:r w:rsidRPr="00D403F5">
        <w:rPr>
          <w:rFonts w:ascii="Arial" w:hAnsi="Arial" w:cs="Arial"/>
          <w:i/>
          <w:sz w:val="18"/>
          <w:szCs w:val="18"/>
          <w:lang w:eastAsia="fr-FR"/>
        </w:rPr>
        <w:t>hazards, risk</w:t>
      </w:r>
      <w:r w:rsidRPr="00D403F5">
        <w:rPr>
          <w:rFonts w:ascii="Arial" w:hAnsi="Arial" w:cs="Arial"/>
          <w:sz w:val="18"/>
          <w:szCs w:val="18"/>
          <w:lang w:eastAsia="fr-FR"/>
        </w:rPr>
        <w:t xml:space="preserve"> estimate and mitigation measures), and information relevant to ongoing implementation, monitoring and review of the plan.</w:t>
      </w:r>
      <w:r w:rsidRPr="00D403F5">
        <w:rPr>
          <w:rStyle w:val="normaltextrun"/>
          <w:rFonts w:ascii="Arial" w:hAnsi="Arial" w:cs="Arial"/>
          <w:color w:val="000000"/>
          <w:sz w:val="18"/>
          <w:szCs w:val="18"/>
          <w:shd w:val="clear" w:color="auto" w:fill="FFFFFF"/>
        </w:rPr>
        <w:t xml:space="preserve"> </w:t>
      </w:r>
    </w:p>
    <w:p w14:paraId="15C91977" w14:textId="77777777" w:rsidR="007B3D5C" w:rsidRPr="00D403F5" w:rsidRDefault="007B3D5C" w:rsidP="00D403F5">
      <w:pPr>
        <w:spacing w:after="0"/>
        <w:ind w:left="426" w:hanging="426"/>
        <w:jc w:val="both"/>
        <w:rPr>
          <w:rFonts w:ascii="Arial" w:hAnsi="Arial" w:cs="Arial"/>
          <w:sz w:val="18"/>
          <w:szCs w:val="18"/>
          <w:lang w:eastAsia="fr-FR"/>
        </w:rPr>
      </w:pPr>
      <w:r w:rsidRPr="00D403F5">
        <w:rPr>
          <w:rFonts w:ascii="Arial" w:hAnsi="Arial" w:cs="Arial"/>
          <w:sz w:val="18"/>
          <w:szCs w:val="18"/>
          <w:lang w:eastAsia="fr-FR"/>
        </w:rPr>
        <w:t>1.</w:t>
      </w:r>
      <w:r w:rsidRPr="00D403F5">
        <w:rPr>
          <w:rFonts w:ascii="Arial" w:hAnsi="Arial" w:cs="Arial"/>
          <w:sz w:val="18"/>
          <w:szCs w:val="18"/>
          <w:lang w:eastAsia="fr-FR"/>
        </w:rPr>
        <w:tab/>
      </w:r>
      <w:r w:rsidRPr="00D403F5">
        <w:rPr>
          <w:rFonts w:ascii="Arial" w:hAnsi="Arial" w:cs="Arial"/>
          <w:sz w:val="18"/>
          <w:szCs w:val="18"/>
          <w:u w:val="single"/>
          <w:lang w:eastAsia="fr-FR"/>
        </w:rPr>
        <w:t>Development of a biosecurity plan</w:t>
      </w:r>
    </w:p>
    <w:p w14:paraId="5EE2A400" w14:textId="77777777" w:rsidR="007B3D5C" w:rsidRPr="00D403F5" w:rsidRDefault="007B3D5C" w:rsidP="00D403F5">
      <w:pPr>
        <w:spacing w:after="0"/>
        <w:ind w:left="426"/>
        <w:jc w:val="both"/>
        <w:rPr>
          <w:rFonts w:ascii="Arial" w:hAnsi="Arial" w:cs="Arial"/>
          <w:sz w:val="18"/>
          <w:szCs w:val="18"/>
          <w:lang w:eastAsia="fr-FR"/>
        </w:rPr>
      </w:pPr>
      <w:r w:rsidRPr="00D403F5">
        <w:rPr>
          <w:rFonts w:ascii="Arial" w:hAnsi="Arial" w:cs="Arial"/>
          <w:sz w:val="18"/>
          <w:szCs w:val="18"/>
          <w:lang w:eastAsia="fr-FR"/>
        </w:rPr>
        <w:t xml:space="preserve">The process </w:t>
      </w:r>
      <w:r w:rsidRPr="00D403F5">
        <w:rPr>
          <w:rFonts w:ascii="Arial" w:hAnsi="Arial" w:cs="Arial"/>
          <w:strike/>
          <w:sz w:val="18"/>
          <w:szCs w:val="18"/>
          <w:highlight w:val="yellow"/>
          <w:lang w:eastAsia="fr-FR"/>
        </w:rPr>
        <w:t>to</w:t>
      </w:r>
      <w:r w:rsidRPr="00D403F5">
        <w:rPr>
          <w:rFonts w:ascii="Arial" w:hAnsi="Arial" w:cs="Arial"/>
          <w:sz w:val="18"/>
          <w:szCs w:val="18"/>
          <w:highlight w:val="yellow"/>
          <w:lang w:eastAsia="fr-FR"/>
        </w:rPr>
        <w:t xml:space="preserve"> </w:t>
      </w:r>
      <w:r w:rsidRPr="00D403F5">
        <w:rPr>
          <w:rFonts w:ascii="Arial" w:hAnsi="Arial" w:cs="Arial"/>
          <w:sz w:val="18"/>
          <w:szCs w:val="18"/>
          <w:highlight w:val="yellow"/>
          <w:u w:val="double"/>
          <w:lang w:eastAsia="fr-FR"/>
        </w:rPr>
        <w:t>of</w:t>
      </w:r>
      <w:r w:rsidRPr="00D403F5">
        <w:rPr>
          <w:rFonts w:ascii="Arial" w:hAnsi="Arial" w:cs="Arial"/>
          <w:sz w:val="18"/>
          <w:szCs w:val="18"/>
          <w:lang w:eastAsia="fr-FR"/>
        </w:rPr>
        <w:t xml:space="preserve"> develop</w:t>
      </w:r>
      <w:r w:rsidRPr="00D403F5">
        <w:rPr>
          <w:rFonts w:ascii="Arial" w:hAnsi="Arial" w:cs="Arial"/>
          <w:sz w:val="18"/>
          <w:szCs w:val="18"/>
          <w:highlight w:val="yellow"/>
          <w:u w:val="double"/>
          <w:lang w:eastAsia="fr-FR"/>
        </w:rPr>
        <w:t>ing</w:t>
      </w:r>
      <w:r w:rsidRPr="00D403F5">
        <w:rPr>
          <w:rFonts w:ascii="Arial" w:hAnsi="Arial" w:cs="Arial"/>
          <w:sz w:val="18"/>
          <w:szCs w:val="18"/>
          <w:lang w:eastAsia="fr-FR"/>
        </w:rPr>
        <w:t xml:space="preserve"> a </w:t>
      </w:r>
      <w:r w:rsidRPr="00D403F5">
        <w:rPr>
          <w:rFonts w:ascii="Arial" w:hAnsi="Arial" w:cs="Arial"/>
          <w:i/>
          <w:sz w:val="18"/>
          <w:szCs w:val="18"/>
          <w:lang w:eastAsia="fr-FR"/>
        </w:rPr>
        <w:t>biosecurity plan</w:t>
      </w:r>
      <w:r w:rsidRPr="00D403F5">
        <w:rPr>
          <w:rFonts w:ascii="Arial" w:eastAsia="SimSun" w:hAnsi="Arial" w:cs="Arial" w:hint="eastAsia"/>
          <w:i/>
          <w:sz w:val="18"/>
          <w:szCs w:val="18"/>
          <w:lang w:eastAsia="zh-CN"/>
        </w:rPr>
        <w:t xml:space="preserve"> </w:t>
      </w:r>
      <w:r w:rsidRPr="00D403F5">
        <w:rPr>
          <w:rFonts w:ascii="Arial" w:hAnsi="Arial" w:cs="Arial"/>
          <w:sz w:val="18"/>
          <w:szCs w:val="18"/>
          <w:lang w:eastAsia="fr-FR"/>
        </w:rPr>
        <w:t xml:space="preserve">will vary depending on </w:t>
      </w:r>
      <w:r w:rsidRPr="00D403F5">
        <w:rPr>
          <w:rFonts w:ascii="Arial" w:hAnsi="Arial" w:cs="Arial"/>
          <w:sz w:val="18"/>
          <w:szCs w:val="18"/>
          <w:u w:val="double"/>
          <w:lang w:eastAsia="fr-FR"/>
        </w:rPr>
        <w:t>its</w:t>
      </w:r>
      <w:r w:rsidRPr="00D403F5">
        <w:rPr>
          <w:rFonts w:ascii="Arial" w:hAnsi="Arial" w:cs="Arial"/>
          <w:sz w:val="18"/>
          <w:szCs w:val="18"/>
          <w:lang w:eastAsia="fr-FR"/>
        </w:rPr>
        <w:t xml:space="preserve"> objectives </w:t>
      </w:r>
      <w:r w:rsidRPr="00D403F5">
        <w:rPr>
          <w:rFonts w:ascii="Arial" w:hAnsi="Arial" w:cs="Arial"/>
          <w:strike/>
          <w:sz w:val="18"/>
          <w:szCs w:val="18"/>
          <w:lang w:eastAsia="fr-FR"/>
        </w:rPr>
        <w:t xml:space="preserve">of the </w:t>
      </w:r>
      <w:r w:rsidRPr="00D403F5">
        <w:rPr>
          <w:rFonts w:ascii="Arial" w:hAnsi="Arial" w:cs="Arial"/>
          <w:i/>
          <w:strike/>
          <w:sz w:val="18"/>
          <w:szCs w:val="18"/>
          <w:lang w:eastAsia="fr-FR"/>
        </w:rPr>
        <w:t>biosecurity plan</w:t>
      </w:r>
      <w:r w:rsidRPr="00D403F5">
        <w:rPr>
          <w:rFonts w:ascii="Arial" w:hAnsi="Arial" w:cs="Arial"/>
          <w:sz w:val="18"/>
          <w:szCs w:val="18"/>
          <w:lang w:eastAsia="fr-FR"/>
        </w:rPr>
        <w:t xml:space="preserve">, the level of </w:t>
      </w:r>
      <w:r w:rsidRPr="00D403F5">
        <w:rPr>
          <w:rFonts w:ascii="Arial" w:hAnsi="Arial" w:cs="Arial"/>
          <w:i/>
          <w:sz w:val="18"/>
          <w:szCs w:val="18"/>
          <w:lang w:eastAsia="fr-FR"/>
        </w:rPr>
        <w:t>biosecurity</w:t>
      </w:r>
      <w:r w:rsidRPr="00D403F5">
        <w:rPr>
          <w:rFonts w:ascii="Arial" w:eastAsia="SimSun" w:hAnsi="Arial" w:cs="Arial" w:hint="eastAsia"/>
          <w:i/>
          <w:sz w:val="18"/>
          <w:szCs w:val="18"/>
          <w:lang w:eastAsia="zh-CN"/>
        </w:rPr>
        <w:t xml:space="preserve"> </w:t>
      </w:r>
      <w:r w:rsidRPr="00D403F5">
        <w:rPr>
          <w:rFonts w:ascii="Arial" w:hAnsi="Arial" w:cs="Arial"/>
          <w:sz w:val="18"/>
          <w:szCs w:val="18"/>
          <w:lang w:eastAsia="fr-FR"/>
        </w:rPr>
        <w:t>appropriate</w:t>
      </w:r>
      <w:r w:rsidRPr="00D403F5">
        <w:rPr>
          <w:rFonts w:ascii="Arial" w:eastAsia="SimSun" w:hAnsi="Arial" w:cs="Arial" w:hint="eastAsia"/>
          <w:sz w:val="18"/>
          <w:szCs w:val="18"/>
          <w:lang w:eastAsia="zh-CN"/>
        </w:rPr>
        <w:t xml:space="preserve"> </w:t>
      </w:r>
      <w:r w:rsidRPr="00D403F5">
        <w:rPr>
          <w:rFonts w:ascii="Arial" w:hAnsi="Arial" w:cs="Arial"/>
          <w:sz w:val="18"/>
          <w:szCs w:val="18"/>
          <w:lang w:eastAsia="fr-FR"/>
        </w:rPr>
        <w:t xml:space="preserve">to the specific production system requirements, the complexity of the </w:t>
      </w:r>
      <w:r w:rsidRPr="00D403F5">
        <w:rPr>
          <w:rFonts w:ascii="Arial" w:hAnsi="Arial" w:cs="Arial"/>
          <w:i/>
          <w:sz w:val="18"/>
          <w:szCs w:val="18"/>
          <w:lang w:eastAsia="fr-FR"/>
        </w:rPr>
        <w:t>disease risks</w:t>
      </w:r>
      <w:r w:rsidRPr="00D403F5">
        <w:rPr>
          <w:rFonts w:ascii="Arial" w:hAnsi="Arial" w:cs="Arial"/>
          <w:sz w:val="18"/>
          <w:szCs w:val="18"/>
          <w:lang w:eastAsia="fr-FR"/>
        </w:rPr>
        <w:t xml:space="preserve"> to be addressed, and availability of information and resources. Consideration and documentation of the following issues are recommended:</w:t>
      </w:r>
    </w:p>
    <w:p w14:paraId="37BA6F90"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lang w:eastAsia="fr-FR"/>
        </w:rPr>
        <w:t>a)</w:t>
      </w:r>
      <w:r w:rsidRPr="00D403F5">
        <w:rPr>
          <w:rFonts w:ascii="Arial" w:hAnsi="Arial" w:cs="Arial"/>
          <w:sz w:val="18"/>
          <w:szCs w:val="18"/>
          <w:lang w:eastAsia="fr-FR"/>
        </w:rPr>
        <w:tab/>
        <w:t xml:space="preserve">objectives and regulatory requirements for the </w:t>
      </w:r>
      <w:r w:rsidRPr="00D403F5">
        <w:rPr>
          <w:rFonts w:ascii="Arial" w:hAnsi="Arial" w:cs="Arial"/>
          <w:i/>
          <w:sz w:val="18"/>
          <w:szCs w:val="18"/>
          <w:lang w:eastAsia="fr-FR"/>
        </w:rPr>
        <w:t>biosecurity plan</w:t>
      </w:r>
      <w:r w:rsidRPr="00D403F5">
        <w:rPr>
          <w:rFonts w:ascii="Arial" w:hAnsi="Arial" w:cs="Arial"/>
          <w:sz w:val="18"/>
          <w:szCs w:val="18"/>
          <w:lang w:eastAsia="fr-FR"/>
        </w:rPr>
        <w:t>;</w:t>
      </w:r>
    </w:p>
    <w:p w14:paraId="0656BFCF"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lang w:eastAsia="fr-FR"/>
        </w:rPr>
        <w:t>b)</w:t>
      </w:r>
      <w:r w:rsidRPr="00D403F5">
        <w:rPr>
          <w:rFonts w:ascii="Arial" w:hAnsi="Arial" w:cs="Arial"/>
          <w:sz w:val="18"/>
          <w:szCs w:val="18"/>
          <w:lang w:eastAsia="fr-FR"/>
        </w:rPr>
        <w:tab/>
        <w:t xml:space="preserve">information about the </w:t>
      </w:r>
      <w:r w:rsidRPr="00D403F5">
        <w:rPr>
          <w:rFonts w:ascii="Arial" w:hAnsi="Arial" w:cs="Arial"/>
          <w:i/>
          <w:sz w:val="18"/>
          <w:szCs w:val="18"/>
          <w:lang w:eastAsia="fr-FR"/>
        </w:rPr>
        <w:t>aquaculture establishment</w:t>
      </w:r>
      <w:r w:rsidRPr="00D403F5">
        <w:rPr>
          <w:rFonts w:ascii="Arial" w:hAnsi="Arial" w:cs="Arial"/>
          <w:sz w:val="18"/>
          <w:szCs w:val="18"/>
          <w:lang w:eastAsia="fr-FR"/>
        </w:rPr>
        <w:t xml:space="preserve"> including </w:t>
      </w:r>
      <w:r w:rsidRPr="00D403F5">
        <w:rPr>
          <w:rFonts w:ascii="Arial" w:hAnsi="Arial" w:cs="Arial"/>
          <w:sz w:val="18"/>
          <w:szCs w:val="18"/>
          <w:u w:val="double"/>
          <w:lang w:eastAsia="fr-FR"/>
        </w:rPr>
        <w:t>an up</w:t>
      </w:r>
      <w:r w:rsidRPr="00D403F5">
        <w:rPr>
          <w:rFonts w:ascii="Arial" w:hAnsi="Arial" w:cs="Arial"/>
          <w:sz w:val="18"/>
          <w:szCs w:val="18"/>
          <w:highlight w:val="yellow"/>
          <w:u w:val="double"/>
          <w:lang w:eastAsia="fr-FR"/>
        </w:rPr>
        <w:t>-</w:t>
      </w:r>
      <w:r w:rsidRPr="00D403F5">
        <w:rPr>
          <w:rFonts w:ascii="Arial" w:hAnsi="Arial" w:cs="Arial"/>
          <w:sz w:val="18"/>
          <w:szCs w:val="18"/>
          <w:u w:val="double"/>
          <w:lang w:eastAsia="fr-FR"/>
        </w:rPr>
        <w:t>to</w:t>
      </w:r>
      <w:r w:rsidRPr="00D403F5">
        <w:rPr>
          <w:rFonts w:ascii="Arial" w:hAnsi="Arial" w:cs="Arial"/>
          <w:sz w:val="18"/>
          <w:szCs w:val="18"/>
          <w:highlight w:val="yellow"/>
          <w:u w:val="double"/>
          <w:lang w:eastAsia="fr-FR"/>
        </w:rPr>
        <w:t>-</w:t>
      </w:r>
      <w:r w:rsidRPr="00D403F5">
        <w:rPr>
          <w:rFonts w:ascii="Arial" w:hAnsi="Arial" w:cs="Arial"/>
          <w:sz w:val="18"/>
          <w:szCs w:val="18"/>
          <w:u w:val="double"/>
          <w:lang w:eastAsia="fr-FR"/>
        </w:rPr>
        <w:t xml:space="preserve">date plan of </w:t>
      </w:r>
      <w:r w:rsidRPr="00D403F5">
        <w:rPr>
          <w:rFonts w:ascii="Arial" w:hAnsi="Arial" w:cs="Arial"/>
          <w:sz w:val="18"/>
          <w:szCs w:val="18"/>
          <w:lang w:eastAsia="fr-FR"/>
        </w:rPr>
        <w:t>the layout of buildings and production units (</w:t>
      </w:r>
      <w:r w:rsidRPr="00D403F5">
        <w:rPr>
          <w:rFonts w:ascii="Arial" w:hAnsi="Arial" w:cs="Arial"/>
          <w:sz w:val="18"/>
          <w:szCs w:val="18"/>
          <w:u w:val="double"/>
          <w:lang w:eastAsia="fr-FR"/>
        </w:rPr>
        <w:t xml:space="preserve">including </w:t>
      </w:r>
      <w:r w:rsidRPr="00D403F5">
        <w:rPr>
          <w:rFonts w:ascii="Arial" w:hAnsi="Arial" w:cs="Arial"/>
          <w:i/>
          <w:sz w:val="18"/>
          <w:szCs w:val="18"/>
          <w:highlight w:val="yellow"/>
          <w:u w:val="double"/>
          <w:lang w:eastAsia="fr-FR"/>
        </w:rPr>
        <w:t>epidemiological units</w:t>
      </w:r>
      <w:r w:rsidRPr="00D403F5">
        <w:rPr>
          <w:rFonts w:ascii="Arial" w:hAnsi="Arial" w:cs="Arial"/>
          <w:sz w:val="18"/>
          <w:szCs w:val="18"/>
          <w:u w:val="double"/>
          <w:lang w:eastAsia="fr-FR"/>
        </w:rPr>
        <w:t xml:space="preserve">, if any, and </w:t>
      </w:r>
      <w:r w:rsidRPr="00D403F5">
        <w:rPr>
          <w:rFonts w:ascii="Arial" w:hAnsi="Arial" w:cs="Arial"/>
          <w:sz w:val="18"/>
          <w:szCs w:val="18"/>
          <w:highlight w:val="yellow"/>
          <w:u w:val="double"/>
          <w:lang w:eastAsia="fr-FR"/>
        </w:rPr>
        <w:t>structures and</w:t>
      </w:r>
      <w:r w:rsidRPr="00D403F5">
        <w:rPr>
          <w:rFonts w:ascii="Arial" w:hAnsi="Arial" w:cs="Arial"/>
          <w:sz w:val="18"/>
          <w:szCs w:val="18"/>
          <w:u w:val="double"/>
          <w:lang w:eastAsia="fr-FR"/>
        </w:rPr>
        <w:t xml:space="preserve"> </w:t>
      </w:r>
      <w:r w:rsidRPr="00D403F5">
        <w:rPr>
          <w:rFonts w:ascii="Arial" w:hAnsi="Arial" w:cs="Arial"/>
          <w:strike/>
          <w:sz w:val="18"/>
          <w:szCs w:val="18"/>
          <w:highlight w:val="yellow"/>
          <w:lang w:eastAsia="fr-FR"/>
        </w:rPr>
        <w:t>the</w:t>
      </w:r>
      <w:r w:rsidRPr="00D403F5">
        <w:rPr>
          <w:rFonts w:ascii="Arial" w:hAnsi="Arial" w:cs="Arial"/>
          <w:sz w:val="18"/>
          <w:szCs w:val="18"/>
          <w:u w:val="double"/>
          <w:lang w:eastAsia="fr-FR"/>
        </w:rPr>
        <w:t xml:space="preserve"> </w:t>
      </w:r>
      <w:r w:rsidRPr="00D403F5">
        <w:rPr>
          <w:rFonts w:ascii="Arial" w:hAnsi="Arial" w:cs="Arial"/>
          <w:sz w:val="18"/>
          <w:szCs w:val="18"/>
          <w:highlight w:val="yellow"/>
          <w:u w:val="double"/>
          <w:lang w:eastAsia="fr-FR"/>
        </w:rPr>
        <w:t>processes to maintain</w:t>
      </w:r>
      <w:r w:rsidRPr="00D403F5">
        <w:rPr>
          <w:rFonts w:ascii="Arial" w:hAnsi="Arial" w:cs="Arial"/>
          <w:sz w:val="18"/>
          <w:szCs w:val="18"/>
          <w:u w:val="double"/>
          <w:lang w:eastAsia="fr-FR"/>
        </w:rPr>
        <w:t xml:space="preserve"> separation</w:t>
      </w:r>
      <w:r w:rsidRPr="00D403F5">
        <w:rPr>
          <w:rFonts w:ascii="Arial" w:hAnsi="Arial" w:cs="Arial"/>
          <w:strike/>
          <w:sz w:val="18"/>
          <w:szCs w:val="18"/>
          <w:highlight w:val="yellow"/>
          <w:u w:val="double"/>
          <w:lang w:eastAsia="fr-FR"/>
        </w:rPr>
        <w:t>methods</w:t>
      </w:r>
      <w:r w:rsidRPr="00D403F5">
        <w:rPr>
          <w:rFonts w:ascii="Arial" w:hAnsi="Arial" w:cs="Arial"/>
          <w:sz w:val="18"/>
          <w:szCs w:val="18"/>
          <w:u w:val="double"/>
          <w:lang w:eastAsia="fr-FR"/>
        </w:rPr>
        <w:t>), loading/ unloading, unpacking, processing, feed storage, waste storage, reception areas</w:t>
      </w:r>
      <w:r w:rsidRPr="00D403F5">
        <w:rPr>
          <w:rFonts w:ascii="Arial" w:hAnsi="Arial" w:cs="Arial"/>
          <w:sz w:val="18"/>
          <w:szCs w:val="18"/>
          <w:lang w:eastAsia="fr-FR"/>
        </w:rPr>
        <w:t xml:space="preserve">, and maps showing major movements of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w:t>
      </w:r>
      <w:r w:rsidRPr="00D403F5">
        <w:rPr>
          <w:rFonts w:ascii="Arial" w:hAnsi="Arial" w:cs="Arial"/>
          <w:i/>
          <w:sz w:val="18"/>
          <w:szCs w:val="18"/>
          <w:lang w:eastAsia="fr-FR"/>
        </w:rPr>
        <w:t>aquatic animal products</w:t>
      </w:r>
      <w:r w:rsidRPr="00D403F5">
        <w:rPr>
          <w:rFonts w:ascii="Arial" w:hAnsi="Arial" w:cs="Arial"/>
          <w:sz w:val="18"/>
          <w:szCs w:val="18"/>
          <w:lang w:eastAsia="fr-FR"/>
        </w:rPr>
        <w:t xml:space="preserve"> and </w:t>
      </w:r>
      <w:r w:rsidRPr="00D403F5">
        <w:rPr>
          <w:rFonts w:ascii="Arial" w:hAnsi="Arial" w:cs="Arial"/>
          <w:i/>
          <w:sz w:val="18"/>
          <w:szCs w:val="18"/>
          <w:u w:val="double"/>
          <w:lang w:eastAsia="fr-FR"/>
        </w:rPr>
        <w:t>aquatic animal</w:t>
      </w:r>
      <w:r w:rsidRPr="00D403F5">
        <w:rPr>
          <w:rFonts w:ascii="Arial" w:hAnsi="Arial" w:cs="Arial"/>
          <w:i/>
          <w:sz w:val="18"/>
          <w:szCs w:val="18"/>
          <w:lang w:eastAsia="fr-FR"/>
        </w:rPr>
        <w:t xml:space="preserve"> </w:t>
      </w:r>
      <w:r w:rsidRPr="00D403F5">
        <w:rPr>
          <w:rFonts w:ascii="Arial" w:hAnsi="Arial" w:cs="Arial"/>
          <w:strike/>
          <w:sz w:val="18"/>
          <w:szCs w:val="18"/>
          <w:highlight w:val="yellow"/>
          <w:u w:val="double"/>
          <w:lang w:eastAsia="fr-FR"/>
        </w:rPr>
        <w:t>waste</w:t>
      </w:r>
      <w:r w:rsidRPr="00D403F5">
        <w:rPr>
          <w:rFonts w:ascii="Arial" w:hAnsi="Arial" w:cs="Arial"/>
          <w:sz w:val="18"/>
          <w:szCs w:val="18"/>
          <w:highlight w:val="yellow"/>
          <w:u w:val="double"/>
          <w:lang w:eastAsia="fr-FR"/>
        </w:rPr>
        <w:t xml:space="preserve"> </w:t>
      </w:r>
      <w:r w:rsidRPr="00D403F5">
        <w:rPr>
          <w:rFonts w:ascii="Arial" w:hAnsi="Arial" w:cs="Arial"/>
          <w:i/>
          <w:iCs/>
          <w:sz w:val="18"/>
          <w:szCs w:val="18"/>
          <w:highlight w:val="yellow"/>
          <w:u w:val="double"/>
          <w:lang w:eastAsia="fr-FR"/>
        </w:rPr>
        <w:t>waste</w:t>
      </w:r>
      <w:r w:rsidRPr="00D403F5">
        <w:rPr>
          <w:rFonts w:ascii="Arial" w:hAnsi="Arial" w:cs="Arial"/>
          <w:sz w:val="18"/>
          <w:szCs w:val="18"/>
          <w:lang w:eastAsia="fr-FR"/>
        </w:rPr>
        <w:t xml:space="preserve">, water, </w:t>
      </w:r>
      <w:r w:rsidRPr="00D403F5">
        <w:rPr>
          <w:rFonts w:ascii="Arial" w:hAnsi="Arial" w:cs="Arial"/>
          <w:i/>
          <w:sz w:val="18"/>
          <w:szCs w:val="18"/>
          <w:lang w:eastAsia="fr-FR"/>
        </w:rPr>
        <w:t>feed</w:t>
      </w:r>
      <w:r w:rsidRPr="00D403F5">
        <w:rPr>
          <w:rFonts w:ascii="Arial" w:hAnsi="Arial" w:cs="Arial"/>
          <w:sz w:val="18"/>
          <w:szCs w:val="18"/>
          <w:lang w:eastAsia="fr-FR"/>
        </w:rPr>
        <w:t xml:space="preserve"> and fomites </w:t>
      </w:r>
      <w:r w:rsidRPr="00D403F5">
        <w:rPr>
          <w:rFonts w:ascii="Arial" w:hAnsi="Arial" w:cs="Arial"/>
          <w:strike/>
          <w:sz w:val="18"/>
          <w:szCs w:val="18"/>
          <w:highlight w:val="yellow"/>
          <w:lang w:eastAsia="fr-FR"/>
        </w:rPr>
        <w:t xml:space="preserve">(including staff, equipment and </w:t>
      </w:r>
      <w:r w:rsidRPr="00D403F5">
        <w:rPr>
          <w:rFonts w:ascii="Arial" w:hAnsi="Arial" w:cs="Arial"/>
          <w:i/>
          <w:strike/>
          <w:sz w:val="18"/>
          <w:szCs w:val="18"/>
          <w:highlight w:val="yellow"/>
          <w:lang w:eastAsia="fr-FR"/>
        </w:rPr>
        <w:t>vehicles</w:t>
      </w:r>
      <w:r w:rsidRPr="00D403F5">
        <w:rPr>
          <w:rFonts w:ascii="Arial" w:hAnsi="Arial" w:cs="Arial"/>
          <w:strike/>
          <w:sz w:val="18"/>
          <w:szCs w:val="18"/>
          <w:highlight w:val="yellow"/>
          <w:lang w:eastAsia="fr-FR"/>
        </w:rPr>
        <w:t>)</w:t>
      </w:r>
      <w:r w:rsidRPr="00D403F5">
        <w:rPr>
          <w:rFonts w:ascii="Arial" w:hAnsi="Arial" w:cs="Arial"/>
          <w:sz w:val="18"/>
          <w:szCs w:val="18"/>
          <w:lang w:eastAsia="fr-FR"/>
        </w:rPr>
        <w:t xml:space="preserve">; </w:t>
      </w:r>
    </w:p>
    <w:p w14:paraId="4909092B"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lang w:eastAsia="fr-FR"/>
        </w:rPr>
        <w:t>c)</w:t>
      </w:r>
      <w:r w:rsidRPr="00D403F5">
        <w:rPr>
          <w:rFonts w:ascii="Arial" w:hAnsi="Arial" w:cs="Arial"/>
          <w:sz w:val="18"/>
          <w:szCs w:val="18"/>
          <w:lang w:eastAsia="fr-FR"/>
        </w:rPr>
        <w:tab/>
        <w:t xml:space="preserve">the potential pathways for entry of </w:t>
      </w:r>
      <w:r w:rsidRPr="00D403F5">
        <w:rPr>
          <w:rFonts w:ascii="Arial" w:hAnsi="Arial" w:cs="Arial"/>
          <w:i/>
          <w:sz w:val="18"/>
          <w:szCs w:val="18"/>
          <w:lang w:eastAsia="fr-FR"/>
        </w:rPr>
        <w:t>pathogenic agents</w:t>
      </w:r>
      <w:r w:rsidRPr="00D403F5">
        <w:rPr>
          <w:rFonts w:ascii="Arial" w:hAnsi="Arial" w:cs="Arial"/>
          <w:sz w:val="18"/>
          <w:szCs w:val="18"/>
          <w:lang w:eastAsia="fr-FR"/>
        </w:rPr>
        <w:t xml:space="preserve"> into, spread within or release from the </w:t>
      </w:r>
      <w:r w:rsidRPr="00D403F5">
        <w:rPr>
          <w:rFonts w:ascii="Arial" w:hAnsi="Arial" w:cs="Arial"/>
          <w:i/>
          <w:sz w:val="18"/>
          <w:szCs w:val="18"/>
          <w:lang w:eastAsia="fr-FR"/>
        </w:rPr>
        <w:t xml:space="preserve">aquaculture establishment </w:t>
      </w:r>
      <w:r w:rsidRPr="00D403F5">
        <w:rPr>
          <w:rFonts w:ascii="Arial" w:hAnsi="Arial" w:cs="Arial"/>
          <w:sz w:val="18"/>
          <w:szCs w:val="18"/>
          <w:lang w:eastAsia="fr-FR"/>
        </w:rPr>
        <w:t>(refer to Article X.X.6. above);</w:t>
      </w:r>
    </w:p>
    <w:p w14:paraId="7AB18D76"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lang w:eastAsia="fr-FR"/>
        </w:rPr>
        <w:t>d)</w:t>
      </w:r>
      <w:r w:rsidRPr="00D403F5">
        <w:rPr>
          <w:rFonts w:ascii="Arial" w:hAnsi="Arial" w:cs="Arial"/>
          <w:sz w:val="18"/>
          <w:szCs w:val="18"/>
          <w:lang w:eastAsia="fr-FR"/>
        </w:rPr>
        <w:tab/>
        <w:t xml:space="preserve">a </w:t>
      </w:r>
      <w:r w:rsidRPr="00D403F5">
        <w:rPr>
          <w:rFonts w:ascii="Arial" w:hAnsi="Arial" w:cs="Arial"/>
          <w:i/>
          <w:sz w:val="18"/>
          <w:szCs w:val="18"/>
          <w:lang w:eastAsia="fr-FR"/>
        </w:rPr>
        <w:t>risk analysis</w:t>
      </w:r>
      <w:r w:rsidRPr="00D403F5">
        <w:rPr>
          <w:rFonts w:ascii="Arial" w:hAnsi="Arial" w:cs="Arial"/>
          <w:sz w:val="18"/>
          <w:szCs w:val="18"/>
          <w:lang w:eastAsia="fr-FR"/>
        </w:rPr>
        <w:t xml:space="preserve">, including identification of the major </w:t>
      </w:r>
      <w:r w:rsidRPr="00D403F5">
        <w:rPr>
          <w:rFonts w:ascii="Arial" w:hAnsi="Arial" w:cs="Arial"/>
          <w:i/>
          <w:sz w:val="18"/>
          <w:szCs w:val="18"/>
          <w:lang w:eastAsia="fr-FR"/>
        </w:rPr>
        <w:t>disease hazards</w:t>
      </w:r>
      <w:r w:rsidRPr="00D403F5">
        <w:rPr>
          <w:rFonts w:ascii="Arial" w:hAnsi="Arial" w:cs="Arial"/>
          <w:sz w:val="18"/>
          <w:szCs w:val="18"/>
          <w:lang w:eastAsia="fr-FR"/>
        </w:rPr>
        <w:t xml:space="preserve"> to the </w:t>
      </w:r>
      <w:r w:rsidRPr="00D403F5">
        <w:rPr>
          <w:rFonts w:ascii="Arial" w:hAnsi="Arial" w:cs="Arial"/>
          <w:i/>
          <w:sz w:val="18"/>
          <w:szCs w:val="18"/>
          <w:lang w:eastAsia="fr-FR"/>
        </w:rPr>
        <w:t>aquaculture establishment</w:t>
      </w:r>
      <w:r w:rsidRPr="00D403F5">
        <w:rPr>
          <w:rFonts w:ascii="Arial" w:hAnsi="Arial" w:cs="Arial"/>
          <w:sz w:val="18"/>
          <w:szCs w:val="18"/>
          <w:lang w:eastAsia="fr-FR"/>
        </w:rPr>
        <w:t xml:space="preserve"> (refer to Article X.X.7. above);</w:t>
      </w:r>
    </w:p>
    <w:p w14:paraId="088CD5B7"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lang w:eastAsia="fr-FR"/>
        </w:rPr>
        <w:t>e)</w:t>
      </w:r>
      <w:r w:rsidRPr="00D403F5">
        <w:rPr>
          <w:rFonts w:ascii="Arial" w:hAnsi="Arial" w:cs="Arial"/>
          <w:sz w:val="18"/>
          <w:szCs w:val="18"/>
          <w:lang w:eastAsia="fr-FR"/>
        </w:rPr>
        <w:tab/>
        <w:t xml:space="preserve">the mitigation measures that have been determined to address identified </w:t>
      </w:r>
      <w:r w:rsidRPr="00D403F5">
        <w:rPr>
          <w:rFonts w:ascii="Arial" w:hAnsi="Arial" w:cs="Arial"/>
          <w:i/>
          <w:sz w:val="18"/>
          <w:szCs w:val="18"/>
          <w:lang w:eastAsia="fr-FR"/>
        </w:rPr>
        <w:t>risks</w:t>
      </w:r>
      <w:r w:rsidRPr="00D403F5">
        <w:rPr>
          <w:rFonts w:ascii="Arial" w:hAnsi="Arial" w:cs="Arial"/>
          <w:sz w:val="18"/>
          <w:szCs w:val="18"/>
          <w:lang w:eastAsia="fr-FR"/>
        </w:rPr>
        <w:t>;</w:t>
      </w:r>
    </w:p>
    <w:p w14:paraId="1DEF8BE6"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lang w:eastAsia="fr-FR"/>
        </w:rPr>
        <w:t>f)</w:t>
      </w:r>
      <w:r w:rsidRPr="00D403F5">
        <w:rPr>
          <w:rFonts w:ascii="Arial" w:hAnsi="Arial" w:cs="Arial"/>
          <w:sz w:val="18"/>
          <w:szCs w:val="18"/>
          <w:lang w:eastAsia="fr-FR"/>
        </w:rPr>
        <w:tab/>
        <w:t xml:space="preserve">emergency procedures in the event of a </w:t>
      </w:r>
      <w:r w:rsidRPr="00D403F5">
        <w:rPr>
          <w:rFonts w:ascii="Arial" w:hAnsi="Arial" w:cs="Arial"/>
          <w:i/>
          <w:sz w:val="18"/>
          <w:szCs w:val="18"/>
          <w:lang w:eastAsia="fr-FR"/>
        </w:rPr>
        <w:t>biosecurity</w:t>
      </w:r>
      <w:r w:rsidRPr="00D403F5">
        <w:rPr>
          <w:rFonts w:ascii="Arial" w:hAnsi="Arial" w:cs="Arial"/>
          <w:sz w:val="18"/>
          <w:szCs w:val="18"/>
          <w:lang w:eastAsia="fr-FR"/>
        </w:rPr>
        <w:t xml:space="preserve"> failure. </w:t>
      </w:r>
      <w:r w:rsidRPr="00D403F5">
        <w:rPr>
          <w:rFonts w:ascii="Arial" w:hAnsi="Arial" w:cs="Arial"/>
          <w:sz w:val="18"/>
          <w:szCs w:val="18"/>
          <w:highlight w:val="yellow"/>
          <w:u w:val="double"/>
        </w:rPr>
        <w:t xml:space="preserve">These </w:t>
      </w:r>
      <w:r w:rsidRPr="00D403F5">
        <w:rPr>
          <w:rFonts w:ascii="Arial" w:hAnsi="Arial" w:cs="Arial"/>
          <w:strike/>
          <w:sz w:val="18"/>
          <w:szCs w:val="18"/>
          <w:highlight w:val="yellow"/>
          <w:u w:val="double"/>
        </w:rPr>
        <w:t>They</w:t>
      </w:r>
      <w:r w:rsidRPr="00D403F5">
        <w:rPr>
          <w:rFonts w:ascii="Arial" w:hAnsi="Arial" w:cs="Arial"/>
          <w:sz w:val="18"/>
          <w:szCs w:val="18"/>
          <w:highlight w:val="yellow"/>
          <w:u w:val="double"/>
        </w:rPr>
        <w:t xml:space="preserve"> may include reporting requirements, emergency measures to eradicate </w:t>
      </w:r>
      <w:r w:rsidRPr="00D403F5">
        <w:rPr>
          <w:rFonts w:ascii="Arial" w:hAnsi="Arial" w:cs="Arial"/>
          <w:i/>
          <w:sz w:val="18"/>
          <w:szCs w:val="18"/>
          <w:highlight w:val="yellow"/>
          <w:u w:val="double"/>
        </w:rPr>
        <w:t>pathogenic agents</w:t>
      </w:r>
      <w:r w:rsidRPr="00D403F5">
        <w:rPr>
          <w:rFonts w:ascii="Arial" w:hAnsi="Arial" w:cs="Arial"/>
          <w:sz w:val="18"/>
          <w:szCs w:val="18"/>
          <w:highlight w:val="yellow"/>
          <w:u w:val="double"/>
        </w:rPr>
        <w:t xml:space="preserve"> such as </w:t>
      </w:r>
      <w:r w:rsidRPr="00D403F5">
        <w:rPr>
          <w:rFonts w:ascii="Arial" w:hAnsi="Arial" w:cs="Arial"/>
          <w:i/>
          <w:iCs/>
          <w:sz w:val="18"/>
          <w:szCs w:val="18"/>
          <w:highlight w:val="yellow"/>
          <w:u w:val="double"/>
        </w:rPr>
        <w:t>aquatic animal</w:t>
      </w:r>
      <w:r w:rsidRPr="00D403F5">
        <w:rPr>
          <w:rFonts w:ascii="Arial" w:hAnsi="Arial" w:cs="Arial"/>
          <w:sz w:val="18"/>
          <w:szCs w:val="18"/>
          <w:highlight w:val="yellow"/>
          <w:u w:val="double"/>
        </w:rPr>
        <w:t xml:space="preserve"> depopulation and disposal, and site </w:t>
      </w:r>
      <w:r w:rsidRPr="00D403F5">
        <w:rPr>
          <w:rFonts w:ascii="Arial" w:hAnsi="Arial" w:cs="Arial"/>
          <w:i/>
          <w:iCs/>
          <w:sz w:val="18"/>
          <w:szCs w:val="18"/>
          <w:highlight w:val="yellow"/>
          <w:u w:val="double"/>
        </w:rPr>
        <w:t>disinfection</w:t>
      </w:r>
      <w:r w:rsidRPr="00D403F5">
        <w:rPr>
          <w:rFonts w:ascii="Arial" w:hAnsi="Arial" w:cs="Arial"/>
          <w:sz w:val="18"/>
          <w:szCs w:val="18"/>
          <w:highlight w:val="yellow"/>
          <w:u w:val="double"/>
        </w:rPr>
        <w:t>, in accordance with Chapters 4.3. and 7.4.</w:t>
      </w:r>
      <w:r w:rsidRPr="00D403F5">
        <w:rPr>
          <w:rFonts w:ascii="Arial" w:hAnsi="Arial" w:cs="Arial"/>
          <w:sz w:val="18"/>
          <w:szCs w:val="18"/>
          <w:highlight w:val="yellow"/>
          <w:lang w:eastAsia="fr-FR"/>
        </w:rPr>
        <w:t>;</w:t>
      </w:r>
    </w:p>
    <w:p w14:paraId="09D6B5CC" w14:textId="77777777" w:rsidR="007B3D5C" w:rsidRPr="00D403F5" w:rsidRDefault="007B3D5C" w:rsidP="00D403F5">
      <w:pPr>
        <w:spacing w:after="0"/>
        <w:ind w:left="851" w:hanging="425"/>
        <w:jc w:val="both"/>
        <w:rPr>
          <w:rFonts w:ascii="Arial" w:hAnsi="Arial" w:cs="Arial"/>
          <w:strike/>
          <w:sz w:val="18"/>
          <w:szCs w:val="18"/>
          <w:lang w:eastAsia="fr-FR"/>
        </w:rPr>
      </w:pPr>
      <w:r w:rsidRPr="00D403F5">
        <w:rPr>
          <w:rFonts w:ascii="Arial" w:hAnsi="Arial" w:cs="Arial"/>
          <w:i/>
          <w:strike/>
          <w:sz w:val="18"/>
          <w:szCs w:val="18"/>
          <w:lang w:eastAsia="fr-FR"/>
        </w:rPr>
        <w:t>g)</w:t>
      </w:r>
      <w:r w:rsidRPr="00D403F5">
        <w:rPr>
          <w:rFonts w:ascii="Arial" w:hAnsi="Arial" w:cs="Arial"/>
          <w:sz w:val="18"/>
          <w:szCs w:val="18"/>
          <w:lang w:eastAsia="fr-FR"/>
        </w:rPr>
        <w:tab/>
      </w:r>
      <w:r w:rsidRPr="00D403F5">
        <w:rPr>
          <w:rFonts w:ascii="Arial" w:hAnsi="Arial" w:cs="Arial"/>
          <w:strike/>
          <w:sz w:val="18"/>
          <w:szCs w:val="18"/>
          <w:lang w:eastAsia="fr-FR"/>
        </w:rPr>
        <w:t>standard operating procedures required to support implementation of the mitigation measures, emergency procedures and the training requirements of personnel;</w:t>
      </w:r>
    </w:p>
    <w:p w14:paraId="0D091247"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u w:val="double"/>
          <w:lang w:eastAsia="fr-FR"/>
        </w:rPr>
        <w:t>g</w:t>
      </w:r>
      <w:r w:rsidRPr="00D403F5">
        <w:rPr>
          <w:rFonts w:ascii="Arial" w:hAnsi="Arial" w:cs="Arial"/>
          <w:i/>
          <w:strike/>
          <w:sz w:val="18"/>
          <w:szCs w:val="18"/>
          <w:lang w:eastAsia="fr-FR"/>
        </w:rPr>
        <w:t>h</w:t>
      </w:r>
      <w:r w:rsidRPr="00D403F5">
        <w:rPr>
          <w:rFonts w:ascii="Arial" w:hAnsi="Arial" w:cs="Arial"/>
          <w:i/>
          <w:sz w:val="18"/>
          <w:szCs w:val="18"/>
          <w:lang w:eastAsia="fr-FR"/>
        </w:rPr>
        <w:t>)</w:t>
      </w:r>
      <w:r w:rsidRPr="00D403F5">
        <w:rPr>
          <w:rFonts w:ascii="Arial" w:hAnsi="Arial" w:cs="Arial"/>
          <w:sz w:val="18"/>
          <w:szCs w:val="18"/>
          <w:lang w:eastAsia="fr-FR"/>
        </w:rPr>
        <w:tab/>
        <w:t xml:space="preserve">internal and external communication procedures, </w:t>
      </w:r>
      <w:r w:rsidRPr="00D403F5">
        <w:rPr>
          <w:rFonts w:ascii="Arial" w:hAnsi="Arial" w:cs="Arial"/>
          <w:strike/>
          <w:sz w:val="18"/>
          <w:szCs w:val="18"/>
          <w:highlight w:val="yellow"/>
          <w:lang w:eastAsia="fr-FR"/>
        </w:rPr>
        <w:t>and</w:t>
      </w:r>
      <w:r w:rsidRPr="00D403F5">
        <w:rPr>
          <w:rFonts w:ascii="Arial" w:hAnsi="Arial" w:cs="Arial"/>
          <w:sz w:val="18"/>
          <w:szCs w:val="18"/>
          <w:lang w:eastAsia="fr-FR"/>
        </w:rPr>
        <w:t xml:space="preserve"> roles and responsibilities of </w:t>
      </w:r>
      <w:r w:rsidRPr="00D403F5">
        <w:rPr>
          <w:rFonts w:ascii="Arial" w:hAnsi="Arial" w:cs="Arial"/>
          <w:strike/>
          <w:sz w:val="18"/>
          <w:szCs w:val="18"/>
          <w:highlight w:val="yellow"/>
          <w:lang w:eastAsia="fr-FR"/>
        </w:rPr>
        <w:t>personnel</w:t>
      </w:r>
      <w:r w:rsidRPr="00D403F5">
        <w:rPr>
          <w:rFonts w:ascii="Arial" w:hAnsi="Arial" w:cs="Arial"/>
          <w:sz w:val="18"/>
          <w:szCs w:val="18"/>
          <w:lang w:eastAsia="fr-FR"/>
        </w:rPr>
        <w:t xml:space="preserve"> </w:t>
      </w:r>
      <w:r w:rsidRPr="00D403F5">
        <w:rPr>
          <w:rFonts w:ascii="Arial" w:hAnsi="Arial" w:cs="Arial"/>
          <w:i/>
          <w:iCs/>
          <w:sz w:val="18"/>
          <w:szCs w:val="18"/>
          <w:highlight w:val="yellow"/>
          <w:u w:val="double"/>
          <w:lang w:eastAsia="fr-FR"/>
        </w:rPr>
        <w:t xml:space="preserve">aquaculture establishment </w:t>
      </w:r>
      <w:r w:rsidRPr="00D403F5">
        <w:rPr>
          <w:rFonts w:ascii="Arial" w:hAnsi="Arial" w:cs="Arial"/>
          <w:sz w:val="18"/>
          <w:szCs w:val="18"/>
          <w:highlight w:val="yellow"/>
          <w:u w:val="double"/>
          <w:lang w:eastAsia="fr-FR"/>
        </w:rPr>
        <w:t>staff</w:t>
      </w:r>
      <w:r w:rsidRPr="00D403F5">
        <w:rPr>
          <w:rFonts w:ascii="Arial" w:hAnsi="Arial" w:cs="Arial"/>
          <w:sz w:val="18"/>
          <w:szCs w:val="18"/>
          <w:lang w:eastAsia="fr-FR"/>
        </w:rPr>
        <w:t xml:space="preserve"> </w:t>
      </w:r>
      <w:r w:rsidRPr="00D403F5">
        <w:rPr>
          <w:rFonts w:ascii="Arial" w:hAnsi="Arial" w:cs="Arial"/>
          <w:sz w:val="18"/>
          <w:szCs w:val="18"/>
          <w:highlight w:val="yellow"/>
          <w:u w:val="double"/>
        </w:rPr>
        <w:t xml:space="preserve">and essential contact information, e.g. for </w:t>
      </w:r>
      <w:r w:rsidRPr="00D403F5">
        <w:rPr>
          <w:rFonts w:ascii="Arial" w:hAnsi="Arial" w:cs="Arial"/>
          <w:strike/>
          <w:sz w:val="18"/>
          <w:szCs w:val="18"/>
          <w:u w:val="double"/>
        </w:rPr>
        <w:t>personnel,</w:t>
      </w:r>
      <w:r w:rsidRPr="00D403F5">
        <w:rPr>
          <w:rFonts w:ascii="Arial" w:hAnsi="Arial" w:cs="Arial"/>
          <w:sz w:val="18"/>
          <w:szCs w:val="18"/>
          <w:highlight w:val="yellow"/>
          <w:u w:val="double"/>
        </w:rPr>
        <w:t xml:space="preserve">staff, farm </w:t>
      </w:r>
      <w:r w:rsidRPr="00D403F5">
        <w:rPr>
          <w:rFonts w:ascii="Arial" w:hAnsi="Arial" w:cs="Arial"/>
          <w:i/>
          <w:iCs/>
          <w:sz w:val="18"/>
          <w:szCs w:val="18"/>
          <w:highlight w:val="yellow"/>
          <w:u w:val="double"/>
        </w:rPr>
        <w:t>veterinarian</w:t>
      </w:r>
      <w:r w:rsidRPr="00D403F5">
        <w:rPr>
          <w:rFonts w:ascii="Arial" w:hAnsi="Arial" w:cs="Arial"/>
          <w:sz w:val="18"/>
          <w:szCs w:val="18"/>
          <w:highlight w:val="yellow"/>
          <w:u w:val="double"/>
        </w:rPr>
        <w:t xml:space="preserve"> and the </w:t>
      </w:r>
      <w:r w:rsidRPr="00D403F5">
        <w:rPr>
          <w:rFonts w:ascii="Arial" w:hAnsi="Arial" w:cs="Arial"/>
          <w:i/>
          <w:iCs/>
          <w:sz w:val="18"/>
          <w:szCs w:val="18"/>
          <w:highlight w:val="yellow"/>
          <w:u w:val="double"/>
        </w:rPr>
        <w:t>Competent Authority</w:t>
      </w:r>
      <w:r w:rsidRPr="00D403F5">
        <w:rPr>
          <w:rFonts w:ascii="Arial" w:hAnsi="Arial" w:cs="Arial"/>
          <w:sz w:val="18"/>
          <w:szCs w:val="18"/>
          <w:lang w:eastAsia="fr-FR"/>
        </w:rPr>
        <w:t>;</w:t>
      </w:r>
    </w:p>
    <w:p w14:paraId="300EE5FE" w14:textId="77777777" w:rsidR="007B3D5C" w:rsidRPr="00D403F5" w:rsidRDefault="007B3D5C" w:rsidP="00D403F5">
      <w:pPr>
        <w:spacing w:after="0"/>
        <w:ind w:left="851" w:hanging="425"/>
        <w:jc w:val="both"/>
        <w:rPr>
          <w:rFonts w:ascii="Arial" w:hAnsi="Arial" w:cs="Arial"/>
          <w:i/>
          <w:sz w:val="18"/>
          <w:szCs w:val="18"/>
          <w:u w:val="double"/>
          <w:lang w:eastAsia="fr-FR"/>
        </w:rPr>
      </w:pPr>
      <w:r w:rsidRPr="00D403F5">
        <w:rPr>
          <w:rFonts w:ascii="Arial" w:hAnsi="Arial" w:cs="Arial"/>
          <w:i/>
          <w:sz w:val="18"/>
          <w:szCs w:val="18"/>
          <w:u w:val="double"/>
          <w:lang w:eastAsia="fr-FR"/>
        </w:rPr>
        <w:br w:type="page"/>
      </w:r>
    </w:p>
    <w:p w14:paraId="4699FD97" w14:textId="77777777" w:rsidR="007B3D5C" w:rsidRPr="00D403F5" w:rsidRDefault="007B3D5C" w:rsidP="00804DF6">
      <w:pPr>
        <w:spacing w:after="480"/>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1CA26C2A"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u w:val="double"/>
          <w:lang w:eastAsia="fr-FR"/>
        </w:rPr>
        <w:t>h</w:t>
      </w:r>
      <w:r w:rsidRPr="00D403F5">
        <w:rPr>
          <w:rFonts w:ascii="Arial" w:hAnsi="Arial" w:cs="Arial"/>
          <w:i/>
          <w:strike/>
          <w:sz w:val="18"/>
          <w:szCs w:val="18"/>
          <w:lang w:eastAsia="fr-FR"/>
        </w:rPr>
        <w:t>i</w:t>
      </w:r>
      <w:r w:rsidRPr="00D403F5">
        <w:rPr>
          <w:rFonts w:ascii="Arial" w:hAnsi="Arial" w:cs="Arial"/>
          <w:i/>
          <w:sz w:val="18"/>
          <w:szCs w:val="18"/>
          <w:lang w:eastAsia="fr-FR"/>
        </w:rPr>
        <w:t>)</w:t>
      </w:r>
      <w:r w:rsidRPr="00D403F5">
        <w:rPr>
          <w:rFonts w:ascii="Arial" w:hAnsi="Arial" w:cs="Arial"/>
          <w:sz w:val="18"/>
          <w:szCs w:val="18"/>
          <w:lang w:eastAsia="fr-FR"/>
        </w:rPr>
        <w:tab/>
        <w:t>monitoring and audit schedule;</w:t>
      </w:r>
    </w:p>
    <w:p w14:paraId="1E1C46B9"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u w:val="double"/>
          <w:lang w:eastAsia="fr-FR"/>
        </w:rPr>
        <w:t>i</w:t>
      </w:r>
      <w:r w:rsidRPr="00D403F5">
        <w:rPr>
          <w:rFonts w:ascii="Arial" w:hAnsi="Arial" w:cs="Arial"/>
          <w:i/>
          <w:strike/>
          <w:sz w:val="18"/>
          <w:szCs w:val="18"/>
          <w:lang w:eastAsia="fr-FR"/>
        </w:rPr>
        <w:t>j</w:t>
      </w:r>
      <w:r w:rsidRPr="00D403F5">
        <w:rPr>
          <w:rFonts w:ascii="Arial" w:hAnsi="Arial" w:cs="Arial"/>
          <w:i/>
          <w:sz w:val="18"/>
          <w:szCs w:val="18"/>
          <w:lang w:eastAsia="fr-FR"/>
        </w:rPr>
        <w:t>)</w:t>
      </w:r>
      <w:r w:rsidRPr="00D403F5">
        <w:rPr>
          <w:rFonts w:ascii="Arial" w:hAnsi="Arial" w:cs="Arial"/>
          <w:sz w:val="18"/>
          <w:szCs w:val="18"/>
          <w:lang w:eastAsia="fr-FR"/>
        </w:rPr>
        <w:tab/>
        <w:t>performance evaluation;</w:t>
      </w:r>
    </w:p>
    <w:p w14:paraId="3DD1FB47" w14:textId="77777777" w:rsidR="007B3D5C" w:rsidRPr="00D403F5" w:rsidRDefault="007B3D5C" w:rsidP="00D403F5">
      <w:pPr>
        <w:spacing w:after="0"/>
        <w:ind w:left="851" w:hanging="425"/>
        <w:jc w:val="both"/>
        <w:rPr>
          <w:rFonts w:ascii="Arial" w:hAnsi="Arial" w:cs="Arial"/>
          <w:sz w:val="18"/>
          <w:szCs w:val="18"/>
          <w:u w:val="double"/>
          <w:lang w:eastAsia="fr-FR"/>
        </w:rPr>
      </w:pPr>
      <w:r w:rsidRPr="00D403F5">
        <w:rPr>
          <w:rFonts w:ascii="Arial" w:hAnsi="Arial" w:cs="Arial"/>
          <w:i/>
          <w:sz w:val="18"/>
          <w:szCs w:val="18"/>
          <w:u w:val="double"/>
          <w:lang w:eastAsia="fr-FR"/>
        </w:rPr>
        <w:t>j)</w:t>
      </w:r>
      <w:r w:rsidRPr="00D403F5">
        <w:rPr>
          <w:rFonts w:ascii="Arial" w:hAnsi="Arial" w:cs="Arial"/>
          <w:sz w:val="18"/>
          <w:szCs w:val="18"/>
          <w:lang w:eastAsia="fr-FR"/>
        </w:rPr>
        <w:tab/>
      </w:r>
      <w:r w:rsidRPr="00D403F5">
        <w:rPr>
          <w:rFonts w:ascii="Arial" w:hAnsi="Arial" w:cs="Arial"/>
          <w:sz w:val="18"/>
          <w:szCs w:val="18"/>
          <w:u w:val="double"/>
          <w:lang w:eastAsia="fr-FR"/>
        </w:rPr>
        <w:t xml:space="preserve">standard operating procedures required to support </w:t>
      </w:r>
      <w:r w:rsidRPr="00D403F5">
        <w:rPr>
          <w:rFonts w:ascii="Arial" w:hAnsi="Arial" w:cs="Arial"/>
          <w:strike/>
          <w:sz w:val="18"/>
          <w:szCs w:val="18"/>
          <w:highlight w:val="yellow"/>
          <w:u w:val="double"/>
          <w:lang w:eastAsia="fr-FR"/>
        </w:rPr>
        <w:t>all</w:t>
      </w:r>
      <w:r w:rsidRPr="00D403F5">
        <w:rPr>
          <w:rFonts w:ascii="Arial" w:hAnsi="Arial" w:cs="Arial"/>
          <w:sz w:val="18"/>
          <w:szCs w:val="18"/>
          <w:u w:val="double"/>
          <w:lang w:eastAsia="fr-FR"/>
        </w:rPr>
        <w:t xml:space="preserve"> implementation of the mitigation measures, emergency procedures and the training requirements of personnel.</w:t>
      </w:r>
    </w:p>
    <w:p w14:paraId="3BA1A4FD" w14:textId="77777777" w:rsidR="007B3D5C" w:rsidRPr="00D403F5" w:rsidRDefault="007B3D5C" w:rsidP="00D403F5">
      <w:pPr>
        <w:spacing w:after="0"/>
        <w:ind w:left="426" w:hanging="426"/>
        <w:jc w:val="both"/>
        <w:rPr>
          <w:rFonts w:ascii="Arial" w:hAnsi="Arial" w:cs="Arial"/>
          <w:sz w:val="18"/>
          <w:szCs w:val="18"/>
          <w:lang w:eastAsia="fr-FR"/>
        </w:rPr>
      </w:pPr>
      <w:r w:rsidRPr="00D403F5">
        <w:rPr>
          <w:rFonts w:ascii="Arial" w:hAnsi="Arial" w:cs="Arial"/>
          <w:sz w:val="18"/>
          <w:szCs w:val="18"/>
          <w:lang w:eastAsia="fr-FR"/>
        </w:rPr>
        <w:t>2.</w:t>
      </w:r>
      <w:r w:rsidRPr="00D403F5">
        <w:rPr>
          <w:rFonts w:ascii="Arial" w:hAnsi="Arial" w:cs="Arial"/>
          <w:sz w:val="18"/>
          <w:szCs w:val="18"/>
          <w:lang w:eastAsia="fr-FR"/>
        </w:rPr>
        <w:tab/>
      </w:r>
      <w:r w:rsidRPr="00D403F5">
        <w:rPr>
          <w:rFonts w:ascii="Arial" w:hAnsi="Arial" w:cs="Arial"/>
          <w:sz w:val="18"/>
          <w:szCs w:val="18"/>
          <w:u w:val="single"/>
          <w:lang w:eastAsia="fr-FR"/>
        </w:rPr>
        <w:t>Key components of a biosecurity plan</w:t>
      </w:r>
    </w:p>
    <w:p w14:paraId="434361B7" w14:textId="77777777" w:rsidR="007B3D5C" w:rsidRPr="00D403F5" w:rsidRDefault="007B3D5C" w:rsidP="00D403F5">
      <w:pPr>
        <w:spacing w:after="0"/>
        <w:ind w:left="851" w:hanging="425"/>
        <w:jc w:val="both"/>
        <w:rPr>
          <w:rFonts w:ascii="Arial" w:hAnsi="Arial" w:cs="Arial"/>
          <w:sz w:val="18"/>
          <w:szCs w:val="18"/>
          <w:lang w:eastAsia="fr-FR"/>
        </w:rPr>
      </w:pPr>
      <w:r w:rsidRPr="00D403F5">
        <w:rPr>
          <w:rFonts w:ascii="Arial" w:hAnsi="Arial" w:cs="Arial"/>
          <w:i/>
          <w:sz w:val="18"/>
          <w:szCs w:val="18"/>
          <w:lang w:eastAsia="fr-FR"/>
        </w:rPr>
        <w:t>a)</w:t>
      </w:r>
      <w:r w:rsidRPr="00D403F5">
        <w:rPr>
          <w:rFonts w:ascii="Arial" w:hAnsi="Arial" w:cs="Arial"/>
          <w:sz w:val="18"/>
          <w:szCs w:val="18"/>
          <w:lang w:eastAsia="fr-FR"/>
        </w:rPr>
        <w:tab/>
        <w:t xml:space="preserve">Standard operating procedures (SOPs) </w:t>
      </w:r>
    </w:p>
    <w:p w14:paraId="0B08813A"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SOPs describe routine management processes that must be performed to support the effectiveness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Each SOP should clearly describe its objectives, staff responsibilities, the procedure (including record keeping), precautions and a review date. </w:t>
      </w:r>
    </w:p>
    <w:p w14:paraId="60523615"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Staff should be trained in the application of the SOPs including completion of forms, checklists and other records associated with each procedure, as well as routine communication requirements. </w:t>
      </w:r>
    </w:p>
    <w:p w14:paraId="4CF19D51" w14:textId="77777777" w:rsidR="007B3D5C" w:rsidRPr="00D403F5" w:rsidRDefault="007B3D5C" w:rsidP="00D403F5">
      <w:pPr>
        <w:spacing w:after="0"/>
        <w:ind w:left="851" w:hanging="401"/>
        <w:jc w:val="both"/>
        <w:rPr>
          <w:rFonts w:ascii="Arial" w:hAnsi="Arial" w:cs="Arial"/>
          <w:sz w:val="18"/>
          <w:szCs w:val="18"/>
          <w:lang w:eastAsia="fr-FR"/>
        </w:rPr>
      </w:pPr>
      <w:r w:rsidRPr="00D403F5">
        <w:rPr>
          <w:rFonts w:ascii="Arial" w:hAnsi="Arial" w:cs="Arial"/>
          <w:i/>
          <w:sz w:val="18"/>
          <w:szCs w:val="18"/>
          <w:lang w:eastAsia="fr-FR"/>
        </w:rPr>
        <w:t>b)</w:t>
      </w:r>
      <w:r w:rsidRPr="00D403F5">
        <w:rPr>
          <w:rFonts w:ascii="Arial" w:hAnsi="Arial" w:cs="Arial"/>
          <w:sz w:val="18"/>
          <w:szCs w:val="18"/>
          <w:lang w:eastAsia="fr-FR"/>
        </w:rPr>
        <w:tab/>
        <w:t>Documentation and record keeping</w:t>
      </w:r>
    </w:p>
    <w:p w14:paraId="6C2D1686"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describes </w:t>
      </w:r>
      <w:r w:rsidRPr="00D403F5">
        <w:rPr>
          <w:rFonts w:ascii="Arial" w:hAnsi="Arial" w:cs="Arial"/>
          <w:sz w:val="18"/>
          <w:szCs w:val="18"/>
          <w:highlight w:val="yellow"/>
          <w:u w:val="double"/>
          <w:lang w:eastAsia="fr-FR"/>
        </w:rPr>
        <w:t>the</w:t>
      </w:r>
      <w:r w:rsidRPr="00D403F5">
        <w:rPr>
          <w:rFonts w:ascii="Arial" w:hAnsi="Arial" w:cs="Arial"/>
          <w:sz w:val="18"/>
          <w:szCs w:val="18"/>
          <w:lang w:eastAsia="fr-FR"/>
        </w:rPr>
        <w:t xml:space="preserve"> documentation necessary to provide evidence of compliance with the mitigation measures. The level of detail required in the documentation depends on the outcomes of the transmission pathway assessment. </w:t>
      </w:r>
    </w:p>
    <w:p w14:paraId="18C5F450"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Examples of documentation required </w:t>
      </w:r>
      <w:r w:rsidRPr="00D403F5">
        <w:rPr>
          <w:rFonts w:ascii="Arial" w:hAnsi="Arial" w:cs="Arial"/>
          <w:strike/>
          <w:sz w:val="18"/>
          <w:szCs w:val="18"/>
          <w:highlight w:val="yellow"/>
          <w:lang w:eastAsia="fr-FR"/>
        </w:rPr>
        <w:t>may</w:t>
      </w:r>
      <w:r w:rsidRPr="00D403F5">
        <w:rPr>
          <w:rFonts w:ascii="Arial" w:hAnsi="Arial" w:cs="Arial"/>
          <w:sz w:val="18"/>
          <w:szCs w:val="18"/>
          <w:lang w:eastAsia="fr-FR"/>
        </w:rPr>
        <w:t xml:space="preserve"> include: </w:t>
      </w:r>
      <w:r w:rsidRPr="00D403F5">
        <w:rPr>
          <w:rFonts w:ascii="Arial" w:hAnsi="Arial" w:cs="Arial"/>
          <w:i/>
          <w:sz w:val="18"/>
          <w:szCs w:val="18"/>
          <w:lang w:eastAsia="fr-FR"/>
        </w:rPr>
        <w:t>aquaculture establishment</w:t>
      </w:r>
      <w:r w:rsidRPr="00D403F5">
        <w:rPr>
          <w:rFonts w:ascii="Arial" w:hAnsi="Arial" w:cs="Arial"/>
          <w:sz w:val="18"/>
          <w:szCs w:val="18"/>
          <w:lang w:eastAsia="fr-FR"/>
        </w:rPr>
        <w:t xml:space="preserve"> layout, movements of </w:t>
      </w:r>
      <w:r w:rsidRPr="00D403F5">
        <w:rPr>
          <w:rFonts w:ascii="Arial" w:hAnsi="Arial" w:cs="Arial"/>
          <w:i/>
          <w:sz w:val="18"/>
          <w:szCs w:val="18"/>
          <w:lang w:eastAsia="fr-FR"/>
        </w:rPr>
        <w:t>aquatic animals</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w:t>
      </w:r>
      <w:r w:rsidRPr="00D403F5">
        <w:rPr>
          <w:rFonts w:ascii="Arial" w:hAnsi="Arial" w:cs="Arial"/>
          <w:strike/>
          <w:sz w:val="18"/>
          <w:szCs w:val="18"/>
          <w:lang w:eastAsia="fr-FR"/>
        </w:rPr>
        <w:t>escapees</w:t>
      </w:r>
      <w:r w:rsidRPr="00D403F5">
        <w:rPr>
          <w:rFonts w:ascii="Arial" w:eastAsia="SimSun" w:hAnsi="Arial" w:cs="Arial" w:hint="eastAsia"/>
          <w:strike/>
          <w:sz w:val="18"/>
          <w:szCs w:val="18"/>
          <w:lang w:eastAsia="zh-CN"/>
        </w:rPr>
        <w:t>,</w:t>
      </w:r>
      <w:r w:rsidRPr="00D403F5">
        <w:rPr>
          <w:rFonts w:ascii="Arial" w:hAnsi="Arial" w:cs="Arial"/>
          <w:sz w:val="18"/>
          <w:szCs w:val="18"/>
          <w:lang w:eastAsia="fr-FR"/>
        </w:rPr>
        <w:t xml:space="preserve"> origin</w:t>
      </w:r>
      <w:r w:rsidRPr="00D403F5">
        <w:rPr>
          <w:rFonts w:ascii="Arial" w:hAnsi="Arial" w:cs="Arial"/>
          <w:sz w:val="18"/>
          <w:szCs w:val="18"/>
          <w:u w:val="double"/>
          <w:lang w:eastAsia="fr-FR"/>
        </w:rPr>
        <w:t xml:space="preserve"> and destination</w:t>
      </w:r>
      <w:r w:rsidRPr="00D403F5">
        <w:rPr>
          <w:rFonts w:ascii="Arial" w:hAnsi="Arial" w:cs="Arial"/>
          <w:sz w:val="18"/>
          <w:szCs w:val="18"/>
          <w:lang w:eastAsia="fr-FR"/>
        </w:rPr>
        <w:t xml:space="preserve"> and health status of the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introduced to the </w:t>
      </w:r>
      <w:r w:rsidRPr="00D403F5">
        <w:rPr>
          <w:rFonts w:ascii="Arial" w:hAnsi="Arial" w:cs="Arial"/>
          <w:i/>
          <w:sz w:val="18"/>
          <w:szCs w:val="18"/>
          <w:lang w:eastAsia="fr-FR"/>
        </w:rPr>
        <w:t>aquaculture establishment</w:t>
      </w:r>
      <w:r w:rsidRPr="00D403F5">
        <w:rPr>
          <w:rFonts w:ascii="Arial" w:eastAsia="SimSun" w:hAnsi="Arial" w:cs="Arial" w:hint="eastAsia"/>
          <w:sz w:val="18"/>
          <w:szCs w:val="18"/>
          <w:lang w:eastAsia="zh-CN"/>
        </w:rPr>
        <w:t>,</w:t>
      </w:r>
      <w:r w:rsidRPr="00D403F5">
        <w:rPr>
          <w:rFonts w:ascii="Arial" w:eastAsia="SimSun" w:hAnsi="Arial" w:cs="Arial"/>
          <w:sz w:val="18"/>
          <w:szCs w:val="18"/>
          <w:lang w:eastAsia="zh-CN"/>
        </w:rPr>
        <w:t xml:space="preserve"> </w:t>
      </w:r>
      <w:r w:rsidRPr="00D403F5">
        <w:rPr>
          <w:rFonts w:ascii="Arial" w:eastAsia="SimSun" w:hAnsi="Arial" w:cs="Arial"/>
          <w:sz w:val="18"/>
          <w:szCs w:val="18"/>
          <w:highlight w:val="yellow"/>
          <w:u w:val="double"/>
          <w:lang w:eastAsia="zh-CN"/>
        </w:rPr>
        <w:t>records of</w:t>
      </w:r>
      <w:r w:rsidRPr="00D403F5">
        <w:rPr>
          <w:rFonts w:ascii="Arial" w:eastAsia="SimSun" w:hAnsi="Arial" w:cs="Arial"/>
          <w:sz w:val="18"/>
          <w:szCs w:val="18"/>
          <w:lang w:eastAsia="zh-CN"/>
        </w:rPr>
        <w:t xml:space="preserve"> </w:t>
      </w:r>
      <w:r w:rsidRPr="00D403F5">
        <w:rPr>
          <w:rFonts w:ascii="Arial" w:eastAsia="SimSun" w:hAnsi="Arial" w:cs="Arial"/>
          <w:sz w:val="18"/>
          <w:szCs w:val="18"/>
          <w:u w:val="double"/>
          <w:lang w:eastAsia="zh-CN"/>
        </w:rPr>
        <w:t>visitors to the establishment,</w:t>
      </w:r>
      <w:r w:rsidRPr="00D403F5">
        <w:rPr>
          <w:rFonts w:ascii="Arial" w:hAnsi="Arial" w:cs="Arial"/>
          <w:sz w:val="18"/>
          <w:szCs w:val="18"/>
          <w:lang w:eastAsia="fr-FR"/>
        </w:rPr>
        <w:t xml:space="preserve"> </w:t>
      </w:r>
      <w:r w:rsidRPr="00D403F5">
        <w:rPr>
          <w:rFonts w:ascii="Arial" w:hAnsi="Arial" w:cs="Arial"/>
          <w:sz w:val="18"/>
          <w:szCs w:val="18"/>
          <w:u w:val="double"/>
          <w:lang w:eastAsia="fr-FR"/>
        </w:rPr>
        <w:t>escapees,</w:t>
      </w:r>
      <w:r w:rsidRPr="00D403F5">
        <w:rPr>
          <w:rFonts w:ascii="Arial" w:hAnsi="Arial" w:cs="Arial"/>
          <w:sz w:val="18"/>
          <w:szCs w:val="18"/>
          <w:lang w:eastAsia="fr-FR"/>
        </w:rPr>
        <w:t xml:space="preserve"> stocking densities</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feeding and growth rates, records of staff training</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treatments/vaccination</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water quality</w:t>
      </w:r>
      <w:r w:rsidRPr="00D403F5">
        <w:rPr>
          <w:rFonts w:ascii="Arial" w:eastAsia="SimSun" w:hAnsi="Arial" w:cs="Arial" w:hint="eastAsia"/>
          <w:sz w:val="18"/>
          <w:szCs w:val="18"/>
          <w:lang w:eastAsia="zh-CN"/>
        </w:rPr>
        <w:t>,</w:t>
      </w:r>
      <w:r w:rsidRPr="00D403F5">
        <w:rPr>
          <w:rFonts w:ascii="Arial" w:hAnsi="Arial" w:cs="Arial"/>
          <w:sz w:val="18"/>
          <w:szCs w:val="18"/>
          <w:lang w:eastAsia="fr-FR"/>
        </w:rPr>
        <w:t xml:space="preserve"> </w:t>
      </w:r>
      <w:r w:rsidRPr="00D403F5">
        <w:rPr>
          <w:rFonts w:ascii="Arial" w:hAnsi="Arial" w:cs="Arial"/>
          <w:sz w:val="18"/>
          <w:szCs w:val="18"/>
          <w:u w:val="double"/>
          <w:lang w:eastAsia="fr-FR"/>
        </w:rPr>
        <w:t xml:space="preserve">cleaning and </w:t>
      </w:r>
      <w:r w:rsidRPr="00D403F5">
        <w:rPr>
          <w:rFonts w:ascii="Arial" w:hAnsi="Arial" w:cs="Arial"/>
          <w:i/>
          <w:sz w:val="18"/>
          <w:szCs w:val="18"/>
          <w:u w:val="double"/>
          <w:lang w:eastAsia="fr-FR"/>
        </w:rPr>
        <w:t>disinfection</w:t>
      </w:r>
      <w:r w:rsidRPr="00D403F5">
        <w:rPr>
          <w:rFonts w:ascii="Arial" w:hAnsi="Arial" w:cs="Arial"/>
          <w:sz w:val="18"/>
          <w:szCs w:val="18"/>
          <w:u w:val="double"/>
          <w:lang w:eastAsia="fr-FR"/>
        </w:rPr>
        <w:t xml:space="preserve"> events, </w:t>
      </w:r>
      <w:r w:rsidRPr="00D403F5">
        <w:rPr>
          <w:rFonts w:ascii="Arial" w:hAnsi="Arial" w:cs="Arial"/>
          <w:sz w:val="18"/>
          <w:szCs w:val="18"/>
          <w:lang w:eastAsia="fr-FR"/>
        </w:rPr>
        <w:t xml:space="preserve">morbidity and mortality </w:t>
      </w:r>
      <w:r w:rsidRPr="00D403F5">
        <w:rPr>
          <w:rFonts w:ascii="Arial" w:hAnsi="Arial" w:cs="Arial"/>
          <w:sz w:val="18"/>
          <w:szCs w:val="18"/>
          <w:u w:val="double"/>
          <w:lang w:eastAsia="fr-FR"/>
        </w:rPr>
        <w:t>(including removal and disposal of mortalities)</w:t>
      </w:r>
      <w:r w:rsidRPr="00D403F5">
        <w:rPr>
          <w:rFonts w:ascii="Arial" w:eastAsia="SimSun" w:hAnsi="Arial" w:cs="Arial" w:hint="eastAsia"/>
          <w:sz w:val="18"/>
          <w:szCs w:val="18"/>
          <w:u w:val="double"/>
          <w:lang w:eastAsia="zh-CN"/>
        </w:rPr>
        <w:t>,</w:t>
      </w:r>
      <w:r w:rsidRPr="00D403F5">
        <w:rPr>
          <w:rFonts w:ascii="Arial" w:hAnsi="Arial" w:cs="Arial"/>
          <w:sz w:val="18"/>
          <w:szCs w:val="18"/>
          <w:lang w:eastAsia="fr-FR"/>
        </w:rPr>
        <w:t xml:space="preserve"> </w:t>
      </w:r>
      <w:r w:rsidRPr="00D403F5">
        <w:rPr>
          <w:rFonts w:ascii="Arial" w:hAnsi="Arial" w:cs="Arial"/>
          <w:i/>
          <w:sz w:val="18"/>
          <w:szCs w:val="18"/>
          <w:lang w:eastAsia="fr-FR"/>
        </w:rPr>
        <w:t>surveillance</w:t>
      </w:r>
      <w:r w:rsidRPr="00D403F5">
        <w:rPr>
          <w:rFonts w:ascii="Arial" w:hAnsi="Arial" w:cs="Arial"/>
          <w:sz w:val="18"/>
          <w:szCs w:val="18"/>
          <w:lang w:eastAsia="fr-FR"/>
        </w:rPr>
        <w:t xml:space="preserve"> and laboratory records. </w:t>
      </w:r>
    </w:p>
    <w:p w14:paraId="7D3A6E9C" w14:textId="77777777" w:rsidR="007B3D5C" w:rsidRPr="00D403F5" w:rsidRDefault="007B3D5C" w:rsidP="00D403F5">
      <w:pPr>
        <w:spacing w:after="0"/>
        <w:ind w:left="851" w:hanging="401"/>
        <w:jc w:val="both"/>
        <w:rPr>
          <w:rFonts w:ascii="Arial" w:hAnsi="Arial" w:cs="Arial"/>
          <w:sz w:val="18"/>
          <w:szCs w:val="18"/>
          <w:lang w:eastAsia="fr-FR"/>
        </w:rPr>
      </w:pPr>
      <w:r w:rsidRPr="00D403F5">
        <w:rPr>
          <w:rFonts w:ascii="Arial" w:hAnsi="Arial" w:cs="Arial"/>
          <w:i/>
          <w:sz w:val="18"/>
          <w:szCs w:val="18"/>
          <w:lang w:eastAsia="fr-FR"/>
        </w:rPr>
        <w:t>c)</w:t>
      </w:r>
      <w:r w:rsidRPr="00D403F5">
        <w:rPr>
          <w:rFonts w:ascii="Arial" w:hAnsi="Arial" w:cs="Arial"/>
          <w:sz w:val="18"/>
          <w:szCs w:val="18"/>
          <w:lang w:eastAsia="fr-FR"/>
        </w:rPr>
        <w:tab/>
        <w:t>Emergency procedures</w:t>
      </w:r>
    </w:p>
    <w:p w14:paraId="45B256CD"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Procedures should be developed and, when necessary, implemented to minimise the impact of emergencies, </w:t>
      </w:r>
      <w:r w:rsidRPr="00D403F5">
        <w:rPr>
          <w:rFonts w:ascii="Arial" w:hAnsi="Arial" w:cs="Arial"/>
          <w:i/>
          <w:sz w:val="18"/>
          <w:szCs w:val="18"/>
          <w:lang w:eastAsia="fr-FR"/>
        </w:rPr>
        <w:t>disease</w:t>
      </w:r>
      <w:r w:rsidRPr="00D403F5">
        <w:rPr>
          <w:rFonts w:ascii="Arial" w:hAnsi="Arial" w:cs="Arial"/>
          <w:sz w:val="18"/>
          <w:szCs w:val="18"/>
          <w:lang w:eastAsia="fr-FR"/>
        </w:rPr>
        <w:t xml:space="preserve"> events, or unexplained mortality in </w:t>
      </w:r>
      <w:r w:rsidRPr="00D403F5">
        <w:rPr>
          <w:rFonts w:ascii="Arial" w:hAnsi="Arial" w:cs="Arial"/>
          <w:i/>
          <w:sz w:val="18"/>
          <w:szCs w:val="18"/>
          <w:lang w:eastAsia="fr-FR"/>
        </w:rPr>
        <w:t>aquatic animals</w:t>
      </w:r>
      <w:r w:rsidRPr="00D403F5">
        <w:rPr>
          <w:rFonts w:ascii="Arial" w:hAnsi="Arial" w:cs="Arial"/>
          <w:sz w:val="18"/>
          <w:szCs w:val="18"/>
          <w:lang w:eastAsia="fr-FR"/>
        </w:rPr>
        <w:t xml:space="preserve">. These procedures should include clearly defined thresholds that help to identify an emergency incident and activate response protocols, including reporting requirements. </w:t>
      </w:r>
    </w:p>
    <w:p w14:paraId="65B8C12D" w14:textId="77777777" w:rsidR="007B3D5C" w:rsidRPr="00D403F5" w:rsidRDefault="007B3D5C" w:rsidP="00D403F5">
      <w:pPr>
        <w:spacing w:after="0"/>
        <w:ind w:left="851" w:hanging="401"/>
        <w:jc w:val="both"/>
        <w:rPr>
          <w:rFonts w:ascii="Arial" w:hAnsi="Arial" w:cs="Arial"/>
          <w:sz w:val="18"/>
          <w:szCs w:val="18"/>
          <w:lang w:eastAsia="fr-FR"/>
        </w:rPr>
      </w:pPr>
      <w:r w:rsidRPr="00D403F5">
        <w:rPr>
          <w:rFonts w:ascii="Arial" w:hAnsi="Arial" w:cs="Arial"/>
          <w:i/>
          <w:sz w:val="18"/>
          <w:szCs w:val="18"/>
          <w:lang w:eastAsia="fr-FR"/>
        </w:rPr>
        <w:t>d)</w:t>
      </w:r>
      <w:r w:rsidRPr="00D403F5">
        <w:rPr>
          <w:rFonts w:ascii="Arial" w:hAnsi="Arial" w:cs="Arial"/>
          <w:i/>
          <w:sz w:val="18"/>
          <w:szCs w:val="18"/>
          <w:lang w:eastAsia="fr-FR"/>
        </w:rPr>
        <w:tab/>
      </w:r>
      <w:r w:rsidRPr="00D403F5">
        <w:rPr>
          <w:rFonts w:ascii="Arial" w:hAnsi="Arial" w:cs="Arial"/>
          <w:sz w:val="18"/>
          <w:szCs w:val="18"/>
          <w:lang w:eastAsia="fr-FR"/>
        </w:rPr>
        <w:t>Health monitoring</w:t>
      </w:r>
    </w:p>
    <w:p w14:paraId="7BD7B8DB"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Health monitoring as part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involves monitoring of the health status of </w:t>
      </w:r>
      <w:r w:rsidRPr="00D403F5">
        <w:rPr>
          <w:rFonts w:ascii="Arial" w:hAnsi="Arial" w:cs="Arial"/>
          <w:i/>
          <w:sz w:val="18"/>
          <w:szCs w:val="18"/>
          <w:lang w:eastAsia="fr-FR"/>
        </w:rPr>
        <w:t>aquatic animals</w:t>
      </w:r>
      <w:r w:rsidRPr="00D403F5">
        <w:rPr>
          <w:rFonts w:ascii="Arial" w:eastAsia="SimSun" w:hAnsi="Arial" w:cs="Arial" w:hint="eastAsia"/>
          <w:i/>
          <w:sz w:val="18"/>
          <w:szCs w:val="18"/>
          <w:lang w:eastAsia="zh-CN"/>
        </w:rPr>
        <w:t xml:space="preserve"> </w:t>
      </w:r>
      <w:r w:rsidRPr="00D403F5">
        <w:rPr>
          <w:rFonts w:ascii="Arial" w:hAnsi="Arial" w:cs="Arial"/>
          <w:sz w:val="18"/>
          <w:szCs w:val="18"/>
          <w:lang w:eastAsia="fr-FR"/>
        </w:rPr>
        <w:t xml:space="preserve">in </w:t>
      </w:r>
      <w:r w:rsidRPr="00D403F5">
        <w:rPr>
          <w:rFonts w:ascii="Arial" w:hAnsi="Arial" w:cs="Arial"/>
          <w:i/>
          <w:sz w:val="18"/>
          <w:szCs w:val="18"/>
          <w:lang w:eastAsia="fr-FR"/>
        </w:rPr>
        <w:t>aquaculture establishments</w:t>
      </w:r>
      <w:r w:rsidRPr="00D403F5">
        <w:rPr>
          <w:rFonts w:ascii="Arial" w:hAnsi="Arial" w:cs="Arial"/>
          <w:sz w:val="18"/>
          <w:szCs w:val="18"/>
          <w:lang w:eastAsia="fr-FR"/>
        </w:rPr>
        <w:t xml:space="preserve">. Activities may include </w:t>
      </w:r>
      <w:r w:rsidRPr="00D403F5">
        <w:rPr>
          <w:rFonts w:ascii="Arial" w:hAnsi="Arial" w:cs="Arial"/>
          <w:i/>
          <w:sz w:val="18"/>
          <w:szCs w:val="18"/>
          <w:lang w:eastAsia="fr-FR"/>
        </w:rPr>
        <w:t>disease</w:t>
      </w:r>
      <w:r w:rsidRPr="00D403F5">
        <w:rPr>
          <w:rFonts w:ascii="Arial" w:eastAsia="SimSun" w:hAnsi="Arial" w:cs="Arial" w:hint="eastAsia"/>
          <w:i/>
          <w:sz w:val="18"/>
          <w:szCs w:val="18"/>
          <w:lang w:eastAsia="zh-CN"/>
        </w:rPr>
        <w:t xml:space="preserve"> </w:t>
      </w:r>
      <w:r w:rsidRPr="00D403F5">
        <w:rPr>
          <w:rFonts w:ascii="Arial" w:hAnsi="Arial" w:cs="Arial"/>
          <w:i/>
          <w:sz w:val="18"/>
          <w:szCs w:val="18"/>
          <w:lang w:eastAsia="fr-FR"/>
        </w:rPr>
        <w:t>surveillance</w:t>
      </w:r>
      <w:r w:rsidRPr="00D403F5">
        <w:rPr>
          <w:rFonts w:ascii="Arial" w:hAnsi="Arial" w:cs="Arial"/>
          <w:sz w:val="18"/>
          <w:szCs w:val="18"/>
          <w:lang w:eastAsia="fr-FR"/>
        </w:rPr>
        <w:t xml:space="preserve">, routine monitoring of stock for important health and production parameters </w:t>
      </w:r>
      <w:r w:rsidRPr="00D403F5">
        <w:rPr>
          <w:rFonts w:ascii="Arial" w:hAnsi="Arial" w:cs="Arial"/>
          <w:sz w:val="18"/>
          <w:szCs w:val="18"/>
          <w:u w:val="double"/>
          <w:lang w:eastAsia="fr-FR"/>
        </w:rPr>
        <w:t xml:space="preserve">(e.g. by staff, an </w:t>
      </w:r>
      <w:r w:rsidRPr="00D403F5">
        <w:rPr>
          <w:rFonts w:ascii="Arial" w:hAnsi="Arial" w:cs="Arial"/>
          <w:i/>
          <w:sz w:val="18"/>
          <w:szCs w:val="18"/>
          <w:u w:val="double"/>
          <w:lang w:eastAsia="fr-FR"/>
        </w:rPr>
        <w:t>aquatic animal health professional</w:t>
      </w:r>
      <w:r w:rsidRPr="00D403F5">
        <w:rPr>
          <w:rFonts w:ascii="Arial" w:hAnsi="Arial" w:cs="Arial"/>
          <w:sz w:val="18"/>
          <w:szCs w:val="18"/>
          <w:u w:val="double"/>
          <w:lang w:eastAsia="fr-FR"/>
        </w:rPr>
        <w:t xml:space="preserve"> or a </w:t>
      </w:r>
      <w:r w:rsidRPr="00D403F5">
        <w:rPr>
          <w:rFonts w:ascii="Arial" w:hAnsi="Arial" w:cs="Arial"/>
          <w:i/>
          <w:sz w:val="18"/>
          <w:szCs w:val="18"/>
          <w:u w:val="double"/>
          <w:lang w:eastAsia="fr-FR"/>
        </w:rPr>
        <w:t>veterinarian</w:t>
      </w:r>
      <w:r w:rsidRPr="00D403F5">
        <w:rPr>
          <w:rFonts w:ascii="Arial" w:hAnsi="Arial" w:cs="Arial"/>
          <w:sz w:val="18"/>
          <w:szCs w:val="18"/>
          <w:u w:val="double"/>
          <w:lang w:eastAsia="fr-FR"/>
        </w:rPr>
        <w:t>)</w:t>
      </w:r>
      <w:r w:rsidRPr="00D403F5">
        <w:rPr>
          <w:rFonts w:ascii="Arial" w:hAnsi="Arial" w:cs="Arial"/>
          <w:sz w:val="18"/>
          <w:szCs w:val="18"/>
          <w:lang w:eastAsia="fr-FR"/>
        </w:rPr>
        <w:t xml:space="preserve">, recording of clinical signs of </w:t>
      </w:r>
      <w:r w:rsidRPr="00D403F5">
        <w:rPr>
          <w:rFonts w:ascii="Arial" w:hAnsi="Arial" w:cs="Arial"/>
          <w:i/>
          <w:sz w:val="18"/>
          <w:szCs w:val="18"/>
          <w:lang w:eastAsia="fr-FR"/>
        </w:rPr>
        <w:t>disease</w:t>
      </w:r>
      <w:r w:rsidRPr="00D403F5">
        <w:rPr>
          <w:rFonts w:ascii="Arial" w:hAnsi="Arial" w:cs="Arial"/>
          <w:sz w:val="18"/>
          <w:szCs w:val="18"/>
          <w:lang w:eastAsia="fr-FR"/>
        </w:rPr>
        <w:t xml:space="preserve">, morbidity and mortality, and analysis of these data (e.g. calculation of </w:t>
      </w:r>
      <w:r w:rsidRPr="00D403F5">
        <w:rPr>
          <w:rFonts w:ascii="Arial" w:hAnsi="Arial" w:cs="Arial"/>
          <w:sz w:val="18"/>
          <w:szCs w:val="18"/>
          <w:u w:val="double"/>
          <w:lang w:eastAsia="fr-FR"/>
        </w:rPr>
        <w:t>rates of</w:t>
      </w:r>
      <w:r w:rsidRPr="00D403F5">
        <w:rPr>
          <w:rFonts w:ascii="Arial" w:hAnsi="Arial" w:cs="Arial"/>
          <w:sz w:val="18"/>
          <w:szCs w:val="18"/>
          <w:lang w:eastAsia="fr-FR"/>
        </w:rPr>
        <w:t xml:space="preserve"> </w:t>
      </w:r>
      <w:r w:rsidRPr="00D403F5">
        <w:rPr>
          <w:rFonts w:ascii="Arial" w:hAnsi="Arial" w:cs="Arial"/>
          <w:sz w:val="18"/>
          <w:szCs w:val="18"/>
          <w:u w:val="double"/>
          <w:lang w:eastAsia="fr-FR"/>
        </w:rPr>
        <w:t>morbidity</w:t>
      </w:r>
      <w:r w:rsidRPr="00D403F5">
        <w:rPr>
          <w:rFonts w:ascii="Arial" w:hAnsi="Arial" w:cs="Arial"/>
          <w:sz w:val="18"/>
          <w:szCs w:val="18"/>
          <w:lang w:eastAsia="fr-FR"/>
        </w:rPr>
        <w:t xml:space="preserve"> </w:t>
      </w:r>
      <w:r w:rsidRPr="00D403F5">
        <w:rPr>
          <w:rFonts w:ascii="Arial" w:hAnsi="Arial" w:cs="Arial"/>
          <w:sz w:val="18"/>
          <w:szCs w:val="18"/>
          <w:u w:val="double"/>
          <w:lang w:eastAsia="fr-FR"/>
        </w:rPr>
        <w:t>and</w:t>
      </w:r>
      <w:r w:rsidRPr="00D403F5">
        <w:rPr>
          <w:rFonts w:ascii="Arial" w:hAnsi="Arial" w:cs="Arial"/>
          <w:sz w:val="18"/>
          <w:szCs w:val="18"/>
          <w:lang w:eastAsia="fr-FR"/>
        </w:rPr>
        <w:t xml:space="preserve"> mortality </w:t>
      </w:r>
      <w:r w:rsidRPr="00D403F5">
        <w:rPr>
          <w:rFonts w:ascii="Arial" w:hAnsi="Arial" w:cs="Arial"/>
          <w:strike/>
          <w:sz w:val="18"/>
          <w:szCs w:val="18"/>
          <w:lang w:eastAsia="fr-FR"/>
        </w:rPr>
        <w:t>and diseases</w:t>
      </w:r>
      <w:r w:rsidRPr="00D403F5">
        <w:rPr>
          <w:rFonts w:ascii="Arial" w:hAnsi="Arial" w:cs="Arial"/>
          <w:sz w:val="18"/>
          <w:szCs w:val="18"/>
          <w:lang w:eastAsia="fr-FR"/>
        </w:rPr>
        <w:t xml:space="preserve">). </w:t>
      </w:r>
    </w:p>
    <w:p w14:paraId="1DDB9DC6" w14:textId="77777777" w:rsidR="007B3D5C" w:rsidRPr="00D403F5" w:rsidRDefault="007B3D5C" w:rsidP="00D403F5">
      <w:pPr>
        <w:spacing w:after="0"/>
        <w:ind w:left="851" w:hanging="401"/>
        <w:jc w:val="both"/>
        <w:rPr>
          <w:rFonts w:ascii="Arial" w:hAnsi="Arial" w:cs="Arial"/>
          <w:i/>
          <w:sz w:val="18"/>
          <w:szCs w:val="18"/>
          <w:lang w:eastAsia="fr-FR"/>
        </w:rPr>
      </w:pPr>
      <w:r w:rsidRPr="00D403F5">
        <w:rPr>
          <w:rFonts w:ascii="Arial" w:hAnsi="Arial" w:cs="Arial"/>
          <w:i/>
          <w:sz w:val="18"/>
          <w:szCs w:val="18"/>
          <w:lang w:eastAsia="fr-FR"/>
        </w:rPr>
        <w:br w:type="page"/>
      </w:r>
    </w:p>
    <w:p w14:paraId="0D408448" w14:textId="77777777" w:rsidR="007B3D5C" w:rsidRPr="00D403F5" w:rsidRDefault="007B3D5C" w:rsidP="00804DF6">
      <w:pPr>
        <w:spacing w:after="480"/>
        <w:jc w:val="right"/>
        <w:rPr>
          <w:rFonts w:ascii="Times New Roman" w:hAnsi="Times New Roman" w:cs="Times New Roman"/>
          <w:sz w:val="18"/>
          <w:szCs w:val="18"/>
          <w:lang w:val="en-US"/>
        </w:rPr>
      </w:pPr>
      <w:r w:rsidRPr="00D403F5">
        <w:rPr>
          <w:rFonts w:ascii="Times New Roman" w:hAnsi="Times New Roman" w:cs="Times New Roman"/>
          <w:sz w:val="18"/>
          <w:szCs w:val="18"/>
          <w:u w:val="single"/>
          <w:lang w:val="en-US"/>
        </w:rPr>
        <w:t>Annex 3 B</w:t>
      </w:r>
      <w:r w:rsidRPr="00D403F5">
        <w:rPr>
          <w:rFonts w:ascii="Times New Roman" w:hAnsi="Times New Roman" w:cs="Times New Roman"/>
          <w:sz w:val="18"/>
          <w:szCs w:val="18"/>
          <w:lang w:val="en-US"/>
        </w:rPr>
        <w:t xml:space="preserve"> (suite)</w:t>
      </w:r>
    </w:p>
    <w:p w14:paraId="7F1F7F57" w14:textId="77777777" w:rsidR="007B3D5C" w:rsidRPr="00D403F5" w:rsidRDefault="007B3D5C" w:rsidP="00D403F5">
      <w:pPr>
        <w:spacing w:after="0"/>
        <w:ind w:left="851" w:hanging="401"/>
        <w:jc w:val="both"/>
        <w:rPr>
          <w:rFonts w:ascii="Arial" w:hAnsi="Arial" w:cs="Arial"/>
          <w:sz w:val="18"/>
          <w:szCs w:val="18"/>
          <w:lang w:eastAsia="fr-FR"/>
        </w:rPr>
      </w:pPr>
      <w:r w:rsidRPr="00D403F5">
        <w:rPr>
          <w:rFonts w:ascii="Arial" w:hAnsi="Arial" w:cs="Arial"/>
          <w:i/>
          <w:sz w:val="18"/>
          <w:szCs w:val="18"/>
          <w:lang w:eastAsia="fr-FR"/>
        </w:rPr>
        <w:t>e)</w:t>
      </w:r>
      <w:r w:rsidRPr="00D403F5">
        <w:rPr>
          <w:rFonts w:ascii="Arial" w:hAnsi="Arial" w:cs="Arial"/>
          <w:sz w:val="18"/>
          <w:szCs w:val="18"/>
          <w:lang w:eastAsia="fr-FR"/>
        </w:rPr>
        <w:tab/>
        <w:t>Routine review and auditing</w:t>
      </w:r>
    </w:p>
    <w:p w14:paraId="76652DDB"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should describe a systematic auditing schedule to verify implementation and compliance with the requirements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Routine revision of the </w:t>
      </w:r>
      <w:r w:rsidRPr="00D403F5">
        <w:rPr>
          <w:rFonts w:ascii="Arial" w:hAnsi="Arial" w:cs="Arial"/>
          <w:i/>
          <w:sz w:val="18"/>
          <w:szCs w:val="18"/>
          <w:lang w:eastAsia="fr-FR"/>
        </w:rPr>
        <w:t>biosecurity plan</w:t>
      </w:r>
      <w:r w:rsidRPr="00D403F5">
        <w:rPr>
          <w:rFonts w:ascii="Arial" w:hAnsi="Arial" w:cs="Arial"/>
          <w:sz w:val="18"/>
          <w:szCs w:val="18"/>
          <w:lang w:eastAsia="fr-FR"/>
        </w:rPr>
        <w:t xml:space="preserve"> is necessary to ensure </w:t>
      </w:r>
      <w:r w:rsidRPr="00D403F5">
        <w:rPr>
          <w:rFonts w:ascii="Arial" w:hAnsi="Arial" w:cs="Arial"/>
          <w:sz w:val="18"/>
          <w:szCs w:val="18"/>
          <w:highlight w:val="yellow"/>
          <w:u w:val="single"/>
          <w:lang w:eastAsia="fr-FR"/>
        </w:rPr>
        <w:t>that</w:t>
      </w:r>
      <w:r w:rsidRPr="00D403F5">
        <w:rPr>
          <w:rFonts w:ascii="Arial" w:hAnsi="Arial" w:cs="Arial"/>
          <w:sz w:val="18"/>
          <w:szCs w:val="18"/>
          <w:lang w:eastAsia="fr-FR"/>
        </w:rPr>
        <w:t xml:space="preserve"> it continues to effectively address </w:t>
      </w:r>
      <w:r w:rsidRPr="00D403F5">
        <w:rPr>
          <w:rFonts w:ascii="Arial" w:hAnsi="Arial" w:cs="Arial"/>
          <w:i/>
          <w:sz w:val="18"/>
          <w:szCs w:val="18"/>
          <w:lang w:eastAsia="fr-FR"/>
        </w:rPr>
        <w:t>biosecurity</w:t>
      </w:r>
      <w:r w:rsidRPr="00D403F5">
        <w:rPr>
          <w:rFonts w:ascii="Arial" w:eastAsia="SimSun" w:hAnsi="Arial" w:cs="Arial" w:hint="eastAsia"/>
          <w:i/>
          <w:sz w:val="18"/>
          <w:szCs w:val="18"/>
          <w:lang w:eastAsia="zh-CN"/>
        </w:rPr>
        <w:t xml:space="preserve"> </w:t>
      </w:r>
      <w:r w:rsidRPr="00D403F5">
        <w:rPr>
          <w:rFonts w:ascii="Arial" w:hAnsi="Arial" w:cs="Arial"/>
          <w:i/>
          <w:sz w:val="18"/>
          <w:szCs w:val="18"/>
          <w:lang w:eastAsia="fr-FR"/>
        </w:rPr>
        <w:t>risks</w:t>
      </w:r>
      <w:r w:rsidRPr="00D403F5">
        <w:rPr>
          <w:rFonts w:ascii="Arial" w:hAnsi="Arial" w:cs="Arial"/>
          <w:sz w:val="18"/>
          <w:szCs w:val="18"/>
          <w:lang w:eastAsia="fr-FR"/>
        </w:rPr>
        <w:t xml:space="preserve">. </w:t>
      </w:r>
    </w:p>
    <w:p w14:paraId="229D1123" w14:textId="77777777" w:rsidR="007B3D5C" w:rsidRPr="00D403F5" w:rsidRDefault="007B3D5C" w:rsidP="00D403F5">
      <w:pPr>
        <w:spacing w:after="0"/>
        <w:ind w:left="851"/>
        <w:jc w:val="both"/>
        <w:rPr>
          <w:rFonts w:ascii="Arial" w:hAnsi="Arial" w:cs="Arial"/>
          <w:sz w:val="18"/>
          <w:szCs w:val="18"/>
          <w:lang w:eastAsia="fr-FR"/>
        </w:rPr>
      </w:pPr>
      <w:r w:rsidRPr="00D403F5">
        <w:rPr>
          <w:rFonts w:ascii="Arial" w:hAnsi="Arial" w:cs="Arial"/>
          <w:sz w:val="18"/>
          <w:szCs w:val="18"/>
          <w:lang w:eastAsia="fr-FR"/>
        </w:rPr>
        <w:t xml:space="preserve">The </w:t>
      </w:r>
      <w:r w:rsidRPr="00D403F5">
        <w:rPr>
          <w:rFonts w:ascii="Arial" w:hAnsi="Arial" w:cs="Arial"/>
          <w:i/>
          <w:sz w:val="18"/>
          <w:szCs w:val="18"/>
          <w:lang w:eastAsia="fr-FR"/>
        </w:rPr>
        <w:t xml:space="preserve">biosecurity plan </w:t>
      </w:r>
      <w:r w:rsidRPr="00D403F5">
        <w:rPr>
          <w:rFonts w:ascii="Arial" w:hAnsi="Arial" w:cs="Arial"/>
          <w:sz w:val="18"/>
          <w:szCs w:val="18"/>
          <w:lang w:eastAsia="fr-FR"/>
        </w:rPr>
        <w:t xml:space="preserve">should also be reviewed </w:t>
      </w:r>
      <w:r w:rsidRPr="00D403F5">
        <w:rPr>
          <w:rFonts w:ascii="Arial" w:hAnsi="Arial" w:cs="Arial"/>
          <w:sz w:val="18"/>
          <w:szCs w:val="18"/>
          <w:highlight w:val="yellow"/>
          <w:u w:val="double"/>
          <w:lang w:eastAsia="fr-FR"/>
        </w:rPr>
        <w:t>at least annually</w:t>
      </w:r>
      <w:r w:rsidRPr="00D403F5">
        <w:rPr>
          <w:rFonts w:ascii="Arial" w:hAnsi="Arial" w:cs="Arial"/>
          <w:sz w:val="18"/>
          <w:szCs w:val="18"/>
          <w:u w:val="double"/>
          <w:lang w:eastAsia="fr-FR"/>
        </w:rPr>
        <w:t xml:space="preserve"> </w:t>
      </w:r>
      <w:r w:rsidRPr="00D403F5">
        <w:rPr>
          <w:rFonts w:ascii="Arial" w:hAnsi="Arial" w:cs="Arial"/>
          <w:sz w:val="18"/>
          <w:szCs w:val="18"/>
          <w:highlight w:val="yellow"/>
          <w:u w:val="double"/>
          <w:lang w:eastAsia="fr-FR"/>
        </w:rPr>
        <w:t>or</w:t>
      </w:r>
      <w:r w:rsidRPr="00D403F5">
        <w:rPr>
          <w:rFonts w:ascii="Arial" w:hAnsi="Arial" w:cs="Arial"/>
          <w:sz w:val="18"/>
          <w:szCs w:val="18"/>
          <w:lang w:eastAsia="fr-FR"/>
        </w:rPr>
        <w:t xml:space="preserve"> in response to changes to the </w:t>
      </w:r>
      <w:r w:rsidRPr="00D403F5">
        <w:rPr>
          <w:rFonts w:ascii="Arial" w:hAnsi="Arial" w:cs="Arial"/>
          <w:i/>
          <w:sz w:val="18"/>
          <w:szCs w:val="18"/>
          <w:lang w:eastAsia="fr-FR"/>
        </w:rPr>
        <w:t xml:space="preserve">aquaculture establishment </w:t>
      </w:r>
      <w:r w:rsidRPr="00D403F5">
        <w:rPr>
          <w:rFonts w:ascii="Arial" w:hAnsi="Arial" w:cs="Arial"/>
          <w:sz w:val="18"/>
          <w:szCs w:val="18"/>
          <w:lang w:eastAsia="fr-FR"/>
        </w:rPr>
        <w:t xml:space="preserve">operations, </w:t>
      </w:r>
      <w:r w:rsidRPr="00D403F5">
        <w:rPr>
          <w:rFonts w:ascii="Arial" w:hAnsi="Arial" w:cs="Arial"/>
          <w:sz w:val="18"/>
          <w:szCs w:val="18"/>
          <w:highlight w:val="yellow"/>
          <w:u w:val="double"/>
          <w:lang w:eastAsia="fr-FR"/>
        </w:rPr>
        <w:t>changes in facility design,</w:t>
      </w:r>
      <w:r w:rsidRPr="00D403F5">
        <w:rPr>
          <w:rFonts w:ascii="Arial" w:hAnsi="Arial" w:cs="Arial"/>
          <w:sz w:val="18"/>
          <w:szCs w:val="18"/>
          <w:lang w:eastAsia="fr-FR"/>
        </w:rPr>
        <w:t xml:space="preserve"> changes </w:t>
      </w:r>
      <w:r w:rsidRPr="00D403F5">
        <w:rPr>
          <w:rFonts w:ascii="Arial" w:hAnsi="Arial" w:cs="Arial"/>
          <w:strike/>
          <w:sz w:val="18"/>
          <w:szCs w:val="18"/>
          <w:highlight w:val="yellow"/>
          <w:lang w:eastAsia="fr-FR"/>
        </w:rPr>
        <w:t>to</w:t>
      </w:r>
      <w:r w:rsidRPr="00D403F5">
        <w:rPr>
          <w:rFonts w:ascii="Arial" w:hAnsi="Arial" w:cs="Arial"/>
          <w:sz w:val="18"/>
          <w:szCs w:val="18"/>
          <w:lang w:eastAsia="fr-FR"/>
        </w:rPr>
        <w:t xml:space="preserve"> </w:t>
      </w:r>
      <w:r w:rsidRPr="00D403F5">
        <w:rPr>
          <w:rFonts w:ascii="Arial" w:hAnsi="Arial" w:cs="Arial"/>
          <w:sz w:val="18"/>
          <w:szCs w:val="18"/>
          <w:highlight w:val="yellow"/>
          <w:u w:val="double"/>
          <w:lang w:eastAsia="fr-FR"/>
        </w:rPr>
        <w:t>in</w:t>
      </w:r>
      <w:r w:rsidRPr="00D403F5">
        <w:rPr>
          <w:rFonts w:ascii="Arial" w:hAnsi="Arial" w:cs="Arial"/>
          <w:sz w:val="18"/>
          <w:szCs w:val="18"/>
          <w:lang w:eastAsia="fr-FR"/>
        </w:rPr>
        <w:t xml:space="preserve"> husbandry approaches, identification of a new </w:t>
      </w:r>
      <w:r w:rsidRPr="00D403F5">
        <w:rPr>
          <w:rFonts w:ascii="Arial" w:hAnsi="Arial" w:cs="Arial"/>
          <w:i/>
          <w:sz w:val="18"/>
          <w:szCs w:val="18"/>
          <w:lang w:eastAsia="fr-FR"/>
        </w:rPr>
        <w:t>disease risk</w:t>
      </w:r>
      <w:r w:rsidRPr="00D403F5">
        <w:rPr>
          <w:rFonts w:ascii="Arial" w:hAnsi="Arial" w:cs="Arial"/>
          <w:sz w:val="18"/>
          <w:szCs w:val="18"/>
          <w:lang w:eastAsia="fr-FR"/>
        </w:rPr>
        <w:t xml:space="preserve">, or the occurrence of a </w:t>
      </w:r>
      <w:r w:rsidRPr="00D403F5">
        <w:rPr>
          <w:rFonts w:ascii="Arial" w:hAnsi="Arial" w:cs="Arial"/>
          <w:i/>
          <w:sz w:val="18"/>
          <w:szCs w:val="18"/>
          <w:lang w:eastAsia="fr-FR"/>
        </w:rPr>
        <w:t>biosecurity</w:t>
      </w:r>
      <w:r w:rsidRPr="00D403F5">
        <w:rPr>
          <w:rFonts w:ascii="Arial" w:hAnsi="Arial" w:cs="Arial"/>
          <w:sz w:val="18"/>
          <w:szCs w:val="18"/>
          <w:lang w:eastAsia="fr-FR"/>
        </w:rPr>
        <w:t xml:space="preserve"> incident. </w:t>
      </w:r>
      <w:r w:rsidRPr="00D403F5">
        <w:rPr>
          <w:rFonts w:ascii="Arial" w:hAnsi="Arial" w:cs="Arial"/>
          <w:i/>
          <w:sz w:val="18"/>
          <w:szCs w:val="18"/>
          <w:lang w:eastAsia="fr-FR"/>
        </w:rPr>
        <w:t>Biosecurity</w:t>
      </w:r>
      <w:r w:rsidRPr="00D403F5">
        <w:rPr>
          <w:rFonts w:ascii="Arial" w:hAnsi="Arial" w:cs="Arial"/>
          <w:sz w:val="18"/>
          <w:szCs w:val="18"/>
          <w:lang w:eastAsia="fr-FR"/>
        </w:rPr>
        <w:t xml:space="preserve"> incidents, and actions taken to remedy them, should be documented to enable </w:t>
      </w:r>
      <w:r w:rsidRPr="00D403F5">
        <w:rPr>
          <w:rFonts w:ascii="Arial" w:hAnsi="Arial" w:cs="Arial"/>
          <w:strike/>
          <w:sz w:val="18"/>
          <w:szCs w:val="18"/>
          <w:lang w:eastAsia="fr-FR"/>
        </w:rPr>
        <w:t>SOP</w:t>
      </w:r>
      <w:r w:rsidRPr="00D403F5">
        <w:rPr>
          <w:rFonts w:ascii="Arial" w:hAnsi="Arial" w:cs="Arial"/>
          <w:sz w:val="18"/>
          <w:szCs w:val="18"/>
          <w:lang w:eastAsia="fr-FR"/>
        </w:rPr>
        <w:t xml:space="preserve"> re-assessment</w:t>
      </w:r>
      <w:r w:rsidRPr="00D403F5">
        <w:rPr>
          <w:rFonts w:ascii="Arial" w:hAnsi="Arial" w:cs="Arial"/>
          <w:sz w:val="18"/>
          <w:szCs w:val="18"/>
          <w:u w:val="double"/>
          <w:lang w:eastAsia="fr-FR"/>
        </w:rPr>
        <w:t>s of SOPs</w:t>
      </w:r>
      <w:r w:rsidRPr="00D403F5">
        <w:rPr>
          <w:rFonts w:ascii="Arial" w:hAnsi="Arial" w:cs="Arial"/>
          <w:sz w:val="18"/>
          <w:szCs w:val="18"/>
          <w:lang w:eastAsia="fr-FR"/>
        </w:rPr>
        <w:t>.</w:t>
      </w:r>
    </w:p>
    <w:p w14:paraId="03A97EA0" w14:textId="77777777" w:rsidR="000E0A30" w:rsidRPr="00D403F5" w:rsidRDefault="000E0A30"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703B803E" w14:textId="77777777" w:rsidR="007B3D5C" w:rsidRPr="00D403F5" w:rsidRDefault="007B3D5C" w:rsidP="00D403F5">
      <w:pPr>
        <w:pStyle w:val="Web"/>
        <w:spacing w:before="0" w:beforeAutospacing="0" w:after="0" w:afterAutospacing="0"/>
        <w:jc w:val="center"/>
        <w:rPr>
          <w:sz w:val="18"/>
          <w:szCs w:val="18"/>
          <w:lang w:val="en-US"/>
        </w:rPr>
      </w:pPr>
    </w:p>
    <w:p w14:paraId="35B3ADF4" w14:textId="77777777" w:rsidR="007B3D5C" w:rsidRPr="00D403F5" w:rsidRDefault="007B3D5C" w:rsidP="00D403F5">
      <w:pPr>
        <w:pStyle w:val="Web"/>
        <w:spacing w:before="0" w:beforeAutospacing="0" w:after="0" w:afterAutospacing="0"/>
        <w:jc w:val="center"/>
        <w:rPr>
          <w:sz w:val="18"/>
          <w:szCs w:val="18"/>
          <w:lang w:val="en-US"/>
        </w:rPr>
      </w:pPr>
    </w:p>
    <w:p w14:paraId="492544FA" w14:textId="77777777" w:rsidR="007B3D5C" w:rsidRPr="00D403F5" w:rsidRDefault="007B3D5C" w:rsidP="00D403F5">
      <w:pPr>
        <w:pStyle w:val="Web"/>
        <w:spacing w:before="0" w:beforeAutospacing="0" w:after="0" w:afterAutospacing="0"/>
        <w:jc w:val="center"/>
        <w:rPr>
          <w:sz w:val="18"/>
          <w:szCs w:val="18"/>
          <w:lang w:val="en-US"/>
        </w:rPr>
      </w:pPr>
    </w:p>
    <w:p w14:paraId="35D414C5" w14:textId="77777777" w:rsidR="007B3D5C" w:rsidRPr="00D403F5" w:rsidRDefault="007B3D5C" w:rsidP="00D403F5">
      <w:pPr>
        <w:pStyle w:val="Web"/>
        <w:spacing w:before="0" w:beforeAutospacing="0" w:after="0" w:afterAutospacing="0"/>
        <w:jc w:val="center"/>
        <w:rPr>
          <w:sz w:val="18"/>
          <w:szCs w:val="18"/>
          <w:lang w:val="en-US"/>
        </w:rPr>
      </w:pPr>
    </w:p>
    <w:p w14:paraId="242D9D43" w14:textId="77777777" w:rsidR="007B3D5C" w:rsidRPr="00D403F5" w:rsidRDefault="007B3D5C" w:rsidP="00D403F5">
      <w:pPr>
        <w:pStyle w:val="Web"/>
        <w:spacing w:before="0" w:beforeAutospacing="0" w:after="0" w:afterAutospacing="0"/>
        <w:jc w:val="center"/>
        <w:rPr>
          <w:sz w:val="18"/>
          <w:szCs w:val="18"/>
          <w:lang w:val="en-US"/>
        </w:rPr>
      </w:pPr>
    </w:p>
    <w:p w14:paraId="04F6E910" w14:textId="77777777" w:rsidR="007B3D5C" w:rsidRPr="00D403F5" w:rsidRDefault="007B3D5C" w:rsidP="00D403F5">
      <w:pPr>
        <w:pStyle w:val="Web"/>
        <w:spacing w:before="0" w:beforeAutospacing="0" w:after="0" w:afterAutospacing="0"/>
        <w:jc w:val="center"/>
        <w:rPr>
          <w:sz w:val="18"/>
          <w:szCs w:val="18"/>
          <w:lang w:val="en-US"/>
        </w:rPr>
      </w:pPr>
    </w:p>
    <w:p w14:paraId="186B6D4F" w14:textId="77777777" w:rsidR="000E0A30" w:rsidRPr="00D403F5" w:rsidRDefault="000E0A30" w:rsidP="00D403F5">
      <w:pPr>
        <w:pStyle w:val="Web"/>
        <w:spacing w:before="0" w:beforeAutospacing="0" w:after="0" w:afterAutospacing="0"/>
        <w:jc w:val="center"/>
        <w:rPr>
          <w:sz w:val="18"/>
          <w:szCs w:val="18"/>
          <w:lang w:val="en-US"/>
        </w:rPr>
      </w:pPr>
    </w:p>
    <w:p w14:paraId="6C4D377A" w14:textId="77777777" w:rsidR="000E0A30" w:rsidRPr="00D403F5" w:rsidRDefault="000E0A30" w:rsidP="00D403F5">
      <w:pPr>
        <w:pStyle w:val="Web"/>
        <w:spacing w:before="0" w:beforeAutospacing="0" w:after="0" w:afterAutospacing="0"/>
        <w:jc w:val="center"/>
        <w:rPr>
          <w:sz w:val="18"/>
          <w:szCs w:val="18"/>
          <w:lang w:val="en-US"/>
        </w:rPr>
      </w:pPr>
    </w:p>
    <w:p w14:paraId="0F57B680" w14:textId="77777777" w:rsidR="007B3D5C" w:rsidRPr="00D403F5" w:rsidRDefault="007B3D5C" w:rsidP="00D403F5">
      <w:pPr>
        <w:pStyle w:val="Web"/>
        <w:spacing w:before="0" w:beforeAutospacing="0" w:after="0" w:afterAutospacing="0"/>
        <w:jc w:val="center"/>
        <w:rPr>
          <w:sz w:val="18"/>
          <w:szCs w:val="18"/>
          <w:lang w:val="en-US"/>
        </w:rPr>
      </w:pPr>
    </w:p>
    <w:p w14:paraId="3300FC01" w14:textId="77777777" w:rsidR="007B3D5C" w:rsidRPr="00D403F5" w:rsidRDefault="007B3D5C" w:rsidP="00D403F5">
      <w:pPr>
        <w:pStyle w:val="Web"/>
        <w:spacing w:before="0" w:beforeAutospacing="0" w:after="0" w:afterAutospacing="0"/>
        <w:jc w:val="center"/>
        <w:rPr>
          <w:sz w:val="18"/>
          <w:szCs w:val="18"/>
          <w:lang w:val="en-US"/>
        </w:rPr>
      </w:pPr>
    </w:p>
    <w:p w14:paraId="47D09259" w14:textId="77777777" w:rsidR="007B3D5C" w:rsidRPr="00D403F5" w:rsidRDefault="007B3D5C" w:rsidP="00D403F5">
      <w:pPr>
        <w:pStyle w:val="Web"/>
        <w:spacing w:before="0" w:beforeAutospacing="0" w:after="0" w:afterAutospacing="0"/>
        <w:jc w:val="center"/>
        <w:rPr>
          <w:sz w:val="18"/>
          <w:szCs w:val="18"/>
          <w:lang w:val="en-US"/>
        </w:rPr>
      </w:pPr>
    </w:p>
    <w:p w14:paraId="278B2DF6" w14:textId="77777777" w:rsidR="007B3D5C" w:rsidRPr="00D403F5" w:rsidRDefault="007B3D5C" w:rsidP="00D403F5">
      <w:pPr>
        <w:pStyle w:val="Web"/>
        <w:spacing w:before="0" w:beforeAutospacing="0" w:after="0" w:afterAutospacing="0"/>
        <w:jc w:val="center"/>
        <w:rPr>
          <w:sz w:val="18"/>
          <w:szCs w:val="18"/>
          <w:lang w:val="en-US"/>
        </w:rPr>
      </w:pPr>
    </w:p>
    <w:p w14:paraId="216EF0BD" w14:textId="77777777" w:rsidR="007B3D5C" w:rsidRPr="00D403F5" w:rsidRDefault="007B3D5C" w:rsidP="00D403F5">
      <w:pPr>
        <w:pStyle w:val="Web"/>
        <w:spacing w:before="0" w:beforeAutospacing="0" w:after="0" w:afterAutospacing="0"/>
        <w:jc w:val="center"/>
        <w:rPr>
          <w:sz w:val="18"/>
          <w:szCs w:val="18"/>
          <w:lang w:val="en-US"/>
        </w:rPr>
      </w:pPr>
    </w:p>
    <w:p w14:paraId="3816493E" w14:textId="77777777" w:rsidR="007B3D5C" w:rsidRPr="00D403F5" w:rsidRDefault="007B3D5C" w:rsidP="00D403F5">
      <w:pPr>
        <w:pStyle w:val="Web"/>
        <w:spacing w:before="0" w:beforeAutospacing="0" w:after="0" w:afterAutospacing="0"/>
        <w:jc w:val="center"/>
        <w:rPr>
          <w:sz w:val="18"/>
          <w:szCs w:val="18"/>
          <w:lang w:val="en-US"/>
        </w:rPr>
      </w:pPr>
    </w:p>
    <w:p w14:paraId="291060C3" w14:textId="77777777" w:rsidR="007B3D5C" w:rsidRPr="00D403F5" w:rsidRDefault="007B3D5C" w:rsidP="00D403F5">
      <w:pPr>
        <w:pStyle w:val="Web"/>
        <w:spacing w:before="0" w:beforeAutospacing="0" w:after="0" w:afterAutospacing="0"/>
        <w:jc w:val="center"/>
        <w:rPr>
          <w:sz w:val="18"/>
          <w:szCs w:val="18"/>
          <w:lang w:val="en-US"/>
        </w:rPr>
        <w:sectPr w:rsidR="007B3D5C" w:rsidRPr="00D403F5" w:rsidSect="007B3D5C">
          <w:headerReference w:type="even" r:id="rId47"/>
          <w:headerReference w:type="default" r:id="rId48"/>
          <w:footerReference w:type="even" r:id="rId49"/>
          <w:footerReference w:type="default" r:id="rId50"/>
          <w:headerReference w:type="first" r:id="rId51"/>
          <w:type w:val="oddPage"/>
          <w:pgSz w:w="12240" w:h="15840"/>
          <w:pgMar w:top="1440" w:right="1440" w:bottom="1440" w:left="1440" w:header="709" w:footer="709" w:gutter="0"/>
          <w:cols w:space="720"/>
          <w:vAlign w:val="both"/>
          <w:docGrid w:linePitch="360"/>
        </w:sectPr>
      </w:pPr>
    </w:p>
    <w:p w14:paraId="4362B3E6" w14:textId="77777777" w:rsidR="007B3D5C" w:rsidRPr="00D403F5" w:rsidRDefault="007B3D5C" w:rsidP="009623A4">
      <w:pPr>
        <w:pStyle w:val="2"/>
        <w:tabs>
          <w:tab w:val="clear" w:pos="360"/>
        </w:tabs>
        <w:spacing w:after="480"/>
        <w:ind w:left="0" w:firstLine="0"/>
        <w:jc w:val="right"/>
        <w:rPr>
          <w:rFonts w:ascii="Times New Roman" w:hAnsi="Times New Roman"/>
          <w:b w:val="0"/>
          <w:sz w:val="18"/>
          <w:szCs w:val="18"/>
          <w:u w:val="single"/>
        </w:rPr>
      </w:pPr>
      <w:r w:rsidRPr="00D403F5">
        <w:rPr>
          <w:rFonts w:ascii="Times New Roman" w:hAnsi="Times New Roman"/>
          <w:b w:val="0"/>
          <w:sz w:val="18"/>
          <w:szCs w:val="18"/>
          <w:u w:val="single"/>
        </w:rPr>
        <w:t>Annex 4</w:t>
      </w:r>
    </w:p>
    <w:p w14:paraId="3C9C547F" w14:textId="77777777" w:rsidR="007B3D5C" w:rsidRPr="009623A4" w:rsidRDefault="007B3D5C" w:rsidP="009623A4">
      <w:pPr>
        <w:spacing w:after="480"/>
        <w:jc w:val="center"/>
        <w:rPr>
          <w:rFonts w:ascii="Ottawa" w:hAnsi="Ottawa" w:cs="Arial"/>
          <w:b/>
          <w:bCs/>
          <w:caps/>
          <w:color w:val="000000"/>
          <w:spacing w:val="57"/>
          <w:sz w:val="28"/>
          <w:szCs w:val="28"/>
          <w:lang w:val="en-US"/>
        </w:rPr>
      </w:pPr>
      <w:r w:rsidRPr="009623A4">
        <w:rPr>
          <w:rFonts w:ascii="Ottawa" w:hAnsi="Ottawa" w:cs="Arial"/>
          <w:caps/>
          <w:color w:val="000000"/>
          <w:spacing w:val="57"/>
          <w:sz w:val="24"/>
          <w:szCs w:val="24"/>
          <w:lang w:val="en-US"/>
        </w:rPr>
        <w:t>CHAPTER 1.3.</w:t>
      </w:r>
      <w:r w:rsidRPr="009623A4">
        <w:rPr>
          <w:rFonts w:ascii="Ottawa" w:hAnsi="Ottawa" w:cs="Arial"/>
          <w:caps/>
          <w:color w:val="000000"/>
          <w:spacing w:val="57"/>
          <w:sz w:val="24"/>
          <w:szCs w:val="24"/>
          <w:lang w:val="en-US"/>
        </w:rPr>
        <w:br/>
      </w:r>
      <w:r w:rsidRPr="009623A4">
        <w:rPr>
          <w:rFonts w:ascii="Ottawa" w:hAnsi="Ottawa" w:cs="Arial"/>
          <w:caps/>
          <w:color w:val="000000"/>
          <w:spacing w:val="57"/>
          <w:sz w:val="24"/>
          <w:szCs w:val="24"/>
          <w:lang w:val="en-US"/>
        </w:rPr>
        <w:br/>
      </w:r>
      <w:r w:rsidRPr="009623A4">
        <w:rPr>
          <w:rFonts w:ascii="Ottawa" w:hAnsi="Ottawa" w:cs="Arial"/>
          <w:b/>
          <w:bCs/>
          <w:caps/>
          <w:color w:val="000000"/>
          <w:spacing w:val="57"/>
          <w:sz w:val="28"/>
          <w:szCs w:val="28"/>
          <w:lang w:val="en-US"/>
        </w:rPr>
        <w:t>DISEASES LISTED BY THE OIE</w:t>
      </w:r>
    </w:p>
    <w:p w14:paraId="54627316" w14:textId="77777777" w:rsidR="007B3D5C" w:rsidRPr="00D403F5" w:rsidRDefault="007B3D5C" w:rsidP="009623A4">
      <w:pPr>
        <w:spacing w:after="240"/>
        <w:jc w:val="center"/>
        <w:rPr>
          <w:rFonts w:ascii="Ottawa" w:eastAsia="Ottawa" w:hAnsi="Ottawa" w:cs="Arial"/>
          <w:spacing w:val="4"/>
          <w:sz w:val="18"/>
          <w:szCs w:val="18"/>
          <w:lang w:val="en-US" w:eastAsia="en-GB"/>
        </w:rPr>
      </w:pPr>
      <w:r w:rsidRPr="00D403F5">
        <w:rPr>
          <w:rFonts w:ascii="Ottawa" w:eastAsia="Ottawa" w:hAnsi="Ottawa" w:cs="Arial"/>
          <w:spacing w:val="4"/>
          <w:sz w:val="18"/>
          <w:szCs w:val="18"/>
          <w:lang w:val="en-US" w:eastAsia="en-GB"/>
        </w:rPr>
        <w:t>[…]</w:t>
      </w:r>
    </w:p>
    <w:p w14:paraId="5FE602DC" w14:textId="77777777" w:rsidR="007B3D5C" w:rsidRPr="00D403F5" w:rsidRDefault="007B3D5C" w:rsidP="009623A4">
      <w:pPr>
        <w:spacing w:after="240"/>
        <w:jc w:val="center"/>
        <w:rPr>
          <w:rFonts w:ascii="Ottawa" w:eastAsia="Ottawa" w:hAnsi="Ottawa" w:cs="Arial"/>
          <w:spacing w:val="4"/>
          <w:sz w:val="18"/>
          <w:szCs w:val="18"/>
          <w:lang w:val="en-US" w:eastAsia="en-GB"/>
        </w:rPr>
      </w:pPr>
      <w:r w:rsidRPr="00D403F5">
        <w:rPr>
          <w:rFonts w:ascii="Ottawa" w:eastAsia="Ottawa" w:hAnsi="Ottawa" w:cs="Arial"/>
          <w:spacing w:val="4"/>
          <w:sz w:val="18"/>
          <w:szCs w:val="18"/>
          <w:lang w:val="en-US" w:eastAsia="en-GB"/>
        </w:rPr>
        <w:t>Article 1.3.3.</w:t>
      </w:r>
    </w:p>
    <w:p w14:paraId="16089308" w14:textId="77777777" w:rsidR="007B3D5C" w:rsidRPr="00D403F5" w:rsidRDefault="007B3D5C" w:rsidP="009623A4">
      <w:pPr>
        <w:spacing w:after="240"/>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 xml:space="preserve">The following </w:t>
      </w:r>
      <w:r w:rsidRPr="00D403F5">
        <w:rPr>
          <w:rFonts w:ascii="Arial" w:eastAsia="Ottawa" w:hAnsi="Arial" w:cs="Arial"/>
          <w:i/>
          <w:spacing w:val="4"/>
          <w:sz w:val="18"/>
          <w:szCs w:val="18"/>
          <w:lang w:val="en-US" w:eastAsia="en-GB"/>
        </w:rPr>
        <w:t>diseases</w:t>
      </w:r>
      <w:r w:rsidRPr="00D403F5">
        <w:rPr>
          <w:rFonts w:ascii="Arial" w:eastAsia="Ottawa" w:hAnsi="Arial" w:cs="Arial"/>
          <w:spacing w:val="4"/>
          <w:sz w:val="18"/>
          <w:szCs w:val="18"/>
          <w:lang w:val="en-US" w:eastAsia="en-GB"/>
        </w:rPr>
        <w:t xml:space="preserve"> of crustaceans are listed by the OIE:</w:t>
      </w:r>
    </w:p>
    <w:p w14:paraId="61FD5CF7"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Acute hepatopancreatic necrosis disease</w:t>
      </w:r>
    </w:p>
    <w:p w14:paraId="4FE45F5F"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 xml:space="preserve">Infection with </w:t>
      </w:r>
      <w:r w:rsidRPr="00D403F5">
        <w:rPr>
          <w:rFonts w:ascii="Arial" w:eastAsia="Ottawa" w:hAnsi="Arial" w:cs="Arial"/>
          <w:i/>
          <w:spacing w:val="4"/>
          <w:sz w:val="18"/>
          <w:szCs w:val="18"/>
          <w:lang w:val="en-US" w:eastAsia="en-GB"/>
        </w:rPr>
        <w:t>Aphanomyces</w:t>
      </w:r>
      <w:r w:rsidRPr="00D403F5">
        <w:rPr>
          <w:rFonts w:ascii="Arial" w:eastAsia="Ottawa" w:hAnsi="Arial" w:cs="Arial"/>
          <w:spacing w:val="4"/>
          <w:sz w:val="18"/>
          <w:szCs w:val="18"/>
          <w:lang w:val="en-US" w:eastAsia="en-GB"/>
        </w:rPr>
        <w:t xml:space="preserve"> </w:t>
      </w:r>
      <w:r w:rsidRPr="00D403F5">
        <w:rPr>
          <w:rFonts w:ascii="Arial" w:eastAsia="Ottawa" w:hAnsi="Arial" w:cs="Arial"/>
          <w:i/>
          <w:spacing w:val="4"/>
          <w:sz w:val="18"/>
          <w:szCs w:val="18"/>
          <w:lang w:val="en-US" w:eastAsia="en-GB"/>
        </w:rPr>
        <w:t>astaci</w:t>
      </w:r>
      <w:r w:rsidRPr="00D403F5">
        <w:rPr>
          <w:rFonts w:ascii="Arial" w:eastAsia="Ottawa" w:hAnsi="Arial" w:cs="Arial"/>
          <w:spacing w:val="4"/>
          <w:sz w:val="18"/>
          <w:szCs w:val="18"/>
          <w:lang w:val="en-US" w:eastAsia="en-GB"/>
        </w:rPr>
        <w:t xml:space="preserve"> (crayfish plague)</w:t>
      </w:r>
    </w:p>
    <w:p w14:paraId="072BB215" w14:textId="77777777" w:rsidR="007B3D5C" w:rsidRPr="00D403F5" w:rsidRDefault="007B3D5C" w:rsidP="009623A4">
      <w:pPr>
        <w:tabs>
          <w:tab w:val="left" w:pos="1080"/>
        </w:tabs>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 xml:space="preserve">Infection with </w:t>
      </w:r>
      <w:r w:rsidRPr="00D403F5">
        <w:rPr>
          <w:rFonts w:ascii="Arial" w:eastAsia="Ottawa" w:hAnsi="Arial" w:cs="Arial"/>
          <w:i/>
          <w:spacing w:val="4"/>
          <w:sz w:val="18"/>
          <w:szCs w:val="18"/>
          <w:lang w:val="en-US" w:eastAsia="en-GB"/>
        </w:rPr>
        <w:t>Hepatobacter</w:t>
      </w:r>
      <w:r w:rsidRPr="00D403F5">
        <w:rPr>
          <w:rFonts w:ascii="Arial" w:eastAsia="Ottawa" w:hAnsi="Arial" w:cs="Arial"/>
          <w:spacing w:val="4"/>
          <w:sz w:val="18"/>
          <w:szCs w:val="18"/>
          <w:lang w:val="en-US" w:eastAsia="en-GB"/>
        </w:rPr>
        <w:t xml:space="preserve"> </w:t>
      </w:r>
      <w:r w:rsidRPr="00D403F5">
        <w:rPr>
          <w:rFonts w:ascii="Arial" w:eastAsia="Ottawa" w:hAnsi="Arial" w:cs="Arial"/>
          <w:i/>
          <w:spacing w:val="4"/>
          <w:sz w:val="18"/>
          <w:szCs w:val="18"/>
          <w:lang w:val="en-US" w:eastAsia="en-GB"/>
        </w:rPr>
        <w:t>penaei</w:t>
      </w:r>
      <w:r w:rsidRPr="00D403F5">
        <w:rPr>
          <w:rFonts w:ascii="Arial" w:eastAsia="Ottawa" w:hAnsi="Arial" w:cs="Arial"/>
          <w:spacing w:val="4"/>
          <w:sz w:val="18"/>
          <w:szCs w:val="18"/>
          <w:lang w:val="en-US" w:eastAsia="en-GB"/>
        </w:rPr>
        <w:t xml:space="preserve"> (necrotising hepatopancreatitis)</w:t>
      </w:r>
    </w:p>
    <w:p w14:paraId="325B78B1"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Infection with infectious hypodermal and haematopoietic necrosis virus</w:t>
      </w:r>
    </w:p>
    <w:p w14:paraId="7A31E674"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Infection with infectious myonecrosis virus</w:t>
      </w:r>
    </w:p>
    <w:p w14:paraId="6762ED45"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 xml:space="preserve">Infection with </w:t>
      </w:r>
      <w:r w:rsidRPr="00D403F5">
        <w:rPr>
          <w:rFonts w:ascii="Arial" w:eastAsia="Ottawa" w:hAnsi="Arial" w:cs="Arial"/>
          <w:i/>
          <w:spacing w:val="4"/>
          <w:sz w:val="18"/>
          <w:szCs w:val="18"/>
          <w:lang w:val="en-US" w:eastAsia="en-GB"/>
        </w:rPr>
        <w:t>Macrobrachium</w:t>
      </w:r>
      <w:r w:rsidRPr="00D403F5">
        <w:rPr>
          <w:rFonts w:ascii="Arial" w:eastAsia="Ottawa" w:hAnsi="Arial" w:cs="Arial"/>
          <w:spacing w:val="4"/>
          <w:sz w:val="18"/>
          <w:szCs w:val="18"/>
          <w:lang w:val="en-US" w:eastAsia="en-GB"/>
        </w:rPr>
        <w:t xml:space="preserve"> </w:t>
      </w:r>
      <w:r w:rsidRPr="00D403F5">
        <w:rPr>
          <w:rFonts w:ascii="Arial" w:eastAsia="Ottawa" w:hAnsi="Arial" w:cs="Arial"/>
          <w:i/>
          <w:spacing w:val="4"/>
          <w:sz w:val="18"/>
          <w:szCs w:val="18"/>
          <w:lang w:val="en-US" w:eastAsia="en-GB"/>
        </w:rPr>
        <w:t>rosenbergii</w:t>
      </w:r>
      <w:r w:rsidRPr="00D403F5">
        <w:rPr>
          <w:rFonts w:ascii="Arial" w:eastAsia="Ottawa" w:hAnsi="Arial" w:cs="Arial"/>
          <w:spacing w:val="4"/>
          <w:sz w:val="18"/>
          <w:szCs w:val="18"/>
          <w:lang w:val="en-US" w:eastAsia="en-GB"/>
        </w:rPr>
        <w:t xml:space="preserve"> nodavirus (white tail disease)</w:t>
      </w:r>
    </w:p>
    <w:p w14:paraId="593556F1"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highlight w:val="yellow"/>
          <w:lang w:val="en-US" w:eastAsia="en-GB"/>
        </w:rPr>
        <w:t>‒</w:t>
      </w:r>
      <w:r w:rsidRPr="00D403F5">
        <w:rPr>
          <w:rFonts w:ascii="Arial" w:eastAsia="Ottawa" w:hAnsi="Arial" w:cs="Arial"/>
          <w:spacing w:val="4"/>
          <w:sz w:val="18"/>
          <w:szCs w:val="18"/>
          <w:highlight w:val="yellow"/>
          <w:lang w:val="en-US" w:eastAsia="en-GB"/>
        </w:rPr>
        <w:tab/>
      </w:r>
      <w:r w:rsidRPr="00D403F5">
        <w:rPr>
          <w:rFonts w:ascii="Arial" w:eastAsia="Ottawa" w:hAnsi="Arial" w:cs="Arial"/>
          <w:strike/>
          <w:spacing w:val="4"/>
          <w:sz w:val="18"/>
          <w:szCs w:val="18"/>
          <w:highlight w:val="yellow"/>
          <w:u w:val="double"/>
          <w:lang w:val="en-US" w:eastAsia="en-GB"/>
        </w:rPr>
        <w:t xml:space="preserve">Infection with </w:t>
      </w:r>
      <w:r w:rsidRPr="00D403F5">
        <w:rPr>
          <w:rFonts w:ascii="Arial" w:hAnsi="Arial" w:cs="Arial"/>
          <w:strike/>
          <w:sz w:val="18"/>
          <w:szCs w:val="18"/>
          <w:highlight w:val="yellow"/>
          <w:u w:val="double"/>
          <w:lang w:val="en-US"/>
        </w:rPr>
        <w:t>shrimp haemocyte iridescent virus</w:t>
      </w:r>
      <w:r w:rsidRPr="00D403F5">
        <w:rPr>
          <w:rFonts w:ascii="Arial" w:hAnsi="Arial" w:cs="Arial"/>
          <w:sz w:val="18"/>
          <w:szCs w:val="18"/>
          <w:highlight w:val="yellow"/>
          <w:u w:val="double"/>
          <w:lang w:val="en-US"/>
        </w:rPr>
        <w:t xml:space="preserve"> Infection with decapod iridescent virus 1</w:t>
      </w:r>
    </w:p>
    <w:p w14:paraId="6E554473"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Infection with Taura syndrome virus</w:t>
      </w:r>
    </w:p>
    <w:p w14:paraId="582FD501"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Infection with white spot syndrome virus</w:t>
      </w:r>
    </w:p>
    <w:p w14:paraId="3E0B707D" w14:textId="77777777" w:rsidR="007B3D5C" w:rsidRPr="00D403F5" w:rsidRDefault="007B3D5C" w:rsidP="009623A4">
      <w:pPr>
        <w:spacing w:after="240"/>
        <w:ind w:left="426" w:hanging="426"/>
        <w:rPr>
          <w:rFonts w:ascii="Arial" w:eastAsia="Ottawa" w:hAnsi="Arial" w:cs="Arial"/>
          <w:spacing w:val="4"/>
          <w:sz w:val="18"/>
          <w:szCs w:val="18"/>
          <w:lang w:val="en-US" w:eastAsia="en-GB"/>
        </w:rPr>
      </w:pPr>
      <w:r w:rsidRPr="00D403F5">
        <w:rPr>
          <w:rFonts w:ascii="Arial" w:eastAsia="Ottawa" w:hAnsi="Arial" w:cs="Arial"/>
          <w:spacing w:val="4"/>
          <w:sz w:val="18"/>
          <w:szCs w:val="18"/>
          <w:lang w:val="en-US" w:eastAsia="en-GB"/>
        </w:rPr>
        <w:t>‒</w:t>
      </w:r>
      <w:r w:rsidRPr="00D403F5">
        <w:rPr>
          <w:rFonts w:ascii="Arial" w:eastAsia="Ottawa" w:hAnsi="Arial" w:cs="Arial"/>
          <w:spacing w:val="4"/>
          <w:sz w:val="18"/>
          <w:szCs w:val="18"/>
          <w:lang w:val="en-US" w:eastAsia="en-GB"/>
        </w:rPr>
        <w:tab/>
        <w:t>Infection with yellow head virus genotype 1.</w:t>
      </w:r>
    </w:p>
    <w:p w14:paraId="57E73F2E" w14:textId="77777777" w:rsidR="007B3D5C" w:rsidRPr="00D403F5" w:rsidRDefault="007B3D5C" w:rsidP="009623A4">
      <w:pPr>
        <w:spacing w:after="240"/>
        <w:jc w:val="center"/>
        <w:rPr>
          <w:rFonts w:ascii="Ottawa" w:eastAsia="Ottawa" w:hAnsi="Ottawa" w:cs="Arial"/>
          <w:spacing w:val="4"/>
          <w:sz w:val="18"/>
          <w:szCs w:val="18"/>
          <w:lang w:val="en-US" w:eastAsia="en-GB"/>
        </w:rPr>
      </w:pPr>
      <w:r w:rsidRPr="00D403F5">
        <w:rPr>
          <w:rFonts w:ascii="Ottawa" w:eastAsia="Ottawa" w:hAnsi="Ottawa" w:cs="Arial"/>
          <w:spacing w:val="4"/>
          <w:sz w:val="18"/>
          <w:szCs w:val="18"/>
          <w:lang w:val="en-US" w:eastAsia="en-GB"/>
        </w:rPr>
        <w:t>[…]</w:t>
      </w:r>
    </w:p>
    <w:p w14:paraId="695643F8" w14:textId="77777777" w:rsidR="000E0A30" w:rsidRPr="00D403F5" w:rsidRDefault="000E0A30"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4466356D" w14:textId="77777777" w:rsidR="007B3D5C" w:rsidRPr="00D403F5" w:rsidRDefault="007B3D5C" w:rsidP="00D403F5">
      <w:pPr>
        <w:spacing w:after="0"/>
        <w:rPr>
          <w:sz w:val="18"/>
          <w:szCs w:val="18"/>
        </w:rPr>
      </w:pPr>
    </w:p>
    <w:p w14:paraId="19EB287E" w14:textId="77777777" w:rsidR="007B3D5C" w:rsidRPr="00D403F5" w:rsidRDefault="007B3D5C" w:rsidP="00D403F5">
      <w:pPr>
        <w:pStyle w:val="Web"/>
        <w:spacing w:before="0" w:beforeAutospacing="0" w:after="0" w:afterAutospacing="0"/>
        <w:jc w:val="center"/>
        <w:rPr>
          <w:sz w:val="18"/>
          <w:szCs w:val="18"/>
          <w:lang w:val="en-US"/>
        </w:rPr>
        <w:sectPr w:rsidR="007B3D5C" w:rsidRPr="00D403F5" w:rsidSect="007B3D5C">
          <w:headerReference w:type="even" r:id="rId52"/>
          <w:headerReference w:type="default" r:id="rId53"/>
          <w:footerReference w:type="even" r:id="rId54"/>
          <w:footerReference w:type="default" r:id="rId55"/>
          <w:headerReference w:type="first" r:id="rId56"/>
          <w:footerReference w:type="first" r:id="rId57"/>
          <w:type w:val="oddPage"/>
          <w:pgSz w:w="12240" w:h="15840" w:code="1"/>
          <w:pgMar w:top="1418" w:right="1418" w:bottom="1418" w:left="1418" w:header="709" w:footer="709" w:gutter="0"/>
          <w:cols w:space="720"/>
          <w:docGrid w:linePitch="360"/>
        </w:sectPr>
      </w:pPr>
    </w:p>
    <w:p w14:paraId="0611C971" w14:textId="77777777" w:rsidR="007B3D5C" w:rsidRPr="00D403F5" w:rsidRDefault="007B3D5C" w:rsidP="009623A4">
      <w:pPr>
        <w:pStyle w:val="2"/>
        <w:tabs>
          <w:tab w:val="clear" w:pos="360"/>
        </w:tabs>
        <w:spacing w:after="480"/>
        <w:ind w:left="0" w:firstLine="0"/>
        <w:jc w:val="right"/>
        <w:rPr>
          <w:rFonts w:ascii="Times New Roman" w:hAnsi="Times New Roman"/>
          <w:b w:val="0"/>
          <w:sz w:val="18"/>
          <w:szCs w:val="18"/>
          <w:u w:val="single"/>
        </w:rPr>
      </w:pPr>
      <w:r w:rsidRPr="00D403F5">
        <w:rPr>
          <w:rFonts w:ascii="Times New Roman" w:hAnsi="Times New Roman"/>
          <w:b w:val="0"/>
          <w:sz w:val="18"/>
          <w:szCs w:val="18"/>
          <w:u w:val="single"/>
        </w:rPr>
        <w:t>Annex 5</w:t>
      </w:r>
    </w:p>
    <w:p w14:paraId="7369B250" w14:textId="77777777" w:rsidR="007B3D5C" w:rsidRPr="009623A4" w:rsidRDefault="007B3D5C" w:rsidP="009623A4">
      <w:pPr>
        <w:spacing w:after="480"/>
        <w:jc w:val="center"/>
        <w:rPr>
          <w:rFonts w:ascii="Ottawa" w:eastAsia="Ottawa" w:hAnsi="Ottawa" w:cs="Arial"/>
          <w:b/>
          <w:caps/>
          <w:spacing w:val="4"/>
          <w:sz w:val="28"/>
          <w:szCs w:val="28"/>
          <w:lang w:eastAsia="en-GB"/>
        </w:rPr>
      </w:pPr>
      <w:r w:rsidRPr="009623A4">
        <w:rPr>
          <w:rFonts w:ascii="Ottawa" w:eastAsia="Ottawa" w:hAnsi="Ottawa" w:cs="Arial"/>
          <w:b/>
          <w:spacing w:val="4"/>
          <w:sz w:val="28"/>
          <w:szCs w:val="28"/>
          <w:lang w:val="en-US" w:eastAsia="en-GB"/>
        </w:rPr>
        <w:t xml:space="preserve">Model Article 10.X.13. </w:t>
      </w:r>
      <w:r w:rsidRPr="009623A4">
        <w:rPr>
          <w:rFonts w:ascii="Ottawa" w:eastAsia="Ottawa" w:hAnsi="Ottawa" w:cs="Arial"/>
          <w:b/>
          <w:spacing w:val="4"/>
          <w:sz w:val="28"/>
          <w:szCs w:val="28"/>
          <w:lang w:eastAsia="en-GB"/>
        </w:rPr>
        <w:t>for the fish disease-specific Chapters 10.5., 10.6. and 10.10.  (</w:t>
      </w:r>
      <w:r w:rsidRPr="009623A4">
        <w:rPr>
          <w:rFonts w:ascii="Ottawa" w:eastAsia="Ottawa" w:hAnsi="Ottawa" w:cs="Arial"/>
          <w:b/>
          <w:spacing w:val="4"/>
          <w:sz w:val="28"/>
          <w:szCs w:val="28"/>
          <w:u w:val="double"/>
          <w:lang w:eastAsia="en-GB"/>
        </w:rPr>
        <w:t>and</w:t>
      </w:r>
      <w:r w:rsidRPr="009623A4">
        <w:rPr>
          <w:rFonts w:ascii="Ottawa" w:eastAsia="Ottawa" w:hAnsi="Ottawa" w:cs="Arial"/>
          <w:b/>
          <w:spacing w:val="4"/>
          <w:sz w:val="28"/>
          <w:szCs w:val="28"/>
          <w:lang w:eastAsia="en-GB"/>
        </w:rPr>
        <w:t xml:space="preserve"> </w:t>
      </w:r>
      <w:r w:rsidRPr="009623A4">
        <w:rPr>
          <w:rFonts w:ascii="Ottawa" w:eastAsia="Ottawa" w:hAnsi="Ottawa" w:cs="Arial"/>
          <w:b/>
          <w:strike/>
          <w:spacing w:val="4"/>
          <w:sz w:val="28"/>
          <w:szCs w:val="28"/>
          <w:lang w:eastAsia="en-GB"/>
        </w:rPr>
        <w:t>or</w:t>
      </w:r>
      <w:r w:rsidRPr="009623A4">
        <w:rPr>
          <w:rFonts w:ascii="Ottawa" w:eastAsia="Ottawa" w:hAnsi="Ottawa" w:cs="Arial"/>
          <w:b/>
          <w:spacing w:val="4"/>
          <w:sz w:val="28"/>
          <w:szCs w:val="28"/>
          <w:lang w:eastAsia="en-GB"/>
        </w:rPr>
        <w:t xml:space="preserve"> Article 10.4.17. for</w:t>
      </w:r>
      <w:r w:rsidRPr="009623A4">
        <w:rPr>
          <w:rFonts w:ascii="Ottawa" w:eastAsia="Ottawa" w:hAnsi="Ottawa" w:cs="Arial"/>
          <w:b/>
          <w:spacing w:val="4"/>
          <w:sz w:val="28"/>
          <w:szCs w:val="28"/>
          <w:lang w:eastAsia="en-GB"/>
        </w:rPr>
        <w:br/>
      </w:r>
      <w:r w:rsidRPr="009623A4">
        <w:rPr>
          <w:rFonts w:ascii="Ottawa" w:eastAsia="Ottawa" w:hAnsi="Ottawa" w:cs="Arial"/>
          <w:b/>
          <w:spacing w:val="4"/>
          <w:sz w:val="28"/>
          <w:szCs w:val="28"/>
          <w:u w:val="double"/>
          <w:lang w:eastAsia="en-GB"/>
        </w:rPr>
        <w:t>Chapter 10.4.</w:t>
      </w:r>
      <w:r w:rsidRPr="009623A4">
        <w:rPr>
          <w:rFonts w:ascii="Ottawa" w:eastAsia="Ottawa" w:hAnsi="Ottawa" w:cs="Arial"/>
          <w:b/>
          <w:spacing w:val="4"/>
          <w:sz w:val="28"/>
          <w:szCs w:val="28"/>
          <w:lang w:eastAsia="en-GB"/>
        </w:rPr>
        <w:t xml:space="preserve"> </w:t>
      </w:r>
      <w:r w:rsidRPr="009623A4">
        <w:rPr>
          <w:rFonts w:ascii="Ottawa" w:eastAsia="Ottawa" w:hAnsi="Ottawa" w:cs="Arial"/>
          <w:b/>
          <w:spacing w:val="4"/>
          <w:sz w:val="28"/>
          <w:szCs w:val="28"/>
          <w:u w:val="double"/>
          <w:lang w:eastAsia="en-GB"/>
        </w:rPr>
        <w:t>I</w:t>
      </w:r>
      <w:r w:rsidRPr="009623A4">
        <w:rPr>
          <w:rFonts w:ascii="Ottawa" w:eastAsia="Ottawa" w:hAnsi="Ottawa" w:cs="Arial"/>
          <w:b/>
          <w:strike/>
          <w:spacing w:val="4"/>
          <w:sz w:val="28"/>
          <w:szCs w:val="28"/>
          <w:lang w:eastAsia="en-GB"/>
        </w:rPr>
        <w:t>i</w:t>
      </w:r>
      <w:r w:rsidRPr="009623A4">
        <w:rPr>
          <w:rFonts w:ascii="Ottawa" w:eastAsia="Ottawa" w:hAnsi="Ottawa" w:cs="Arial"/>
          <w:b/>
          <w:spacing w:val="4"/>
          <w:sz w:val="28"/>
          <w:szCs w:val="28"/>
          <w:lang w:eastAsia="en-GB"/>
        </w:rPr>
        <w:t>nfection with infectious</w:t>
      </w:r>
      <w:r w:rsidRPr="009623A4">
        <w:rPr>
          <w:rFonts w:ascii="Ottawa" w:eastAsia="Ottawa" w:hAnsi="Ottawa" w:cs="Arial"/>
          <w:b/>
          <w:spacing w:val="4"/>
          <w:sz w:val="28"/>
          <w:szCs w:val="28"/>
          <w:lang w:eastAsia="en-GB"/>
        </w:rPr>
        <w:br/>
        <w:t>salmon anaemia virus)</w:t>
      </w:r>
    </w:p>
    <w:p w14:paraId="38EAA518" w14:textId="77777777" w:rsidR="007B3D5C" w:rsidRPr="009623A4" w:rsidRDefault="007B3D5C" w:rsidP="009623A4">
      <w:pPr>
        <w:spacing w:after="480" w:line="240" w:lineRule="auto"/>
        <w:jc w:val="center"/>
        <w:rPr>
          <w:rFonts w:ascii="Ottawa" w:hAnsi="Ottawa" w:cs="Arial"/>
          <w:sz w:val="18"/>
          <w:szCs w:val="18"/>
          <w:lang w:val="en"/>
        </w:rPr>
      </w:pPr>
      <w:r w:rsidRPr="009623A4">
        <w:rPr>
          <w:rFonts w:ascii="Ottawa" w:eastAsia="Ottawa" w:hAnsi="Ottawa" w:cs="Arial"/>
          <w:spacing w:val="4"/>
          <w:sz w:val="18"/>
          <w:szCs w:val="18"/>
          <w:lang w:val="en-US" w:eastAsia="en-GB"/>
        </w:rPr>
        <w:t>[…]</w:t>
      </w:r>
    </w:p>
    <w:p w14:paraId="1CCC5121" w14:textId="77777777" w:rsidR="007B3D5C" w:rsidRPr="00D403F5" w:rsidRDefault="007B3D5C" w:rsidP="009623A4">
      <w:pPr>
        <w:spacing w:after="240" w:line="240" w:lineRule="auto"/>
        <w:jc w:val="center"/>
        <w:rPr>
          <w:rFonts w:ascii="Ottawa" w:hAnsi="Ottawa" w:cs="Arial"/>
          <w:sz w:val="18"/>
          <w:szCs w:val="18"/>
          <w:lang w:val="en"/>
        </w:rPr>
      </w:pPr>
      <w:r w:rsidRPr="00D403F5">
        <w:rPr>
          <w:rFonts w:ascii="Ottawa" w:hAnsi="Ottawa" w:cs="Arial"/>
          <w:sz w:val="18"/>
          <w:szCs w:val="18"/>
          <w:lang w:val="en"/>
        </w:rPr>
        <w:t>Article 10.X.13.</w:t>
      </w:r>
    </w:p>
    <w:p w14:paraId="6551166F" w14:textId="77777777" w:rsidR="007B3D5C" w:rsidRPr="00D403F5" w:rsidRDefault="007B3D5C" w:rsidP="009623A4">
      <w:pPr>
        <w:spacing w:after="240" w:line="240" w:lineRule="auto"/>
        <w:jc w:val="both"/>
        <w:rPr>
          <w:rFonts w:ascii="Ottawa" w:hAnsi="Ottawa" w:cs="Arial"/>
          <w:b/>
          <w:sz w:val="18"/>
          <w:szCs w:val="18"/>
          <w:lang w:val="en"/>
        </w:rPr>
      </w:pPr>
      <w:r w:rsidRPr="00D403F5">
        <w:rPr>
          <w:rFonts w:ascii="Ottawa" w:hAnsi="Ottawa" w:cs="Arial"/>
          <w:b/>
          <w:sz w:val="18"/>
          <w:szCs w:val="18"/>
          <w:lang w:val="en"/>
        </w:rPr>
        <w:t xml:space="preserve">Importation of disinfected eggs for aquaculture from a country, zone or compartment not declared free from infection with </w:t>
      </w:r>
      <w:r w:rsidRPr="00D403F5">
        <w:rPr>
          <w:rFonts w:ascii="Ottawa" w:hAnsi="Ottawa" w:cs="Arial"/>
          <w:b/>
          <w:sz w:val="18"/>
          <w:szCs w:val="18"/>
          <w:highlight w:val="yellow"/>
          <w:lang w:val="en"/>
        </w:rPr>
        <w:t>[</w:t>
      </w:r>
      <w:r w:rsidRPr="00D403F5">
        <w:rPr>
          <w:rFonts w:ascii="Ottawa" w:hAnsi="Ottawa" w:cs="Arial"/>
          <w:b/>
          <w:sz w:val="18"/>
          <w:szCs w:val="18"/>
          <w:lang w:val="en"/>
        </w:rPr>
        <w:t>pathogenic agent X</w:t>
      </w:r>
      <w:r w:rsidRPr="00D403F5">
        <w:rPr>
          <w:rFonts w:ascii="Ottawa" w:hAnsi="Ottawa" w:cs="Arial"/>
          <w:b/>
          <w:sz w:val="18"/>
          <w:szCs w:val="18"/>
          <w:highlight w:val="yellow"/>
          <w:lang w:val="en"/>
        </w:rPr>
        <w:t>]</w:t>
      </w:r>
    </w:p>
    <w:p w14:paraId="72D68A0C" w14:textId="77777777" w:rsidR="007B3D5C" w:rsidRPr="00D403F5" w:rsidRDefault="007B3D5C" w:rsidP="009623A4">
      <w:pPr>
        <w:spacing w:after="240" w:line="240" w:lineRule="auto"/>
        <w:ind w:left="426" w:hanging="426"/>
        <w:jc w:val="both"/>
        <w:rPr>
          <w:rFonts w:ascii="Arial" w:hAnsi="Arial" w:cs="Arial"/>
          <w:sz w:val="18"/>
          <w:szCs w:val="18"/>
          <w:lang w:val="en"/>
        </w:rPr>
      </w:pPr>
      <w:r w:rsidRPr="00D403F5">
        <w:rPr>
          <w:rFonts w:ascii="Arial" w:hAnsi="Arial" w:cs="Arial"/>
          <w:sz w:val="18"/>
          <w:szCs w:val="18"/>
          <w:lang w:val="en"/>
        </w:rPr>
        <w:t>1)</w:t>
      </w:r>
      <w:r w:rsidRPr="00D403F5">
        <w:rPr>
          <w:rFonts w:ascii="Arial" w:hAnsi="Arial" w:cs="Arial"/>
          <w:sz w:val="18"/>
          <w:szCs w:val="18"/>
          <w:lang w:val="en"/>
        </w:rPr>
        <w:tab/>
        <w:t xml:space="preserve">When importing disinfected eggs of the species referred to in Article 10.X.2. for </w:t>
      </w:r>
      <w:r w:rsidRPr="00D403F5">
        <w:rPr>
          <w:rFonts w:ascii="Arial" w:hAnsi="Arial" w:cs="Arial"/>
          <w:i/>
          <w:iCs/>
          <w:sz w:val="18"/>
          <w:szCs w:val="18"/>
          <w:lang w:val="en"/>
        </w:rPr>
        <w:t>aquaculture</w:t>
      </w:r>
      <w:r w:rsidRPr="00D403F5">
        <w:rPr>
          <w:rFonts w:ascii="Arial" w:hAnsi="Arial" w:cs="Arial"/>
          <w:sz w:val="18"/>
          <w:szCs w:val="18"/>
          <w:lang w:val="en"/>
        </w:rPr>
        <w:t xml:space="preserve">, from a country, </w:t>
      </w:r>
      <w:r w:rsidRPr="00D403F5">
        <w:rPr>
          <w:rFonts w:ascii="Arial" w:hAnsi="Arial" w:cs="Arial"/>
          <w:i/>
          <w:iCs/>
          <w:sz w:val="18"/>
          <w:szCs w:val="18"/>
          <w:lang w:val="en"/>
        </w:rPr>
        <w:t>zone</w:t>
      </w:r>
      <w:r w:rsidRPr="00D403F5">
        <w:rPr>
          <w:rFonts w:ascii="Arial" w:hAnsi="Arial" w:cs="Arial"/>
          <w:sz w:val="18"/>
          <w:szCs w:val="18"/>
          <w:lang w:val="en"/>
        </w:rPr>
        <w:t xml:space="preserve"> or </w:t>
      </w:r>
      <w:r w:rsidRPr="00D403F5">
        <w:rPr>
          <w:rFonts w:ascii="Arial" w:hAnsi="Arial" w:cs="Arial"/>
          <w:i/>
          <w:iCs/>
          <w:sz w:val="18"/>
          <w:szCs w:val="18"/>
          <w:lang w:val="en"/>
        </w:rPr>
        <w:t>compartment</w:t>
      </w:r>
      <w:r w:rsidRPr="00D403F5">
        <w:rPr>
          <w:rFonts w:ascii="Arial" w:hAnsi="Arial" w:cs="Arial"/>
          <w:sz w:val="18"/>
          <w:szCs w:val="18"/>
          <w:lang w:val="en"/>
        </w:rPr>
        <w:t xml:space="preserve"> not declared free from infection with </w:t>
      </w:r>
      <w:r w:rsidRPr="00D403F5">
        <w:rPr>
          <w:rFonts w:ascii="Arial" w:hAnsi="Arial" w:cs="Arial"/>
          <w:sz w:val="18"/>
          <w:szCs w:val="18"/>
          <w:highlight w:val="yellow"/>
          <w:u w:val="double"/>
          <w:lang w:val="en"/>
        </w:rPr>
        <w:t>[pathogenic agent X]</w:t>
      </w:r>
      <w:r w:rsidRPr="00D403F5">
        <w:rPr>
          <w:rFonts w:ascii="Arial" w:hAnsi="Arial" w:cs="Arial"/>
          <w:sz w:val="18"/>
          <w:szCs w:val="18"/>
          <w:lang w:val="en"/>
        </w:rPr>
        <w:t xml:space="preserve">, the </w:t>
      </w:r>
      <w:r w:rsidRPr="00D403F5">
        <w:rPr>
          <w:rFonts w:ascii="Arial" w:hAnsi="Arial" w:cs="Arial"/>
          <w:i/>
          <w:iCs/>
          <w:sz w:val="18"/>
          <w:szCs w:val="18"/>
          <w:lang w:val="en"/>
        </w:rPr>
        <w:t>Competent Authority</w:t>
      </w:r>
      <w:r w:rsidRPr="00D403F5">
        <w:rPr>
          <w:rFonts w:ascii="Arial" w:hAnsi="Arial" w:cs="Arial"/>
          <w:sz w:val="18"/>
          <w:szCs w:val="18"/>
          <w:lang w:val="en"/>
        </w:rPr>
        <w:t xml:space="preserve"> of the </w:t>
      </w:r>
      <w:r w:rsidRPr="00D403F5">
        <w:rPr>
          <w:rFonts w:ascii="Arial" w:hAnsi="Arial" w:cs="Arial"/>
          <w:i/>
          <w:iCs/>
          <w:sz w:val="18"/>
          <w:szCs w:val="18"/>
          <w:lang w:val="en"/>
        </w:rPr>
        <w:t>importing country</w:t>
      </w:r>
      <w:r w:rsidRPr="00D403F5">
        <w:rPr>
          <w:rFonts w:ascii="Arial" w:hAnsi="Arial" w:cs="Arial"/>
          <w:sz w:val="18"/>
          <w:szCs w:val="18"/>
          <w:lang w:val="en"/>
        </w:rPr>
        <w:t xml:space="preserve"> should assess </w:t>
      </w:r>
      <w:r w:rsidRPr="00D403F5">
        <w:rPr>
          <w:rFonts w:ascii="Arial" w:hAnsi="Arial" w:cs="Arial"/>
          <w:strike/>
          <w:sz w:val="18"/>
          <w:szCs w:val="18"/>
          <w:lang w:val="en"/>
        </w:rPr>
        <w:t xml:space="preserve">the </w:t>
      </w:r>
      <w:r w:rsidRPr="00D403F5">
        <w:rPr>
          <w:rFonts w:ascii="Arial" w:hAnsi="Arial" w:cs="Arial"/>
          <w:i/>
          <w:iCs/>
          <w:strike/>
          <w:sz w:val="18"/>
          <w:szCs w:val="18"/>
          <w:lang w:val="en"/>
        </w:rPr>
        <w:t>risk</w:t>
      </w:r>
      <w:r w:rsidRPr="00D403F5">
        <w:rPr>
          <w:rFonts w:ascii="Arial" w:hAnsi="Arial" w:cs="Arial"/>
          <w:strike/>
          <w:sz w:val="18"/>
          <w:szCs w:val="18"/>
          <w:lang w:val="en"/>
        </w:rPr>
        <w:t xml:space="preserve"> associated with</w:t>
      </w:r>
      <w:r w:rsidRPr="00D403F5">
        <w:rPr>
          <w:rFonts w:ascii="Arial" w:hAnsi="Arial" w:cs="Arial"/>
          <w:sz w:val="18"/>
          <w:szCs w:val="18"/>
          <w:lang w:val="en"/>
        </w:rPr>
        <w:t xml:space="preserve"> at least </w:t>
      </w:r>
      <w:r w:rsidRPr="00D403F5">
        <w:rPr>
          <w:rFonts w:ascii="Arial" w:hAnsi="Arial" w:cs="Arial"/>
          <w:sz w:val="18"/>
          <w:szCs w:val="18"/>
          <w:u w:val="double"/>
          <w:lang w:val="en"/>
        </w:rPr>
        <w:t>the following</w:t>
      </w:r>
      <w:r w:rsidRPr="00D403F5">
        <w:rPr>
          <w:rFonts w:ascii="Arial" w:hAnsi="Arial" w:cs="Arial"/>
          <w:sz w:val="18"/>
          <w:szCs w:val="18"/>
          <w:lang w:val="en"/>
        </w:rPr>
        <w:t>:</w:t>
      </w:r>
    </w:p>
    <w:p w14:paraId="2B7AD384" w14:textId="77777777" w:rsidR="007B3D5C" w:rsidRPr="00D403F5" w:rsidRDefault="007B3D5C" w:rsidP="009623A4">
      <w:pPr>
        <w:spacing w:after="240" w:line="240" w:lineRule="auto"/>
        <w:ind w:left="851" w:hanging="425"/>
        <w:jc w:val="both"/>
        <w:rPr>
          <w:rFonts w:ascii="Arial" w:hAnsi="Arial" w:cs="Arial"/>
          <w:sz w:val="18"/>
          <w:szCs w:val="18"/>
          <w:lang w:val="en"/>
        </w:rPr>
      </w:pPr>
      <w:r w:rsidRPr="00D403F5">
        <w:rPr>
          <w:rFonts w:ascii="Arial" w:hAnsi="Arial" w:cs="Arial"/>
          <w:i/>
          <w:sz w:val="18"/>
          <w:szCs w:val="18"/>
          <w:lang w:val="en"/>
        </w:rPr>
        <w:t>a)</w:t>
      </w:r>
      <w:r w:rsidRPr="00D403F5">
        <w:rPr>
          <w:rFonts w:ascii="Arial" w:hAnsi="Arial" w:cs="Arial"/>
          <w:sz w:val="18"/>
          <w:szCs w:val="18"/>
          <w:lang w:val="en"/>
        </w:rPr>
        <w:tab/>
        <w:t xml:space="preserve">the </w:t>
      </w:r>
      <w:r w:rsidRPr="00D403F5">
        <w:rPr>
          <w:rFonts w:ascii="Arial" w:hAnsi="Arial" w:cs="Arial"/>
          <w:strike/>
          <w:sz w:val="18"/>
          <w:szCs w:val="18"/>
          <w:lang w:val="en"/>
        </w:rPr>
        <w:t>infection with pathogenic agent X</w:t>
      </w:r>
      <w:r w:rsidRPr="00D403F5">
        <w:rPr>
          <w:rFonts w:ascii="Arial" w:hAnsi="Arial" w:cs="Arial"/>
          <w:sz w:val="18"/>
          <w:szCs w:val="18"/>
          <w:lang w:val="en"/>
        </w:rPr>
        <w:t xml:space="preserve"> </w:t>
      </w:r>
      <w:r w:rsidRPr="00D403F5">
        <w:rPr>
          <w:rFonts w:ascii="Arial" w:hAnsi="Arial" w:cs="Arial"/>
          <w:sz w:val="18"/>
          <w:szCs w:val="18"/>
          <w:u w:val="double"/>
          <w:lang w:val="en"/>
        </w:rPr>
        <w:t>likelihood that</w:t>
      </w:r>
      <w:r w:rsidRPr="00D403F5">
        <w:rPr>
          <w:rFonts w:ascii="Arial" w:hAnsi="Arial" w:cs="Arial"/>
          <w:sz w:val="18"/>
          <w:szCs w:val="18"/>
          <w:lang w:val="en"/>
        </w:rPr>
        <w:t xml:space="preserve"> </w:t>
      </w:r>
      <w:r w:rsidRPr="00D403F5">
        <w:rPr>
          <w:rFonts w:ascii="Arial" w:hAnsi="Arial" w:cs="Arial"/>
          <w:strike/>
          <w:sz w:val="18"/>
          <w:szCs w:val="18"/>
          <w:lang w:val="en"/>
        </w:rPr>
        <w:t>status of the</w:t>
      </w:r>
      <w:r w:rsidRPr="00D403F5">
        <w:rPr>
          <w:rFonts w:ascii="Arial" w:hAnsi="Arial" w:cs="Arial"/>
          <w:sz w:val="18"/>
          <w:szCs w:val="18"/>
          <w:lang w:val="en"/>
        </w:rPr>
        <w:t xml:space="preserve"> water </w:t>
      </w:r>
      <w:r w:rsidRPr="00D403F5">
        <w:rPr>
          <w:rFonts w:ascii="Arial" w:hAnsi="Arial" w:cs="Arial"/>
          <w:strike/>
          <w:sz w:val="18"/>
          <w:szCs w:val="18"/>
          <w:lang w:val="en"/>
        </w:rPr>
        <w:t>to be</w:t>
      </w:r>
      <w:r w:rsidRPr="00D403F5">
        <w:rPr>
          <w:rFonts w:ascii="Arial" w:hAnsi="Arial" w:cs="Arial"/>
          <w:sz w:val="18"/>
          <w:szCs w:val="18"/>
          <w:lang w:val="en"/>
        </w:rPr>
        <w:t xml:space="preserve"> used during the </w:t>
      </w:r>
      <w:r w:rsidRPr="00D403F5">
        <w:rPr>
          <w:rFonts w:ascii="Arial" w:hAnsi="Arial" w:cs="Arial"/>
          <w:i/>
          <w:iCs/>
          <w:sz w:val="18"/>
          <w:szCs w:val="18"/>
          <w:lang w:val="en"/>
        </w:rPr>
        <w:t>disinfection</w:t>
      </w:r>
      <w:r w:rsidRPr="00D403F5">
        <w:rPr>
          <w:rFonts w:ascii="Arial" w:hAnsi="Arial" w:cs="Arial"/>
          <w:sz w:val="18"/>
          <w:szCs w:val="18"/>
          <w:lang w:val="en"/>
        </w:rPr>
        <w:t xml:space="preserve"> of the eggs </w:t>
      </w:r>
      <w:r w:rsidRPr="00D403F5">
        <w:rPr>
          <w:rFonts w:ascii="Arial" w:hAnsi="Arial" w:cs="Arial"/>
          <w:sz w:val="18"/>
          <w:szCs w:val="18"/>
          <w:u w:val="double"/>
          <w:lang w:val="en"/>
        </w:rPr>
        <w:t xml:space="preserve">is contaminated with </w:t>
      </w:r>
      <w:r w:rsidRPr="00D403F5">
        <w:rPr>
          <w:rFonts w:ascii="Arial" w:hAnsi="Arial" w:cs="Arial"/>
          <w:sz w:val="18"/>
          <w:szCs w:val="18"/>
          <w:highlight w:val="yellow"/>
          <w:u w:val="double"/>
          <w:lang w:val="en"/>
        </w:rPr>
        <w:t>[</w:t>
      </w:r>
      <w:r w:rsidRPr="00D403F5">
        <w:rPr>
          <w:rFonts w:ascii="Arial" w:hAnsi="Arial" w:cs="Arial"/>
          <w:sz w:val="18"/>
          <w:szCs w:val="18"/>
          <w:u w:val="double"/>
          <w:lang w:val="en"/>
        </w:rPr>
        <w:t>pathogenic agent X</w:t>
      </w:r>
      <w:r w:rsidRPr="00D403F5">
        <w:rPr>
          <w:rFonts w:ascii="Arial" w:hAnsi="Arial" w:cs="Arial"/>
          <w:sz w:val="18"/>
          <w:szCs w:val="18"/>
          <w:highlight w:val="yellow"/>
          <w:u w:val="double"/>
          <w:lang w:val="en"/>
        </w:rPr>
        <w:t>]</w:t>
      </w:r>
      <w:r w:rsidRPr="00D403F5">
        <w:rPr>
          <w:rFonts w:ascii="Arial" w:hAnsi="Arial" w:cs="Arial"/>
          <w:sz w:val="18"/>
          <w:szCs w:val="18"/>
          <w:lang w:val="en"/>
        </w:rPr>
        <w:t>;</w:t>
      </w:r>
    </w:p>
    <w:p w14:paraId="22112AAC" w14:textId="77777777" w:rsidR="007B3D5C" w:rsidRPr="00D403F5" w:rsidRDefault="007B3D5C" w:rsidP="009623A4">
      <w:pPr>
        <w:spacing w:after="240" w:line="240" w:lineRule="auto"/>
        <w:ind w:left="851" w:hanging="425"/>
        <w:jc w:val="both"/>
        <w:rPr>
          <w:rFonts w:ascii="Arial" w:hAnsi="Arial" w:cs="Arial"/>
          <w:sz w:val="18"/>
          <w:szCs w:val="18"/>
          <w:lang w:val="en"/>
        </w:rPr>
      </w:pPr>
      <w:r w:rsidRPr="00D403F5">
        <w:rPr>
          <w:rFonts w:ascii="Arial" w:hAnsi="Arial" w:cs="Arial"/>
          <w:i/>
          <w:sz w:val="18"/>
          <w:szCs w:val="18"/>
          <w:lang w:val="en"/>
        </w:rPr>
        <w:t>b)</w:t>
      </w:r>
      <w:r w:rsidRPr="00D403F5">
        <w:rPr>
          <w:rFonts w:ascii="Arial" w:hAnsi="Arial" w:cs="Arial"/>
          <w:sz w:val="18"/>
          <w:szCs w:val="18"/>
          <w:lang w:val="en"/>
        </w:rPr>
        <w:tab/>
        <w:t xml:space="preserve">the prevalence of infection with </w:t>
      </w:r>
      <w:r w:rsidRPr="00D403F5">
        <w:rPr>
          <w:rFonts w:ascii="Arial" w:hAnsi="Arial" w:cs="Arial"/>
          <w:sz w:val="18"/>
          <w:szCs w:val="18"/>
          <w:highlight w:val="yellow"/>
          <w:u w:val="double"/>
          <w:lang w:val="en"/>
        </w:rPr>
        <w:t>[</w:t>
      </w:r>
      <w:r w:rsidRPr="00D403F5">
        <w:rPr>
          <w:rFonts w:ascii="Arial" w:hAnsi="Arial" w:cs="Arial"/>
          <w:sz w:val="18"/>
          <w:szCs w:val="18"/>
          <w:u w:val="double"/>
          <w:lang w:val="en"/>
        </w:rPr>
        <w:t>pathogenic agent X</w:t>
      </w:r>
      <w:r w:rsidRPr="00D403F5">
        <w:rPr>
          <w:rFonts w:ascii="Arial" w:hAnsi="Arial" w:cs="Arial"/>
          <w:sz w:val="18"/>
          <w:szCs w:val="18"/>
          <w:highlight w:val="yellow"/>
          <w:u w:val="double"/>
          <w:lang w:val="en"/>
        </w:rPr>
        <w:t>]</w:t>
      </w:r>
      <w:r w:rsidRPr="00D403F5">
        <w:rPr>
          <w:rFonts w:ascii="Arial" w:hAnsi="Arial" w:cs="Arial"/>
          <w:sz w:val="18"/>
          <w:szCs w:val="18"/>
          <w:lang w:val="en"/>
        </w:rPr>
        <w:t>in broodstock (</w:t>
      </w:r>
      <w:r w:rsidRPr="00D403F5">
        <w:rPr>
          <w:rFonts w:ascii="Arial" w:hAnsi="Arial" w:cs="Arial"/>
          <w:sz w:val="18"/>
          <w:szCs w:val="18"/>
          <w:highlight w:val="yellow"/>
          <w:u w:val="double"/>
          <w:lang w:val="en"/>
        </w:rPr>
        <w:t>including by testing of</w:t>
      </w:r>
      <w:r w:rsidRPr="00D403F5">
        <w:rPr>
          <w:rFonts w:ascii="Arial" w:hAnsi="Arial" w:cs="Arial"/>
          <w:sz w:val="18"/>
          <w:szCs w:val="18"/>
          <w:lang w:val="en"/>
        </w:rPr>
        <w:t xml:space="preserve"> ovarian fluid and milt); and</w:t>
      </w:r>
    </w:p>
    <w:p w14:paraId="079ED969" w14:textId="77777777" w:rsidR="007B3D5C" w:rsidRPr="00D403F5" w:rsidRDefault="007B3D5C" w:rsidP="009623A4">
      <w:pPr>
        <w:spacing w:after="240" w:line="240" w:lineRule="auto"/>
        <w:ind w:left="851" w:hanging="425"/>
        <w:jc w:val="both"/>
        <w:rPr>
          <w:rFonts w:ascii="Arial" w:hAnsi="Arial" w:cs="Arial"/>
          <w:sz w:val="18"/>
          <w:szCs w:val="18"/>
          <w:lang w:val="en"/>
        </w:rPr>
      </w:pPr>
      <w:r w:rsidRPr="00D403F5">
        <w:rPr>
          <w:rFonts w:ascii="Arial" w:hAnsi="Arial" w:cs="Arial"/>
          <w:i/>
          <w:sz w:val="18"/>
          <w:szCs w:val="18"/>
          <w:lang w:val="en"/>
        </w:rPr>
        <w:t>c)</w:t>
      </w:r>
      <w:r w:rsidRPr="00D403F5">
        <w:rPr>
          <w:rFonts w:ascii="Arial" w:hAnsi="Arial" w:cs="Arial"/>
          <w:sz w:val="18"/>
          <w:szCs w:val="18"/>
          <w:lang w:val="en"/>
        </w:rPr>
        <w:tab/>
        <w:t xml:space="preserve">the temperature and pH of the water </w:t>
      </w:r>
      <w:r w:rsidRPr="00D403F5">
        <w:rPr>
          <w:rFonts w:ascii="Arial" w:hAnsi="Arial" w:cs="Arial"/>
          <w:strike/>
          <w:sz w:val="18"/>
          <w:szCs w:val="18"/>
          <w:highlight w:val="yellow"/>
          <w:lang w:val="en"/>
        </w:rPr>
        <w:t>to be</w:t>
      </w:r>
      <w:r w:rsidRPr="00D403F5">
        <w:rPr>
          <w:rFonts w:ascii="Arial" w:hAnsi="Arial" w:cs="Arial"/>
          <w:sz w:val="18"/>
          <w:szCs w:val="18"/>
          <w:lang w:val="en"/>
        </w:rPr>
        <w:t xml:space="preserve"> used for </w:t>
      </w:r>
      <w:r w:rsidRPr="00D403F5">
        <w:rPr>
          <w:rFonts w:ascii="Arial" w:hAnsi="Arial" w:cs="Arial"/>
          <w:i/>
          <w:iCs/>
          <w:sz w:val="18"/>
          <w:szCs w:val="18"/>
          <w:lang w:val="en"/>
        </w:rPr>
        <w:t>disinfection</w:t>
      </w:r>
      <w:r w:rsidRPr="00D403F5">
        <w:rPr>
          <w:rFonts w:ascii="Arial" w:hAnsi="Arial" w:cs="Arial"/>
          <w:sz w:val="18"/>
          <w:szCs w:val="18"/>
          <w:lang w:val="en"/>
        </w:rPr>
        <w:t>.</w:t>
      </w:r>
    </w:p>
    <w:p w14:paraId="74074B36" w14:textId="77777777" w:rsidR="007B3D5C" w:rsidRPr="00D403F5" w:rsidRDefault="007B3D5C" w:rsidP="009623A4">
      <w:pPr>
        <w:spacing w:after="240" w:line="240" w:lineRule="auto"/>
        <w:ind w:left="426" w:hanging="426"/>
        <w:jc w:val="both"/>
        <w:rPr>
          <w:rFonts w:ascii="Arial" w:hAnsi="Arial" w:cs="Arial"/>
          <w:sz w:val="18"/>
          <w:szCs w:val="18"/>
          <w:lang w:val="en"/>
        </w:rPr>
      </w:pPr>
      <w:r w:rsidRPr="00D403F5">
        <w:rPr>
          <w:rFonts w:ascii="Arial" w:hAnsi="Arial" w:cs="Arial"/>
          <w:sz w:val="18"/>
          <w:szCs w:val="18"/>
          <w:lang w:val="en"/>
        </w:rPr>
        <w:t>2)</w:t>
      </w:r>
      <w:r w:rsidRPr="00D403F5">
        <w:rPr>
          <w:rFonts w:ascii="Arial" w:hAnsi="Arial" w:cs="Arial"/>
          <w:sz w:val="18"/>
          <w:szCs w:val="18"/>
          <w:lang w:val="en"/>
        </w:rPr>
        <w:tab/>
        <w:t xml:space="preserve">If the </w:t>
      </w:r>
      <w:r w:rsidRPr="00D403F5">
        <w:rPr>
          <w:rFonts w:ascii="Arial" w:hAnsi="Arial" w:cs="Arial"/>
          <w:i/>
          <w:iCs/>
          <w:sz w:val="18"/>
          <w:szCs w:val="18"/>
          <w:lang w:val="en"/>
        </w:rPr>
        <w:t>Competent Authority</w:t>
      </w:r>
      <w:r w:rsidRPr="00D403F5">
        <w:rPr>
          <w:rFonts w:ascii="Arial" w:hAnsi="Arial" w:cs="Arial"/>
          <w:sz w:val="18"/>
          <w:szCs w:val="18"/>
          <w:lang w:val="en"/>
        </w:rPr>
        <w:t xml:space="preserve"> of the </w:t>
      </w:r>
      <w:r w:rsidRPr="00D403F5">
        <w:rPr>
          <w:rFonts w:ascii="Arial" w:hAnsi="Arial" w:cs="Arial"/>
          <w:i/>
          <w:iCs/>
          <w:sz w:val="18"/>
          <w:szCs w:val="18"/>
          <w:lang w:val="en"/>
        </w:rPr>
        <w:t>importing country</w:t>
      </w:r>
      <w:r w:rsidRPr="00D403F5">
        <w:rPr>
          <w:rFonts w:ascii="Arial" w:hAnsi="Arial" w:cs="Arial"/>
          <w:sz w:val="18"/>
          <w:szCs w:val="18"/>
          <w:lang w:val="en"/>
        </w:rPr>
        <w:t xml:space="preserve"> concludes that the importation is acceptable, it should apply </w:t>
      </w:r>
      <w:r w:rsidRPr="00D403F5">
        <w:rPr>
          <w:rFonts w:ascii="Arial" w:hAnsi="Arial" w:cs="Arial"/>
          <w:strike/>
          <w:sz w:val="18"/>
          <w:szCs w:val="18"/>
          <w:highlight w:val="yellow"/>
          <w:lang w:val="en"/>
        </w:rPr>
        <w:t>the following</w:t>
      </w:r>
      <w:r w:rsidRPr="00D403F5">
        <w:rPr>
          <w:rFonts w:ascii="Arial" w:hAnsi="Arial" w:cs="Arial"/>
          <w:sz w:val="18"/>
          <w:szCs w:val="18"/>
          <w:lang w:val="en"/>
        </w:rPr>
        <w:t xml:space="preserve"> </w:t>
      </w:r>
      <w:r w:rsidRPr="00D403F5">
        <w:rPr>
          <w:rFonts w:ascii="Arial" w:hAnsi="Arial" w:cs="Arial"/>
          <w:i/>
          <w:iCs/>
          <w:sz w:val="18"/>
          <w:szCs w:val="18"/>
          <w:lang w:val="en"/>
        </w:rPr>
        <w:t>risk</w:t>
      </w:r>
      <w:r w:rsidRPr="00D403F5">
        <w:rPr>
          <w:rFonts w:ascii="Arial" w:hAnsi="Arial" w:cs="Arial"/>
          <w:sz w:val="18"/>
          <w:szCs w:val="18"/>
          <w:lang w:val="en"/>
        </w:rPr>
        <w:t xml:space="preserve"> mitigation measures including:</w:t>
      </w:r>
    </w:p>
    <w:p w14:paraId="56DD4E0D" w14:textId="77777777" w:rsidR="007B3D5C" w:rsidRPr="00D403F5" w:rsidRDefault="007B3D5C" w:rsidP="009623A4">
      <w:pPr>
        <w:spacing w:after="240" w:line="240" w:lineRule="auto"/>
        <w:ind w:left="851" w:hanging="425"/>
        <w:jc w:val="both"/>
        <w:rPr>
          <w:rFonts w:ascii="Arial" w:hAnsi="Arial" w:cs="Arial"/>
          <w:sz w:val="18"/>
          <w:szCs w:val="18"/>
          <w:lang w:val="en"/>
        </w:rPr>
      </w:pPr>
      <w:r w:rsidRPr="00D403F5">
        <w:rPr>
          <w:rFonts w:ascii="Arial" w:hAnsi="Arial" w:cs="Arial"/>
          <w:i/>
          <w:sz w:val="18"/>
          <w:szCs w:val="18"/>
          <w:lang w:val="en"/>
        </w:rPr>
        <w:t>a)</w:t>
      </w:r>
      <w:r w:rsidRPr="00D403F5">
        <w:rPr>
          <w:rFonts w:ascii="Arial" w:hAnsi="Arial" w:cs="Arial"/>
          <w:sz w:val="18"/>
          <w:szCs w:val="18"/>
          <w:lang w:val="en"/>
        </w:rPr>
        <w:tab/>
        <w:t xml:space="preserve">the eggs should be disinfected prior to importing, in accordance with recommendations in Chapter 4.4. </w:t>
      </w:r>
      <w:r w:rsidRPr="00D403F5">
        <w:rPr>
          <w:rFonts w:ascii="Arial" w:hAnsi="Arial" w:cs="Arial"/>
          <w:strike/>
          <w:sz w:val="18"/>
          <w:szCs w:val="18"/>
          <w:highlight w:val="yellow"/>
          <w:lang w:val="en"/>
        </w:rPr>
        <w:t xml:space="preserve">or those specified by the </w:t>
      </w:r>
      <w:r w:rsidRPr="00D403F5">
        <w:rPr>
          <w:rFonts w:ascii="Arial" w:hAnsi="Arial" w:cs="Arial"/>
          <w:i/>
          <w:iCs/>
          <w:strike/>
          <w:sz w:val="18"/>
          <w:szCs w:val="18"/>
          <w:highlight w:val="yellow"/>
          <w:lang w:val="en"/>
        </w:rPr>
        <w:t>Competent Authority</w:t>
      </w:r>
      <w:r w:rsidRPr="00D403F5">
        <w:rPr>
          <w:rFonts w:ascii="Arial" w:hAnsi="Arial" w:cs="Arial"/>
          <w:strike/>
          <w:sz w:val="18"/>
          <w:szCs w:val="18"/>
          <w:highlight w:val="yellow"/>
          <w:lang w:val="en"/>
        </w:rPr>
        <w:t xml:space="preserve"> of the </w:t>
      </w:r>
      <w:r w:rsidRPr="00D403F5">
        <w:rPr>
          <w:rFonts w:ascii="Arial" w:hAnsi="Arial" w:cs="Arial"/>
          <w:i/>
          <w:iCs/>
          <w:strike/>
          <w:sz w:val="18"/>
          <w:szCs w:val="18"/>
          <w:highlight w:val="yellow"/>
          <w:lang w:val="en"/>
        </w:rPr>
        <w:t>importing country</w:t>
      </w:r>
      <w:r w:rsidRPr="00D403F5">
        <w:rPr>
          <w:rFonts w:ascii="Arial" w:hAnsi="Arial" w:cs="Arial"/>
          <w:strike/>
          <w:sz w:val="18"/>
          <w:szCs w:val="18"/>
          <w:highlight w:val="yellow"/>
          <w:lang w:val="en"/>
        </w:rPr>
        <w:t>;</w:t>
      </w:r>
      <w:r w:rsidRPr="00D403F5">
        <w:rPr>
          <w:rFonts w:ascii="Arial" w:hAnsi="Arial" w:cs="Arial"/>
          <w:sz w:val="18"/>
          <w:szCs w:val="18"/>
          <w:lang w:val="en"/>
        </w:rPr>
        <w:t xml:space="preserve"> and</w:t>
      </w:r>
    </w:p>
    <w:p w14:paraId="03083719" w14:textId="77777777" w:rsidR="007B3D5C" w:rsidRPr="00D403F5" w:rsidRDefault="007B3D5C" w:rsidP="009623A4">
      <w:pPr>
        <w:spacing w:after="240" w:line="240" w:lineRule="auto"/>
        <w:ind w:left="851" w:hanging="425"/>
        <w:jc w:val="both"/>
        <w:rPr>
          <w:rFonts w:ascii="Arial" w:hAnsi="Arial" w:cs="Arial"/>
          <w:sz w:val="18"/>
          <w:szCs w:val="18"/>
          <w:lang w:val="en"/>
        </w:rPr>
      </w:pPr>
      <w:r w:rsidRPr="00D403F5">
        <w:rPr>
          <w:rFonts w:ascii="Arial" w:hAnsi="Arial" w:cs="Arial"/>
          <w:i/>
          <w:sz w:val="18"/>
          <w:szCs w:val="18"/>
          <w:lang w:val="en"/>
        </w:rPr>
        <w:t>b)</w:t>
      </w:r>
      <w:r w:rsidRPr="00D403F5">
        <w:rPr>
          <w:rFonts w:ascii="Arial" w:hAnsi="Arial" w:cs="Arial"/>
          <w:sz w:val="18"/>
          <w:szCs w:val="18"/>
          <w:lang w:val="en"/>
        </w:rPr>
        <w:tab/>
        <w:t xml:space="preserve">between </w:t>
      </w:r>
      <w:r w:rsidRPr="00D403F5">
        <w:rPr>
          <w:rFonts w:ascii="Arial" w:hAnsi="Arial" w:cs="Arial"/>
          <w:i/>
          <w:iCs/>
          <w:sz w:val="18"/>
          <w:szCs w:val="18"/>
          <w:lang w:val="en"/>
        </w:rPr>
        <w:t>disinfection</w:t>
      </w:r>
      <w:r w:rsidRPr="00D403F5">
        <w:rPr>
          <w:rFonts w:ascii="Arial" w:hAnsi="Arial" w:cs="Arial"/>
          <w:sz w:val="18"/>
          <w:szCs w:val="18"/>
          <w:lang w:val="en"/>
        </w:rPr>
        <w:t xml:space="preserve"> and the import, eggs should not come into contact with anything which may affect their health status. </w:t>
      </w:r>
    </w:p>
    <w:p w14:paraId="6D365C8C" w14:textId="77777777" w:rsidR="007B3D5C" w:rsidRPr="00D403F5" w:rsidRDefault="007B3D5C" w:rsidP="009623A4">
      <w:pPr>
        <w:spacing w:after="240" w:line="240" w:lineRule="auto"/>
        <w:ind w:left="426"/>
        <w:jc w:val="both"/>
        <w:rPr>
          <w:rFonts w:ascii="Arial" w:hAnsi="Arial" w:cs="Arial"/>
          <w:sz w:val="18"/>
          <w:szCs w:val="18"/>
          <w:lang w:val="en"/>
        </w:rPr>
      </w:pPr>
      <w:r w:rsidRPr="00D403F5">
        <w:rPr>
          <w:rFonts w:ascii="Arial" w:hAnsi="Arial" w:cs="Arial"/>
          <w:sz w:val="18"/>
          <w:szCs w:val="18"/>
          <w:lang w:val="en"/>
        </w:rPr>
        <w:t xml:space="preserve">The </w:t>
      </w:r>
      <w:r w:rsidRPr="00D403F5">
        <w:rPr>
          <w:rFonts w:ascii="Arial" w:hAnsi="Arial" w:cs="Arial"/>
          <w:i/>
          <w:iCs/>
          <w:sz w:val="18"/>
          <w:szCs w:val="18"/>
          <w:lang w:val="en"/>
        </w:rPr>
        <w:t>Competent Authority</w:t>
      </w:r>
      <w:r w:rsidRPr="00D403F5">
        <w:rPr>
          <w:rFonts w:ascii="Arial" w:hAnsi="Arial" w:cs="Arial"/>
          <w:sz w:val="18"/>
          <w:szCs w:val="18"/>
          <w:lang w:val="en"/>
        </w:rPr>
        <w:t xml:space="preserve"> may wish to consider internal measures, such as </w:t>
      </w:r>
      <w:r w:rsidRPr="00D403F5">
        <w:rPr>
          <w:rFonts w:ascii="Arial" w:hAnsi="Arial" w:cs="Arial"/>
          <w:sz w:val="18"/>
          <w:szCs w:val="18"/>
          <w:u w:val="double"/>
          <w:lang w:val="en"/>
        </w:rPr>
        <w:t>additional</w:t>
      </w:r>
      <w:r w:rsidRPr="00D403F5">
        <w:rPr>
          <w:rFonts w:ascii="Arial" w:hAnsi="Arial" w:cs="Arial"/>
          <w:sz w:val="18"/>
          <w:szCs w:val="18"/>
          <w:lang w:val="en"/>
        </w:rPr>
        <w:t xml:space="preserve"> </w:t>
      </w:r>
      <w:r w:rsidRPr="00D403F5">
        <w:rPr>
          <w:rFonts w:ascii="Arial" w:hAnsi="Arial" w:cs="Arial"/>
          <w:strike/>
          <w:sz w:val="18"/>
          <w:szCs w:val="18"/>
          <w:lang w:val="en"/>
        </w:rPr>
        <w:t>renewed</w:t>
      </w:r>
      <w:r w:rsidRPr="00D403F5">
        <w:rPr>
          <w:rFonts w:ascii="Arial" w:hAnsi="Arial" w:cs="Arial"/>
          <w:sz w:val="18"/>
          <w:szCs w:val="18"/>
          <w:lang w:val="en"/>
        </w:rPr>
        <w:t xml:space="preserve"> </w:t>
      </w:r>
      <w:r w:rsidRPr="00D403F5">
        <w:rPr>
          <w:rFonts w:ascii="Arial" w:hAnsi="Arial" w:cs="Arial"/>
          <w:i/>
          <w:iCs/>
          <w:sz w:val="18"/>
          <w:szCs w:val="18"/>
          <w:lang w:val="en"/>
        </w:rPr>
        <w:t>disinfection</w:t>
      </w:r>
      <w:r w:rsidRPr="00D403F5">
        <w:rPr>
          <w:rFonts w:ascii="Arial" w:hAnsi="Arial" w:cs="Arial"/>
          <w:sz w:val="18"/>
          <w:szCs w:val="18"/>
          <w:lang w:val="en"/>
        </w:rPr>
        <w:t xml:space="preserve"> of the eggs upon arrival in the </w:t>
      </w:r>
      <w:r w:rsidRPr="00D403F5">
        <w:rPr>
          <w:rFonts w:ascii="Arial" w:hAnsi="Arial" w:cs="Arial"/>
          <w:i/>
          <w:iCs/>
          <w:sz w:val="18"/>
          <w:szCs w:val="18"/>
          <w:lang w:val="en"/>
        </w:rPr>
        <w:t>importing country</w:t>
      </w:r>
      <w:r w:rsidRPr="00D403F5">
        <w:rPr>
          <w:rFonts w:ascii="Arial" w:hAnsi="Arial" w:cs="Arial"/>
          <w:sz w:val="18"/>
          <w:szCs w:val="18"/>
          <w:lang w:val="en"/>
        </w:rPr>
        <w:t xml:space="preserve">. </w:t>
      </w:r>
    </w:p>
    <w:p w14:paraId="598955FB" w14:textId="77777777" w:rsidR="007B3D5C" w:rsidRPr="00D403F5" w:rsidRDefault="007B3D5C" w:rsidP="009623A4">
      <w:pPr>
        <w:spacing w:after="240" w:line="240" w:lineRule="auto"/>
        <w:ind w:left="426" w:hanging="426"/>
        <w:jc w:val="both"/>
        <w:rPr>
          <w:rFonts w:ascii="Arial" w:hAnsi="Arial" w:cs="Arial"/>
          <w:sz w:val="18"/>
          <w:szCs w:val="18"/>
          <w:lang w:val="en"/>
        </w:rPr>
      </w:pPr>
      <w:r w:rsidRPr="00D403F5">
        <w:rPr>
          <w:rFonts w:ascii="Arial" w:hAnsi="Arial" w:cs="Arial"/>
          <w:sz w:val="18"/>
          <w:szCs w:val="18"/>
          <w:lang w:val="en"/>
        </w:rPr>
        <w:t>3)</w:t>
      </w:r>
      <w:r w:rsidRPr="00D403F5">
        <w:rPr>
          <w:rFonts w:ascii="Arial" w:hAnsi="Arial" w:cs="Arial"/>
          <w:sz w:val="18"/>
          <w:szCs w:val="18"/>
          <w:lang w:val="en"/>
        </w:rPr>
        <w:tab/>
        <w:t xml:space="preserve">When importing disinfected eggs of the species referred to in Article 10.X.2. for </w:t>
      </w:r>
      <w:r w:rsidRPr="00D403F5">
        <w:rPr>
          <w:rFonts w:ascii="Arial" w:hAnsi="Arial" w:cs="Arial"/>
          <w:i/>
          <w:iCs/>
          <w:sz w:val="18"/>
          <w:szCs w:val="18"/>
          <w:lang w:val="en"/>
        </w:rPr>
        <w:t>aquaculture</w:t>
      </w:r>
      <w:r w:rsidRPr="00D403F5">
        <w:rPr>
          <w:rFonts w:ascii="Arial" w:hAnsi="Arial" w:cs="Arial"/>
          <w:sz w:val="18"/>
          <w:szCs w:val="18"/>
          <w:lang w:val="en"/>
        </w:rPr>
        <w:t xml:space="preserve">, from a country, </w:t>
      </w:r>
      <w:r w:rsidRPr="00D403F5">
        <w:rPr>
          <w:rFonts w:ascii="Arial" w:hAnsi="Arial" w:cs="Arial"/>
          <w:i/>
          <w:iCs/>
          <w:sz w:val="18"/>
          <w:szCs w:val="18"/>
          <w:lang w:val="en"/>
        </w:rPr>
        <w:t>zone</w:t>
      </w:r>
      <w:r w:rsidRPr="00D403F5">
        <w:rPr>
          <w:rFonts w:ascii="Arial" w:hAnsi="Arial" w:cs="Arial"/>
          <w:sz w:val="18"/>
          <w:szCs w:val="18"/>
          <w:lang w:val="en"/>
        </w:rPr>
        <w:t xml:space="preserve"> or </w:t>
      </w:r>
      <w:r w:rsidRPr="00D403F5">
        <w:rPr>
          <w:rFonts w:ascii="Arial" w:hAnsi="Arial" w:cs="Arial"/>
          <w:i/>
          <w:iCs/>
          <w:sz w:val="18"/>
          <w:szCs w:val="18"/>
          <w:lang w:val="en"/>
        </w:rPr>
        <w:t>compartment</w:t>
      </w:r>
      <w:r w:rsidRPr="00D403F5">
        <w:rPr>
          <w:rFonts w:ascii="Arial" w:hAnsi="Arial" w:cs="Arial"/>
          <w:sz w:val="18"/>
          <w:szCs w:val="18"/>
          <w:lang w:val="en"/>
        </w:rPr>
        <w:t xml:space="preserve"> not declared free from infection with </w:t>
      </w:r>
      <w:r w:rsidRPr="00D403F5">
        <w:rPr>
          <w:rFonts w:ascii="Arial" w:hAnsi="Arial" w:cs="Arial"/>
          <w:sz w:val="18"/>
          <w:szCs w:val="18"/>
          <w:highlight w:val="yellow"/>
          <w:u w:val="double"/>
          <w:lang w:val="en"/>
        </w:rPr>
        <w:t>[</w:t>
      </w:r>
      <w:r w:rsidRPr="00D403F5">
        <w:rPr>
          <w:rFonts w:ascii="Arial" w:hAnsi="Arial" w:cs="Arial"/>
          <w:sz w:val="18"/>
          <w:szCs w:val="18"/>
          <w:u w:val="double"/>
          <w:lang w:val="en"/>
        </w:rPr>
        <w:t>pathogenic agent X</w:t>
      </w:r>
      <w:r w:rsidRPr="00D403F5">
        <w:rPr>
          <w:rFonts w:ascii="Arial" w:hAnsi="Arial" w:cs="Arial"/>
          <w:sz w:val="18"/>
          <w:szCs w:val="18"/>
          <w:highlight w:val="yellow"/>
          <w:u w:val="double"/>
          <w:lang w:val="en"/>
        </w:rPr>
        <w:t>]</w:t>
      </w:r>
      <w:r w:rsidRPr="00D403F5">
        <w:rPr>
          <w:rFonts w:ascii="Arial" w:hAnsi="Arial" w:cs="Arial"/>
          <w:sz w:val="18"/>
          <w:szCs w:val="18"/>
          <w:lang w:val="en"/>
        </w:rPr>
        <w:t xml:space="preserve">, the </w:t>
      </w:r>
      <w:r w:rsidRPr="00D403F5">
        <w:rPr>
          <w:rFonts w:ascii="Arial" w:hAnsi="Arial" w:cs="Arial"/>
          <w:i/>
          <w:iCs/>
          <w:sz w:val="18"/>
          <w:szCs w:val="18"/>
          <w:lang w:val="en"/>
        </w:rPr>
        <w:t>Competent Authority</w:t>
      </w:r>
      <w:r w:rsidRPr="00D403F5">
        <w:rPr>
          <w:rFonts w:ascii="Arial" w:hAnsi="Arial" w:cs="Arial"/>
          <w:sz w:val="18"/>
          <w:szCs w:val="18"/>
          <w:lang w:val="en"/>
        </w:rPr>
        <w:t xml:space="preserve"> of the </w:t>
      </w:r>
      <w:r w:rsidRPr="00D403F5">
        <w:rPr>
          <w:rFonts w:ascii="Arial" w:hAnsi="Arial" w:cs="Arial"/>
          <w:i/>
          <w:iCs/>
          <w:sz w:val="18"/>
          <w:szCs w:val="18"/>
          <w:lang w:val="en"/>
        </w:rPr>
        <w:t>importing country</w:t>
      </w:r>
      <w:r w:rsidRPr="00D403F5">
        <w:rPr>
          <w:rFonts w:ascii="Arial" w:hAnsi="Arial" w:cs="Arial"/>
          <w:sz w:val="18"/>
          <w:szCs w:val="18"/>
          <w:lang w:val="en"/>
        </w:rPr>
        <w:t xml:space="preserve"> should require that the consignment be accompanied by an </w:t>
      </w:r>
      <w:r w:rsidRPr="00D403F5">
        <w:rPr>
          <w:rFonts w:ascii="Arial" w:hAnsi="Arial" w:cs="Arial"/>
          <w:i/>
          <w:iCs/>
          <w:sz w:val="18"/>
          <w:szCs w:val="18"/>
          <w:lang w:val="en"/>
        </w:rPr>
        <w:t>international aquatic animal health certificate</w:t>
      </w:r>
      <w:r w:rsidRPr="00D403F5">
        <w:rPr>
          <w:rFonts w:ascii="Arial" w:hAnsi="Arial" w:cs="Arial"/>
          <w:sz w:val="18"/>
          <w:szCs w:val="18"/>
          <w:lang w:val="en"/>
        </w:rPr>
        <w:t xml:space="preserve"> issued by the </w:t>
      </w:r>
      <w:r w:rsidRPr="00D403F5">
        <w:rPr>
          <w:rFonts w:ascii="Arial" w:hAnsi="Arial" w:cs="Arial"/>
          <w:i/>
          <w:iCs/>
          <w:sz w:val="18"/>
          <w:szCs w:val="18"/>
          <w:lang w:val="en"/>
        </w:rPr>
        <w:t>Competent Authority</w:t>
      </w:r>
      <w:r w:rsidRPr="00D403F5">
        <w:rPr>
          <w:rFonts w:ascii="Arial" w:hAnsi="Arial" w:cs="Arial"/>
          <w:sz w:val="18"/>
          <w:szCs w:val="18"/>
          <w:lang w:val="en"/>
        </w:rPr>
        <w:t xml:space="preserve"> of the </w:t>
      </w:r>
      <w:r w:rsidRPr="00D403F5">
        <w:rPr>
          <w:rFonts w:ascii="Arial" w:hAnsi="Arial" w:cs="Arial"/>
          <w:i/>
          <w:iCs/>
          <w:sz w:val="18"/>
          <w:szCs w:val="18"/>
          <w:lang w:val="en"/>
        </w:rPr>
        <w:t>exporting country</w:t>
      </w:r>
      <w:r w:rsidRPr="00D403F5">
        <w:rPr>
          <w:rFonts w:ascii="Arial" w:hAnsi="Arial" w:cs="Arial"/>
          <w:sz w:val="18"/>
          <w:szCs w:val="18"/>
          <w:lang w:val="en"/>
        </w:rPr>
        <w:t xml:space="preserve"> certifying that the procedures described in point 2 of this article have been fulfilled.</w:t>
      </w:r>
    </w:p>
    <w:p w14:paraId="04B456FA" w14:textId="77777777" w:rsidR="007B3D5C" w:rsidRPr="00D403F5" w:rsidRDefault="007B3D5C" w:rsidP="009623A4">
      <w:pPr>
        <w:spacing w:after="240" w:line="240" w:lineRule="auto"/>
        <w:ind w:left="426" w:hanging="426"/>
        <w:jc w:val="center"/>
        <w:rPr>
          <w:rFonts w:ascii="Arial" w:hAnsi="Arial" w:cs="Arial"/>
          <w:sz w:val="18"/>
          <w:szCs w:val="18"/>
          <w:lang w:val="en"/>
        </w:rPr>
      </w:pPr>
      <w:r w:rsidRPr="00D403F5">
        <w:rPr>
          <w:rFonts w:ascii="Ottawa" w:eastAsia="Ottawa" w:hAnsi="Ottawa" w:cs="Arial"/>
          <w:spacing w:val="4"/>
          <w:sz w:val="18"/>
          <w:szCs w:val="18"/>
          <w:lang w:val="en-US" w:eastAsia="en-GB"/>
        </w:rPr>
        <w:t>[…]</w:t>
      </w:r>
    </w:p>
    <w:p w14:paraId="157971AA" w14:textId="43BDB583" w:rsidR="007B3D5C" w:rsidRPr="00D403F5" w:rsidRDefault="000E0A30"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1008EF4F" w14:textId="77777777" w:rsidR="007B3D5C" w:rsidRPr="00D403F5" w:rsidRDefault="007B3D5C" w:rsidP="00D403F5">
      <w:pPr>
        <w:spacing w:after="0"/>
        <w:rPr>
          <w:sz w:val="18"/>
          <w:szCs w:val="18"/>
        </w:rPr>
        <w:sectPr w:rsidR="007B3D5C" w:rsidRPr="00D403F5" w:rsidSect="007B3D5C">
          <w:headerReference w:type="even" r:id="rId58"/>
          <w:headerReference w:type="default" r:id="rId59"/>
          <w:footerReference w:type="default" r:id="rId60"/>
          <w:headerReference w:type="first" r:id="rId61"/>
          <w:type w:val="oddPage"/>
          <w:pgSz w:w="12240" w:h="15840" w:code="1"/>
          <w:pgMar w:top="1440" w:right="1440" w:bottom="1440" w:left="1440" w:header="709" w:footer="709" w:gutter="0"/>
          <w:cols w:space="720"/>
          <w:docGrid w:linePitch="360"/>
        </w:sectPr>
      </w:pPr>
    </w:p>
    <w:p w14:paraId="4326BF9C" w14:textId="77777777" w:rsidR="007B3D5C" w:rsidRPr="00D403F5" w:rsidRDefault="007B3D5C" w:rsidP="00A1774B">
      <w:pPr>
        <w:pStyle w:val="2"/>
        <w:spacing w:after="480"/>
        <w:jc w:val="right"/>
        <w:rPr>
          <w:rFonts w:ascii="Times New Roman" w:hAnsi="Times New Roman"/>
          <w:b w:val="0"/>
          <w:sz w:val="18"/>
          <w:szCs w:val="18"/>
          <w:u w:val="single"/>
        </w:rPr>
      </w:pPr>
      <w:r w:rsidRPr="00D403F5">
        <w:rPr>
          <w:rFonts w:ascii="Times New Roman" w:hAnsi="Times New Roman"/>
          <w:b w:val="0"/>
          <w:sz w:val="18"/>
          <w:szCs w:val="18"/>
          <w:u w:val="single"/>
        </w:rPr>
        <w:t>Annex 6</w:t>
      </w:r>
    </w:p>
    <w:p w14:paraId="4091AE12" w14:textId="77777777" w:rsidR="007B3D5C" w:rsidRPr="00A1774B" w:rsidRDefault="007B3D5C" w:rsidP="00D403F5">
      <w:pPr>
        <w:pStyle w:val="3"/>
        <w:spacing w:before="0"/>
        <w:ind w:left="476" w:right="488"/>
        <w:jc w:val="center"/>
        <w:rPr>
          <w:rFonts w:ascii="Ottawa" w:hAnsi="Ottawa"/>
          <w:b/>
          <w:sz w:val="28"/>
          <w:szCs w:val="28"/>
        </w:rPr>
      </w:pPr>
      <w:r w:rsidRPr="00A1774B">
        <w:rPr>
          <w:rFonts w:ascii="Ottawa" w:hAnsi="Ottawa"/>
          <w:spacing w:val="51"/>
        </w:rPr>
        <w:t>CHAPTER</w:t>
      </w:r>
      <w:r w:rsidRPr="00A1774B">
        <w:rPr>
          <w:rFonts w:ascii="Ottawa" w:hAnsi="Ottawa"/>
          <w:spacing w:val="114"/>
        </w:rPr>
        <w:t xml:space="preserve"> </w:t>
      </w:r>
      <w:bookmarkStart w:id="46" w:name="_bookmark414"/>
      <w:bookmarkEnd w:id="46"/>
      <w:r w:rsidRPr="00A1774B">
        <w:rPr>
          <w:rFonts w:ascii="Ottawa" w:hAnsi="Ottawa"/>
          <w:spacing w:val="50"/>
        </w:rPr>
        <w:t>10.10</w:t>
      </w:r>
      <w:r w:rsidRPr="00A1774B">
        <w:rPr>
          <w:rFonts w:ascii="Ottawa" w:hAnsi="Ottawa"/>
          <w:spacing w:val="50"/>
        </w:rPr>
        <w:br/>
      </w:r>
      <w:r w:rsidRPr="00D403F5">
        <w:rPr>
          <w:rFonts w:ascii="Ottawa" w:hAnsi="Ottawa"/>
          <w:spacing w:val="50"/>
          <w:sz w:val="18"/>
          <w:szCs w:val="18"/>
        </w:rPr>
        <w:br/>
      </w:r>
      <w:bookmarkStart w:id="47" w:name="Infection_with_viral_haemorrhagic_septic"/>
      <w:bookmarkEnd w:id="47"/>
      <w:r w:rsidRPr="00A1774B">
        <w:rPr>
          <w:rFonts w:ascii="Ottawa" w:hAnsi="Ottawa"/>
          <w:b/>
          <w:spacing w:val="61"/>
          <w:sz w:val="28"/>
          <w:szCs w:val="28"/>
        </w:rPr>
        <w:t xml:space="preserve">INFECTION </w:t>
      </w:r>
      <w:r w:rsidRPr="00A1774B">
        <w:rPr>
          <w:rFonts w:ascii="Ottawa" w:hAnsi="Ottawa"/>
          <w:b/>
          <w:spacing w:val="52"/>
          <w:sz w:val="28"/>
          <w:szCs w:val="28"/>
        </w:rPr>
        <w:t xml:space="preserve">WITH </w:t>
      </w:r>
      <w:r w:rsidRPr="00A1774B">
        <w:rPr>
          <w:rFonts w:ascii="Ottawa" w:hAnsi="Ottawa"/>
          <w:b/>
          <w:spacing w:val="56"/>
          <w:sz w:val="28"/>
          <w:szCs w:val="28"/>
        </w:rPr>
        <w:t xml:space="preserve">VIRAL </w:t>
      </w:r>
      <w:r w:rsidRPr="00A1774B">
        <w:rPr>
          <w:rFonts w:ascii="Ottawa" w:hAnsi="Ottawa"/>
          <w:b/>
          <w:spacing w:val="63"/>
          <w:w w:val="95"/>
          <w:sz w:val="28"/>
          <w:szCs w:val="28"/>
        </w:rPr>
        <w:t xml:space="preserve">HAEMORRHAGIC SEPTICAEMIA </w:t>
      </w:r>
      <w:r w:rsidRPr="00A1774B">
        <w:rPr>
          <w:rFonts w:ascii="Ottawa" w:hAnsi="Ottawa"/>
          <w:b/>
          <w:spacing w:val="56"/>
          <w:sz w:val="28"/>
          <w:szCs w:val="28"/>
        </w:rPr>
        <w:t>VIRUS</w:t>
      </w:r>
    </w:p>
    <w:p w14:paraId="2FCFBFAF" w14:textId="77777777" w:rsidR="007B3D5C" w:rsidRPr="00D403F5" w:rsidRDefault="007B3D5C" w:rsidP="00A1774B">
      <w:pPr>
        <w:pStyle w:val="aff0"/>
        <w:spacing w:after="240"/>
        <w:jc w:val="center"/>
        <w:rPr>
          <w:rFonts w:ascii="Ottawa" w:hAnsi="Ottawa"/>
        </w:rPr>
      </w:pPr>
      <w:r w:rsidRPr="00D403F5">
        <w:rPr>
          <w:rFonts w:ascii="Ottawa" w:hAnsi="Ottawa"/>
        </w:rPr>
        <w:t xml:space="preserve"> […]</w:t>
      </w:r>
    </w:p>
    <w:p w14:paraId="4FF95991" w14:textId="77777777" w:rsidR="007B3D5C" w:rsidRPr="00D403F5" w:rsidRDefault="007B3D5C" w:rsidP="00A1774B">
      <w:pPr>
        <w:pStyle w:val="40"/>
        <w:spacing w:before="0" w:after="240"/>
        <w:ind w:right="486"/>
        <w:jc w:val="center"/>
        <w:rPr>
          <w:rFonts w:ascii="Ottawa" w:hAnsi="Ottawa"/>
          <w:i w:val="0"/>
          <w:color w:val="auto"/>
          <w:sz w:val="18"/>
          <w:szCs w:val="18"/>
        </w:rPr>
      </w:pPr>
      <w:bookmarkStart w:id="48" w:name="_bookmark415"/>
      <w:bookmarkEnd w:id="48"/>
      <w:r w:rsidRPr="00D403F5">
        <w:rPr>
          <w:rFonts w:ascii="Ottawa" w:hAnsi="Ottawa"/>
          <w:i w:val="0"/>
          <w:color w:val="auto"/>
          <w:sz w:val="18"/>
          <w:szCs w:val="18"/>
        </w:rPr>
        <w:t>Article 10.10.2.</w:t>
      </w:r>
    </w:p>
    <w:p w14:paraId="2BEDE3F9" w14:textId="77777777" w:rsidR="007B3D5C" w:rsidRPr="00D403F5" w:rsidRDefault="007B3D5C" w:rsidP="00A1774B">
      <w:pPr>
        <w:spacing w:after="240"/>
        <w:ind w:left="108"/>
        <w:rPr>
          <w:rFonts w:ascii="Ottawa" w:hAnsi="Ottawa"/>
          <w:b/>
          <w:w w:val="95"/>
          <w:sz w:val="18"/>
          <w:szCs w:val="18"/>
        </w:rPr>
      </w:pPr>
      <w:r w:rsidRPr="00D403F5">
        <w:rPr>
          <w:rFonts w:ascii="Ottawa" w:hAnsi="Ottawa"/>
          <w:b/>
          <w:w w:val="95"/>
          <w:sz w:val="18"/>
          <w:szCs w:val="18"/>
        </w:rPr>
        <w:t>Scope</w:t>
      </w:r>
    </w:p>
    <w:p w14:paraId="604F8832" w14:textId="77777777" w:rsidR="007B3D5C" w:rsidRPr="00D403F5" w:rsidRDefault="007B3D5C" w:rsidP="00A1774B">
      <w:pPr>
        <w:spacing w:after="240" w:line="254" w:lineRule="auto"/>
        <w:ind w:left="108" w:right="119"/>
        <w:jc w:val="both"/>
        <w:rPr>
          <w:rFonts w:ascii="Arial" w:hAnsi="Arial" w:cs="Arial"/>
          <w:strike/>
          <w:sz w:val="18"/>
          <w:szCs w:val="18"/>
        </w:rPr>
      </w:pPr>
      <w:r w:rsidRPr="00D403F5">
        <w:rPr>
          <w:rFonts w:ascii="Arial" w:hAnsi="Arial" w:cs="Arial"/>
          <w:sz w:val="18"/>
          <w:szCs w:val="18"/>
        </w:rPr>
        <w:t>The</w:t>
      </w:r>
      <w:r w:rsidRPr="00D403F5">
        <w:rPr>
          <w:rFonts w:ascii="Arial" w:hAnsi="Arial" w:cs="Arial"/>
          <w:spacing w:val="-14"/>
          <w:sz w:val="18"/>
          <w:szCs w:val="18"/>
        </w:rPr>
        <w:t xml:space="preserve"> </w:t>
      </w:r>
      <w:r w:rsidRPr="00D403F5">
        <w:rPr>
          <w:rFonts w:ascii="Arial" w:hAnsi="Arial" w:cs="Arial"/>
          <w:sz w:val="18"/>
          <w:szCs w:val="18"/>
        </w:rPr>
        <w:t>recommendations</w:t>
      </w:r>
      <w:r w:rsidRPr="00D403F5">
        <w:rPr>
          <w:rFonts w:ascii="Arial" w:hAnsi="Arial" w:cs="Arial"/>
          <w:spacing w:val="-13"/>
          <w:sz w:val="18"/>
          <w:szCs w:val="18"/>
        </w:rPr>
        <w:t xml:space="preserve"> </w:t>
      </w:r>
      <w:r w:rsidRPr="00D403F5">
        <w:rPr>
          <w:rFonts w:ascii="Arial" w:hAnsi="Arial" w:cs="Arial"/>
          <w:sz w:val="18"/>
          <w:szCs w:val="18"/>
        </w:rPr>
        <w:t>in</w:t>
      </w:r>
      <w:r w:rsidRPr="00D403F5">
        <w:rPr>
          <w:rFonts w:ascii="Arial" w:hAnsi="Arial" w:cs="Arial"/>
          <w:spacing w:val="-13"/>
          <w:sz w:val="18"/>
          <w:szCs w:val="18"/>
        </w:rPr>
        <w:t xml:space="preserve"> </w:t>
      </w:r>
      <w:r w:rsidRPr="00D403F5">
        <w:rPr>
          <w:rFonts w:ascii="Arial" w:hAnsi="Arial" w:cs="Arial"/>
          <w:sz w:val="18"/>
          <w:szCs w:val="18"/>
        </w:rPr>
        <w:t>this</w:t>
      </w:r>
      <w:r w:rsidRPr="00D403F5">
        <w:rPr>
          <w:rFonts w:ascii="Arial" w:hAnsi="Arial" w:cs="Arial"/>
          <w:spacing w:val="-13"/>
          <w:sz w:val="18"/>
          <w:szCs w:val="18"/>
        </w:rPr>
        <w:t xml:space="preserve"> </w:t>
      </w:r>
      <w:r w:rsidRPr="00D403F5">
        <w:rPr>
          <w:rFonts w:ascii="Arial" w:hAnsi="Arial" w:cs="Arial"/>
          <w:sz w:val="18"/>
          <w:szCs w:val="18"/>
        </w:rPr>
        <w:t>chapter</w:t>
      </w:r>
      <w:r w:rsidRPr="00D403F5">
        <w:rPr>
          <w:rFonts w:ascii="Arial" w:hAnsi="Arial" w:cs="Arial"/>
          <w:spacing w:val="-13"/>
          <w:sz w:val="18"/>
          <w:szCs w:val="18"/>
        </w:rPr>
        <w:t xml:space="preserve"> </w:t>
      </w:r>
      <w:r w:rsidRPr="00D403F5">
        <w:rPr>
          <w:rFonts w:ascii="Arial" w:hAnsi="Arial" w:cs="Arial"/>
          <w:sz w:val="18"/>
          <w:szCs w:val="18"/>
        </w:rPr>
        <w:t>apply</w:t>
      </w:r>
      <w:r w:rsidRPr="00D403F5">
        <w:rPr>
          <w:rFonts w:ascii="Arial" w:hAnsi="Arial" w:cs="Arial"/>
          <w:spacing w:val="-13"/>
          <w:sz w:val="18"/>
          <w:szCs w:val="18"/>
        </w:rPr>
        <w:t xml:space="preserve"> </w:t>
      </w:r>
      <w:r w:rsidRPr="00D403F5">
        <w:rPr>
          <w:rFonts w:ascii="Arial" w:hAnsi="Arial" w:cs="Arial"/>
          <w:sz w:val="18"/>
          <w:szCs w:val="18"/>
        </w:rPr>
        <w:t xml:space="preserve">to </w:t>
      </w:r>
      <w:r w:rsidRPr="00D403F5">
        <w:rPr>
          <w:rFonts w:ascii="Arial" w:hAnsi="Arial" w:cs="Arial"/>
          <w:sz w:val="18"/>
          <w:szCs w:val="18"/>
          <w:highlight w:val="yellow"/>
          <w:u w:val="double"/>
        </w:rPr>
        <w:t>the following species that meet the criteria for listing as susceptible in accordance with Chapter 1.5.</w:t>
      </w:r>
      <w:r w:rsidRPr="00D403F5">
        <w:rPr>
          <w:rFonts w:ascii="Arial" w:hAnsi="Arial" w:cs="Arial"/>
          <w:strike/>
          <w:sz w:val="18"/>
          <w:szCs w:val="18"/>
          <w:highlight w:val="yellow"/>
        </w:rPr>
        <w:t>:</w:t>
      </w:r>
      <w:r w:rsidRPr="00D403F5">
        <w:rPr>
          <w:rFonts w:ascii="Arial" w:hAnsi="Arial" w:cs="Arial"/>
          <w:strike/>
          <w:spacing w:val="-14"/>
          <w:sz w:val="18"/>
          <w:szCs w:val="18"/>
          <w:highlight w:val="yellow"/>
        </w:rPr>
        <w:t xml:space="preserve"> </w:t>
      </w:r>
      <w:r w:rsidRPr="00D403F5">
        <w:rPr>
          <w:rFonts w:ascii="Arial" w:hAnsi="Arial" w:cs="Arial"/>
          <w:strike/>
          <w:sz w:val="18"/>
          <w:szCs w:val="18"/>
          <w:highlight w:val="yellow"/>
        </w:rPr>
        <w:t>rainbow</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trout</w:t>
      </w:r>
      <w:r w:rsidRPr="00D403F5">
        <w:rPr>
          <w:rFonts w:ascii="Arial" w:hAnsi="Arial" w:cs="Arial"/>
          <w:strike/>
          <w:spacing w:val="-14"/>
          <w:sz w:val="18"/>
          <w:szCs w:val="18"/>
          <w:highlight w:val="yellow"/>
        </w:rPr>
        <w:t xml:space="preserve"> </w:t>
      </w:r>
      <w:r w:rsidRPr="00D403F5">
        <w:rPr>
          <w:rFonts w:ascii="Arial" w:hAnsi="Arial" w:cs="Arial"/>
          <w:i/>
          <w:strike/>
          <w:sz w:val="18"/>
          <w:szCs w:val="18"/>
          <w:highlight w:val="yellow"/>
        </w:rPr>
        <w:t>(Oncorhynchus</w:t>
      </w:r>
      <w:r w:rsidRPr="00D403F5">
        <w:rPr>
          <w:rFonts w:ascii="Arial" w:hAnsi="Arial" w:cs="Arial"/>
          <w:i/>
          <w:strike/>
          <w:spacing w:val="-13"/>
          <w:sz w:val="18"/>
          <w:szCs w:val="18"/>
          <w:highlight w:val="yellow"/>
        </w:rPr>
        <w:t xml:space="preserve"> </w:t>
      </w:r>
      <w:r w:rsidRPr="00D403F5">
        <w:rPr>
          <w:rFonts w:ascii="Arial" w:hAnsi="Arial" w:cs="Arial"/>
          <w:i/>
          <w:strike/>
          <w:sz w:val="18"/>
          <w:szCs w:val="18"/>
          <w:highlight w:val="yellow"/>
        </w:rPr>
        <w:t>mykiss)</w:t>
      </w:r>
      <w:r w:rsidRPr="00D403F5">
        <w:rPr>
          <w:rFonts w:ascii="Arial" w:hAnsi="Arial" w:cs="Arial"/>
          <w:strike/>
          <w:sz w:val="18"/>
          <w:szCs w:val="18"/>
          <w:highlight w:val="yellow"/>
        </w:rPr>
        <w:t>,</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brown</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trout</w:t>
      </w:r>
      <w:r w:rsidRPr="00D403F5">
        <w:rPr>
          <w:rFonts w:ascii="Arial" w:hAnsi="Arial" w:cs="Arial"/>
          <w:strike/>
          <w:spacing w:val="-14"/>
          <w:sz w:val="18"/>
          <w:szCs w:val="18"/>
          <w:highlight w:val="yellow"/>
        </w:rPr>
        <w:t xml:space="preserve"> </w:t>
      </w:r>
      <w:r w:rsidRPr="00D403F5">
        <w:rPr>
          <w:rFonts w:ascii="Arial" w:hAnsi="Arial" w:cs="Arial"/>
          <w:i/>
          <w:strike/>
          <w:sz w:val="18"/>
          <w:szCs w:val="18"/>
          <w:highlight w:val="yellow"/>
        </w:rPr>
        <w:t>(Salmo</w:t>
      </w:r>
      <w:r w:rsidRPr="00D403F5">
        <w:rPr>
          <w:rFonts w:ascii="Arial" w:hAnsi="Arial" w:cs="Arial"/>
          <w:i/>
          <w:strike/>
          <w:spacing w:val="-13"/>
          <w:sz w:val="18"/>
          <w:szCs w:val="18"/>
          <w:highlight w:val="yellow"/>
        </w:rPr>
        <w:t xml:space="preserve"> </w:t>
      </w:r>
      <w:r w:rsidRPr="00D403F5">
        <w:rPr>
          <w:rFonts w:ascii="Arial" w:hAnsi="Arial" w:cs="Arial"/>
          <w:i/>
          <w:strike/>
          <w:sz w:val="18"/>
          <w:szCs w:val="18"/>
          <w:highlight w:val="yellow"/>
        </w:rPr>
        <w:t>trutta)</w:t>
      </w:r>
      <w:r w:rsidRPr="00D403F5">
        <w:rPr>
          <w:rFonts w:ascii="Arial" w:hAnsi="Arial" w:cs="Arial"/>
          <w:strike/>
          <w:sz w:val="18"/>
          <w:szCs w:val="18"/>
          <w:highlight w:val="yellow"/>
        </w:rPr>
        <w:t>,</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 xml:space="preserve">grayling </w:t>
      </w:r>
      <w:r w:rsidRPr="00D403F5">
        <w:rPr>
          <w:rFonts w:ascii="Arial" w:hAnsi="Arial" w:cs="Arial"/>
          <w:i/>
          <w:strike/>
          <w:sz w:val="18"/>
          <w:szCs w:val="18"/>
          <w:highlight w:val="yellow"/>
        </w:rPr>
        <w:t>(Thymallus thymallus)</w:t>
      </w:r>
      <w:r w:rsidRPr="00D403F5">
        <w:rPr>
          <w:rFonts w:ascii="Arial" w:hAnsi="Arial" w:cs="Arial"/>
          <w:strike/>
          <w:sz w:val="18"/>
          <w:szCs w:val="18"/>
          <w:highlight w:val="yellow"/>
        </w:rPr>
        <w:t>, white fish (</w:t>
      </w:r>
      <w:r w:rsidRPr="00D403F5">
        <w:rPr>
          <w:rFonts w:ascii="Arial" w:hAnsi="Arial" w:cs="Arial"/>
          <w:i/>
          <w:strike/>
          <w:sz w:val="18"/>
          <w:szCs w:val="18"/>
          <w:highlight w:val="yellow"/>
        </w:rPr>
        <w:t xml:space="preserve">Coregonus </w:t>
      </w:r>
      <w:r w:rsidRPr="00D403F5">
        <w:rPr>
          <w:rFonts w:ascii="Arial" w:hAnsi="Arial" w:cs="Arial"/>
          <w:strike/>
          <w:sz w:val="18"/>
          <w:szCs w:val="18"/>
          <w:highlight w:val="yellow"/>
        </w:rPr>
        <w:t xml:space="preserve">spp.), pike </w:t>
      </w:r>
      <w:r w:rsidRPr="00D403F5">
        <w:rPr>
          <w:rFonts w:ascii="Arial" w:hAnsi="Arial" w:cs="Arial"/>
          <w:i/>
          <w:strike/>
          <w:sz w:val="18"/>
          <w:szCs w:val="18"/>
          <w:highlight w:val="yellow"/>
        </w:rPr>
        <w:t>(Esox lucius)</w:t>
      </w:r>
      <w:r w:rsidRPr="00D403F5">
        <w:rPr>
          <w:rFonts w:ascii="Arial" w:hAnsi="Arial" w:cs="Arial"/>
          <w:strike/>
          <w:sz w:val="18"/>
          <w:szCs w:val="18"/>
          <w:highlight w:val="yellow"/>
        </w:rPr>
        <w:t xml:space="preserve">, turbot </w:t>
      </w:r>
      <w:r w:rsidRPr="00D403F5">
        <w:rPr>
          <w:rFonts w:ascii="Arial" w:hAnsi="Arial" w:cs="Arial"/>
          <w:i/>
          <w:strike/>
          <w:sz w:val="18"/>
          <w:szCs w:val="18"/>
          <w:highlight w:val="yellow"/>
        </w:rPr>
        <w:t>(Scophthalmus maximus)</w:t>
      </w:r>
      <w:r w:rsidRPr="00D403F5">
        <w:rPr>
          <w:rFonts w:ascii="Arial" w:hAnsi="Arial" w:cs="Arial"/>
          <w:strike/>
          <w:sz w:val="18"/>
          <w:szCs w:val="18"/>
          <w:highlight w:val="yellow"/>
        </w:rPr>
        <w:t>, herring and sprat (</w:t>
      </w:r>
      <w:r w:rsidRPr="00D403F5">
        <w:rPr>
          <w:rFonts w:ascii="Arial" w:hAnsi="Arial" w:cs="Arial"/>
          <w:i/>
          <w:strike/>
          <w:sz w:val="18"/>
          <w:szCs w:val="18"/>
          <w:highlight w:val="yellow"/>
        </w:rPr>
        <w:t xml:space="preserve">Clupea </w:t>
      </w:r>
      <w:r w:rsidRPr="00D403F5">
        <w:rPr>
          <w:rFonts w:ascii="Arial" w:hAnsi="Arial" w:cs="Arial"/>
          <w:strike/>
          <w:sz w:val="18"/>
          <w:szCs w:val="18"/>
          <w:highlight w:val="yellow"/>
        </w:rPr>
        <w:t>spp.), Pacific salmon (</w:t>
      </w:r>
      <w:r w:rsidRPr="00D403F5">
        <w:rPr>
          <w:rFonts w:ascii="Arial" w:hAnsi="Arial" w:cs="Arial"/>
          <w:i/>
          <w:strike/>
          <w:sz w:val="18"/>
          <w:szCs w:val="18"/>
          <w:highlight w:val="yellow"/>
        </w:rPr>
        <w:t xml:space="preserve">Oncorhynchus </w:t>
      </w:r>
      <w:r w:rsidRPr="00D403F5">
        <w:rPr>
          <w:rFonts w:ascii="Arial" w:hAnsi="Arial" w:cs="Arial"/>
          <w:strike/>
          <w:sz w:val="18"/>
          <w:szCs w:val="18"/>
          <w:highlight w:val="yellow"/>
        </w:rPr>
        <w:t xml:space="preserve">spp.), Atlantic cod </w:t>
      </w:r>
      <w:r w:rsidRPr="00D403F5">
        <w:rPr>
          <w:rFonts w:ascii="Arial" w:hAnsi="Arial" w:cs="Arial"/>
          <w:i/>
          <w:strike/>
          <w:sz w:val="18"/>
          <w:szCs w:val="18"/>
          <w:highlight w:val="yellow"/>
        </w:rPr>
        <w:t>(Gadus morhua)</w:t>
      </w:r>
      <w:r w:rsidRPr="00D403F5">
        <w:rPr>
          <w:rFonts w:ascii="Arial" w:hAnsi="Arial" w:cs="Arial"/>
          <w:strike/>
          <w:sz w:val="18"/>
          <w:szCs w:val="18"/>
          <w:highlight w:val="yellow"/>
        </w:rPr>
        <w:t xml:space="preserve">, Pacific cod </w:t>
      </w:r>
      <w:r w:rsidRPr="00D403F5">
        <w:rPr>
          <w:rFonts w:ascii="Arial" w:hAnsi="Arial" w:cs="Arial"/>
          <w:i/>
          <w:strike/>
          <w:sz w:val="18"/>
          <w:szCs w:val="18"/>
          <w:highlight w:val="yellow"/>
        </w:rPr>
        <w:t>(Gadus macrocephalus)</w:t>
      </w:r>
      <w:r w:rsidRPr="00D403F5">
        <w:rPr>
          <w:rFonts w:ascii="Arial" w:hAnsi="Arial" w:cs="Arial"/>
          <w:strike/>
          <w:sz w:val="18"/>
          <w:szCs w:val="18"/>
          <w:highlight w:val="yellow"/>
        </w:rPr>
        <w:t>,</w:t>
      </w:r>
      <w:r w:rsidRPr="00D403F5">
        <w:rPr>
          <w:rFonts w:ascii="Arial" w:hAnsi="Arial" w:cs="Arial"/>
          <w:strike/>
          <w:spacing w:val="-9"/>
          <w:sz w:val="18"/>
          <w:szCs w:val="18"/>
          <w:highlight w:val="yellow"/>
        </w:rPr>
        <w:t xml:space="preserve"> </w:t>
      </w:r>
      <w:r w:rsidRPr="00D403F5">
        <w:rPr>
          <w:rFonts w:ascii="Arial" w:hAnsi="Arial" w:cs="Arial"/>
          <w:strike/>
          <w:sz w:val="18"/>
          <w:szCs w:val="18"/>
          <w:highlight w:val="yellow"/>
        </w:rPr>
        <w:t>haddock</w:t>
      </w:r>
      <w:r w:rsidRPr="00D403F5">
        <w:rPr>
          <w:rFonts w:ascii="Arial" w:hAnsi="Arial" w:cs="Arial"/>
          <w:strike/>
          <w:spacing w:val="-9"/>
          <w:sz w:val="18"/>
          <w:szCs w:val="18"/>
          <w:highlight w:val="yellow"/>
        </w:rPr>
        <w:t xml:space="preserve"> </w:t>
      </w:r>
      <w:r w:rsidRPr="00D403F5">
        <w:rPr>
          <w:rFonts w:ascii="Arial" w:hAnsi="Arial" w:cs="Arial"/>
          <w:i/>
          <w:strike/>
          <w:sz w:val="18"/>
          <w:szCs w:val="18"/>
          <w:highlight w:val="yellow"/>
        </w:rPr>
        <w:t>(Gadus</w:t>
      </w:r>
      <w:r w:rsidRPr="00D403F5">
        <w:rPr>
          <w:rFonts w:ascii="Arial" w:hAnsi="Arial" w:cs="Arial"/>
          <w:i/>
          <w:strike/>
          <w:spacing w:val="-10"/>
          <w:sz w:val="18"/>
          <w:szCs w:val="18"/>
          <w:highlight w:val="yellow"/>
        </w:rPr>
        <w:t xml:space="preserve"> </w:t>
      </w:r>
      <w:r w:rsidRPr="00D403F5">
        <w:rPr>
          <w:rFonts w:ascii="Arial" w:hAnsi="Arial" w:cs="Arial"/>
          <w:i/>
          <w:strike/>
          <w:sz w:val="18"/>
          <w:szCs w:val="18"/>
          <w:highlight w:val="yellow"/>
        </w:rPr>
        <w:t>aeglefinus)</w:t>
      </w:r>
      <w:r w:rsidRPr="00D403F5">
        <w:rPr>
          <w:rFonts w:ascii="Arial" w:hAnsi="Arial" w:cs="Arial"/>
          <w:i/>
          <w:strike/>
          <w:spacing w:val="-9"/>
          <w:sz w:val="18"/>
          <w:szCs w:val="18"/>
          <w:highlight w:val="yellow"/>
        </w:rPr>
        <w:t xml:space="preserve"> </w:t>
      </w:r>
      <w:r w:rsidRPr="00D403F5">
        <w:rPr>
          <w:rFonts w:ascii="Arial" w:hAnsi="Arial" w:cs="Arial"/>
          <w:strike/>
          <w:sz w:val="18"/>
          <w:szCs w:val="18"/>
          <w:highlight w:val="yellow"/>
        </w:rPr>
        <w:t>and</w:t>
      </w:r>
      <w:r w:rsidRPr="00D403F5">
        <w:rPr>
          <w:rFonts w:ascii="Arial" w:hAnsi="Arial" w:cs="Arial"/>
          <w:strike/>
          <w:spacing w:val="-9"/>
          <w:sz w:val="18"/>
          <w:szCs w:val="18"/>
          <w:highlight w:val="yellow"/>
        </w:rPr>
        <w:t xml:space="preserve"> </w:t>
      </w:r>
      <w:r w:rsidRPr="00D403F5">
        <w:rPr>
          <w:rFonts w:ascii="Arial" w:hAnsi="Arial" w:cs="Arial"/>
          <w:strike/>
          <w:sz w:val="18"/>
          <w:szCs w:val="18"/>
          <w:highlight w:val="yellow"/>
        </w:rPr>
        <w:t>rockling</w:t>
      </w:r>
      <w:r w:rsidRPr="00D403F5">
        <w:rPr>
          <w:rFonts w:ascii="Arial" w:hAnsi="Arial" w:cs="Arial"/>
          <w:strike/>
          <w:spacing w:val="-10"/>
          <w:sz w:val="18"/>
          <w:szCs w:val="18"/>
          <w:highlight w:val="yellow"/>
        </w:rPr>
        <w:t xml:space="preserve"> </w:t>
      </w:r>
      <w:r w:rsidRPr="00D403F5">
        <w:rPr>
          <w:rFonts w:ascii="Arial" w:hAnsi="Arial" w:cs="Arial"/>
          <w:i/>
          <w:strike/>
          <w:sz w:val="18"/>
          <w:szCs w:val="18"/>
          <w:highlight w:val="yellow"/>
        </w:rPr>
        <w:t>(Onos</w:t>
      </w:r>
      <w:r w:rsidRPr="00D403F5">
        <w:rPr>
          <w:rFonts w:ascii="Arial" w:hAnsi="Arial" w:cs="Arial"/>
          <w:i/>
          <w:strike/>
          <w:spacing w:val="-9"/>
          <w:sz w:val="18"/>
          <w:szCs w:val="18"/>
          <w:highlight w:val="yellow"/>
        </w:rPr>
        <w:t xml:space="preserve"> </w:t>
      </w:r>
      <w:r w:rsidRPr="00D403F5">
        <w:rPr>
          <w:rFonts w:ascii="Arial" w:hAnsi="Arial" w:cs="Arial"/>
          <w:i/>
          <w:strike/>
          <w:sz w:val="18"/>
          <w:szCs w:val="18"/>
          <w:highlight w:val="yellow"/>
        </w:rPr>
        <w:t>mustelus)</w:t>
      </w:r>
      <w:r w:rsidRPr="00D403F5">
        <w:rPr>
          <w:rFonts w:ascii="Arial" w:hAnsi="Arial" w:cs="Arial"/>
          <w:strike/>
          <w:sz w:val="18"/>
          <w:szCs w:val="18"/>
          <w:highlight w:val="yellow"/>
        </w:rPr>
        <w:t>.</w:t>
      </w:r>
      <w:r w:rsidRPr="00D403F5">
        <w:rPr>
          <w:rFonts w:ascii="Arial" w:hAnsi="Arial" w:cs="Arial"/>
          <w:strike/>
          <w:spacing w:val="-9"/>
          <w:sz w:val="18"/>
          <w:szCs w:val="18"/>
          <w:highlight w:val="yellow"/>
        </w:rPr>
        <w:t xml:space="preserve"> </w:t>
      </w:r>
      <w:r w:rsidRPr="00D403F5">
        <w:rPr>
          <w:rFonts w:ascii="Arial" w:hAnsi="Arial" w:cs="Arial"/>
          <w:strike/>
          <w:sz w:val="18"/>
          <w:szCs w:val="18"/>
          <w:highlight w:val="yellow"/>
        </w:rPr>
        <w:t>These</w:t>
      </w:r>
      <w:r w:rsidRPr="00D403F5">
        <w:rPr>
          <w:rFonts w:ascii="Arial" w:hAnsi="Arial" w:cs="Arial"/>
          <w:strike/>
          <w:spacing w:val="-10"/>
          <w:sz w:val="18"/>
          <w:szCs w:val="18"/>
          <w:highlight w:val="yellow"/>
        </w:rPr>
        <w:t xml:space="preserve"> </w:t>
      </w:r>
      <w:r w:rsidRPr="00D403F5">
        <w:rPr>
          <w:rFonts w:ascii="Arial" w:hAnsi="Arial" w:cs="Arial"/>
          <w:strike/>
          <w:sz w:val="18"/>
          <w:szCs w:val="18"/>
          <w:highlight w:val="yellow"/>
        </w:rPr>
        <w:t>recommendations</w:t>
      </w:r>
      <w:r w:rsidRPr="00D403F5">
        <w:rPr>
          <w:rFonts w:ascii="Arial" w:hAnsi="Arial" w:cs="Arial"/>
          <w:strike/>
          <w:spacing w:val="-9"/>
          <w:sz w:val="18"/>
          <w:szCs w:val="18"/>
          <w:highlight w:val="yellow"/>
        </w:rPr>
        <w:t xml:space="preserve"> </w:t>
      </w:r>
      <w:r w:rsidRPr="00D403F5">
        <w:rPr>
          <w:rFonts w:ascii="Arial" w:hAnsi="Arial" w:cs="Arial"/>
          <w:strike/>
          <w:sz w:val="18"/>
          <w:szCs w:val="18"/>
          <w:highlight w:val="yellow"/>
        </w:rPr>
        <w:t>also</w:t>
      </w:r>
      <w:r w:rsidRPr="00D403F5">
        <w:rPr>
          <w:rFonts w:ascii="Arial" w:hAnsi="Arial" w:cs="Arial"/>
          <w:strike/>
          <w:spacing w:val="-9"/>
          <w:sz w:val="18"/>
          <w:szCs w:val="18"/>
          <w:highlight w:val="yellow"/>
        </w:rPr>
        <w:t xml:space="preserve"> </w:t>
      </w:r>
      <w:r w:rsidRPr="00D403F5">
        <w:rPr>
          <w:rFonts w:ascii="Arial" w:hAnsi="Arial" w:cs="Arial"/>
          <w:strike/>
          <w:sz w:val="18"/>
          <w:szCs w:val="18"/>
          <w:highlight w:val="yellow"/>
        </w:rPr>
        <w:t>apply</w:t>
      </w:r>
      <w:r w:rsidRPr="00D403F5">
        <w:rPr>
          <w:rFonts w:ascii="Arial" w:hAnsi="Arial" w:cs="Arial"/>
          <w:strike/>
          <w:spacing w:val="-10"/>
          <w:sz w:val="18"/>
          <w:szCs w:val="18"/>
          <w:highlight w:val="yellow"/>
        </w:rPr>
        <w:t xml:space="preserve"> </w:t>
      </w:r>
      <w:r w:rsidRPr="00D403F5">
        <w:rPr>
          <w:rFonts w:ascii="Arial" w:hAnsi="Arial" w:cs="Arial"/>
          <w:strike/>
          <w:sz w:val="18"/>
          <w:szCs w:val="18"/>
          <w:highlight w:val="yellow"/>
        </w:rPr>
        <w:t>to</w:t>
      </w:r>
      <w:r w:rsidRPr="00D403F5">
        <w:rPr>
          <w:rFonts w:ascii="Arial" w:hAnsi="Arial" w:cs="Arial"/>
          <w:strike/>
          <w:spacing w:val="-9"/>
          <w:sz w:val="18"/>
          <w:szCs w:val="18"/>
          <w:highlight w:val="yellow"/>
        </w:rPr>
        <w:t xml:space="preserve"> </w:t>
      </w:r>
      <w:r w:rsidRPr="00D403F5">
        <w:rPr>
          <w:rFonts w:ascii="Arial" w:hAnsi="Arial" w:cs="Arial"/>
          <w:strike/>
          <w:sz w:val="18"/>
          <w:szCs w:val="18"/>
          <w:highlight w:val="yellow"/>
        </w:rPr>
        <w:t xml:space="preserve">any other </w:t>
      </w:r>
      <w:hyperlink w:anchor="_bookmark121" w:history="1">
        <w:r w:rsidRPr="00D403F5">
          <w:rPr>
            <w:rFonts w:ascii="Arial" w:hAnsi="Arial" w:cs="Arial"/>
            <w:i/>
            <w:strike/>
            <w:sz w:val="18"/>
            <w:szCs w:val="18"/>
            <w:highlight w:val="yellow"/>
          </w:rPr>
          <w:t xml:space="preserve">susceptible species </w:t>
        </w:r>
      </w:hyperlink>
      <w:r w:rsidRPr="00D403F5">
        <w:rPr>
          <w:rFonts w:ascii="Arial" w:hAnsi="Arial" w:cs="Arial"/>
          <w:strike/>
          <w:sz w:val="18"/>
          <w:szCs w:val="18"/>
          <w:highlight w:val="yellow"/>
        </w:rPr>
        <w:t xml:space="preserve">referred to in the </w:t>
      </w:r>
      <w:hyperlink w:anchor="_bookmark20" w:history="1">
        <w:r w:rsidRPr="00D403F5">
          <w:rPr>
            <w:rFonts w:ascii="Arial" w:hAnsi="Arial" w:cs="Arial"/>
            <w:i/>
            <w:strike/>
            <w:sz w:val="18"/>
            <w:szCs w:val="18"/>
            <w:highlight w:val="yellow"/>
          </w:rPr>
          <w:t xml:space="preserve">Aquatic Manual </w:t>
        </w:r>
      </w:hyperlink>
      <w:r w:rsidRPr="00D403F5">
        <w:rPr>
          <w:rFonts w:ascii="Arial" w:hAnsi="Arial" w:cs="Arial"/>
          <w:strike/>
          <w:sz w:val="18"/>
          <w:szCs w:val="18"/>
          <w:highlight w:val="yellow"/>
        </w:rPr>
        <w:t>when traded</w:t>
      </w:r>
      <w:r w:rsidRPr="00D403F5">
        <w:rPr>
          <w:rFonts w:ascii="Arial" w:hAnsi="Arial" w:cs="Arial"/>
          <w:strike/>
          <w:spacing w:val="-9"/>
          <w:sz w:val="18"/>
          <w:szCs w:val="18"/>
          <w:highlight w:val="yellow"/>
        </w:rPr>
        <w:t xml:space="preserve"> </w:t>
      </w:r>
      <w:r w:rsidRPr="00D403F5">
        <w:rPr>
          <w:rFonts w:ascii="Arial" w:hAnsi="Arial" w:cs="Arial"/>
          <w:strike/>
          <w:sz w:val="18"/>
          <w:szCs w:val="18"/>
          <w:highlight w:val="yellow"/>
        </w:rPr>
        <w:t>internationally.</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2217"/>
        <w:gridCol w:w="2218"/>
        <w:gridCol w:w="1238"/>
      </w:tblGrid>
      <w:tr w:rsidR="007B3D5C" w:rsidRPr="00D403F5" w14:paraId="315E8AB5" w14:textId="77777777" w:rsidTr="007B3D5C">
        <w:trPr>
          <w:tblHeader/>
          <w:jc w:val="center"/>
        </w:trPr>
        <w:tc>
          <w:tcPr>
            <w:tcW w:w="1977" w:type="dxa"/>
            <w:tcBorders>
              <w:top w:val="single" w:sz="4" w:space="0" w:color="auto"/>
              <w:bottom w:val="single" w:sz="4" w:space="0" w:color="auto"/>
            </w:tcBorders>
            <w:vAlign w:val="center"/>
          </w:tcPr>
          <w:p w14:paraId="6628BD9A" w14:textId="77777777" w:rsidR="007B3D5C" w:rsidRPr="00D403F5" w:rsidRDefault="007B3D5C" w:rsidP="00A1774B">
            <w:pPr>
              <w:pStyle w:val="TableHead"/>
              <w:spacing w:before="60" w:after="60"/>
              <w:rPr>
                <w:rFonts w:ascii="Arial" w:hAnsi="Arial" w:cs="Arial"/>
                <w:szCs w:val="18"/>
                <w:highlight w:val="yellow"/>
                <w:u w:val="double"/>
                <w:lang w:val="en-GB"/>
              </w:rPr>
            </w:pPr>
            <w:bookmarkStart w:id="49" w:name="_Hlk21967176"/>
            <w:r w:rsidRPr="00D403F5">
              <w:rPr>
                <w:rFonts w:ascii="Arial" w:hAnsi="Arial" w:cs="Arial"/>
                <w:szCs w:val="18"/>
                <w:highlight w:val="yellow"/>
                <w:u w:val="double"/>
                <w:lang w:val="en-GB"/>
              </w:rPr>
              <w:t>Family</w:t>
            </w:r>
          </w:p>
        </w:tc>
        <w:tc>
          <w:tcPr>
            <w:tcW w:w="2217" w:type="dxa"/>
            <w:tcBorders>
              <w:top w:val="single" w:sz="4" w:space="0" w:color="auto"/>
              <w:bottom w:val="single" w:sz="4" w:space="0" w:color="auto"/>
            </w:tcBorders>
            <w:shd w:val="clear" w:color="auto" w:fill="auto"/>
            <w:vAlign w:val="center"/>
          </w:tcPr>
          <w:p w14:paraId="43FEBC2C" w14:textId="77777777" w:rsidR="007B3D5C" w:rsidRPr="00D403F5" w:rsidRDefault="007B3D5C" w:rsidP="00A1774B">
            <w:pPr>
              <w:pStyle w:val="TableHead"/>
              <w:spacing w:before="60" w:after="60"/>
              <w:rPr>
                <w:rFonts w:ascii="Arial" w:hAnsi="Arial" w:cs="Arial"/>
                <w:szCs w:val="18"/>
                <w:highlight w:val="yellow"/>
                <w:u w:val="double"/>
                <w:lang w:val="en-GB"/>
              </w:rPr>
            </w:pPr>
            <w:r w:rsidRPr="00D403F5">
              <w:rPr>
                <w:rFonts w:ascii="Arial" w:hAnsi="Arial" w:cs="Arial"/>
                <w:szCs w:val="18"/>
                <w:highlight w:val="yellow"/>
                <w:u w:val="double"/>
                <w:lang w:val="en-GB"/>
              </w:rPr>
              <w:t>Scientific name</w:t>
            </w:r>
          </w:p>
        </w:tc>
        <w:tc>
          <w:tcPr>
            <w:tcW w:w="2218" w:type="dxa"/>
            <w:tcBorders>
              <w:top w:val="single" w:sz="4" w:space="0" w:color="auto"/>
              <w:bottom w:val="single" w:sz="4" w:space="0" w:color="auto"/>
            </w:tcBorders>
            <w:vAlign w:val="center"/>
          </w:tcPr>
          <w:p w14:paraId="1E85CE29" w14:textId="77777777" w:rsidR="007B3D5C" w:rsidRPr="00D403F5" w:rsidRDefault="007B3D5C" w:rsidP="00A1774B">
            <w:pPr>
              <w:pStyle w:val="TableHead"/>
              <w:spacing w:before="60" w:after="60"/>
              <w:rPr>
                <w:rFonts w:ascii="Arial" w:hAnsi="Arial" w:cs="Arial"/>
                <w:szCs w:val="18"/>
                <w:highlight w:val="yellow"/>
                <w:u w:val="double"/>
                <w:lang w:val="en-GB"/>
              </w:rPr>
            </w:pPr>
            <w:r w:rsidRPr="00D403F5">
              <w:rPr>
                <w:rFonts w:ascii="Arial" w:hAnsi="Arial" w:cs="Arial"/>
                <w:szCs w:val="18"/>
                <w:highlight w:val="yellow"/>
                <w:u w:val="double"/>
                <w:lang w:val="en-GB"/>
              </w:rPr>
              <w:t>Common name</w:t>
            </w:r>
          </w:p>
        </w:tc>
        <w:tc>
          <w:tcPr>
            <w:tcW w:w="1238" w:type="dxa"/>
            <w:tcBorders>
              <w:top w:val="single" w:sz="4" w:space="0" w:color="auto"/>
              <w:bottom w:val="single" w:sz="4" w:space="0" w:color="auto"/>
            </w:tcBorders>
          </w:tcPr>
          <w:p w14:paraId="0E42BD22" w14:textId="77777777" w:rsidR="007B3D5C" w:rsidRPr="00D403F5" w:rsidRDefault="007B3D5C" w:rsidP="00A1774B">
            <w:pPr>
              <w:pStyle w:val="TableHead"/>
              <w:spacing w:before="60" w:after="60"/>
              <w:rPr>
                <w:rFonts w:ascii="Arial" w:hAnsi="Arial" w:cs="Arial"/>
                <w:szCs w:val="18"/>
                <w:highlight w:val="yellow"/>
                <w:u w:val="double"/>
                <w:lang w:val="en-GB"/>
              </w:rPr>
            </w:pPr>
            <w:r w:rsidRPr="00D403F5">
              <w:rPr>
                <w:rFonts w:ascii="Arial" w:hAnsi="Arial" w:cs="Arial"/>
                <w:szCs w:val="18"/>
                <w:highlight w:val="yellow"/>
                <w:u w:val="double"/>
                <w:lang w:val="en-GB"/>
              </w:rPr>
              <w:t>Genotype</w:t>
            </w:r>
          </w:p>
        </w:tc>
      </w:tr>
      <w:tr w:rsidR="007B3D5C" w:rsidRPr="00D403F5" w14:paraId="40561DF4" w14:textId="77777777" w:rsidTr="007B3D5C">
        <w:trPr>
          <w:jc w:val="center"/>
        </w:trPr>
        <w:tc>
          <w:tcPr>
            <w:tcW w:w="1977" w:type="dxa"/>
            <w:tcBorders>
              <w:top w:val="single" w:sz="4" w:space="0" w:color="auto"/>
            </w:tcBorders>
            <w:vAlign w:val="center"/>
          </w:tcPr>
          <w:p w14:paraId="12FC14ED"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Ammodytidae</w:t>
            </w:r>
          </w:p>
        </w:tc>
        <w:tc>
          <w:tcPr>
            <w:tcW w:w="2217" w:type="dxa"/>
            <w:tcBorders>
              <w:top w:val="single" w:sz="4" w:space="0" w:color="auto"/>
            </w:tcBorders>
            <w:shd w:val="clear" w:color="auto" w:fill="auto"/>
            <w:vAlign w:val="center"/>
          </w:tcPr>
          <w:p w14:paraId="6BBB9366"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Ammodytes hexapterus</w:t>
            </w:r>
          </w:p>
        </w:tc>
        <w:tc>
          <w:tcPr>
            <w:tcW w:w="2218" w:type="dxa"/>
            <w:tcBorders>
              <w:top w:val="single" w:sz="4" w:space="0" w:color="auto"/>
            </w:tcBorders>
            <w:vAlign w:val="center"/>
          </w:tcPr>
          <w:p w14:paraId="16129EF4"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Pacific sand lance</w:t>
            </w:r>
          </w:p>
        </w:tc>
        <w:tc>
          <w:tcPr>
            <w:tcW w:w="1238" w:type="dxa"/>
            <w:tcBorders>
              <w:top w:val="single" w:sz="4" w:space="0" w:color="auto"/>
            </w:tcBorders>
            <w:vAlign w:val="center"/>
          </w:tcPr>
          <w:p w14:paraId="6368A385"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65B7F795" w14:textId="77777777" w:rsidTr="007B3D5C">
        <w:trPr>
          <w:jc w:val="center"/>
        </w:trPr>
        <w:tc>
          <w:tcPr>
            <w:tcW w:w="1977" w:type="dxa"/>
            <w:tcBorders>
              <w:top w:val="single" w:sz="4" w:space="0" w:color="auto"/>
            </w:tcBorders>
            <w:vAlign w:val="center"/>
          </w:tcPr>
          <w:p w14:paraId="42C7DE0D"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Aralichthyidae</w:t>
            </w:r>
          </w:p>
        </w:tc>
        <w:tc>
          <w:tcPr>
            <w:tcW w:w="2217" w:type="dxa"/>
            <w:tcBorders>
              <w:top w:val="single" w:sz="4" w:space="0" w:color="auto"/>
            </w:tcBorders>
            <w:shd w:val="clear" w:color="auto" w:fill="auto"/>
            <w:vAlign w:val="center"/>
          </w:tcPr>
          <w:p w14:paraId="089E6C59"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Paralichthys olivaceus</w:t>
            </w:r>
          </w:p>
        </w:tc>
        <w:tc>
          <w:tcPr>
            <w:tcW w:w="2218" w:type="dxa"/>
            <w:tcBorders>
              <w:top w:val="single" w:sz="4" w:space="0" w:color="auto"/>
            </w:tcBorders>
            <w:vAlign w:val="center"/>
          </w:tcPr>
          <w:p w14:paraId="40AF3AB8"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Bastard halibut</w:t>
            </w:r>
          </w:p>
        </w:tc>
        <w:tc>
          <w:tcPr>
            <w:tcW w:w="1238" w:type="dxa"/>
            <w:tcBorders>
              <w:top w:val="single" w:sz="4" w:space="0" w:color="auto"/>
            </w:tcBorders>
            <w:vAlign w:val="center"/>
          </w:tcPr>
          <w:p w14:paraId="1D6C7B04"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684BCFC4" w14:textId="77777777" w:rsidTr="007B3D5C">
        <w:trPr>
          <w:jc w:val="center"/>
        </w:trPr>
        <w:tc>
          <w:tcPr>
            <w:tcW w:w="1977" w:type="dxa"/>
            <w:tcBorders>
              <w:top w:val="single" w:sz="4" w:space="0" w:color="auto"/>
            </w:tcBorders>
            <w:vAlign w:val="center"/>
          </w:tcPr>
          <w:p w14:paraId="5DA1F2A2"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Carangidae</w:t>
            </w:r>
          </w:p>
        </w:tc>
        <w:tc>
          <w:tcPr>
            <w:tcW w:w="2217" w:type="dxa"/>
            <w:tcBorders>
              <w:top w:val="single" w:sz="4" w:space="0" w:color="auto"/>
            </w:tcBorders>
            <w:shd w:val="clear" w:color="auto" w:fill="auto"/>
            <w:vAlign w:val="center"/>
          </w:tcPr>
          <w:p w14:paraId="28E61316"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Trachurus mediterraneus</w:t>
            </w:r>
          </w:p>
        </w:tc>
        <w:tc>
          <w:tcPr>
            <w:tcW w:w="2218" w:type="dxa"/>
            <w:tcBorders>
              <w:top w:val="single" w:sz="4" w:space="0" w:color="auto"/>
            </w:tcBorders>
            <w:vAlign w:val="center"/>
          </w:tcPr>
          <w:p w14:paraId="1D76EB7E"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Mediterranean horse mackerel </w:t>
            </w:r>
          </w:p>
        </w:tc>
        <w:tc>
          <w:tcPr>
            <w:tcW w:w="1238" w:type="dxa"/>
            <w:tcBorders>
              <w:top w:val="single" w:sz="4" w:space="0" w:color="auto"/>
            </w:tcBorders>
            <w:vAlign w:val="center"/>
          </w:tcPr>
          <w:p w14:paraId="7634F299"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Ie</w:t>
            </w:r>
          </w:p>
        </w:tc>
      </w:tr>
      <w:tr w:rsidR="007B3D5C" w:rsidRPr="00D403F5" w14:paraId="0EEA5F1A" w14:textId="77777777" w:rsidTr="007B3D5C">
        <w:trPr>
          <w:jc w:val="center"/>
        </w:trPr>
        <w:tc>
          <w:tcPr>
            <w:tcW w:w="1977" w:type="dxa"/>
            <w:vMerge w:val="restart"/>
            <w:tcBorders>
              <w:top w:val="single" w:sz="4" w:space="0" w:color="auto"/>
            </w:tcBorders>
            <w:vAlign w:val="center"/>
          </w:tcPr>
          <w:p w14:paraId="3F6E7988"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Centrarchidae</w:t>
            </w:r>
          </w:p>
        </w:tc>
        <w:tc>
          <w:tcPr>
            <w:tcW w:w="2217" w:type="dxa"/>
            <w:tcBorders>
              <w:top w:val="single" w:sz="4" w:space="0" w:color="auto"/>
            </w:tcBorders>
            <w:shd w:val="clear" w:color="auto" w:fill="auto"/>
            <w:vAlign w:val="center"/>
          </w:tcPr>
          <w:p w14:paraId="0C391C65"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Ambloplites rupestris</w:t>
            </w:r>
          </w:p>
        </w:tc>
        <w:tc>
          <w:tcPr>
            <w:tcW w:w="2218" w:type="dxa"/>
            <w:tcBorders>
              <w:top w:val="single" w:sz="4" w:space="0" w:color="auto"/>
            </w:tcBorders>
            <w:vAlign w:val="center"/>
          </w:tcPr>
          <w:p w14:paraId="0602F4D5"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Rock bass</w:t>
            </w:r>
          </w:p>
        </w:tc>
        <w:tc>
          <w:tcPr>
            <w:tcW w:w="1238" w:type="dxa"/>
            <w:tcBorders>
              <w:top w:val="single" w:sz="4" w:space="0" w:color="auto"/>
            </w:tcBorders>
            <w:vAlign w:val="center"/>
          </w:tcPr>
          <w:p w14:paraId="3A775450"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0D7463A0" w14:textId="77777777" w:rsidTr="007B3D5C">
        <w:trPr>
          <w:jc w:val="center"/>
        </w:trPr>
        <w:tc>
          <w:tcPr>
            <w:tcW w:w="1977" w:type="dxa"/>
            <w:vMerge/>
            <w:vAlign w:val="center"/>
          </w:tcPr>
          <w:p w14:paraId="504F1A59"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tcBorders>
              <w:top w:val="single" w:sz="4" w:space="0" w:color="auto"/>
            </w:tcBorders>
            <w:shd w:val="clear" w:color="auto" w:fill="auto"/>
            <w:vAlign w:val="center"/>
          </w:tcPr>
          <w:p w14:paraId="05B2A120"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Lepomis gibbosus</w:t>
            </w:r>
          </w:p>
        </w:tc>
        <w:tc>
          <w:tcPr>
            <w:tcW w:w="2218" w:type="dxa"/>
            <w:tcBorders>
              <w:top w:val="single" w:sz="4" w:space="0" w:color="auto"/>
            </w:tcBorders>
            <w:vAlign w:val="center"/>
          </w:tcPr>
          <w:p w14:paraId="30DC0578"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Pumpkinseed</w:t>
            </w:r>
          </w:p>
        </w:tc>
        <w:tc>
          <w:tcPr>
            <w:tcW w:w="1238" w:type="dxa"/>
            <w:tcBorders>
              <w:top w:val="single" w:sz="4" w:space="0" w:color="auto"/>
            </w:tcBorders>
            <w:vAlign w:val="center"/>
          </w:tcPr>
          <w:p w14:paraId="03CA92F5"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1C6F50EE" w14:textId="77777777" w:rsidTr="007B3D5C">
        <w:trPr>
          <w:jc w:val="center"/>
        </w:trPr>
        <w:tc>
          <w:tcPr>
            <w:tcW w:w="1977" w:type="dxa"/>
            <w:vMerge/>
            <w:vAlign w:val="center"/>
          </w:tcPr>
          <w:p w14:paraId="451EA174"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tcBorders>
              <w:top w:val="single" w:sz="4" w:space="0" w:color="auto"/>
            </w:tcBorders>
            <w:shd w:val="clear" w:color="auto" w:fill="auto"/>
            <w:vAlign w:val="center"/>
          </w:tcPr>
          <w:p w14:paraId="4324BF0D"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Lepomis macrochirus</w:t>
            </w:r>
          </w:p>
        </w:tc>
        <w:tc>
          <w:tcPr>
            <w:tcW w:w="2218" w:type="dxa"/>
            <w:tcBorders>
              <w:top w:val="single" w:sz="4" w:space="0" w:color="auto"/>
            </w:tcBorders>
            <w:vAlign w:val="center"/>
          </w:tcPr>
          <w:p w14:paraId="73C21C61"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Bluegill</w:t>
            </w:r>
          </w:p>
        </w:tc>
        <w:tc>
          <w:tcPr>
            <w:tcW w:w="1238" w:type="dxa"/>
            <w:tcBorders>
              <w:top w:val="single" w:sz="4" w:space="0" w:color="auto"/>
            </w:tcBorders>
            <w:vAlign w:val="center"/>
          </w:tcPr>
          <w:p w14:paraId="78C79A17"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 IVb</w:t>
            </w:r>
          </w:p>
        </w:tc>
      </w:tr>
      <w:tr w:rsidR="007B3D5C" w:rsidRPr="00D403F5" w14:paraId="147F6F47" w14:textId="77777777" w:rsidTr="007B3D5C">
        <w:trPr>
          <w:jc w:val="center"/>
        </w:trPr>
        <w:tc>
          <w:tcPr>
            <w:tcW w:w="1977" w:type="dxa"/>
            <w:vMerge/>
            <w:vAlign w:val="center"/>
          </w:tcPr>
          <w:p w14:paraId="75807594"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tcBorders>
              <w:top w:val="single" w:sz="4" w:space="0" w:color="auto"/>
            </w:tcBorders>
            <w:shd w:val="clear" w:color="auto" w:fill="auto"/>
            <w:vAlign w:val="center"/>
          </w:tcPr>
          <w:p w14:paraId="5C2B94AB"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Micropterus dolomieu</w:t>
            </w:r>
          </w:p>
        </w:tc>
        <w:tc>
          <w:tcPr>
            <w:tcW w:w="2218" w:type="dxa"/>
            <w:tcBorders>
              <w:top w:val="single" w:sz="4" w:space="0" w:color="auto"/>
            </w:tcBorders>
            <w:vAlign w:val="center"/>
          </w:tcPr>
          <w:p w14:paraId="0EF33F2A"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Smallmouth bass</w:t>
            </w:r>
          </w:p>
        </w:tc>
        <w:tc>
          <w:tcPr>
            <w:tcW w:w="1238" w:type="dxa"/>
            <w:tcBorders>
              <w:top w:val="single" w:sz="4" w:space="0" w:color="auto"/>
            </w:tcBorders>
            <w:vAlign w:val="center"/>
          </w:tcPr>
          <w:p w14:paraId="24CAD5F9"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2444653F" w14:textId="77777777" w:rsidTr="007B3D5C">
        <w:trPr>
          <w:jc w:val="center"/>
        </w:trPr>
        <w:tc>
          <w:tcPr>
            <w:tcW w:w="1977" w:type="dxa"/>
            <w:vMerge/>
            <w:vAlign w:val="center"/>
          </w:tcPr>
          <w:p w14:paraId="77DCA4A5" w14:textId="77777777" w:rsidR="007B3D5C" w:rsidRPr="00D403F5" w:rsidRDefault="007B3D5C" w:rsidP="00A1774B">
            <w:pPr>
              <w:spacing w:before="60" w:after="60"/>
              <w:jc w:val="center"/>
              <w:rPr>
                <w:rFonts w:ascii="Arial" w:hAnsi="Arial" w:cs="Arial"/>
                <w:sz w:val="18"/>
                <w:szCs w:val="18"/>
                <w:highlight w:val="yellow"/>
                <w:u w:val="double"/>
              </w:rPr>
            </w:pPr>
          </w:p>
        </w:tc>
        <w:tc>
          <w:tcPr>
            <w:tcW w:w="2217" w:type="dxa"/>
            <w:tcBorders>
              <w:top w:val="single" w:sz="4" w:space="0" w:color="auto"/>
            </w:tcBorders>
            <w:shd w:val="clear" w:color="auto" w:fill="auto"/>
            <w:vAlign w:val="center"/>
          </w:tcPr>
          <w:p w14:paraId="66A55470"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Micropterus salmoides</w:t>
            </w:r>
          </w:p>
        </w:tc>
        <w:tc>
          <w:tcPr>
            <w:tcW w:w="2218" w:type="dxa"/>
            <w:tcBorders>
              <w:top w:val="single" w:sz="4" w:space="0" w:color="auto"/>
            </w:tcBorders>
            <w:vAlign w:val="center"/>
          </w:tcPr>
          <w:p w14:paraId="6FA52852"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Largemouth bass</w:t>
            </w:r>
          </w:p>
        </w:tc>
        <w:tc>
          <w:tcPr>
            <w:tcW w:w="1238" w:type="dxa"/>
            <w:tcBorders>
              <w:top w:val="single" w:sz="4" w:space="0" w:color="auto"/>
            </w:tcBorders>
            <w:vAlign w:val="center"/>
          </w:tcPr>
          <w:p w14:paraId="2E08D79D"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539E9F86" w14:textId="77777777" w:rsidTr="007B3D5C">
        <w:trPr>
          <w:jc w:val="center"/>
        </w:trPr>
        <w:tc>
          <w:tcPr>
            <w:tcW w:w="1977" w:type="dxa"/>
            <w:vMerge/>
            <w:vAlign w:val="center"/>
          </w:tcPr>
          <w:p w14:paraId="6EECF91A" w14:textId="77777777" w:rsidR="007B3D5C" w:rsidRPr="00D403F5" w:rsidRDefault="007B3D5C" w:rsidP="00A1774B">
            <w:pPr>
              <w:pStyle w:val="Tabletext"/>
              <w:spacing w:before="60" w:after="60"/>
              <w:rPr>
                <w:szCs w:val="18"/>
                <w:highlight w:val="yellow"/>
                <w:u w:val="double"/>
                <w:lang w:val="en-GB"/>
              </w:rPr>
            </w:pPr>
          </w:p>
        </w:tc>
        <w:tc>
          <w:tcPr>
            <w:tcW w:w="2217" w:type="dxa"/>
            <w:tcBorders>
              <w:top w:val="single" w:sz="4" w:space="0" w:color="auto"/>
            </w:tcBorders>
            <w:shd w:val="clear" w:color="auto" w:fill="auto"/>
            <w:vAlign w:val="center"/>
          </w:tcPr>
          <w:p w14:paraId="141D44C6"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Pomoxis nigromaculatus</w:t>
            </w:r>
          </w:p>
        </w:tc>
        <w:tc>
          <w:tcPr>
            <w:tcW w:w="2218" w:type="dxa"/>
            <w:tcBorders>
              <w:top w:val="single" w:sz="4" w:space="0" w:color="auto"/>
            </w:tcBorders>
            <w:vAlign w:val="center"/>
          </w:tcPr>
          <w:p w14:paraId="41E409D1"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Black crappie</w:t>
            </w:r>
          </w:p>
        </w:tc>
        <w:tc>
          <w:tcPr>
            <w:tcW w:w="1238" w:type="dxa"/>
            <w:tcBorders>
              <w:top w:val="single" w:sz="4" w:space="0" w:color="auto"/>
            </w:tcBorders>
            <w:vAlign w:val="center"/>
          </w:tcPr>
          <w:p w14:paraId="64595F01"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77CC66C7" w14:textId="77777777" w:rsidTr="007B3D5C">
        <w:trPr>
          <w:jc w:val="center"/>
        </w:trPr>
        <w:tc>
          <w:tcPr>
            <w:tcW w:w="1977" w:type="dxa"/>
            <w:vMerge w:val="restart"/>
            <w:vAlign w:val="center"/>
          </w:tcPr>
          <w:p w14:paraId="075AC2AE"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Clupeidae</w:t>
            </w:r>
          </w:p>
        </w:tc>
        <w:tc>
          <w:tcPr>
            <w:tcW w:w="2217" w:type="dxa"/>
            <w:shd w:val="clear" w:color="auto" w:fill="auto"/>
            <w:vAlign w:val="center"/>
          </w:tcPr>
          <w:p w14:paraId="3FEB4F5F"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Alosa immaculata</w:t>
            </w:r>
          </w:p>
        </w:tc>
        <w:tc>
          <w:tcPr>
            <w:tcW w:w="2218" w:type="dxa"/>
            <w:vAlign w:val="center"/>
          </w:tcPr>
          <w:p w14:paraId="4150D843"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 xml:space="preserve">Pontic shad </w:t>
            </w:r>
          </w:p>
        </w:tc>
        <w:tc>
          <w:tcPr>
            <w:tcW w:w="1238" w:type="dxa"/>
            <w:vAlign w:val="center"/>
          </w:tcPr>
          <w:p w14:paraId="558559A1" w14:textId="77777777" w:rsidR="007B3D5C" w:rsidRPr="00D403F5" w:rsidRDefault="007B3D5C" w:rsidP="00A1774B">
            <w:pPr>
              <w:pStyle w:val="Tabletext"/>
              <w:spacing w:before="60" w:after="60"/>
              <w:rPr>
                <w:iCs/>
                <w:color w:val="000000"/>
                <w:szCs w:val="18"/>
                <w:highlight w:val="yellow"/>
                <w:u w:val="double"/>
              </w:rPr>
            </w:pPr>
            <w:r w:rsidRPr="00D403F5">
              <w:rPr>
                <w:iCs/>
                <w:szCs w:val="18"/>
                <w:highlight w:val="yellow"/>
                <w:u w:val="double"/>
                <w:lang w:val="en-GB"/>
              </w:rPr>
              <w:t>Ie</w:t>
            </w:r>
          </w:p>
        </w:tc>
      </w:tr>
      <w:tr w:rsidR="007B3D5C" w:rsidRPr="00D403F5" w14:paraId="05759D95" w14:textId="77777777" w:rsidTr="007B3D5C">
        <w:trPr>
          <w:jc w:val="center"/>
        </w:trPr>
        <w:tc>
          <w:tcPr>
            <w:tcW w:w="1977" w:type="dxa"/>
            <w:vMerge/>
            <w:vAlign w:val="center"/>
          </w:tcPr>
          <w:p w14:paraId="778FD2B5"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shd w:val="clear" w:color="auto" w:fill="auto"/>
            <w:vAlign w:val="center"/>
          </w:tcPr>
          <w:p w14:paraId="639351AD"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Sardina pilchardus</w:t>
            </w:r>
          </w:p>
        </w:tc>
        <w:tc>
          <w:tcPr>
            <w:tcW w:w="2218" w:type="dxa"/>
            <w:vAlign w:val="center"/>
          </w:tcPr>
          <w:p w14:paraId="25B157A7"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 xml:space="preserve">Pilchard </w:t>
            </w:r>
          </w:p>
        </w:tc>
        <w:tc>
          <w:tcPr>
            <w:tcW w:w="1238" w:type="dxa"/>
            <w:vAlign w:val="center"/>
          </w:tcPr>
          <w:p w14:paraId="1F7C7A89" w14:textId="77777777" w:rsidR="007B3D5C" w:rsidRPr="00D403F5" w:rsidRDefault="007B3D5C" w:rsidP="00A1774B">
            <w:pPr>
              <w:pStyle w:val="Tabletext"/>
              <w:spacing w:before="60" w:after="60"/>
              <w:rPr>
                <w:iCs/>
                <w:color w:val="000000"/>
                <w:szCs w:val="18"/>
                <w:highlight w:val="yellow"/>
                <w:u w:val="double"/>
              </w:rPr>
            </w:pPr>
          </w:p>
        </w:tc>
      </w:tr>
      <w:tr w:rsidR="007B3D5C" w:rsidRPr="00D403F5" w14:paraId="65D0F602" w14:textId="77777777" w:rsidTr="007B3D5C">
        <w:trPr>
          <w:jc w:val="center"/>
        </w:trPr>
        <w:tc>
          <w:tcPr>
            <w:tcW w:w="1977" w:type="dxa"/>
            <w:vMerge/>
            <w:vAlign w:val="center"/>
          </w:tcPr>
          <w:p w14:paraId="0C2B1F5E"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shd w:val="clear" w:color="auto" w:fill="auto"/>
            <w:vAlign w:val="center"/>
          </w:tcPr>
          <w:p w14:paraId="6D5F2280"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Clupea harengus</w:t>
            </w:r>
          </w:p>
        </w:tc>
        <w:tc>
          <w:tcPr>
            <w:tcW w:w="2218" w:type="dxa"/>
            <w:vAlign w:val="center"/>
          </w:tcPr>
          <w:p w14:paraId="75BB8208"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Atlantic herring</w:t>
            </w:r>
          </w:p>
        </w:tc>
        <w:tc>
          <w:tcPr>
            <w:tcW w:w="1238" w:type="dxa"/>
            <w:vAlign w:val="center"/>
          </w:tcPr>
          <w:p w14:paraId="35785E93" w14:textId="77777777" w:rsidR="007B3D5C" w:rsidRPr="00D403F5" w:rsidRDefault="007B3D5C" w:rsidP="00A1774B">
            <w:pPr>
              <w:pStyle w:val="Tabletext"/>
              <w:spacing w:before="60" w:after="60"/>
              <w:rPr>
                <w:iCs/>
                <w:color w:val="000000"/>
                <w:szCs w:val="18"/>
                <w:highlight w:val="yellow"/>
                <w:u w:val="double"/>
              </w:rPr>
            </w:pPr>
            <w:r w:rsidRPr="00D403F5">
              <w:rPr>
                <w:iCs/>
                <w:szCs w:val="18"/>
                <w:highlight w:val="yellow"/>
                <w:u w:val="double"/>
                <w:lang w:val="en-GB"/>
              </w:rPr>
              <w:t>Ib, III</w:t>
            </w:r>
          </w:p>
        </w:tc>
      </w:tr>
      <w:tr w:rsidR="007B3D5C" w:rsidRPr="00D403F5" w14:paraId="3F7514EC" w14:textId="77777777" w:rsidTr="007B3D5C">
        <w:trPr>
          <w:jc w:val="center"/>
        </w:trPr>
        <w:tc>
          <w:tcPr>
            <w:tcW w:w="1977" w:type="dxa"/>
            <w:vMerge/>
            <w:vAlign w:val="center"/>
          </w:tcPr>
          <w:p w14:paraId="1C7A84F1"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shd w:val="clear" w:color="auto" w:fill="auto"/>
            <w:vAlign w:val="center"/>
          </w:tcPr>
          <w:p w14:paraId="234ADFB4"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 xml:space="preserve">Clupea pallasii pallasii </w:t>
            </w:r>
          </w:p>
        </w:tc>
        <w:tc>
          <w:tcPr>
            <w:tcW w:w="2218" w:type="dxa"/>
            <w:vAlign w:val="center"/>
          </w:tcPr>
          <w:p w14:paraId="0A74C12E"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Pacific herring</w:t>
            </w:r>
          </w:p>
        </w:tc>
        <w:tc>
          <w:tcPr>
            <w:tcW w:w="1238" w:type="dxa"/>
            <w:vAlign w:val="center"/>
          </w:tcPr>
          <w:p w14:paraId="3C23AB72" w14:textId="77777777" w:rsidR="007B3D5C" w:rsidRPr="00D403F5" w:rsidRDefault="007B3D5C" w:rsidP="00A1774B">
            <w:pPr>
              <w:pStyle w:val="Tabletext"/>
              <w:spacing w:before="60" w:after="60"/>
              <w:rPr>
                <w:iCs/>
                <w:color w:val="000000"/>
                <w:szCs w:val="18"/>
                <w:highlight w:val="yellow"/>
                <w:u w:val="double"/>
              </w:rPr>
            </w:pPr>
            <w:r w:rsidRPr="00D403F5">
              <w:rPr>
                <w:iCs/>
                <w:szCs w:val="18"/>
                <w:highlight w:val="yellow"/>
                <w:u w:val="double"/>
                <w:lang w:val="en-GB"/>
              </w:rPr>
              <w:t>IVa</w:t>
            </w:r>
          </w:p>
        </w:tc>
      </w:tr>
      <w:tr w:rsidR="007B3D5C" w:rsidRPr="00D403F5" w14:paraId="6FED25DA" w14:textId="77777777" w:rsidTr="007B3D5C">
        <w:trPr>
          <w:jc w:val="center"/>
        </w:trPr>
        <w:tc>
          <w:tcPr>
            <w:tcW w:w="1977" w:type="dxa"/>
            <w:vMerge/>
            <w:vAlign w:val="center"/>
          </w:tcPr>
          <w:p w14:paraId="09B079C7"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shd w:val="clear" w:color="auto" w:fill="auto"/>
            <w:vAlign w:val="center"/>
          </w:tcPr>
          <w:p w14:paraId="523C8B2D"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Dorosoma cepedianum</w:t>
            </w:r>
          </w:p>
        </w:tc>
        <w:tc>
          <w:tcPr>
            <w:tcW w:w="2218" w:type="dxa"/>
            <w:vAlign w:val="center"/>
          </w:tcPr>
          <w:p w14:paraId="77B42CEA"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American gizzard shad</w:t>
            </w:r>
          </w:p>
        </w:tc>
        <w:tc>
          <w:tcPr>
            <w:tcW w:w="1238" w:type="dxa"/>
            <w:vAlign w:val="center"/>
          </w:tcPr>
          <w:p w14:paraId="562BF89B" w14:textId="77777777" w:rsidR="007B3D5C" w:rsidRPr="00D403F5" w:rsidRDefault="007B3D5C" w:rsidP="00A1774B">
            <w:pPr>
              <w:pStyle w:val="Tabletext"/>
              <w:spacing w:before="60" w:after="60"/>
              <w:rPr>
                <w:iCs/>
                <w:color w:val="000000"/>
                <w:szCs w:val="18"/>
                <w:highlight w:val="yellow"/>
                <w:u w:val="double"/>
              </w:rPr>
            </w:pPr>
            <w:r w:rsidRPr="00D403F5">
              <w:rPr>
                <w:iCs/>
                <w:color w:val="000000"/>
                <w:szCs w:val="18"/>
                <w:highlight w:val="yellow"/>
                <w:u w:val="double"/>
              </w:rPr>
              <w:t>IVb</w:t>
            </w:r>
          </w:p>
        </w:tc>
      </w:tr>
      <w:tr w:rsidR="007B3D5C" w:rsidRPr="00D403F5" w14:paraId="7CE631EE" w14:textId="77777777" w:rsidTr="007B3D5C">
        <w:trPr>
          <w:jc w:val="center"/>
        </w:trPr>
        <w:tc>
          <w:tcPr>
            <w:tcW w:w="1977" w:type="dxa"/>
            <w:vMerge/>
            <w:vAlign w:val="center"/>
          </w:tcPr>
          <w:p w14:paraId="77D20A56" w14:textId="77777777" w:rsidR="007B3D5C" w:rsidRPr="00D403F5" w:rsidRDefault="007B3D5C" w:rsidP="00A1774B">
            <w:pPr>
              <w:spacing w:before="60" w:after="60"/>
              <w:jc w:val="center"/>
              <w:rPr>
                <w:rFonts w:ascii="Arial" w:hAnsi="Arial" w:cs="Arial"/>
                <w:sz w:val="18"/>
                <w:szCs w:val="18"/>
                <w:highlight w:val="yellow"/>
                <w:u w:val="double"/>
              </w:rPr>
            </w:pPr>
          </w:p>
        </w:tc>
        <w:tc>
          <w:tcPr>
            <w:tcW w:w="2217" w:type="dxa"/>
            <w:shd w:val="clear" w:color="auto" w:fill="auto"/>
            <w:vAlign w:val="center"/>
          </w:tcPr>
          <w:p w14:paraId="4FE385E5"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Sardinops sagax</w:t>
            </w:r>
          </w:p>
        </w:tc>
        <w:tc>
          <w:tcPr>
            <w:tcW w:w="2218" w:type="dxa"/>
            <w:vAlign w:val="center"/>
          </w:tcPr>
          <w:p w14:paraId="66947762" w14:textId="77777777" w:rsidR="007B3D5C" w:rsidRPr="00D403F5" w:rsidRDefault="007B3D5C" w:rsidP="00A1774B">
            <w:pPr>
              <w:pStyle w:val="Tabletext"/>
              <w:spacing w:before="60" w:after="60"/>
              <w:rPr>
                <w:iCs/>
                <w:color w:val="000000"/>
                <w:szCs w:val="18"/>
                <w:highlight w:val="yellow"/>
                <w:u w:val="double"/>
              </w:rPr>
            </w:pPr>
            <w:r w:rsidRPr="00D403F5">
              <w:rPr>
                <w:iCs/>
                <w:color w:val="000000"/>
                <w:szCs w:val="18"/>
                <w:highlight w:val="yellow"/>
                <w:u w:val="double"/>
              </w:rPr>
              <w:t>South American pilchard</w:t>
            </w:r>
          </w:p>
        </w:tc>
        <w:tc>
          <w:tcPr>
            <w:tcW w:w="1238" w:type="dxa"/>
            <w:vAlign w:val="center"/>
          </w:tcPr>
          <w:p w14:paraId="68B4D898"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3498F0D5" w14:textId="77777777" w:rsidTr="007B3D5C">
        <w:trPr>
          <w:jc w:val="center"/>
        </w:trPr>
        <w:tc>
          <w:tcPr>
            <w:tcW w:w="1977" w:type="dxa"/>
            <w:vMerge/>
            <w:vAlign w:val="center"/>
          </w:tcPr>
          <w:p w14:paraId="26167B30"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4780A05A"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Sprattus sprattus</w:t>
            </w:r>
          </w:p>
        </w:tc>
        <w:tc>
          <w:tcPr>
            <w:tcW w:w="2218" w:type="dxa"/>
            <w:vAlign w:val="center"/>
          </w:tcPr>
          <w:p w14:paraId="2C947437"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European sprat</w:t>
            </w:r>
          </w:p>
        </w:tc>
        <w:tc>
          <w:tcPr>
            <w:tcW w:w="1238" w:type="dxa"/>
            <w:vAlign w:val="center"/>
          </w:tcPr>
          <w:p w14:paraId="563B1B73"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w:t>
            </w:r>
          </w:p>
        </w:tc>
      </w:tr>
      <w:tr w:rsidR="007B3D5C" w:rsidRPr="00D403F5" w14:paraId="714C3D06" w14:textId="77777777" w:rsidTr="007B3D5C">
        <w:trPr>
          <w:trHeight w:val="233"/>
          <w:jc w:val="center"/>
        </w:trPr>
        <w:tc>
          <w:tcPr>
            <w:tcW w:w="1977" w:type="dxa"/>
            <w:vAlign w:val="center"/>
          </w:tcPr>
          <w:p w14:paraId="6A5BDDFD"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Cyclopteridae</w:t>
            </w:r>
          </w:p>
        </w:tc>
        <w:tc>
          <w:tcPr>
            <w:tcW w:w="2217" w:type="dxa"/>
            <w:shd w:val="clear" w:color="auto" w:fill="auto"/>
            <w:vAlign w:val="center"/>
          </w:tcPr>
          <w:p w14:paraId="61601F1B"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Cyclopterus lumpus</w:t>
            </w:r>
          </w:p>
        </w:tc>
        <w:tc>
          <w:tcPr>
            <w:tcW w:w="2218" w:type="dxa"/>
            <w:vAlign w:val="center"/>
          </w:tcPr>
          <w:p w14:paraId="3F9633BD"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Lumpfish</w:t>
            </w:r>
          </w:p>
        </w:tc>
        <w:tc>
          <w:tcPr>
            <w:tcW w:w="1238" w:type="dxa"/>
            <w:vAlign w:val="center"/>
          </w:tcPr>
          <w:p w14:paraId="004BA6D7"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IVd</w:t>
            </w:r>
          </w:p>
        </w:tc>
      </w:tr>
      <w:tr w:rsidR="007B3D5C" w:rsidRPr="00D403F5" w14:paraId="2F18DC93" w14:textId="77777777" w:rsidTr="007B3D5C">
        <w:trPr>
          <w:trHeight w:val="233"/>
          <w:jc w:val="center"/>
        </w:trPr>
        <w:tc>
          <w:tcPr>
            <w:tcW w:w="1977" w:type="dxa"/>
            <w:vMerge w:val="restart"/>
            <w:vAlign w:val="center"/>
          </w:tcPr>
          <w:p w14:paraId="14CE14DB" w14:textId="77777777" w:rsidR="007B3D5C" w:rsidRPr="00D403F5" w:rsidRDefault="007B3D5C" w:rsidP="00A1774B">
            <w:pPr>
              <w:spacing w:before="60" w:after="60"/>
              <w:jc w:val="center"/>
              <w:rPr>
                <w:rFonts w:ascii="Arial" w:hAnsi="Arial" w:cs="Arial"/>
                <w:sz w:val="18"/>
                <w:szCs w:val="18"/>
                <w:highlight w:val="yellow"/>
                <w:u w:val="double"/>
              </w:rPr>
            </w:pPr>
            <w:r w:rsidRPr="00D403F5">
              <w:rPr>
                <w:rFonts w:ascii="Arial" w:hAnsi="Arial" w:cs="Arial"/>
                <w:color w:val="000000"/>
                <w:sz w:val="18"/>
                <w:szCs w:val="18"/>
                <w:highlight w:val="yellow"/>
                <w:u w:val="double"/>
              </w:rPr>
              <w:t>Cyprinidae</w:t>
            </w:r>
          </w:p>
        </w:tc>
        <w:tc>
          <w:tcPr>
            <w:tcW w:w="2217" w:type="dxa"/>
            <w:shd w:val="clear" w:color="auto" w:fill="auto"/>
            <w:vAlign w:val="center"/>
          </w:tcPr>
          <w:p w14:paraId="4102D938"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Danio rerio</w:t>
            </w:r>
          </w:p>
        </w:tc>
        <w:tc>
          <w:tcPr>
            <w:tcW w:w="2218" w:type="dxa"/>
            <w:vAlign w:val="center"/>
          </w:tcPr>
          <w:p w14:paraId="25541402"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Zebra fish</w:t>
            </w:r>
          </w:p>
        </w:tc>
        <w:tc>
          <w:tcPr>
            <w:tcW w:w="1238" w:type="dxa"/>
            <w:vAlign w:val="center"/>
          </w:tcPr>
          <w:p w14:paraId="25906253"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33EDAF6B" w14:textId="77777777" w:rsidTr="007B3D5C">
        <w:trPr>
          <w:jc w:val="center"/>
        </w:trPr>
        <w:tc>
          <w:tcPr>
            <w:tcW w:w="1977" w:type="dxa"/>
            <w:vMerge/>
            <w:vAlign w:val="center"/>
          </w:tcPr>
          <w:p w14:paraId="67D2C5BF"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BF92221"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Notropis hudsonius</w:t>
            </w:r>
          </w:p>
        </w:tc>
        <w:tc>
          <w:tcPr>
            <w:tcW w:w="2218" w:type="dxa"/>
            <w:vAlign w:val="center"/>
          </w:tcPr>
          <w:p w14:paraId="3F9F1B7D"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Spottail shiner</w:t>
            </w:r>
          </w:p>
        </w:tc>
        <w:tc>
          <w:tcPr>
            <w:tcW w:w="1238" w:type="dxa"/>
            <w:vAlign w:val="center"/>
          </w:tcPr>
          <w:p w14:paraId="55EE5989"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16377C69" w14:textId="77777777" w:rsidTr="007B3D5C">
        <w:trPr>
          <w:jc w:val="center"/>
        </w:trPr>
        <w:tc>
          <w:tcPr>
            <w:tcW w:w="1977" w:type="dxa"/>
            <w:vMerge/>
            <w:vAlign w:val="center"/>
          </w:tcPr>
          <w:p w14:paraId="406F5CC2"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0B4663DC"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Notropis atherinoides</w:t>
            </w:r>
          </w:p>
        </w:tc>
        <w:tc>
          <w:tcPr>
            <w:tcW w:w="2218" w:type="dxa"/>
            <w:vAlign w:val="center"/>
          </w:tcPr>
          <w:p w14:paraId="2671992F"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Emerald shiner</w:t>
            </w:r>
          </w:p>
        </w:tc>
        <w:tc>
          <w:tcPr>
            <w:tcW w:w="1238" w:type="dxa"/>
            <w:vAlign w:val="center"/>
          </w:tcPr>
          <w:p w14:paraId="6F0E64A2"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0AD7E43C" w14:textId="77777777" w:rsidTr="007B3D5C">
        <w:trPr>
          <w:jc w:val="center"/>
        </w:trPr>
        <w:tc>
          <w:tcPr>
            <w:tcW w:w="1977" w:type="dxa"/>
            <w:vMerge/>
            <w:vAlign w:val="center"/>
          </w:tcPr>
          <w:p w14:paraId="69AC8EA6"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BE97396"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Pimephales notatus</w:t>
            </w:r>
          </w:p>
        </w:tc>
        <w:tc>
          <w:tcPr>
            <w:tcW w:w="2218" w:type="dxa"/>
            <w:vAlign w:val="center"/>
          </w:tcPr>
          <w:p w14:paraId="66040FF1"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Bluntnose minnow</w:t>
            </w:r>
          </w:p>
        </w:tc>
        <w:tc>
          <w:tcPr>
            <w:tcW w:w="1238" w:type="dxa"/>
            <w:vAlign w:val="center"/>
          </w:tcPr>
          <w:p w14:paraId="44E47135"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3966A5D5" w14:textId="77777777" w:rsidTr="007B3D5C">
        <w:trPr>
          <w:jc w:val="center"/>
        </w:trPr>
        <w:tc>
          <w:tcPr>
            <w:tcW w:w="1977" w:type="dxa"/>
            <w:vAlign w:val="center"/>
          </w:tcPr>
          <w:p w14:paraId="14520E72"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2B00D8E6" w14:textId="152D6235"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Pimephales promelas</w:t>
            </w:r>
          </w:p>
        </w:tc>
        <w:tc>
          <w:tcPr>
            <w:tcW w:w="2218" w:type="dxa"/>
            <w:vAlign w:val="center"/>
          </w:tcPr>
          <w:p w14:paraId="5A8DACD8" w14:textId="091D53F0"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 xml:space="preserve">Fathead Minnow </w:t>
            </w:r>
          </w:p>
        </w:tc>
        <w:tc>
          <w:tcPr>
            <w:tcW w:w="1238" w:type="dxa"/>
            <w:vAlign w:val="center"/>
          </w:tcPr>
          <w:p w14:paraId="082CCAA4" w14:textId="4529D902"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bl>
    <w:p w14:paraId="4E9757A0" w14:textId="1F0972B6" w:rsidR="007B3D5C" w:rsidRPr="00D403F5" w:rsidRDefault="007B3D5C" w:rsidP="00A1774B">
      <w:pPr>
        <w:spacing w:after="480" w:line="240" w:lineRule="auto"/>
        <w:rPr>
          <w:sz w:val="18"/>
          <w:szCs w:val="18"/>
        </w:rPr>
      </w:pPr>
      <w:r w:rsidRPr="00D403F5">
        <w:rPr>
          <w:bCs/>
          <w:sz w:val="18"/>
          <w:szCs w:val="18"/>
        </w:rPr>
        <w:br w:type="page"/>
      </w:r>
      <w:r w:rsidRPr="00D403F5">
        <w:rPr>
          <w:rFonts w:ascii="Times New Roman" w:hAnsi="Times New Roman" w:cs="Times New Roman"/>
          <w:sz w:val="18"/>
          <w:szCs w:val="18"/>
          <w:u w:val="single"/>
        </w:rPr>
        <w:t>Annex 6</w:t>
      </w:r>
      <w:r w:rsidRPr="00D403F5">
        <w:rPr>
          <w:rFonts w:ascii="Times New Roman" w:hAnsi="Times New Roman" w:cs="Times New Roman"/>
          <w:sz w:val="18"/>
          <w:szCs w:val="18"/>
        </w:rPr>
        <w:t xml:space="preserve"> (contd)</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2217"/>
        <w:gridCol w:w="2218"/>
        <w:gridCol w:w="1238"/>
      </w:tblGrid>
      <w:tr w:rsidR="007B3D5C" w:rsidRPr="00D403F5" w14:paraId="32E6FA25" w14:textId="77777777" w:rsidTr="007B3D5C">
        <w:trPr>
          <w:jc w:val="center"/>
        </w:trPr>
        <w:tc>
          <w:tcPr>
            <w:tcW w:w="1977" w:type="dxa"/>
            <w:vAlign w:val="center"/>
          </w:tcPr>
          <w:p w14:paraId="175B8D71" w14:textId="6AD5A9B3" w:rsidR="007B3D5C" w:rsidRPr="00D403F5" w:rsidRDefault="007B3D5C" w:rsidP="00A1774B">
            <w:pPr>
              <w:pStyle w:val="Tabletext"/>
              <w:spacing w:before="60" w:after="60"/>
              <w:rPr>
                <w:b/>
                <w:szCs w:val="18"/>
                <w:highlight w:val="yellow"/>
                <w:u w:val="double"/>
                <w:lang w:val="en-GB"/>
              </w:rPr>
            </w:pPr>
            <w:r w:rsidRPr="00D403F5">
              <w:rPr>
                <w:b/>
                <w:szCs w:val="18"/>
                <w:highlight w:val="yellow"/>
                <w:u w:val="double"/>
                <w:lang w:val="en-GB"/>
              </w:rPr>
              <w:t>Family</w:t>
            </w:r>
          </w:p>
        </w:tc>
        <w:tc>
          <w:tcPr>
            <w:tcW w:w="2217" w:type="dxa"/>
            <w:shd w:val="clear" w:color="auto" w:fill="auto"/>
            <w:vAlign w:val="center"/>
          </w:tcPr>
          <w:p w14:paraId="2E4DF202" w14:textId="21DC384F" w:rsidR="007B3D5C" w:rsidRPr="00D403F5" w:rsidRDefault="007B3D5C" w:rsidP="00A1774B">
            <w:pPr>
              <w:pStyle w:val="Tabletext"/>
              <w:spacing w:before="60" w:after="60"/>
              <w:rPr>
                <w:b/>
                <w:i/>
                <w:iCs/>
                <w:color w:val="000000"/>
                <w:szCs w:val="18"/>
                <w:highlight w:val="yellow"/>
                <w:u w:val="double"/>
              </w:rPr>
            </w:pPr>
            <w:r w:rsidRPr="00D403F5">
              <w:rPr>
                <w:b/>
                <w:szCs w:val="18"/>
                <w:highlight w:val="yellow"/>
                <w:u w:val="double"/>
                <w:lang w:val="en-GB"/>
              </w:rPr>
              <w:t>Scientific name</w:t>
            </w:r>
          </w:p>
        </w:tc>
        <w:tc>
          <w:tcPr>
            <w:tcW w:w="2218" w:type="dxa"/>
            <w:vAlign w:val="center"/>
          </w:tcPr>
          <w:p w14:paraId="7F49F4EA" w14:textId="1868E0FB" w:rsidR="007B3D5C" w:rsidRPr="00D403F5" w:rsidRDefault="007B3D5C" w:rsidP="00A1774B">
            <w:pPr>
              <w:pStyle w:val="Tabletext"/>
              <w:spacing w:before="60" w:after="60"/>
              <w:rPr>
                <w:b/>
                <w:color w:val="000000"/>
                <w:szCs w:val="18"/>
                <w:highlight w:val="yellow"/>
                <w:u w:val="double"/>
              </w:rPr>
            </w:pPr>
            <w:r w:rsidRPr="00D403F5">
              <w:rPr>
                <w:b/>
                <w:szCs w:val="18"/>
                <w:highlight w:val="yellow"/>
                <w:u w:val="double"/>
                <w:lang w:val="en-GB"/>
              </w:rPr>
              <w:t>Common name</w:t>
            </w:r>
          </w:p>
        </w:tc>
        <w:tc>
          <w:tcPr>
            <w:tcW w:w="1238" w:type="dxa"/>
          </w:tcPr>
          <w:p w14:paraId="5345AC11" w14:textId="0A8BAC18" w:rsidR="007B3D5C" w:rsidRPr="00D403F5" w:rsidRDefault="007B3D5C" w:rsidP="00A1774B">
            <w:pPr>
              <w:pStyle w:val="Tabletext"/>
              <w:spacing w:before="60" w:after="60"/>
              <w:rPr>
                <w:b/>
                <w:iCs/>
                <w:szCs w:val="18"/>
                <w:highlight w:val="yellow"/>
                <w:u w:val="double"/>
                <w:lang w:val="en-GB"/>
              </w:rPr>
            </w:pPr>
            <w:r w:rsidRPr="00D403F5">
              <w:rPr>
                <w:b/>
                <w:szCs w:val="18"/>
                <w:highlight w:val="yellow"/>
                <w:u w:val="double"/>
                <w:lang w:val="en-GB"/>
              </w:rPr>
              <w:t>Genotype</w:t>
            </w:r>
          </w:p>
        </w:tc>
      </w:tr>
      <w:tr w:rsidR="007B3D5C" w:rsidRPr="00D403F5" w14:paraId="3E6E4A95" w14:textId="77777777" w:rsidTr="007B3D5C">
        <w:trPr>
          <w:jc w:val="center"/>
        </w:trPr>
        <w:tc>
          <w:tcPr>
            <w:tcW w:w="1977" w:type="dxa"/>
            <w:vAlign w:val="center"/>
          </w:tcPr>
          <w:p w14:paraId="62171B7B"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Embiotocidae</w:t>
            </w:r>
          </w:p>
        </w:tc>
        <w:tc>
          <w:tcPr>
            <w:tcW w:w="2217" w:type="dxa"/>
            <w:shd w:val="clear" w:color="auto" w:fill="auto"/>
            <w:vAlign w:val="center"/>
          </w:tcPr>
          <w:p w14:paraId="2B8626CF"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Cymatogaster aggregata</w:t>
            </w:r>
          </w:p>
        </w:tc>
        <w:tc>
          <w:tcPr>
            <w:tcW w:w="2218" w:type="dxa"/>
            <w:vAlign w:val="center"/>
          </w:tcPr>
          <w:p w14:paraId="548BA6F8"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Shiner perch</w:t>
            </w:r>
          </w:p>
        </w:tc>
        <w:tc>
          <w:tcPr>
            <w:tcW w:w="1238" w:type="dxa"/>
            <w:vAlign w:val="center"/>
          </w:tcPr>
          <w:p w14:paraId="0C9154C9"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42D5BE74" w14:textId="77777777" w:rsidTr="007B3D5C">
        <w:trPr>
          <w:jc w:val="center"/>
        </w:trPr>
        <w:tc>
          <w:tcPr>
            <w:tcW w:w="1977" w:type="dxa"/>
            <w:vAlign w:val="center"/>
          </w:tcPr>
          <w:p w14:paraId="28300C60"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Engraulidae</w:t>
            </w:r>
          </w:p>
        </w:tc>
        <w:tc>
          <w:tcPr>
            <w:tcW w:w="2217" w:type="dxa"/>
            <w:shd w:val="clear" w:color="auto" w:fill="auto"/>
            <w:vAlign w:val="center"/>
          </w:tcPr>
          <w:p w14:paraId="565774F9"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Engraulis encrasicolus</w:t>
            </w:r>
          </w:p>
        </w:tc>
        <w:tc>
          <w:tcPr>
            <w:tcW w:w="2218" w:type="dxa"/>
            <w:vAlign w:val="center"/>
          </w:tcPr>
          <w:p w14:paraId="742F53D6"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European anchovy</w:t>
            </w:r>
          </w:p>
        </w:tc>
        <w:tc>
          <w:tcPr>
            <w:tcW w:w="1238" w:type="dxa"/>
            <w:vAlign w:val="center"/>
          </w:tcPr>
          <w:p w14:paraId="56B041B6"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Ie</w:t>
            </w:r>
          </w:p>
        </w:tc>
      </w:tr>
      <w:tr w:rsidR="007B3D5C" w:rsidRPr="00D403F5" w14:paraId="61218F42" w14:textId="77777777" w:rsidTr="007B3D5C">
        <w:trPr>
          <w:jc w:val="center"/>
        </w:trPr>
        <w:tc>
          <w:tcPr>
            <w:tcW w:w="1977" w:type="dxa"/>
            <w:vMerge w:val="restart"/>
            <w:vAlign w:val="center"/>
          </w:tcPr>
          <w:p w14:paraId="7D72100C"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Esocidae</w:t>
            </w:r>
          </w:p>
        </w:tc>
        <w:tc>
          <w:tcPr>
            <w:tcW w:w="2217" w:type="dxa"/>
            <w:shd w:val="clear" w:color="auto" w:fill="auto"/>
            <w:vAlign w:val="center"/>
          </w:tcPr>
          <w:p w14:paraId="1BDE9871" w14:textId="77777777" w:rsidR="007B3D5C" w:rsidRPr="00D403F5" w:rsidRDefault="007B3D5C" w:rsidP="00A1774B">
            <w:pPr>
              <w:pStyle w:val="Tabletext"/>
              <w:spacing w:before="60" w:after="60"/>
              <w:rPr>
                <w:b/>
                <w:bCs w:val="0"/>
                <w:i/>
                <w:szCs w:val="18"/>
                <w:highlight w:val="yellow"/>
                <w:u w:val="double"/>
                <w:lang w:val="en-GB"/>
              </w:rPr>
            </w:pPr>
            <w:r w:rsidRPr="00D403F5">
              <w:rPr>
                <w:i/>
                <w:iCs/>
                <w:color w:val="000000"/>
                <w:szCs w:val="18"/>
                <w:highlight w:val="yellow"/>
                <w:u w:val="double"/>
              </w:rPr>
              <w:t>Esox lucius</w:t>
            </w:r>
          </w:p>
        </w:tc>
        <w:tc>
          <w:tcPr>
            <w:tcW w:w="2218" w:type="dxa"/>
            <w:vAlign w:val="center"/>
          </w:tcPr>
          <w:p w14:paraId="458AF919"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Northern pike</w:t>
            </w:r>
          </w:p>
        </w:tc>
        <w:tc>
          <w:tcPr>
            <w:tcW w:w="1238" w:type="dxa"/>
            <w:vAlign w:val="center"/>
          </w:tcPr>
          <w:p w14:paraId="7F8309F2"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71E03379" w14:textId="77777777" w:rsidTr="007B3D5C">
        <w:trPr>
          <w:jc w:val="center"/>
        </w:trPr>
        <w:tc>
          <w:tcPr>
            <w:tcW w:w="1977" w:type="dxa"/>
            <w:vMerge/>
            <w:vAlign w:val="center"/>
          </w:tcPr>
          <w:p w14:paraId="5F81CB0A" w14:textId="77777777" w:rsidR="007B3D5C" w:rsidRPr="00D403F5" w:rsidRDefault="007B3D5C" w:rsidP="00A1774B">
            <w:pPr>
              <w:spacing w:before="60" w:after="60"/>
              <w:jc w:val="center"/>
              <w:rPr>
                <w:rFonts w:ascii="Arial" w:hAnsi="Arial" w:cs="Arial"/>
                <w:color w:val="000000"/>
                <w:sz w:val="18"/>
                <w:szCs w:val="18"/>
                <w:highlight w:val="yellow"/>
                <w:u w:val="double"/>
              </w:rPr>
            </w:pPr>
          </w:p>
        </w:tc>
        <w:tc>
          <w:tcPr>
            <w:tcW w:w="2217" w:type="dxa"/>
            <w:shd w:val="clear" w:color="auto" w:fill="auto"/>
            <w:vAlign w:val="center"/>
          </w:tcPr>
          <w:p w14:paraId="11572656"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Esox masquinongy</w:t>
            </w:r>
          </w:p>
        </w:tc>
        <w:tc>
          <w:tcPr>
            <w:tcW w:w="2218" w:type="dxa"/>
            <w:vAlign w:val="center"/>
          </w:tcPr>
          <w:p w14:paraId="576673B4"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Muskellunge</w:t>
            </w:r>
          </w:p>
        </w:tc>
        <w:tc>
          <w:tcPr>
            <w:tcW w:w="1238" w:type="dxa"/>
            <w:vAlign w:val="center"/>
          </w:tcPr>
          <w:p w14:paraId="10719EA7"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16AA5120" w14:textId="77777777" w:rsidTr="007B3D5C">
        <w:trPr>
          <w:jc w:val="center"/>
        </w:trPr>
        <w:tc>
          <w:tcPr>
            <w:tcW w:w="1977" w:type="dxa"/>
            <w:vAlign w:val="center"/>
          </w:tcPr>
          <w:p w14:paraId="41239BBF"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Fundulidae</w:t>
            </w:r>
          </w:p>
        </w:tc>
        <w:tc>
          <w:tcPr>
            <w:tcW w:w="2217" w:type="dxa"/>
            <w:shd w:val="clear" w:color="auto" w:fill="auto"/>
            <w:vAlign w:val="center"/>
          </w:tcPr>
          <w:p w14:paraId="0E1AD2B8"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Fundulus heteroclitus</w:t>
            </w:r>
          </w:p>
        </w:tc>
        <w:tc>
          <w:tcPr>
            <w:tcW w:w="2218" w:type="dxa"/>
            <w:vAlign w:val="center"/>
          </w:tcPr>
          <w:p w14:paraId="361298A3"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Mummichog</w:t>
            </w:r>
          </w:p>
        </w:tc>
        <w:tc>
          <w:tcPr>
            <w:tcW w:w="1238" w:type="dxa"/>
            <w:vAlign w:val="center"/>
          </w:tcPr>
          <w:p w14:paraId="02767D1C"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IVc</w:t>
            </w:r>
          </w:p>
        </w:tc>
      </w:tr>
      <w:tr w:rsidR="007B3D5C" w:rsidRPr="00D403F5" w14:paraId="4F4F864F" w14:textId="77777777" w:rsidTr="007B3D5C">
        <w:trPr>
          <w:jc w:val="center"/>
        </w:trPr>
        <w:tc>
          <w:tcPr>
            <w:tcW w:w="1977" w:type="dxa"/>
            <w:vMerge w:val="restart"/>
            <w:vAlign w:val="center"/>
          </w:tcPr>
          <w:p w14:paraId="1EF6E3B7" w14:textId="77777777" w:rsidR="007B3D5C" w:rsidRPr="00D403F5" w:rsidRDefault="007B3D5C" w:rsidP="00A1774B">
            <w:pPr>
              <w:spacing w:before="60" w:after="60"/>
              <w:jc w:val="center"/>
              <w:rPr>
                <w:rFonts w:ascii="Arial" w:hAnsi="Arial" w:cs="Arial"/>
                <w:sz w:val="18"/>
                <w:szCs w:val="18"/>
                <w:highlight w:val="yellow"/>
                <w:u w:val="double"/>
              </w:rPr>
            </w:pPr>
            <w:r w:rsidRPr="00D403F5">
              <w:rPr>
                <w:rFonts w:ascii="Arial" w:hAnsi="Arial" w:cs="Arial"/>
                <w:color w:val="000000"/>
                <w:sz w:val="18"/>
                <w:szCs w:val="18"/>
                <w:highlight w:val="yellow"/>
                <w:u w:val="double"/>
              </w:rPr>
              <w:t>Gadidae</w:t>
            </w:r>
          </w:p>
        </w:tc>
        <w:tc>
          <w:tcPr>
            <w:tcW w:w="2217" w:type="dxa"/>
            <w:shd w:val="clear" w:color="auto" w:fill="auto"/>
            <w:vAlign w:val="center"/>
          </w:tcPr>
          <w:p w14:paraId="008A989C"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Gadus macrocephalus</w:t>
            </w:r>
          </w:p>
        </w:tc>
        <w:tc>
          <w:tcPr>
            <w:tcW w:w="2218" w:type="dxa"/>
            <w:vAlign w:val="center"/>
          </w:tcPr>
          <w:p w14:paraId="600D43D4"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Pacific cod</w:t>
            </w:r>
          </w:p>
        </w:tc>
        <w:tc>
          <w:tcPr>
            <w:tcW w:w="1238" w:type="dxa"/>
            <w:vAlign w:val="center"/>
          </w:tcPr>
          <w:p w14:paraId="77F00DD4"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3E7A001D" w14:textId="77777777" w:rsidTr="007B3D5C">
        <w:trPr>
          <w:jc w:val="center"/>
        </w:trPr>
        <w:tc>
          <w:tcPr>
            <w:tcW w:w="1977" w:type="dxa"/>
            <w:vMerge/>
            <w:vAlign w:val="center"/>
          </w:tcPr>
          <w:p w14:paraId="38E06E20"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4ED8AE8"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Gadus morhua</w:t>
            </w:r>
          </w:p>
        </w:tc>
        <w:tc>
          <w:tcPr>
            <w:tcW w:w="2218" w:type="dxa"/>
            <w:vAlign w:val="center"/>
          </w:tcPr>
          <w:p w14:paraId="77F6B27B"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Atlantic cod</w:t>
            </w:r>
          </w:p>
        </w:tc>
        <w:tc>
          <w:tcPr>
            <w:tcW w:w="1238" w:type="dxa"/>
            <w:vAlign w:val="center"/>
          </w:tcPr>
          <w:p w14:paraId="4E2A0E78"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 III</w:t>
            </w:r>
          </w:p>
        </w:tc>
      </w:tr>
      <w:tr w:rsidR="007B3D5C" w:rsidRPr="00D403F5" w14:paraId="7FD290F1" w14:textId="77777777" w:rsidTr="007B3D5C">
        <w:trPr>
          <w:jc w:val="center"/>
        </w:trPr>
        <w:tc>
          <w:tcPr>
            <w:tcW w:w="1977" w:type="dxa"/>
            <w:vMerge/>
            <w:vAlign w:val="center"/>
          </w:tcPr>
          <w:p w14:paraId="69632F4D"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D1A83DA"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Merlangius merlangus</w:t>
            </w:r>
          </w:p>
        </w:tc>
        <w:tc>
          <w:tcPr>
            <w:tcW w:w="2218" w:type="dxa"/>
            <w:vAlign w:val="center"/>
          </w:tcPr>
          <w:p w14:paraId="1D4104BC"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Whiting</w:t>
            </w:r>
          </w:p>
        </w:tc>
        <w:tc>
          <w:tcPr>
            <w:tcW w:w="1238" w:type="dxa"/>
            <w:vAlign w:val="center"/>
          </w:tcPr>
          <w:p w14:paraId="625F5F29"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Ie</w:t>
            </w:r>
          </w:p>
        </w:tc>
      </w:tr>
      <w:tr w:rsidR="007B3D5C" w:rsidRPr="00D403F5" w14:paraId="20AF7E44" w14:textId="77777777" w:rsidTr="007B3D5C">
        <w:trPr>
          <w:jc w:val="center"/>
        </w:trPr>
        <w:tc>
          <w:tcPr>
            <w:tcW w:w="1977" w:type="dxa"/>
            <w:vMerge/>
            <w:vAlign w:val="center"/>
          </w:tcPr>
          <w:p w14:paraId="4C0F60B7"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04FE2D5E"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Micromesistius poutassou</w:t>
            </w:r>
          </w:p>
        </w:tc>
        <w:tc>
          <w:tcPr>
            <w:tcW w:w="2218" w:type="dxa"/>
            <w:vAlign w:val="center"/>
          </w:tcPr>
          <w:p w14:paraId="261F1D4E"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 xml:space="preserve">Blue Whiting </w:t>
            </w:r>
          </w:p>
        </w:tc>
        <w:tc>
          <w:tcPr>
            <w:tcW w:w="1238" w:type="dxa"/>
            <w:vAlign w:val="center"/>
          </w:tcPr>
          <w:p w14:paraId="12B40EFB"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 III</w:t>
            </w:r>
          </w:p>
        </w:tc>
      </w:tr>
      <w:tr w:rsidR="007B3D5C" w:rsidRPr="00D403F5" w14:paraId="34D46EFE" w14:textId="77777777" w:rsidTr="007B3D5C">
        <w:trPr>
          <w:jc w:val="center"/>
        </w:trPr>
        <w:tc>
          <w:tcPr>
            <w:tcW w:w="1977" w:type="dxa"/>
            <w:vMerge/>
            <w:vAlign w:val="center"/>
          </w:tcPr>
          <w:p w14:paraId="078BAA55"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4123821"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Trisopterus esmarkii</w:t>
            </w:r>
          </w:p>
        </w:tc>
        <w:tc>
          <w:tcPr>
            <w:tcW w:w="2218" w:type="dxa"/>
            <w:vAlign w:val="center"/>
          </w:tcPr>
          <w:p w14:paraId="19FFF4C6"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Norway pout</w:t>
            </w:r>
          </w:p>
        </w:tc>
        <w:tc>
          <w:tcPr>
            <w:tcW w:w="1238" w:type="dxa"/>
            <w:vAlign w:val="center"/>
          </w:tcPr>
          <w:p w14:paraId="0B5E1EE8"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 III</w:t>
            </w:r>
          </w:p>
        </w:tc>
      </w:tr>
      <w:tr w:rsidR="007B3D5C" w:rsidRPr="00D403F5" w14:paraId="428D5616" w14:textId="77777777" w:rsidTr="007B3D5C">
        <w:trPr>
          <w:jc w:val="center"/>
        </w:trPr>
        <w:tc>
          <w:tcPr>
            <w:tcW w:w="1977" w:type="dxa"/>
            <w:vAlign w:val="center"/>
          </w:tcPr>
          <w:p w14:paraId="54B2CF67"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Gasterosteidae</w:t>
            </w:r>
          </w:p>
        </w:tc>
        <w:tc>
          <w:tcPr>
            <w:tcW w:w="2217" w:type="dxa"/>
            <w:shd w:val="clear" w:color="auto" w:fill="auto"/>
            <w:vAlign w:val="center"/>
          </w:tcPr>
          <w:p w14:paraId="6ACB870B"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Gasterosteus aculeatus</w:t>
            </w:r>
          </w:p>
        </w:tc>
        <w:tc>
          <w:tcPr>
            <w:tcW w:w="2218" w:type="dxa"/>
            <w:vAlign w:val="center"/>
          </w:tcPr>
          <w:p w14:paraId="1D08AF07"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Three-spine stickleback </w:t>
            </w:r>
          </w:p>
        </w:tc>
        <w:tc>
          <w:tcPr>
            <w:tcW w:w="1238" w:type="dxa"/>
            <w:vAlign w:val="center"/>
          </w:tcPr>
          <w:p w14:paraId="712F66F2"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IVc</w:t>
            </w:r>
          </w:p>
        </w:tc>
      </w:tr>
      <w:tr w:rsidR="007B3D5C" w:rsidRPr="00D403F5" w14:paraId="2E0EDCD2" w14:textId="77777777" w:rsidTr="007B3D5C">
        <w:trPr>
          <w:jc w:val="center"/>
        </w:trPr>
        <w:tc>
          <w:tcPr>
            <w:tcW w:w="1977" w:type="dxa"/>
            <w:vMerge w:val="restart"/>
            <w:vAlign w:val="center"/>
          </w:tcPr>
          <w:p w14:paraId="432C73B7"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Gobiidae</w:t>
            </w:r>
          </w:p>
        </w:tc>
        <w:tc>
          <w:tcPr>
            <w:tcW w:w="2217" w:type="dxa"/>
            <w:shd w:val="clear" w:color="auto" w:fill="auto"/>
            <w:vAlign w:val="center"/>
          </w:tcPr>
          <w:p w14:paraId="1B6018A3"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Neogobius melanostomus</w:t>
            </w:r>
          </w:p>
        </w:tc>
        <w:tc>
          <w:tcPr>
            <w:tcW w:w="2218" w:type="dxa"/>
            <w:vAlign w:val="center"/>
          </w:tcPr>
          <w:p w14:paraId="509DE0EF"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Round goby</w:t>
            </w:r>
          </w:p>
        </w:tc>
        <w:tc>
          <w:tcPr>
            <w:tcW w:w="1238" w:type="dxa"/>
            <w:vAlign w:val="center"/>
          </w:tcPr>
          <w:p w14:paraId="53CB01BF"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1EFDE078" w14:textId="77777777" w:rsidTr="007B3D5C">
        <w:trPr>
          <w:jc w:val="center"/>
        </w:trPr>
        <w:tc>
          <w:tcPr>
            <w:tcW w:w="1977" w:type="dxa"/>
            <w:vMerge/>
            <w:vAlign w:val="center"/>
          </w:tcPr>
          <w:p w14:paraId="0B3A355D"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531DF8CA"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Pomatoschistus minutus</w:t>
            </w:r>
          </w:p>
        </w:tc>
        <w:tc>
          <w:tcPr>
            <w:tcW w:w="2218" w:type="dxa"/>
            <w:vAlign w:val="center"/>
          </w:tcPr>
          <w:p w14:paraId="3FDE4C94"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Sand goby</w:t>
            </w:r>
          </w:p>
        </w:tc>
        <w:tc>
          <w:tcPr>
            <w:tcW w:w="1238" w:type="dxa"/>
            <w:vAlign w:val="center"/>
          </w:tcPr>
          <w:p w14:paraId="4E2C9285"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w:t>
            </w:r>
          </w:p>
        </w:tc>
      </w:tr>
      <w:tr w:rsidR="007B3D5C" w:rsidRPr="00D403F5" w14:paraId="7828CF2A" w14:textId="77777777" w:rsidTr="007B3D5C">
        <w:trPr>
          <w:jc w:val="center"/>
        </w:trPr>
        <w:tc>
          <w:tcPr>
            <w:tcW w:w="1977" w:type="dxa"/>
            <w:vAlign w:val="center"/>
          </w:tcPr>
          <w:p w14:paraId="0C992181"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Ictaluridae</w:t>
            </w:r>
          </w:p>
        </w:tc>
        <w:tc>
          <w:tcPr>
            <w:tcW w:w="2217" w:type="dxa"/>
            <w:shd w:val="clear" w:color="auto" w:fill="auto"/>
            <w:vAlign w:val="center"/>
          </w:tcPr>
          <w:p w14:paraId="69A71765"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Ictalurus nebulosus</w:t>
            </w:r>
          </w:p>
        </w:tc>
        <w:tc>
          <w:tcPr>
            <w:tcW w:w="2218" w:type="dxa"/>
            <w:vAlign w:val="center"/>
          </w:tcPr>
          <w:p w14:paraId="4A396D1C"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Brown bullhead</w:t>
            </w:r>
          </w:p>
        </w:tc>
        <w:tc>
          <w:tcPr>
            <w:tcW w:w="1238" w:type="dxa"/>
            <w:vAlign w:val="center"/>
          </w:tcPr>
          <w:p w14:paraId="181BA8D6"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2049DD6B" w14:textId="77777777" w:rsidTr="007B3D5C">
        <w:trPr>
          <w:jc w:val="center"/>
        </w:trPr>
        <w:tc>
          <w:tcPr>
            <w:tcW w:w="1977" w:type="dxa"/>
            <w:vMerge w:val="restart"/>
            <w:vAlign w:val="center"/>
          </w:tcPr>
          <w:p w14:paraId="50A06BA7"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Labridae</w:t>
            </w:r>
          </w:p>
        </w:tc>
        <w:tc>
          <w:tcPr>
            <w:tcW w:w="2217" w:type="dxa"/>
            <w:shd w:val="clear" w:color="auto" w:fill="auto"/>
            <w:vAlign w:val="center"/>
          </w:tcPr>
          <w:p w14:paraId="354EC700"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Centrolabrus exoletus</w:t>
            </w:r>
          </w:p>
        </w:tc>
        <w:tc>
          <w:tcPr>
            <w:tcW w:w="2218" w:type="dxa"/>
            <w:vAlign w:val="center"/>
          </w:tcPr>
          <w:p w14:paraId="2A3522F8"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Rock cook wrasse</w:t>
            </w:r>
          </w:p>
        </w:tc>
        <w:tc>
          <w:tcPr>
            <w:tcW w:w="1238" w:type="dxa"/>
            <w:vAlign w:val="center"/>
          </w:tcPr>
          <w:p w14:paraId="538B4102"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III</w:t>
            </w:r>
          </w:p>
        </w:tc>
      </w:tr>
      <w:tr w:rsidR="007B3D5C" w:rsidRPr="00D403F5" w14:paraId="3CA2B758" w14:textId="77777777" w:rsidTr="007B3D5C">
        <w:trPr>
          <w:jc w:val="center"/>
        </w:trPr>
        <w:tc>
          <w:tcPr>
            <w:tcW w:w="1977" w:type="dxa"/>
            <w:vMerge/>
            <w:vAlign w:val="center"/>
          </w:tcPr>
          <w:p w14:paraId="4CC016BB"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0034DB01"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Ctenolabrus rupestris</w:t>
            </w:r>
          </w:p>
        </w:tc>
        <w:tc>
          <w:tcPr>
            <w:tcW w:w="2218" w:type="dxa"/>
            <w:vAlign w:val="center"/>
          </w:tcPr>
          <w:p w14:paraId="06C26B64"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Goldsinny wrasse</w:t>
            </w:r>
          </w:p>
        </w:tc>
        <w:tc>
          <w:tcPr>
            <w:tcW w:w="1238" w:type="dxa"/>
            <w:vAlign w:val="center"/>
          </w:tcPr>
          <w:p w14:paraId="6B9E8D61"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III</w:t>
            </w:r>
          </w:p>
        </w:tc>
      </w:tr>
      <w:tr w:rsidR="007B3D5C" w:rsidRPr="00D403F5" w14:paraId="409C03B5" w14:textId="77777777" w:rsidTr="007B3D5C">
        <w:trPr>
          <w:jc w:val="center"/>
        </w:trPr>
        <w:tc>
          <w:tcPr>
            <w:tcW w:w="1977" w:type="dxa"/>
            <w:vMerge/>
            <w:vAlign w:val="center"/>
          </w:tcPr>
          <w:p w14:paraId="496071ED"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3FF6B77"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Labrus bergylta</w:t>
            </w:r>
          </w:p>
        </w:tc>
        <w:tc>
          <w:tcPr>
            <w:tcW w:w="2218" w:type="dxa"/>
            <w:vAlign w:val="center"/>
          </w:tcPr>
          <w:p w14:paraId="48CA69F4"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Ballan wrasse</w:t>
            </w:r>
          </w:p>
        </w:tc>
        <w:tc>
          <w:tcPr>
            <w:tcW w:w="1238" w:type="dxa"/>
            <w:vAlign w:val="center"/>
          </w:tcPr>
          <w:p w14:paraId="184F988C"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III</w:t>
            </w:r>
          </w:p>
        </w:tc>
      </w:tr>
      <w:tr w:rsidR="007B3D5C" w:rsidRPr="00D403F5" w14:paraId="6BE1CDF2" w14:textId="77777777" w:rsidTr="007B3D5C">
        <w:trPr>
          <w:jc w:val="center"/>
        </w:trPr>
        <w:tc>
          <w:tcPr>
            <w:tcW w:w="1977" w:type="dxa"/>
            <w:vMerge/>
            <w:vAlign w:val="center"/>
          </w:tcPr>
          <w:p w14:paraId="3C471038"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0D46098A"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Labrus mixtus</w:t>
            </w:r>
          </w:p>
        </w:tc>
        <w:tc>
          <w:tcPr>
            <w:tcW w:w="2218" w:type="dxa"/>
            <w:vAlign w:val="center"/>
          </w:tcPr>
          <w:p w14:paraId="52E8BAC3"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Cuckoo wrasse</w:t>
            </w:r>
          </w:p>
        </w:tc>
        <w:tc>
          <w:tcPr>
            <w:tcW w:w="1238" w:type="dxa"/>
            <w:vAlign w:val="center"/>
          </w:tcPr>
          <w:p w14:paraId="4551BD8E"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III</w:t>
            </w:r>
          </w:p>
        </w:tc>
      </w:tr>
      <w:tr w:rsidR="007B3D5C" w:rsidRPr="00D403F5" w14:paraId="1F3500B9" w14:textId="77777777" w:rsidTr="007B3D5C">
        <w:trPr>
          <w:jc w:val="center"/>
        </w:trPr>
        <w:tc>
          <w:tcPr>
            <w:tcW w:w="1977" w:type="dxa"/>
            <w:vMerge/>
            <w:vAlign w:val="center"/>
          </w:tcPr>
          <w:p w14:paraId="50A6A331"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23CF6665"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Symphodus melops</w:t>
            </w:r>
          </w:p>
        </w:tc>
        <w:tc>
          <w:tcPr>
            <w:tcW w:w="2218" w:type="dxa"/>
            <w:vAlign w:val="center"/>
          </w:tcPr>
          <w:p w14:paraId="6697F121"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Corkwing wrasse</w:t>
            </w:r>
          </w:p>
        </w:tc>
        <w:tc>
          <w:tcPr>
            <w:tcW w:w="1238" w:type="dxa"/>
            <w:vAlign w:val="center"/>
          </w:tcPr>
          <w:p w14:paraId="6E0A60EB"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III</w:t>
            </w:r>
          </w:p>
        </w:tc>
      </w:tr>
      <w:tr w:rsidR="007B3D5C" w:rsidRPr="00D403F5" w14:paraId="55E705A1" w14:textId="77777777" w:rsidTr="007B3D5C">
        <w:trPr>
          <w:jc w:val="center"/>
        </w:trPr>
        <w:tc>
          <w:tcPr>
            <w:tcW w:w="1977" w:type="dxa"/>
            <w:vAlign w:val="center"/>
          </w:tcPr>
          <w:p w14:paraId="4F697B85"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Lotidae</w:t>
            </w:r>
          </w:p>
        </w:tc>
        <w:tc>
          <w:tcPr>
            <w:tcW w:w="2217" w:type="dxa"/>
            <w:shd w:val="clear" w:color="auto" w:fill="auto"/>
            <w:vAlign w:val="center"/>
          </w:tcPr>
          <w:p w14:paraId="1CB46DA4"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Gaidropsarus vulgaris</w:t>
            </w:r>
          </w:p>
        </w:tc>
        <w:tc>
          <w:tcPr>
            <w:tcW w:w="2218" w:type="dxa"/>
            <w:vAlign w:val="center"/>
          </w:tcPr>
          <w:p w14:paraId="50DEFBA0"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Three-bearded rockling </w:t>
            </w:r>
          </w:p>
        </w:tc>
        <w:tc>
          <w:tcPr>
            <w:tcW w:w="1238" w:type="dxa"/>
            <w:vAlign w:val="center"/>
          </w:tcPr>
          <w:p w14:paraId="15681B2B"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Ie</w:t>
            </w:r>
          </w:p>
        </w:tc>
      </w:tr>
      <w:tr w:rsidR="007B3D5C" w:rsidRPr="00D403F5" w14:paraId="6EE57441" w14:textId="77777777" w:rsidTr="007B3D5C">
        <w:trPr>
          <w:jc w:val="center"/>
        </w:trPr>
        <w:tc>
          <w:tcPr>
            <w:tcW w:w="1977" w:type="dxa"/>
            <w:vMerge w:val="restart"/>
            <w:vAlign w:val="center"/>
          </w:tcPr>
          <w:p w14:paraId="1ACFD67F"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Moronidae</w:t>
            </w:r>
          </w:p>
        </w:tc>
        <w:tc>
          <w:tcPr>
            <w:tcW w:w="2217" w:type="dxa"/>
            <w:shd w:val="clear" w:color="auto" w:fill="auto"/>
            <w:vAlign w:val="center"/>
          </w:tcPr>
          <w:p w14:paraId="326473EB"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Morone americana</w:t>
            </w:r>
          </w:p>
        </w:tc>
        <w:tc>
          <w:tcPr>
            <w:tcW w:w="2218" w:type="dxa"/>
            <w:vAlign w:val="center"/>
          </w:tcPr>
          <w:p w14:paraId="52BFD789"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White Perch </w:t>
            </w:r>
          </w:p>
        </w:tc>
        <w:tc>
          <w:tcPr>
            <w:tcW w:w="1238" w:type="dxa"/>
            <w:vAlign w:val="center"/>
          </w:tcPr>
          <w:p w14:paraId="24BC8274"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666B399E" w14:textId="77777777" w:rsidTr="007B3D5C">
        <w:trPr>
          <w:jc w:val="center"/>
        </w:trPr>
        <w:tc>
          <w:tcPr>
            <w:tcW w:w="1977" w:type="dxa"/>
            <w:vMerge/>
            <w:vAlign w:val="center"/>
          </w:tcPr>
          <w:p w14:paraId="73A9D2D4"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5509FA89"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Morone chrysops</w:t>
            </w:r>
          </w:p>
        </w:tc>
        <w:tc>
          <w:tcPr>
            <w:tcW w:w="2218" w:type="dxa"/>
            <w:vAlign w:val="center"/>
          </w:tcPr>
          <w:p w14:paraId="7ADD4CC8"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White Bass </w:t>
            </w:r>
          </w:p>
        </w:tc>
        <w:tc>
          <w:tcPr>
            <w:tcW w:w="1238" w:type="dxa"/>
            <w:vAlign w:val="center"/>
          </w:tcPr>
          <w:p w14:paraId="16D78DE5"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7F959A5D" w14:textId="77777777" w:rsidTr="007B3D5C">
        <w:trPr>
          <w:jc w:val="center"/>
        </w:trPr>
        <w:tc>
          <w:tcPr>
            <w:tcW w:w="1977" w:type="dxa"/>
            <w:vMerge/>
            <w:vAlign w:val="center"/>
          </w:tcPr>
          <w:p w14:paraId="3A8E61C7"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0349E10B"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Morone saxatilis</w:t>
            </w:r>
          </w:p>
        </w:tc>
        <w:tc>
          <w:tcPr>
            <w:tcW w:w="2218" w:type="dxa"/>
            <w:vAlign w:val="center"/>
          </w:tcPr>
          <w:p w14:paraId="444B1CFE"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Striped bass</w:t>
            </w:r>
          </w:p>
        </w:tc>
        <w:tc>
          <w:tcPr>
            <w:tcW w:w="1238" w:type="dxa"/>
            <w:vAlign w:val="center"/>
          </w:tcPr>
          <w:p w14:paraId="10A40662"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 IVc</w:t>
            </w:r>
          </w:p>
        </w:tc>
      </w:tr>
      <w:tr w:rsidR="007B3D5C" w:rsidRPr="00D403F5" w14:paraId="127E5CEC" w14:textId="77777777" w:rsidTr="007B3D5C">
        <w:trPr>
          <w:jc w:val="center"/>
        </w:trPr>
        <w:tc>
          <w:tcPr>
            <w:tcW w:w="1977" w:type="dxa"/>
            <w:vAlign w:val="center"/>
          </w:tcPr>
          <w:p w14:paraId="294FEDE7"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Mullidae</w:t>
            </w:r>
          </w:p>
        </w:tc>
        <w:tc>
          <w:tcPr>
            <w:tcW w:w="2217" w:type="dxa"/>
            <w:shd w:val="clear" w:color="auto" w:fill="auto"/>
            <w:vAlign w:val="center"/>
          </w:tcPr>
          <w:p w14:paraId="7A668404"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Mullus barbatus</w:t>
            </w:r>
          </w:p>
        </w:tc>
        <w:tc>
          <w:tcPr>
            <w:tcW w:w="2218" w:type="dxa"/>
            <w:vAlign w:val="center"/>
          </w:tcPr>
          <w:p w14:paraId="49E38A22" w14:textId="77777777" w:rsidR="007B3D5C" w:rsidRPr="00D403F5" w:rsidRDefault="007B3D5C" w:rsidP="00A1774B">
            <w:pPr>
              <w:pStyle w:val="Tabletext"/>
              <w:spacing w:before="60" w:after="60"/>
              <w:rPr>
                <w:iCs/>
                <w:color w:val="000000"/>
                <w:szCs w:val="18"/>
                <w:highlight w:val="yellow"/>
                <w:u w:val="double"/>
              </w:rPr>
            </w:pPr>
            <w:r w:rsidRPr="00D403F5">
              <w:rPr>
                <w:color w:val="000000"/>
                <w:szCs w:val="18"/>
                <w:highlight w:val="yellow"/>
                <w:u w:val="double"/>
              </w:rPr>
              <w:t xml:space="preserve">Red mullet </w:t>
            </w:r>
          </w:p>
        </w:tc>
        <w:tc>
          <w:tcPr>
            <w:tcW w:w="1238" w:type="dxa"/>
            <w:vAlign w:val="center"/>
          </w:tcPr>
          <w:p w14:paraId="39371DC8" w14:textId="77777777" w:rsidR="007B3D5C" w:rsidRPr="00D403F5" w:rsidRDefault="007B3D5C" w:rsidP="00A1774B">
            <w:pPr>
              <w:pStyle w:val="Tabletext"/>
              <w:spacing w:before="60" w:after="60"/>
              <w:rPr>
                <w:iCs/>
                <w:szCs w:val="18"/>
                <w:highlight w:val="yellow"/>
                <w:u w:val="double"/>
                <w:lang w:val="en-GB"/>
              </w:rPr>
            </w:pPr>
            <w:r w:rsidRPr="00D403F5">
              <w:rPr>
                <w:iCs/>
                <w:color w:val="000000"/>
                <w:szCs w:val="18"/>
                <w:highlight w:val="yellow"/>
                <w:u w:val="double"/>
              </w:rPr>
              <w:t>Ie</w:t>
            </w:r>
          </w:p>
        </w:tc>
      </w:tr>
      <w:tr w:rsidR="007B3D5C" w:rsidRPr="00D403F5" w14:paraId="1670E4CE" w14:textId="77777777" w:rsidTr="007B3D5C">
        <w:trPr>
          <w:jc w:val="center"/>
        </w:trPr>
        <w:tc>
          <w:tcPr>
            <w:tcW w:w="1977" w:type="dxa"/>
            <w:vAlign w:val="center"/>
          </w:tcPr>
          <w:p w14:paraId="14BF865B"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Osmeridae</w:t>
            </w:r>
          </w:p>
        </w:tc>
        <w:tc>
          <w:tcPr>
            <w:tcW w:w="2217" w:type="dxa"/>
            <w:shd w:val="clear" w:color="auto" w:fill="auto"/>
            <w:vAlign w:val="center"/>
          </w:tcPr>
          <w:p w14:paraId="12920284"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Thaleichthys pacificus</w:t>
            </w:r>
          </w:p>
        </w:tc>
        <w:tc>
          <w:tcPr>
            <w:tcW w:w="2218" w:type="dxa"/>
            <w:vAlign w:val="center"/>
          </w:tcPr>
          <w:p w14:paraId="067730F0"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Eulachon</w:t>
            </w:r>
          </w:p>
        </w:tc>
        <w:tc>
          <w:tcPr>
            <w:tcW w:w="1238" w:type="dxa"/>
            <w:vAlign w:val="center"/>
          </w:tcPr>
          <w:p w14:paraId="259D1665"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6887FA0A" w14:textId="77777777" w:rsidTr="007B3D5C">
        <w:trPr>
          <w:jc w:val="center"/>
        </w:trPr>
        <w:tc>
          <w:tcPr>
            <w:tcW w:w="1977" w:type="dxa"/>
            <w:vMerge w:val="restart"/>
            <w:vAlign w:val="center"/>
          </w:tcPr>
          <w:p w14:paraId="04066A96"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Percidae</w:t>
            </w:r>
          </w:p>
        </w:tc>
        <w:tc>
          <w:tcPr>
            <w:tcW w:w="2217" w:type="dxa"/>
            <w:shd w:val="clear" w:color="auto" w:fill="auto"/>
            <w:vAlign w:val="center"/>
          </w:tcPr>
          <w:p w14:paraId="0533B55E"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Sander vitreus</w:t>
            </w:r>
          </w:p>
        </w:tc>
        <w:tc>
          <w:tcPr>
            <w:tcW w:w="2218" w:type="dxa"/>
            <w:vAlign w:val="center"/>
          </w:tcPr>
          <w:p w14:paraId="2BC18575"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Walleye</w:t>
            </w:r>
          </w:p>
        </w:tc>
        <w:tc>
          <w:tcPr>
            <w:tcW w:w="1238" w:type="dxa"/>
            <w:vAlign w:val="center"/>
          </w:tcPr>
          <w:p w14:paraId="3A2996B9"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5F5E50D6" w14:textId="77777777" w:rsidTr="007B3D5C">
        <w:trPr>
          <w:jc w:val="center"/>
        </w:trPr>
        <w:tc>
          <w:tcPr>
            <w:tcW w:w="1977" w:type="dxa"/>
            <w:vMerge/>
            <w:vAlign w:val="center"/>
          </w:tcPr>
          <w:p w14:paraId="439052BC"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2C2CEDD"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Perca flavescens</w:t>
            </w:r>
          </w:p>
        </w:tc>
        <w:tc>
          <w:tcPr>
            <w:tcW w:w="2218" w:type="dxa"/>
            <w:vAlign w:val="center"/>
          </w:tcPr>
          <w:p w14:paraId="5686C296"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Yellow perch</w:t>
            </w:r>
          </w:p>
        </w:tc>
        <w:tc>
          <w:tcPr>
            <w:tcW w:w="1238" w:type="dxa"/>
            <w:vAlign w:val="center"/>
          </w:tcPr>
          <w:p w14:paraId="0AE3C737"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152CEFE0" w14:textId="77777777" w:rsidTr="007B3D5C">
        <w:trPr>
          <w:jc w:val="center"/>
        </w:trPr>
        <w:tc>
          <w:tcPr>
            <w:tcW w:w="1977" w:type="dxa"/>
            <w:vAlign w:val="center"/>
          </w:tcPr>
          <w:p w14:paraId="40500300"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Petromyzontidae</w:t>
            </w:r>
          </w:p>
        </w:tc>
        <w:tc>
          <w:tcPr>
            <w:tcW w:w="2217" w:type="dxa"/>
            <w:shd w:val="clear" w:color="auto" w:fill="auto"/>
            <w:vAlign w:val="center"/>
          </w:tcPr>
          <w:p w14:paraId="588FE7FF"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Lampetra fluviatilis</w:t>
            </w:r>
          </w:p>
        </w:tc>
        <w:tc>
          <w:tcPr>
            <w:tcW w:w="2218" w:type="dxa"/>
            <w:vAlign w:val="center"/>
          </w:tcPr>
          <w:p w14:paraId="23C4090A"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River lamprey</w:t>
            </w:r>
          </w:p>
        </w:tc>
        <w:tc>
          <w:tcPr>
            <w:tcW w:w="1238" w:type="dxa"/>
            <w:vAlign w:val="center"/>
          </w:tcPr>
          <w:p w14:paraId="329B9196"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w:t>
            </w:r>
          </w:p>
        </w:tc>
      </w:tr>
      <w:tr w:rsidR="007B3D5C" w:rsidRPr="00D403F5" w14:paraId="1CB69772" w14:textId="77777777" w:rsidTr="007B3D5C">
        <w:trPr>
          <w:jc w:val="center"/>
        </w:trPr>
        <w:tc>
          <w:tcPr>
            <w:tcW w:w="1977" w:type="dxa"/>
            <w:vMerge w:val="restart"/>
            <w:vAlign w:val="center"/>
          </w:tcPr>
          <w:p w14:paraId="77FB29AE"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Pleuronectidae</w:t>
            </w:r>
          </w:p>
        </w:tc>
        <w:tc>
          <w:tcPr>
            <w:tcW w:w="2217" w:type="dxa"/>
            <w:shd w:val="clear" w:color="auto" w:fill="auto"/>
            <w:vAlign w:val="center"/>
          </w:tcPr>
          <w:p w14:paraId="797AF916"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Limanda limanda</w:t>
            </w:r>
          </w:p>
        </w:tc>
        <w:tc>
          <w:tcPr>
            <w:tcW w:w="2218" w:type="dxa"/>
            <w:vAlign w:val="center"/>
          </w:tcPr>
          <w:p w14:paraId="7DB2AB03"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Common dab</w:t>
            </w:r>
          </w:p>
        </w:tc>
        <w:tc>
          <w:tcPr>
            <w:tcW w:w="1238" w:type="dxa"/>
            <w:vAlign w:val="center"/>
          </w:tcPr>
          <w:p w14:paraId="4A579331"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w:t>
            </w:r>
          </w:p>
        </w:tc>
      </w:tr>
      <w:tr w:rsidR="007B3D5C" w:rsidRPr="00D403F5" w14:paraId="67938654" w14:textId="77777777" w:rsidTr="007B3D5C">
        <w:trPr>
          <w:jc w:val="center"/>
        </w:trPr>
        <w:tc>
          <w:tcPr>
            <w:tcW w:w="1977" w:type="dxa"/>
            <w:vMerge/>
            <w:vAlign w:val="center"/>
          </w:tcPr>
          <w:p w14:paraId="23DC9F52"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61D8DB63"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Platichthys flesus</w:t>
            </w:r>
          </w:p>
        </w:tc>
        <w:tc>
          <w:tcPr>
            <w:tcW w:w="2218" w:type="dxa"/>
            <w:vAlign w:val="center"/>
          </w:tcPr>
          <w:p w14:paraId="5765538F"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European flounder</w:t>
            </w:r>
          </w:p>
        </w:tc>
        <w:tc>
          <w:tcPr>
            <w:tcW w:w="1238" w:type="dxa"/>
            <w:vAlign w:val="center"/>
          </w:tcPr>
          <w:p w14:paraId="654372AF"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w:t>
            </w:r>
          </w:p>
        </w:tc>
      </w:tr>
      <w:tr w:rsidR="007B3D5C" w:rsidRPr="00D403F5" w14:paraId="6098E1F3" w14:textId="77777777" w:rsidTr="007B3D5C">
        <w:trPr>
          <w:jc w:val="center"/>
        </w:trPr>
        <w:tc>
          <w:tcPr>
            <w:tcW w:w="1977" w:type="dxa"/>
            <w:vMerge/>
            <w:vAlign w:val="center"/>
          </w:tcPr>
          <w:p w14:paraId="21952DCB"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730A8016"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Pleuronectes platessus</w:t>
            </w:r>
          </w:p>
        </w:tc>
        <w:tc>
          <w:tcPr>
            <w:tcW w:w="2218" w:type="dxa"/>
            <w:vAlign w:val="center"/>
          </w:tcPr>
          <w:p w14:paraId="74E0C6CC"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European plaice</w:t>
            </w:r>
          </w:p>
        </w:tc>
        <w:tc>
          <w:tcPr>
            <w:tcW w:w="1238" w:type="dxa"/>
            <w:vAlign w:val="center"/>
          </w:tcPr>
          <w:p w14:paraId="6E377538"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III</w:t>
            </w:r>
          </w:p>
        </w:tc>
      </w:tr>
      <w:tr w:rsidR="007B3D5C" w:rsidRPr="00D403F5" w14:paraId="1817937A" w14:textId="77777777" w:rsidTr="007B3D5C">
        <w:trPr>
          <w:jc w:val="center"/>
        </w:trPr>
        <w:tc>
          <w:tcPr>
            <w:tcW w:w="1977" w:type="dxa"/>
            <w:vAlign w:val="center"/>
          </w:tcPr>
          <w:p w14:paraId="642103D0" w14:textId="77777777"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Rajidae</w:t>
            </w:r>
          </w:p>
        </w:tc>
        <w:tc>
          <w:tcPr>
            <w:tcW w:w="2217" w:type="dxa"/>
            <w:shd w:val="clear" w:color="auto" w:fill="auto"/>
            <w:vAlign w:val="center"/>
          </w:tcPr>
          <w:p w14:paraId="619C28EA"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Raja clavata</w:t>
            </w:r>
          </w:p>
        </w:tc>
        <w:tc>
          <w:tcPr>
            <w:tcW w:w="2218" w:type="dxa"/>
            <w:vAlign w:val="center"/>
          </w:tcPr>
          <w:p w14:paraId="3EDA777E"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Thornback ray </w:t>
            </w:r>
          </w:p>
        </w:tc>
        <w:tc>
          <w:tcPr>
            <w:tcW w:w="1238" w:type="dxa"/>
            <w:vAlign w:val="center"/>
          </w:tcPr>
          <w:p w14:paraId="5E26F87C"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Ie</w:t>
            </w:r>
          </w:p>
        </w:tc>
      </w:tr>
    </w:tbl>
    <w:p w14:paraId="133ECB3D" w14:textId="52DBCF54" w:rsidR="007B3D5C" w:rsidRPr="00D403F5" w:rsidRDefault="007B3D5C" w:rsidP="00A1774B">
      <w:pPr>
        <w:spacing w:after="480" w:line="240" w:lineRule="auto"/>
        <w:jc w:val="right"/>
        <w:rPr>
          <w:sz w:val="18"/>
          <w:szCs w:val="18"/>
        </w:rPr>
      </w:pPr>
      <w:r w:rsidRPr="00D403F5">
        <w:rPr>
          <w:sz w:val="18"/>
          <w:szCs w:val="18"/>
        </w:rPr>
        <w:br w:type="page"/>
      </w:r>
      <w:r w:rsidRPr="00D403F5">
        <w:rPr>
          <w:rFonts w:ascii="Times New Roman" w:hAnsi="Times New Roman" w:cs="Times New Roman"/>
          <w:sz w:val="18"/>
          <w:szCs w:val="18"/>
          <w:u w:val="single"/>
        </w:rPr>
        <w:t>Annex 6</w:t>
      </w:r>
      <w:r w:rsidRPr="00D403F5">
        <w:rPr>
          <w:rFonts w:ascii="Times New Roman" w:hAnsi="Times New Roman" w:cs="Times New Roman"/>
          <w:sz w:val="18"/>
          <w:szCs w:val="18"/>
        </w:rPr>
        <w:t xml:space="preserve"> (contd)</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2217"/>
        <w:gridCol w:w="2218"/>
        <w:gridCol w:w="1238"/>
      </w:tblGrid>
      <w:tr w:rsidR="007B3D5C" w:rsidRPr="00D403F5" w14:paraId="6FF92582" w14:textId="77777777" w:rsidTr="007B3D5C">
        <w:trPr>
          <w:jc w:val="center"/>
        </w:trPr>
        <w:tc>
          <w:tcPr>
            <w:tcW w:w="1977" w:type="dxa"/>
            <w:vAlign w:val="center"/>
          </w:tcPr>
          <w:p w14:paraId="445A15E8" w14:textId="1707F33A" w:rsidR="007B3D5C" w:rsidRPr="00D403F5" w:rsidRDefault="007B3D5C" w:rsidP="00A1774B">
            <w:pPr>
              <w:pStyle w:val="Tabletext"/>
              <w:spacing w:before="60" w:after="60"/>
              <w:rPr>
                <w:color w:val="000000"/>
                <w:szCs w:val="18"/>
                <w:highlight w:val="yellow"/>
                <w:u w:val="double"/>
              </w:rPr>
            </w:pPr>
            <w:r w:rsidRPr="00D403F5">
              <w:rPr>
                <w:b/>
                <w:szCs w:val="18"/>
                <w:highlight w:val="yellow"/>
                <w:u w:val="double"/>
                <w:lang w:val="en-GB"/>
              </w:rPr>
              <w:t>Family</w:t>
            </w:r>
          </w:p>
        </w:tc>
        <w:tc>
          <w:tcPr>
            <w:tcW w:w="2217" w:type="dxa"/>
            <w:shd w:val="clear" w:color="auto" w:fill="auto"/>
            <w:vAlign w:val="center"/>
          </w:tcPr>
          <w:p w14:paraId="4F07475D" w14:textId="270AB4B0" w:rsidR="007B3D5C" w:rsidRPr="00D403F5" w:rsidRDefault="007B3D5C" w:rsidP="00A1774B">
            <w:pPr>
              <w:pStyle w:val="Tabletext"/>
              <w:spacing w:before="60" w:after="60"/>
              <w:rPr>
                <w:i/>
                <w:iCs/>
                <w:color w:val="000000"/>
                <w:szCs w:val="18"/>
                <w:highlight w:val="yellow"/>
                <w:u w:val="double"/>
              </w:rPr>
            </w:pPr>
            <w:r w:rsidRPr="00D403F5">
              <w:rPr>
                <w:b/>
                <w:szCs w:val="18"/>
                <w:highlight w:val="yellow"/>
                <w:u w:val="double"/>
                <w:lang w:val="en-GB"/>
              </w:rPr>
              <w:t>Scientific name</w:t>
            </w:r>
          </w:p>
        </w:tc>
        <w:tc>
          <w:tcPr>
            <w:tcW w:w="2218" w:type="dxa"/>
            <w:vAlign w:val="center"/>
          </w:tcPr>
          <w:p w14:paraId="65498BB5" w14:textId="60C29BC0" w:rsidR="007B3D5C" w:rsidRPr="00D403F5" w:rsidRDefault="007B3D5C" w:rsidP="00A1774B">
            <w:pPr>
              <w:pStyle w:val="Tabletext"/>
              <w:spacing w:before="60" w:after="60"/>
              <w:rPr>
                <w:color w:val="000000"/>
                <w:szCs w:val="18"/>
                <w:highlight w:val="yellow"/>
                <w:u w:val="double"/>
              </w:rPr>
            </w:pPr>
            <w:r w:rsidRPr="00D403F5">
              <w:rPr>
                <w:b/>
                <w:szCs w:val="18"/>
                <w:highlight w:val="yellow"/>
                <w:u w:val="double"/>
                <w:lang w:val="en-GB"/>
              </w:rPr>
              <w:t>Common name</w:t>
            </w:r>
          </w:p>
        </w:tc>
        <w:tc>
          <w:tcPr>
            <w:tcW w:w="1238" w:type="dxa"/>
          </w:tcPr>
          <w:p w14:paraId="51817F30" w14:textId="24DE1075" w:rsidR="007B3D5C" w:rsidRPr="00D403F5" w:rsidRDefault="007B3D5C" w:rsidP="00A1774B">
            <w:pPr>
              <w:pStyle w:val="Tabletext"/>
              <w:spacing w:before="60" w:after="60"/>
              <w:rPr>
                <w:iCs/>
                <w:szCs w:val="18"/>
                <w:highlight w:val="yellow"/>
                <w:u w:val="double"/>
                <w:lang w:val="en-GB"/>
              </w:rPr>
            </w:pPr>
            <w:r w:rsidRPr="00D403F5">
              <w:rPr>
                <w:b/>
                <w:szCs w:val="18"/>
                <w:highlight w:val="yellow"/>
                <w:u w:val="double"/>
                <w:lang w:val="en-GB"/>
              </w:rPr>
              <w:t>Genotype</w:t>
            </w:r>
          </w:p>
        </w:tc>
      </w:tr>
      <w:tr w:rsidR="007B3D5C" w:rsidRPr="00D403F5" w14:paraId="46987170" w14:textId="77777777" w:rsidTr="007B3D5C">
        <w:trPr>
          <w:jc w:val="center"/>
        </w:trPr>
        <w:tc>
          <w:tcPr>
            <w:tcW w:w="1977" w:type="dxa"/>
            <w:vMerge w:val="restart"/>
            <w:vAlign w:val="center"/>
          </w:tcPr>
          <w:p w14:paraId="5B816E69" w14:textId="2B55BCF5" w:rsidR="007B3D5C" w:rsidRPr="00D403F5" w:rsidRDefault="007B3D5C" w:rsidP="00A1774B">
            <w:pPr>
              <w:spacing w:before="60" w:after="60"/>
              <w:jc w:val="center"/>
              <w:rPr>
                <w:rFonts w:ascii="Arial" w:hAnsi="Arial" w:cs="Arial"/>
                <w:color w:val="000000"/>
                <w:sz w:val="18"/>
                <w:szCs w:val="18"/>
                <w:highlight w:val="yellow"/>
                <w:u w:val="double"/>
              </w:rPr>
            </w:pPr>
            <w:r w:rsidRPr="00D403F5">
              <w:rPr>
                <w:rFonts w:ascii="Arial" w:hAnsi="Arial" w:cs="Arial"/>
                <w:color w:val="000000"/>
                <w:sz w:val="18"/>
                <w:szCs w:val="18"/>
                <w:highlight w:val="yellow"/>
                <w:u w:val="double"/>
              </w:rPr>
              <w:t>Salmonidae</w:t>
            </w:r>
          </w:p>
        </w:tc>
        <w:tc>
          <w:tcPr>
            <w:tcW w:w="2217" w:type="dxa"/>
            <w:shd w:val="clear" w:color="auto" w:fill="auto"/>
            <w:vAlign w:val="center"/>
          </w:tcPr>
          <w:p w14:paraId="0F7589BD"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Coregonus artedii</w:t>
            </w:r>
          </w:p>
        </w:tc>
        <w:tc>
          <w:tcPr>
            <w:tcW w:w="2218" w:type="dxa"/>
            <w:vAlign w:val="center"/>
          </w:tcPr>
          <w:p w14:paraId="2B31D81A"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Lake cisco</w:t>
            </w:r>
          </w:p>
        </w:tc>
        <w:tc>
          <w:tcPr>
            <w:tcW w:w="1238" w:type="dxa"/>
            <w:vAlign w:val="center"/>
          </w:tcPr>
          <w:p w14:paraId="323C1904"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28CD7FFA" w14:textId="77777777" w:rsidTr="007B3D5C">
        <w:trPr>
          <w:jc w:val="center"/>
        </w:trPr>
        <w:tc>
          <w:tcPr>
            <w:tcW w:w="1977" w:type="dxa"/>
            <w:vMerge/>
            <w:vAlign w:val="center"/>
          </w:tcPr>
          <w:p w14:paraId="6144BE5C"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2547C61C"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Coregonus clupeaformis</w:t>
            </w:r>
          </w:p>
        </w:tc>
        <w:tc>
          <w:tcPr>
            <w:tcW w:w="2218" w:type="dxa"/>
            <w:vAlign w:val="center"/>
          </w:tcPr>
          <w:p w14:paraId="4D87EF39"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Lake whitefish</w:t>
            </w:r>
          </w:p>
        </w:tc>
        <w:tc>
          <w:tcPr>
            <w:tcW w:w="1238" w:type="dxa"/>
            <w:vAlign w:val="center"/>
          </w:tcPr>
          <w:p w14:paraId="72F12962"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76910EF6" w14:textId="77777777" w:rsidTr="007B3D5C">
        <w:trPr>
          <w:jc w:val="center"/>
        </w:trPr>
        <w:tc>
          <w:tcPr>
            <w:tcW w:w="1977" w:type="dxa"/>
            <w:vMerge/>
            <w:vAlign w:val="center"/>
          </w:tcPr>
          <w:p w14:paraId="6EB35888"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71585AE1"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Coregonus lavaretus</w:t>
            </w:r>
          </w:p>
        </w:tc>
        <w:tc>
          <w:tcPr>
            <w:tcW w:w="2218" w:type="dxa"/>
            <w:vAlign w:val="center"/>
          </w:tcPr>
          <w:p w14:paraId="65A36525"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Common whitefish</w:t>
            </w:r>
          </w:p>
        </w:tc>
        <w:tc>
          <w:tcPr>
            <w:tcW w:w="1238" w:type="dxa"/>
            <w:vAlign w:val="center"/>
          </w:tcPr>
          <w:p w14:paraId="486C1C93"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Ia</w:t>
            </w:r>
          </w:p>
        </w:tc>
      </w:tr>
      <w:tr w:rsidR="007B3D5C" w:rsidRPr="00D403F5" w14:paraId="69FF1274" w14:textId="77777777" w:rsidTr="007B3D5C">
        <w:trPr>
          <w:jc w:val="center"/>
        </w:trPr>
        <w:tc>
          <w:tcPr>
            <w:tcW w:w="1977" w:type="dxa"/>
            <w:vMerge w:val="restart"/>
            <w:vAlign w:val="center"/>
          </w:tcPr>
          <w:p w14:paraId="35F7F239" w14:textId="70CAB0B6"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04143C1E"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Oncorhynchus kisutch</w:t>
            </w:r>
          </w:p>
        </w:tc>
        <w:tc>
          <w:tcPr>
            <w:tcW w:w="2218" w:type="dxa"/>
            <w:vAlign w:val="center"/>
          </w:tcPr>
          <w:p w14:paraId="17530259"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Coho salmon</w:t>
            </w:r>
          </w:p>
        </w:tc>
        <w:tc>
          <w:tcPr>
            <w:tcW w:w="1238" w:type="dxa"/>
            <w:vAlign w:val="center"/>
          </w:tcPr>
          <w:p w14:paraId="668DD3B1" w14:textId="6FEBE85B"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7A7D7834" w14:textId="77777777" w:rsidTr="007B3D5C">
        <w:trPr>
          <w:jc w:val="center"/>
        </w:trPr>
        <w:tc>
          <w:tcPr>
            <w:tcW w:w="1977" w:type="dxa"/>
            <w:vMerge/>
            <w:vAlign w:val="center"/>
          </w:tcPr>
          <w:p w14:paraId="7973CE38"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6ABB31A1"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Oncorhynchus mykiss</w:t>
            </w:r>
          </w:p>
        </w:tc>
        <w:tc>
          <w:tcPr>
            <w:tcW w:w="2218" w:type="dxa"/>
            <w:vAlign w:val="center"/>
          </w:tcPr>
          <w:p w14:paraId="2A6BCDEC"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Rainbow trout</w:t>
            </w:r>
          </w:p>
        </w:tc>
        <w:tc>
          <w:tcPr>
            <w:tcW w:w="1238" w:type="dxa"/>
            <w:vAlign w:val="center"/>
          </w:tcPr>
          <w:p w14:paraId="04C7A7D0"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Ia-e, III, IVb</w:t>
            </w:r>
          </w:p>
        </w:tc>
      </w:tr>
      <w:tr w:rsidR="007B3D5C" w:rsidRPr="00D403F5" w14:paraId="6427DE55" w14:textId="77777777" w:rsidTr="007B3D5C">
        <w:trPr>
          <w:jc w:val="center"/>
        </w:trPr>
        <w:tc>
          <w:tcPr>
            <w:tcW w:w="1977" w:type="dxa"/>
            <w:vMerge/>
            <w:vAlign w:val="center"/>
          </w:tcPr>
          <w:p w14:paraId="3A795216"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5B4EDEBF"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 xml:space="preserve">Oncorhynchus mykiss </w:t>
            </w:r>
            <w:r w:rsidRPr="00D403F5">
              <w:rPr>
                <w:iCs/>
                <w:color w:val="000000"/>
                <w:szCs w:val="18"/>
                <w:highlight w:val="yellow"/>
                <w:u w:val="double"/>
              </w:rPr>
              <w:t>X</w:t>
            </w:r>
          </w:p>
          <w:p w14:paraId="7BC42D89"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 xml:space="preserve">Oncorhynchus kisutch </w:t>
            </w:r>
            <w:r w:rsidRPr="00D403F5">
              <w:rPr>
                <w:iCs/>
                <w:color w:val="000000"/>
                <w:szCs w:val="18"/>
                <w:highlight w:val="yellow"/>
                <w:u w:val="double"/>
              </w:rPr>
              <w:t>hybrids</w:t>
            </w:r>
          </w:p>
        </w:tc>
        <w:tc>
          <w:tcPr>
            <w:tcW w:w="2218" w:type="dxa"/>
            <w:vAlign w:val="center"/>
          </w:tcPr>
          <w:p w14:paraId="3013CD0B"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Rainbow trout X coho salmon hybrids</w:t>
            </w:r>
          </w:p>
        </w:tc>
        <w:tc>
          <w:tcPr>
            <w:tcW w:w="1238" w:type="dxa"/>
            <w:vAlign w:val="center"/>
          </w:tcPr>
          <w:p w14:paraId="02ADE49C"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Ia</w:t>
            </w:r>
          </w:p>
        </w:tc>
      </w:tr>
      <w:tr w:rsidR="007B3D5C" w:rsidRPr="00D403F5" w14:paraId="3CCDB9C4" w14:textId="77777777" w:rsidTr="007B3D5C">
        <w:trPr>
          <w:jc w:val="center"/>
        </w:trPr>
        <w:tc>
          <w:tcPr>
            <w:tcW w:w="1977" w:type="dxa"/>
            <w:vMerge/>
            <w:vAlign w:val="center"/>
          </w:tcPr>
          <w:p w14:paraId="68893C6B"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73DFC808"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Oncorhynchus tshawytscha</w:t>
            </w:r>
          </w:p>
        </w:tc>
        <w:tc>
          <w:tcPr>
            <w:tcW w:w="2218" w:type="dxa"/>
            <w:vAlign w:val="center"/>
          </w:tcPr>
          <w:p w14:paraId="6B09E213"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Chinook salmon</w:t>
            </w:r>
          </w:p>
        </w:tc>
        <w:tc>
          <w:tcPr>
            <w:tcW w:w="1238" w:type="dxa"/>
            <w:vAlign w:val="center"/>
          </w:tcPr>
          <w:p w14:paraId="7532E6D0"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 IVb</w:t>
            </w:r>
          </w:p>
        </w:tc>
      </w:tr>
      <w:tr w:rsidR="007B3D5C" w:rsidRPr="00D403F5" w14:paraId="4A15B6D4" w14:textId="77777777" w:rsidTr="007B3D5C">
        <w:trPr>
          <w:jc w:val="center"/>
        </w:trPr>
        <w:tc>
          <w:tcPr>
            <w:tcW w:w="1977" w:type="dxa"/>
            <w:vMerge/>
            <w:vAlign w:val="center"/>
          </w:tcPr>
          <w:p w14:paraId="3B5C65F3"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62BFFBA2"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Salmo marmoratus</w:t>
            </w:r>
          </w:p>
        </w:tc>
        <w:tc>
          <w:tcPr>
            <w:tcW w:w="2218" w:type="dxa"/>
            <w:vAlign w:val="center"/>
          </w:tcPr>
          <w:p w14:paraId="7A256651"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Marble trout</w:t>
            </w:r>
          </w:p>
        </w:tc>
        <w:tc>
          <w:tcPr>
            <w:tcW w:w="1238" w:type="dxa"/>
            <w:vAlign w:val="center"/>
          </w:tcPr>
          <w:p w14:paraId="07D323EC"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Ia</w:t>
            </w:r>
          </w:p>
        </w:tc>
      </w:tr>
      <w:tr w:rsidR="007B3D5C" w:rsidRPr="00D403F5" w14:paraId="209554B4" w14:textId="77777777" w:rsidTr="007B3D5C">
        <w:trPr>
          <w:jc w:val="center"/>
        </w:trPr>
        <w:tc>
          <w:tcPr>
            <w:tcW w:w="1977" w:type="dxa"/>
            <w:vMerge/>
            <w:vAlign w:val="center"/>
          </w:tcPr>
          <w:p w14:paraId="3E13AF4B"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438A6A4" w14:textId="77777777" w:rsidR="007B3D5C" w:rsidRPr="00D403F5" w:rsidRDefault="007B3D5C" w:rsidP="00A1774B">
            <w:pPr>
              <w:pStyle w:val="Tabletext"/>
              <w:spacing w:before="60" w:after="60"/>
              <w:rPr>
                <w:i/>
                <w:iCs/>
                <w:color w:val="000000"/>
                <w:szCs w:val="18"/>
                <w:highlight w:val="yellow"/>
                <w:u w:val="double"/>
              </w:rPr>
            </w:pPr>
            <w:r w:rsidRPr="00D403F5">
              <w:rPr>
                <w:i/>
                <w:iCs/>
                <w:color w:val="000000"/>
                <w:szCs w:val="18"/>
                <w:highlight w:val="yellow"/>
                <w:u w:val="double"/>
              </w:rPr>
              <w:t>Salmo salar</w:t>
            </w:r>
          </w:p>
        </w:tc>
        <w:tc>
          <w:tcPr>
            <w:tcW w:w="2218" w:type="dxa"/>
            <w:vAlign w:val="center"/>
          </w:tcPr>
          <w:p w14:paraId="5C5DA59D" w14:textId="77777777" w:rsidR="007B3D5C" w:rsidRPr="00D403F5" w:rsidRDefault="007B3D5C" w:rsidP="00A1774B">
            <w:pPr>
              <w:pStyle w:val="Tabletext"/>
              <w:spacing w:before="60" w:after="60"/>
              <w:rPr>
                <w:color w:val="000000"/>
                <w:szCs w:val="18"/>
                <w:highlight w:val="yellow"/>
                <w:u w:val="double"/>
              </w:rPr>
            </w:pPr>
            <w:r w:rsidRPr="00D403F5">
              <w:rPr>
                <w:color w:val="000000"/>
                <w:szCs w:val="18"/>
                <w:highlight w:val="yellow"/>
                <w:u w:val="double"/>
              </w:rPr>
              <w:t>Atlantic salmon</w:t>
            </w:r>
          </w:p>
        </w:tc>
        <w:tc>
          <w:tcPr>
            <w:tcW w:w="1238" w:type="dxa"/>
            <w:vAlign w:val="center"/>
          </w:tcPr>
          <w:p w14:paraId="0FA74F2E" w14:textId="77777777" w:rsidR="007B3D5C" w:rsidRPr="00D403F5" w:rsidRDefault="007B3D5C" w:rsidP="00A1774B">
            <w:pPr>
              <w:pStyle w:val="Tabletext"/>
              <w:spacing w:before="60" w:after="60"/>
              <w:rPr>
                <w:iCs/>
                <w:szCs w:val="18"/>
                <w:highlight w:val="yellow"/>
                <w:u w:val="double"/>
                <w:lang w:val="es-ES"/>
              </w:rPr>
            </w:pPr>
            <w:r w:rsidRPr="00D403F5">
              <w:rPr>
                <w:iCs/>
                <w:szCs w:val="18"/>
                <w:highlight w:val="yellow"/>
                <w:u w:val="double"/>
                <w:lang w:val="es-ES"/>
              </w:rPr>
              <w:t>Ia, Ib, II, III, IVa</w:t>
            </w:r>
          </w:p>
        </w:tc>
      </w:tr>
      <w:tr w:rsidR="007B3D5C" w:rsidRPr="00D403F5" w14:paraId="6025018F" w14:textId="77777777" w:rsidTr="007B3D5C">
        <w:trPr>
          <w:jc w:val="center"/>
        </w:trPr>
        <w:tc>
          <w:tcPr>
            <w:tcW w:w="1977" w:type="dxa"/>
            <w:vMerge/>
            <w:vAlign w:val="center"/>
          </w:tcPr>
          <w:p w14:paraId="1BDF51B0" w14:textId="77777777" w:rsidR="007B3D5C" w:rsidRPr="00D403F5" w:rsidRDefault="007B3D5C" w:rsidP="00A1774B">
            <w:pPr>
              <w:pStyle w:val="Tabletext"/>
              <w:spacing w:before="60" w:after="60"/>
              <w:rPr>
                <w:szCs w:val="18"/>
                <w:highlight w:val="yellow"/>
                <w:u w:val="double"/>
                <w:lang w:val="es-ES"/>
              </w:rPr>
            </w:pPr>
          </w:p>
        </w:tc>
        <w:tc>
          <w:tcPr>
            <w:tcW w:w="2217" w:type="dxa"/>
            <w:shd w:val="clear" w:color="auto" w:fill="auto"/>
            <w:vAlign w:val="center"/>
          </w:tcPr>
          <w:p w14:paraId="614D8DAD"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Salmo trutta</w:t>
            </w:r>
          </w:p>
        </w:tc>
        <w:tc>
          <w:tcPr>
            <w:tcW w:w="2218" w:type="dxa"/>
            <w:vAlign w:val="center"/>
          </w:tcPr>
          <w:p w14:paraId="7740FD49"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Brown trout</w:t>
            </w:r>
          </w:p>
        </w:tc>
        <w:tc>
          <w:tcPr>
            <w:tcW w:w="1238" w:type="dxa"/>
            <w:vAlign w:val="center"/>
          </w:tcPr>
          <w:p w14:paraId="1341D8C0"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Ia, Ib</w:t>
            </w:r>
          </w:p>
        </w:tc>
      </w:tr>
      <w:tr w:rsidR="007B3D5C" w:rsidRPr="00D403F5" w14:paraId="5736D961" w14:textId="77777777" w:rsidTr="007B3D5C">
        <w:trPr>
          <w:jc w:val="center"/>
        </w:trPr>
        <w:tc>
          <w:tcPr>
            <w:tcW w:w="1977" w:type="dxa"/>
            <w:vMerge/>
            <w:vAlign w:val="center"/>
          </w:tcPr>
          <w:p w14:paraId="06B9B38E"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1D29F194"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Salvelinus namaycush</w:t>
            </w:r>
          </w:p>
        </w:tc>
        <w:tc>
          <w:tcPr>
            <w:tcW w:w="2218" w:type="dxa"/>
            <w:vAlign w:val="center"/>
          </w:tcPr>
          <w:p w14:paraId="6D258DEF"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Lake trout</w:t>
            </w:r>
          </w:p>
        </w:tc>
        <w:tc>
          <w:tcPr>
            <w:tcW w:w="1238" w:type="dxa"/>
            <w:vAlign w:val="center"/>
          </w:tcPr>
          <w:p w14:paraId="54C2FB7D"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Ia, IVa, IVb</w:t>
            </w:r>
          </w:p>
        </w:tc>
      </w:tr>
      <w:tr w:rsidR="007B3D5C" w:rsidRPr="00D403F5" w14:paraId="259AC1C3" w14:textId="77777777" w:rsidTr="007B3D5C">
        <w:trPr>
          <w:jc w:val="center"/>
        </w:trPr>
        <w:tc>
          <w:tcPr>
            <w:tcW w:w="1977" w:type="dxa"/>
            <w:vMerge/>
            <w:vAlign w:val="center"/>
          </w:tcPr>
          <w:p w14:paraId="6E3E3873" w14:textId="77777777" w:rsidR="007B3D5C" w:rsidRPr="00D403F5" w:rsidRDefault="007B3D5C" w:rsidP="00A1774B">
            <w:pPr>
              <w:pStyle w:val="Tabletext"/>
              <w:spacing w:before="60" w:after="60"/>
              <w:rPr>
                <w:szCs w:val="18"/>
                <w:highlight w:val="yellow"/>
                <w:u w:val="double"/>
                <w:lang w:val="en-GB"/>
              </w:rPr>
            </w:pPr>
          </w:p>
        </w:tc>
        <w:tc>
          <w:tcPr>
            <w:tcW w:w="2217" w:type="dxa"/>
            <w:shd w:val="clear" w:color="auto" w:fill="auto"/>
            <w:vAlign w:val="center"/>
          </w:tcPr>
          <w:p w14:paraId="6408884A"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Thymallus thymallus</w:t>
            </w:r>
          </w:p>
        </w:tc>
        <w:tc>
          <w:tcPr>
            <w:tcW w:w="2218" w:type="dxa"/>
            <w:vAlign w:val="center"/>
          </w:tcPr>
          <w:p w14:paraId="36616A1B"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Grayling</w:t>
            </w:r>
          </w:p>
        </w:tc>
        <w:tc>
          <w:tcPr>
            <w:tcW w:w="1238" w:type="dxa"/>
            <w:vAlign w:val="center"/>
          </w:tcPr>
          <w:p w14:paraId="523064E0"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w:t>
            </w:r>
          </w:p>
        </w:tc>
      </w:tr>
      <w:tr w:rsidR="007B3D5C" w:rsidRPr="00D403F5" w14:paraId="17A0E9DF" w14:textId="77777777" w:rsidTr="007B3D5C">
        <w:trPr>
          <w:jc w:val="center"/>
        </w:trPr>
        <w:tc>
          <w:tcPr>
            <w:tcW w:w="1977" w:type="dxa"/>
            <w:vAlign w:val="center"/>
          </w:tcPr>
          <w:p w14:paraId="7DE35A56"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Scophthalmidae</w:t>
            </w:r>
          </w:p>
        </w:tc>
        <w:tc>
          <w:tcPr>
            <w:tcW w:w="2217" w:type="dxa"/>
            <w:shd w:val="clear" w:color="auto" w:fill="auto"/>
            <w:vAlign w:val="center"/>
          </w:tcPr>
          <w:p w14:paraId="160D9692"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Scophthalmus maximus</w:t>
            </w:r>
          </w:p>
        </w:tc>
        <w:tc>
          <w:tcPr>
            <w:tcW w:w="2218" w:type="dxa"/>
            <w:vAlign w:val="center"/>
          </w:tcPr>
          <w:p w14:paraId="22562626"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Turbot</w:t>
            </w:r>
          </w:p>
        </w:tc>
        <w:tc>
          <w:tcPr>
            <w:tcW w:w="1238" w:type="dxa"/>
            <w:vAlign w:val="center"/>
          </w:tcPr>
          <w:p w14:paraId="5E0241BD"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Ib, III</w:t>
            </w:r>
          </w:p>
        </w:tc>
      </w:tr>
      <w:tr w:rsidR="007B3D5C" w:rsidRPr="00D403F5" w14:paraId="72C16816" w14:textId="77777777" w:rsidTr="007B3D5C">
        <w:trPr>
          <w:jc w:val="center"/>
        </w:trPr>
        <w:tc>
          <w:tcPr>
            <w:tcW w:w="1977" w:type="dxa"/>
            <w:vAlign w:val="center"/>
          </w:tcPr>
          <w:p w14:paraId="1338CD4E"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Sciaenidae</w:t>
            </w:r>
          </w:p>
        </w:tc>
        <w:tc>
          <w:tcPr>
            <w:tcW w:w="2217" w:type="dxa"/>
            <w:shd w:val="clear" w:color="auto" w:fill="auto"/>
            <w:vAlign w:val="center"/>
          </w:tcPr>
          <w:p w14:paraId="0528F325"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Aplodinotus grunniens</w:t>
            </w:r>
          </w:p>
        </w:tc>
        <w:tc>
          <w:tcPr>
            <w:tcW w:w="2218" w:type="dxa"/>
            <w:vAlign w:val="center"/>
          </w:tcPr>
          <w:p w14:paraId="0F0482B3"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Freshwater drum</w:t>
            </w:r>
          </w:p>
        </w:tc>
        <w:tc>
          <w:tcPr>
            <w:tcW w:w="1238" w:type="dxa"/>
            <w:vAlign w:val="center"/>
          </w:tcPr>
          <w:p w14:paraId="3B16BF9B"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IVb</w:t>
            </w:r>
          </w:p>
        </w:tc>
      </w:tr>
      <w:tr w:rsidR="007B3D5C" w:rsidRPr="00D403F5" w14:paraId="7C84BF67" w14:textId="77777777" w:rsidTr="007B3D5C">
        <w:trPr>
          <w:jc w:val="center"/>
        </w:trPr>
        <w:tc>
          <w:tcPr>
            <w:tcW w:w="1977" w:type="dxa"/>
            <w:vAlign w:val="center"/>
          </w:tcPr>
          <w:p w14:paraId="00C2F87A"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Scombridae</w:t>
            </w:r>
          </w:p>
        </w:tc>
        <w:tc>
          <w:tcPr>
            <w:tcW w:w="2217" w:type="dxa"/>
            <w:shd w:val="clear" w:color="auto" w:fill="auto"/>
            <w:vAlign w:val="center"/>
          </w:tcPr>
          <w:p w14:paraId="52C303C3"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Scomber japonicus</w:t>
            </w:r>
          </w:p>
        </w:tc>
        <w:tc>
          <w:tcPr>
            <w:tcW w:w="2218" w:type="dxa"/>
            <w:vAlign w:val="center"/>
          </w:tcPr>
          <w:p w14:paraId="1E742676"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Pacific Chub mackerel </w:t>
            </w:r>
          </w:p>
        </w:tc>
        <w:tc>
          <w:tcPr>
            <w:tcW w:w="1238" w:type="dxa"/>
            <w:vAlign w:val="center"/>
          </w:tcPr>
          <w:p w14:paraId="68F43AE8"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IVa</w:t>
            </w:r>
          </w:p>
        </w:tc>
      </w:tr>
      <w:tr w:rsidR="007B3D5C" w:rsidRPr="00D403F5" w14:paraId="5B19169E" w14:textId="77777777" w:rsidTr="007B3D5C">
        <w:trPr>
          <w:jc w:val="center"/>
        </w:trPr>
        <w:tc>
          <w:tcPr>
            <w:tcW w:w="1977" w:type="dxa"/>
            <w:vAlign w:val="center"/>
          </w:tcPr>
          <w:p w14:paraId="0BAFCC8E"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Soleidae</w:t>
            </w:r>
          </w:p>
        </w:tc>
        <w:tc>
          <w:tcPr>
            <w:tcW w:w="2217" w:type="dxa"/>
            <w:shd w:val="clear" w:color="auto" w:fill="auto"/>
            <w:vAlign w:val="center"/>
          </w:tcPr>
          <w:p w14:paraId="724719E8"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Solea senegalensis</w:t>
            </w:r>
          </w:p>
        </w:tc>
        <w:tc>
          <w:tcPr>
            <w:tcW w:w="2218" w:type="dxa"/>
            <w:vAlign w:val="center"/>
          </w:tcPr>
          <w:p w14:paraId="2CB9CD92"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Senegalese sole</w:t>
            </w:r>
          </w:p>
        </w:tc>
        <w:tc>
          <w:tcPr>
            <w:tcW w:w="1238" w:type="dxa"/>
            <w:vAlign w:val="center"/>
          </w:tcPr>
          <w:p w14:paraId="6F103047" w14:textId="77777777" w:rsidR="007B3D5C" w:rsidRPr="00D403F5" w:rsidRDefault="007B3D5C" w:rsidP="00A1774B">
            <w:pPr>
              <w:pStyle w:val="Tabletext"/>
              <w:spacing w:before="60" w:after="60"/>
              <w:rPr>
                <w:iCs/>
                <w:szCs w:val="18"/>
                <w:highlight w:val="yellow"/>
                <w:u w:val="double"/>
                <w:lang w:val="en-GB"/>
              </w:rPr>
            </w:pPr>
            <w:r w:rsidRPr="00D403F5">
              <w:rPr>
                <w:iCs/>
                <w:szCs w:val="18"/>
                <w:highlight w:val="yellow"/>
                <w:u w:val="double"/>
                <w:lang w:val="en-GB"/>
              </w:rPr>
              <w:t>III</w:t>
            </w:r>
          </w:p>
        </w:tc>
      </w:tr>
      <w:tr w:rsidR="007B3D5C" w:rsidRPr="00D403F5" w14:paraId="5A8FE1CE" w14:textId="77777777" w:rsidTr="007B3D5C">
        <w:trPr>
          <w:jc w:val="center"/>
        </w:trPr>
        <w:tc>
          <w:tcPr>
            <w:tcW w:w="1977" w:type="dxa"/>
            <w:vAlign w:val="center"/>
          </w:tcPr>
          <w:p w14:paraId="6C858AC8" w14:textId="77777777" w:rsidR="007B3D5C" w:rsidRPr="00D403F5" w:rsidRDefault="007B3D5C" w:rsidP="00A1774B">
            <w:pPr>
              <w:pStyle w:val="Tabletext"/>
              <w:spacing w:before="60" w:after="60"/>
              <w:rPr>
                <w:szCs w:val="18"/>
                <w:highlight w:val="yellow"/>
                <w:u w:val="double"/>
                <w:lang w:val="en-GB"/>
              </w:rPr>
            </w:pPr>
            <w:r w:rsidRPr="00D403F5">
              <w:rPr>
                <w:color w:val="000000"/>
                <w:szCs w:val="18"/>
                <w:highlight w:val="yellow"/>
                <w:u w:val="double"/>
              </w:rPr>
              <w:t>Uranoscopidae</w:t>
            </w:r>
          </w:p>
        </w:tc>
        <w:tc>
          <w:tcPr>
            <w:tcW w:w="2217" w:type="dxa"/>
            <w:shd w:val="clear" w:color="auto" w:fill="auto"/>
            <w:vAlign w:val="center"/>
          </w:tcPr>
          <w:p w14:paraId="5A29FD43" w14:textId="77777777" w:rsidR="007B3D5C" w:rsidRPr="00D403F5" w:rsidRDefault="007B3D5C" w:rsidP="00A1774B">
            <w:pPr>
              <w:pStyle w:val="Tabletext"/>
              <w:spacing w:before="60" w:after="60"/>
              <w:rPr>
                <w:i/>
                <w:szCs w:val="18"/>
                <w:highlight w:val="yellow"/>
                <w:u w:val="double"/>
                <w:lang w:val="en-GB"/>
              </w:rPr>
            </w:pPr>
            <w:r w:rsidRPr="00D403F5">
              <w:rPr>
                <w:i/>
                <w:iCs/>
                <w:color w:val="000000"/>
                <w:szCs w:val="18"/>
                <w:highlight w:val="yellow"/>
                <w:u w:val="double"/>
              </w:rPr>
              <w:t>Uranoscopus scaber</w:t>
            </w:r>
          </w:p>
        </w:tc>
        <w:tc>
          <w:tcPr>
            <w:tcW w:w="2218" w:type="dxa"/>
            <w:vAlign w:val="center"/>
          </w:tcPr>
          <w:p w14:paraId="17E5CEAE" w14:textId="77777777" w:rsidR="007B3D5C" w:rsidRPr="00D403F5" w:rsidRDefault="007B3D5C" w:rsidP="00A1774B">
            <w:pPr>
              <w:pStyle w:val="Tabletext"/>
              <w:spacing w:before="60" w:after="60"/>
              <w:rPr>
                <w:iCs/>
                <w:szCs w:val="18"/>
                <w:highlight w:val="yellow"/>
                <w:u w:val="double"/>
                <w:lang w:val="en-GB"/>
              </w:rPr>
            </w:pPr>
            <w:r w:rsidRPr="00D403F5">
              <w:rPr>
                <w:color w:val="000000"/>
                <w:szCs w:val="18"/>
                <w:highlight w:val="yellow"/>
                <w:u w:val="double"/>
              </w:rPr>
              <w:t xml:space="preserve">Atlantic stargazer </w:t>
            </w:r>
          </w:p>
        </w:tc>
        <w:tc>
          <w:tcPr>
            <w:tcW w:w="1238" w:type="dxa"/>
            <w:vAlign w:val="center"/>
          </w:tcPr>
          <w:p w14:paraId="6636ACCB" w14:textId="77777777" w:rsidR="007B3D5C" w:rsidRPr="00D403F5" w:rsidRDefault="007B3D5C" w:rsidP="00A1774B">
            <w:pPr>
              <w:pStyle w:val="Tabletext"/>
              <w:spacing w:before="60" w:after="60"/>
              <w:rPr>
                <w:iCs/>
                <w:szCs w:val="18"/>
                <w:u w:val="double"/>
                <w:lang w:val="en-GB"/>
              </w:rPr>
            </w:pPr>
            <w:r w:rsidRPr="00D403F5">
              <w:rPr>
                <w:iCs/>
                <w:szCs w:val="18"/>
                <w:highlight w:val="yellow"/>
                <w:u w:val="double"/>
                <w:lang w:val="en-GB"/>
              </w:rPr>
              <w:t>Ie</w:t>
            </w:r>
          </w:p>
        </w:tc>
      </w:tr>
      <w:bookmarkEnd w:id="49"/>
    </w:tbl>
    <w:p w14:paraId="5CD6718D" w14:textId="77777777" w:rsidR="007B3D5C" w:rsidRPr="00D403F5" w:rsidRDefault="007B3D5C" w:rsidP="00D403F5">
      <w:pPr>
        <w:pStyle w:val="aff0"/>
        <w:ind w:left="107"/>
        <w:jc w:val="both"/>
        <w:rPr>
          <w:u w:val="double"/>
        </w:rPr>
      </w:pPr>
    </w:p>
    <w:p w14:paraId="3F79AED5" w14:textId="77777777" w:rsidR="00C7266C" w:rsidRPr="00D403F5" w:rsidRDefault="00C7266C" w:rsidP="00D403F5">
      <w:pPr>
        <w:pStyle w:val="aff0"/>
        <w:jc w:val="center"/>
        <w:rPr>
          <w:rFonts w:ascii="Ottawa" w:hAnsi="Ottawa"/>
        </w:rPr>
      </w:pPr>
      <w:r w:rsidRPr="00D403F5">
        <w:rPr>
          <w:rFonts w:ascii="Ottawa" w:hAnsi="Ottawa"/>
        </w:rPr>
        <w:t>[…]</w:t>
      </w:r>
    </w:p>
    <w:p w14:paraId="5FE948DE" w14:textId="77777777" w:rsidR="000E0A30" w:rsidRPr="00D403F5" w:rsidRDefault="000E0A30"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0C54B6A5" w14:textId="77777777" w:rsidR="007B3D5C" w:rsidRPr="00D403F5" w:rsidRDefault="007B3D5C" w:rsidP="00D403F5">
      <w:pPr>
        <w:pStyle w:val="aff0"/>
        <w:ind w:left="107"/>
        <w:jc w:val="both"/>
        <w:rPr>
          <w:u w:val="double"/>
        </w:rPr>
      </w:pPr>
    </w:p>
    <w:p w14:paraId="28EF9250" w14:textId="77777777" w:rsidR="007B3D5C" w:rsidRPr="00D403F5" w:rsidRDefault="007B3D5C" w:rsidP="00D403F5">
      <w:pPr>
        <w:pStyle w:val="aff0"/>
        <w:ind w:left="107"/>
        <w:jc w:val="both"/>
        <w:rPr>
          <w:u w:val="double"/>
        </w:rPr>
      </w:pPr>
    </w:p>
    <w:p w14:paraId="09CCCDA6" w14:textId="77777777" w:rsidR="007B3D5C" w:rsidRPr="00D403F5" w:rsidRDefault="007B3D5C" w:rsidP="00D403F5">
      <w:pPr>
        <w:pStyle w:val="aff0"/>
        <w:ind w:left="107"/>
        <w:jc w:val="both"/>
        <w:rPr>
          <w:u w:val="double"/>
        </w:rPr>
      </w:pPr>
    </w:p>
    <w:p w14:paraId="10FA10D4" w14:textId="77777777" w:rsidR="007B3D5C" w:rsidRPr="00D403F5" w:rsidRDefault="007B3D5C" w:rsidP="00D403F5">
      <w:pPr>
        <w:pStyle w:val="aff0"/>
        <w:ind w:left="107"/>
        <w:jc w:val="both"/>
        <w:rPr>
          <w:u w:val="double"/>
        </w:rPr>
      </w:pPr>
    </w:p>
    <w:p w14:paraId="64645F58" w14:textId="77777777" w:rsidR="007B3D5C" w:rsidRPr="00D403F5" w:rsidRDefault="007B3D5C" w:rsidP="00D403F5">
      <w:pPr>
        <w:pStyle w:val="aff0"/>
        <w:ind w:left="107"/>
        <w:jc w:val="both"/>
        <w:rPr>
          <w:u w:val="double"/>
        </w:rPr>
      </w:pPr>
    </w:p>
    <w:p w14:paraId="79AA93FF" w14:textId="77777777" w:rsidR="007B3D5C" w:rsidRPr="00D403F5" w:rsidRDefault="007B3D5C" w:rsidP="00D403F5">
      <w:pPr>
        <w:pStyle w:val="aff0"/>
        <w:ind w:left="107"/>
        <w:jc w:val="both"/>
        <w:rPr>
          <w:u w:val="double"/>
        </w:rPr>
      </w:pPr>
    </w:p>
    <w:p w14:paraId="1FFCA675" w14:textId="77777777" w:rsidR="007B3D5C" w:rsidRPr="00D403F5" w:rsidRDefault="007B3D5C" w:rsidP="00D403F5">
      <w:pPr>
        <w:pStyle w:val="aff0"/>
        <w:ind w:left="107"/>
        <w:jc w:val="both"/>
        <w:rPr>
          <w:u w:val="double"/>
        </w:rPr>
      </w:pPr>
    </w:p>
    <w:p w14:paraId="40BAE5D9" w14:textId="77777777" w:rsidR="007B3D5C" w:rsidRPr="00D403F5" w:rsidRDefault="007B3D5C" w:rsidP="00D403F5">
      <w:pPr>
        <w:spacing w:after="0"/>
        <w:ind w:left="107"/>
        <w:jc w:val="both"/>
        <w:rPr>
          <w:sz w:val="18"/>
          <w:szCs w:val="18"/>
        </w:rPr>
        <w:sectPr w:rsidR="007B3D5C" w:rsidRPr="00D403F5" w:rsidSect="007B3D5C">
          <w:type w:val="oddPage"/>
          <w:pgSz w:w="12240" w:h="15840" w:code="1"/>
          <w:pgMar w:top="1440" w:right="1440" w:bottom="1440" w:left="1440" w:header="709" w:footer="709" w:gutter="0"/>
          <w:cols w:space="720"/>
          <w:docGrid w:linePitch="360"/>
        </w:sectPr>
      </w:pPr>
    </w:p>
    <w:p w14:paraId="4DB21777" w14:textId="77777777" w:rsidR="007B3D5C" w:rsidRPr="00D403F5" w:rsidRDefault="007B3D5C" w:rsidP="00652B4E">
      <w:pPr>
        <w:pStyle w:val="2"/>
        <w:spacing w:after="480"/>
        <w:jc w:val="right"/>
        <w:rPr>
          <w:rFonts w:ascii="Times New Roman" w:hAnsi="Times New Roman"/>
          <w:b w:val="0"/>
          <w:sz w:val="18"/>
          <w:szCs w:val="18"/>
          <w:u w:val="single"/>
        </w:rPr>
      </w:pPr>
      <w:r w:rsidRPr="00D403F5">
        <w:rPr>
          <w:rFonts w:ascii="Times New Roman" w:hAnsi="Times New Roman"/>
          <w:b w:val="0"/>
          <w:sz w:val="18"/>
          <w:szCs w:val="18"/>
          <w:u w:val="single"/>
        </w:rPr>
        <w:t>Annex 7</w:t>
      </w:r>
    </w:p>
    <w:p w14:paraId="443B1FE0" w14:textId="1C2919F4" w:rsidR="007B3D5C" w:rsidRPr="00652B4E" w:rsidRDefault="007B3D5C" w:rsidP="00652B4E">
      <w:pPr>
        <w:pStyle w:val="3"/>
        <w:spacing w:before="0" w:after="480"/>
        <w:ind w:left="0" w:hanging="431"/>
        <w:jc w:val="center"/>
        <w:rPr>
          <w:rFonts w:ascii="Ottawa" w:hAnsi="Ottawa"/>
          <w:b/>
          <w:color w:val="auto"/>
          <w:sz w:val="28"/>
          <w:szCs w:val="28"/>
        </w:rPr>
      </w:pPr>
      <w:r w:rsidRPr="00652B4E">
        <w:rPr>
          <w:rFonts w:ascii="Ottawa" w:hAnsi="Ottawa"/>
          <w:color w:val="auto"/>
          <w:spacing w:val="51"/>
        </w:rPr>
        <w:t>CHAPTER</w:t>
      </w:r>
      <w:r w:rsidRPr="00652B4E">
        <w:rPr>
          <w:rFonts w:ascii="Ottawa" w:hAnsi="Ottawa"/>
          <w:color w:val="auto"/>
          <w:spacing w:val="114"/>
        </w:rPr>
        <w:t xml:space="preserve"> </w:t>
      </w:r>
      <w:bookmarkStart w:id="50" w:name="_bookmark406"/>
      <w:bookmarkEnd w:id="50"/>
      <w:r w:rsidRPr="00652B4E">
        <w:rPr>
          <w:rFonts w:ascii="Ottawa" w:hAnsi="Ottawa"/>
          <w:color w:val="auto"/>
          <w:spacing w:val="48"/>
        </w:rPr>
        <w:t>10.9.</w:t>
      </w:r>
      <w:r w:rsidRPr="00652B4E">
        <w:rPr>
          <w:rFonts w:ascii="Ottawa" w:hAnsi="Ottawa"/>
          <w:color w:val="auto"/>
          <w:spacing w:val="-7"/>
        </w:rPr>
        <w:t xml:space="preserve"> </w:t>
      </w:r>
      <w:r w:rsidRPr="00652B4E">
        <w:rPr>
          <w:rFonts w:ascii="Ottawa" w:hAnsi="Ottawa"/>
          <w:color w:val="auto"/>
          <w:spacing w:val="-7"/>
        </w:rPr>
        <w:br/>
      </w:r>
      <w:r w:rsidRPr="00D403F5">
        <w:rPr>
          <w:rFonts w:ascii="Ottawa" w:hAnsi="Ottawa"/>
          <w:color w:val="auto"/>
          <w:spacing w:val="-7"/>
          <w:sz w:val="18"/>
          <w:szCs w:val="18"/>
        </w:rPr>
        <w:br/>
      </w:r>
      <w:bookmarkStart w:id="51" w:name="Infection_with_spring_viraemia_of_carp_v"/>
      <w:bookmarkEnd w:id="51"/>
      <w:r w:rsidRPr="00652B4E">
        <w:rPr>
          <w:rFonts w:ascii="Ottawa" w:hAnsi="Ottawa"/>
          <w:b/>
          <w:color w:val="auto"/>
          <w:spacing w:val="61"/>
          <w:sz w:val="28"/>
          <w:szCs w:val="28"/>
        </w:rPr>
        <w:t>INFECTION</w:t>
      </w:r>
      <w:r w:rsidRPr="00652B4E">
        <w:rPr>
          <w:b/>
          <w:color w:val="auto"/>
          <w:spacing w:val="61"/>
          <w:sz w:val="28"/>
          <w:szCs w:val="28"/>
        </w:rPr>
        <w:t> </w:t>
      </w:r>
      <w:r w:rsidRPr="00652B4E">
        <w:rPr>
          <w:rFonts w:ascii="Ottawa" w:hAnsi="Ottawa"/>
          <w:b/>
          <w:color w:val="auto"/>
          <w:spacing w:val="52"/>
          <w:sz w:val="28"/>
          <w:szCs w:val="28"/>
        </w:rPr>
        <w:t>WITH</w:t>
      </w:r>
      <w:r w:rsidRPr="00652B4E">
        <w:rPr>
          <w:b/>
          <w:color w:val="auto"/>
          <w:spacing w:val="52"/>
          <w:sz w:val="28"/>
          <w:szCs w:val="28"/>
        </w:rPr>
        <w:t> </w:t>
      </w:r>
      <w:r w:rsidRPr="00652B4E">
        <w:rPr>
          <w:rFonts w:ascii="Ottawa" w:hAnsi="Ottawa"/>
          <w:b/>
          <w:color w:val="auto"/>
          <w:spacing w:val="58"/>
          <w:sz w:val="28"/>
          <w:szCs w:val="28"/>
        </w:rPr>
        <w:t>SPRING</w:t>
      </w:r>
      <w:r w:rsidRPr="00652B4E">
        <w:rPr>
          <w:b/>
          <w:color w:val="auto"/>
          <w:spacing w:val="58"/>
          <w:sz w:val="28"/>
          <w:szCs w:val="28"/>
        </w:rPr>
        <w:t> </w:t>
      </w:r>
      <w:r w:rsidRPr="00652B4E">
        <w:rPr>
          <w:rFonts w:ascii="Ottawa" w:hAnsi="Ottawa"/>
          <w:b/>
          <w:color w:val="auto"/>
          <w:spacing w:val="61"/>
          <w:sz w:val="28"/>
          <w:szCs w:val="28"/>
        </w:rPr>
        <w:t>VIRAEMIA</w:t>
      </w:r>
      <w:r w:rsidRPr="00652B4E">
        <w:rPr>
          <w:b/>
          <w:color w:val="auto"/>
          <w:spacing w:val="61"/>
          <w:sz w:val="28"/>
          <w:szCs w:val="28"/>
        </w:rPr>
        <w:t> </w:t>
      </w:r>
      <w:r w:rsidRPr="00652B4E">
        <w:rPr>
          <w:rFonts w:ascii="Ottawa" w:hAnsi="Ottawa"/>
          <w:b/>
          <w:color w:val="auto"/>
          <w:spacing w:val="34"/>
          <w:sz w:val="28"/>
          <w:szCs w:val="28"/>
        </w:rPr>
        <w:t>OF</w:t>
      </w:r>
      <w:r w:rsidRPr="00652B4E">
        <w:rPr>
          <w:rFonts w:ascii="Ottawa" w:hAnsi="Ottawa"/>
          <w:b/>
          <w:color w:val="auto"/>
          <w:spacing w:val="34"/>
          <w:sz w:val="28"/>
          <w:szCs w:val="28"/>
        </w:rPr>
        <w:br/>
      </w:r>
      <w:r w:rsidRPr="00652B4E">
        <w:rPr>
          <w:b/>
          <w:color w:val="auto"/>
          <w:spacing w:val="52"/>
          <w:w w:val="90"/>
          <w:sz w:val="28"/>
          <w:szCs w:val="28"/>
        </w:rPr>
        <w:t> </w:t>
      </w:r>
      <w:r w:rsidRPr="00652B4E">
        <w:rPr>
          <w:rFonts w:ascii="Ottawa" w:hAnsi="Ottawa"/>
          <w:b/>
          <w:color w:val="auto"/>
          <w:spacing w:val="52"/>
          <w:w w:val="90"/>
          <w:sz w:val="28"/>
          <w:szCs w:val="28"/>
        </w:rPr>
        <w:t>CARP</w:t>
      </w:r>
      <w:r w:rsidRPr="00652B4E">
        <w:rPr>
          <w:b/>
          <w:color w:val="auto"/>
          <w:spacing w:val="52"/>
          <w:w w:val="90"/>
          <w:sz w:val="28"/>
          <w:szCs w:val="28"/>
        </w:rPr>
        <w:t> </w:t>
      </w:r>
      <w:r w:rsidRPr="00652B4E">
        <w:rPr>
          <w:rFonts w:ascii="Ottawa" w:hAnsi="Ottawa"/>
          <w:b/>
          <w:color w:val="auto"/>
          <w:spacing w:val="56"/>
          <w:sz w:val="28"/>
          <w:szCs w:val="28"/>
        </w:rPr>
        <w:t>VIRUS</w:t>
      </w:r>
    </w:p>
    <w:p w14:paraId="2B42A094" w14:textId="77777777" w:rsidR="007B3D5C" w:rsidRPr="00D403F5" w:rsidRDefault="007B3D5C" w:rsidP="00652B4E">
      <w:pPr>
        <w:pStyle w:val="aff0"/>
        <w:spacing w:after="240"/>
        <w:jc w:val="center"/>
        <w:rPr>
          <w:rFonts w:ascii="Ottawa" w:hAnsi="Ottawa"/>
        </w:rPr>
      </w:pPr>
      <w:r w:rsidRPr="00D403F5">
        <w:rPr>
          <w:rFonts w:ascii="Ottawa" w:hAnsi="Ottawa"/>
        </w:rPr>
        <w:t>[…]</w:t>
      </w:r>
    </w:p>
    <w:p w14:paraId="36171D31" w14:textId="77777777" w:rsidR="007B3D5C" w:rsidRPr="00D403F5" w:rsidRDefault="007B3D5C" w:rsidP="00652B4E">
      <w:pPr>
        <w:pStyle w:val="40"/>
        <w:spacing w:before="0" w:after="240"/>
        <w:ind w:right="486"/>
        <w:jc w:val="center"/>
        <w:rPr>
          <w:rFonts w:ascii="Ottawa" w:hAnsi="Ottawa"/>
          <w:i w:val="0"/>
          <w:color w:val="auto"/>
          <w:sz w:val="18"/>
          <w:szCs w:val="18"/>
        </w:rPr>
      </w:pPr>
      <w:bookmarkStart w:id="52" w:name="_bookmark407"/>
      <w:bookmarkEnd w:id="52"/>
      <w:r w:rsidRPr="00D403F5">
        <w:rPr>
          <w:rFonts w:ascii="Ottawa" w:hAnsi="Ottawa"/>
          <w:i w:val="0"/>
          <w:color w:val="auto"/>
          <w:sz w:val="18"/>
          <w:szCs w:val="18"/>
        </w:rPr>
        <w:t>Article 10.9.2.</w:t>
      </w:r>
    </w:p>
    <w:p w14:paraId="2FC7A8F5" w14:textId="77777777" w:rsidR="007B3D5C" w:rsidRPr="00D403F5" w:rsidRDefault="007B3D5C" w:rsidP="00652B4E">
      <w:pPr>
        <w:pStyle w:val="aff0"/>
        <w:spacing w:after="240"/>
        <w:rPr>
          <w:rFonts w:ascii="Ottawa" w:hAnsi="Ottawa"/>
          <w:b/>
        </w:rPr>
      </w:pPr>
      <w:r w:rsidRPr="00D403F5">
        <w:rPr>
          <w:rFonts w:ascii="Ottawa" w:hAnsi="Ottawa"/>
          <w:b/>
        </w:rPr>
        <w:t>Scope</w:t>
      </w:r>
    </w:p>
    <w:p w14:paraId="19A995C6" w14:textId="77777777" w:rsidR="007B3D5C" w:rsidRPr="00D403F5" w:rsidRDefault="007B3D5C" w:rsidP="00652B4E">
      <w:pPr>
        <w:spacing w:after="240" w:line="254" w:lineRule="auto"/>
        <w:ind w:right="118"/>
        <w:jc w:val="both"/>
        <w:rPr>
          <w:rFonts w:ascii="Arial" w:hAnsi="Arial" w:cs="Arial"/>
          <w:spacing w:val="-12"/>
          <w:sz w:val="18"/>
          <w:szCs w:val="18"/>
        </w:rPr>
      </w:pPr>
      <w:r w:rsidRPr="00D403F5">
        <w:rPr>
          <w:rFonts w:ascii="Arial" w:hAnsi="Arial" w:cs="Arial"/>
          <w:sz w:val="18"/>
          <w:szCs w:val="18"/>
        </w:rPr>
        <w:t>The recommendations in this chapter apply to the following species that meet the criteria for listing as susceptible in accordance</w:t>
      </w:r>
      <w:r w:rsidRPr="00D403F5">
        <w:rPr>
          <w:rFonts w:ascii="Arial" w:hAnsi="Arial" w:cs="Arial"/>
          <w:spacing w:val="-14"/>
          <w:sz w:val="18"/>
          <w:szCs w:val="18"/>
        </w:rPr>
        <w:t xml:space="preserve"> </w:t>
      </w:r>
      <w:r w:rsidRPr="00D403F5">
        <w:rPr>
          <w:rFonts w:ascii="Arial" w:hAnsi="Arial" w:cs="Arial"/>
          <w:sz w:val="18"/>
          <w:szCs w:val="18"/>
        </w:rPr>
        <w:t>with</w:t>
      </w:r>
      <w:r w:rsidRPr="00D403F5">
        <w:rPr>
          <w:rFonts w:ascii="Arial" w:hAnsi="Arial" w:cs="Arial"/>
          <w:spacing w:val="-13"/>
          <w:sz w:val="18"/>
          <w:szCs w:val="18"/>
        </w:rPr>
        <w:t xml:space="preserve"> </w:t>
      </w:r>
      <w:r w:rsidRPr="00D403F5">
        <w:rPr>
          <w:rFonts w:ascii="Arial" w:hAnsi="Arial" w:cs="Arial"/>
          <w:sz w:val="18"/>
          <w:szCs w:val="18"/>
        </w:rPr>
        <w:t>Chapter</w:t>
      </w:r>
      <w:r w:rsidRPr="00D403F5">
        <w:rPr>
          <w:rFonts w:ascii="Arial" w:hAnsi="Arial" w:cs="Arial"/>
          <w:spacing w:val="-13"/>
          <w:sz w:val="18"/>
          <w:szCs w:val="18"/>
        </w:rPr>
        <w:t xml:space="preserve"> </w:t>
      </w:r>
      <w:hyperlink w:anchor="_bookmark153" w:history="1">
        <w:r w:rsidRPr="00D403F5">
          <w:rPr>
            <w:rFonts w:ascii="Arial" w:hAnsi="Arial" w:cs="Arial"/>
            <w:sz w:val="18"/>
            <w:szCs w:val="18"/>
          </w:rPr>
          <w:t>1.5.:</w:t>
        </w:r>
        <w:r w:rsidRPr="00D403F5">
          <w:rPr>
            <w:rFonts w:ascii="Arial" w:hAnsi="Arial" w:cs="Arial"/>
            <w:spacing w:val="-13"/>
            <w:sz w:val="18"/>
            <w:szCs w:val="18"/>
          </w:rPr>
          <w:t xml:space="preserve"> </w:t>
        </w:r>
      </w:hyperlink>
      <w:r w:rsidRPr="00D403F5">
        <w:rPr>
          <w:rFonts w:ascii="Arial" w:hAnsi="Arial" w:cs="Arial"/>
          <w:spacing w:val="-12"/>
          <w:sz w:val="18"/>
          <w:szCs w:val="18"/>
        </w:rPr>
        <w:t xml:space="preserve"> </w:t>
      </w:r>
    </w:p>
    <w:p w14:paraId="19E38D72" w14:textId="77777777" w:rsidR="007B3D5C" w:rsidRPr="00D403F5" w:rsidRDefault="007B3D5C" w:rsidP="00652B4E">
      <w:pPr>
        <w:spacing w:after="240" w:line="254" w:lineRule="auto"/>
        <w:ind w:right="118"/>
        <w:jc w:val="both"/>
        <w:rPr>
          <w:rFonts w:ascii="Arial" w:hAnsi="Arial" w:cs="Arial"/>
          <w:strike/>
          <w:sz w:val="18"/>
          <w:szCs w:val="18"/>
        </w:rPr>
      </w:pPr>
      <w:r w:rsidRPr="00D403F5">
        <w:rPr>
          <w:rFonts w:ascii="Arial" w:hAnsi="Arial" w:cs="Arial"/>
          <w:strike/>
          <w:sz w:val="18"/>
          <w:szCs w:val="18"/>
          <w:highlight w:val="yellow"/>
        </w:rPr>
        <w:t>all</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varieties</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and</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subspecies</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of</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common</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carp</w:t>
      </w:r>
      <w:r w:rsidRPr="00D403F5">
        <w:rPr>
          <w:rFonts w:ascii="Arial" w:hAnsi="Arial" w:cs="Arial"/>
          <w:strike/>
          <w:spacing w:val="-12"/>
          <w:sz w:val="18"/>
          <w:szCs w:val="18"/>
          <w:highlight w:val="yellow"/>
        </w:rPr>
        <w:t xml:space="preserve"> </w:t>
      </w:r>
      <w:r w:rsidRPr="00D403F5">
        <w:rPr>
          <w:rFonts w:ascii="Arial" w:hAnsi="Arial" w:cs="Arial"/>
          <w:i/>
          <w:strike/>
          <w:sz w:val="18"/>
          <w:szCs w:val="18"/>
          <w:highlight w:val="yellow"/>
        </w:rPr>
        <w:t>(Cyprinus</w:t>
      </w:r>
      <w:r w:rsidRPr="00D403F5">
        <w:rPr>
          <w:rFonts w:ascii="Arial" w:hAnsi="Arial" w:cs="Arial"/>
          <w:i/>
          <w:strike/>
          <w:spacing w:val="-13"/>
          <w:sz w:val="18"/>
          <w:szCs w:val="18"/>
          <w:highlight w:val="yellow"/>
        </w:rPr>
        <w:t xml:space="preserve"> </w:t>
      </w:r>
      <w:r w:rsidRPr="00D403F5">
        <w:rPr>
          <w:rFonts w:ascii="Arial" w:hAnsi="Arial" w:cs="Arial"/>
          <w:i/>
          <w:strike/>
          <w:sz w:val="18"/>
          <w:szCs w:val="18"/>
          <w:highlight w:val="yellow"/>
        </w:rPr>
        <w:t>carpio)</w:t>
      </w:r>
      <w:r w:rsidRPr="00D403F5">
        <w:rPr>
          <w:rFonts w:ascii="Arial" w:hAnsi="Arial" w:cs="Arial"/>
          <w:strike/>
          <w:sz w:val="18"/>
          <w:szCs w:val="18"/>
          <w:highlight w:val="yellow"/>
        </w:rPr>
        <w:t>,</w:t>
      </w:r>
      <w:r w:rsidRPr="00D403F5">
        <w:rPr>
          <w:rFonts w:ascii="Arial" w:hAnsi="Arial" w:cs="Arial"/>
          <w:strike/>
          <w:spacing w:val="-14"/>
          <w:sz w:val="18"/>
          <w:szCs w:val="18"/>
          <w:highlight w:val="yellow"/>
        </w:rPr>
        <w:t xml:space="preserve"> </w:t>
      </w:r>
      <w:r w:rsidRPr="00D403F5">
        <w:rPr>
          <w:rFonts w:ascii="Arial" w:hAnsi="Arial" w:cs="Arial"/>
          <w:strike/>
          <w:sz w:val="18"/>
          <w:szCs w:val="18"/>
          <w:highlight w:val="yellow"/>
        </w:rPr>
        <w:t>bighead</w:t>
      </w:r>
      <w:r w:rsidRPr="00D403F5">
        <w:rPr>
          <w:rFonts w:ascii="Arial" w:hAnsi="Arial" w:cs="Arial"/>
          <w:strike/>
          <w:spacing w:val="-13"/>
          <w:sz w:val="18"/>
          <w:szCs w:val="18"/>
          <w:highlight w:val="yellow"/>
        </w:rPr>
        <w:t xml:space="preserve"> </w:t>
      </w:r>
      <w:r w:rsidRPr="00D403F5">
        <w:rPr>
          <w:rFonts w:ascii="Arial" w:hAnsi="Arial" w:cs="Arial"/>
          <w:strike/>
          <w:sz w:val="18"/>
          <w:szCs w:val="18"/>
          <w:highlight w:val="yellow"/>
        </w:rPr>
        <w:t>carp</w:t>
      </w:r>
      <w:r w:rsidRPr="00D403F5">
        <w:rPr>
          <w:rFonts w:ascii="Arial" w:hAnsi="Arial" w:cs="Arial"/>
          <w:strike/>
          <w:spacing w:val="-13"/>
          <w:sz w:val="18"/>
          <w:szCs w:val="18"/>
          <w:highlight w:val="yellow"/>
        </w:rPr>
        <w:t xml:space="preserve"> </w:t>
      </w:r>
      <w:r w:rsidRPr="00D403F5">
        <w:rPr>
          <w:rFonts w:ascii="Arial" w:hAnsi="Arial" w:cs="Arial"/>
          <w:i/>
          <w:strike/>
          <w:sz w:val="18"/>
          <w:szCs w:val="18"/>
          <w:highlight w:val="yellow"/>
        </w:rPr>
        <w:t>(Aristichthys nobilis)</w:t>
      </w:r>
      <w:r w:rsidRPr="00D403F5">
        <w:rPr>
          <w:rFonts w:ascii="Arial" w:hAnsi="Arial" w:cs="Arial"/>
          <w:strike/>
          <w:sz w:val="18"/>
          <w:szCs w:val="18"/>
          <w:highlight w:val="yellow"/>
        </w:rPr>
        <w:t xml:space="preserve">, bream </w:t>
      </w:r>
      <w:r w:rsidRPr="00D403F5">
        <w:rPr>
          <w:rFonts w:ascii="Arial" w:hAnsi="Arial" w:cs="Arial"/>
          <w:i/>
          <w:strike/>
          <w:sz w:val="18"/>
          <w:szCs w:val="18"/>
          <w:highlight w:val="yellow"/>
        </w:rPr>
        <w:t>(Abramis brama)</w:t>
      </w:r>
      <w:r w:rsidRPr="00D403F5">
        <w:rPr>
          <w:rFonts w:ascii="Arial" w:hAnsi="Arial" w:cs="Arial"/>
          <w:strike/>
          <w:sz w:val="18"/>
          <w:szCs w:val="18"/>
          <w:highlight w:val="yellow"/>
        </w:rPr>
        <w:t xml:space="preserve">, Caspian white fish </w:t>
      </w:r>
      <w:r w:rsidRPr="00D403F5">
        <w:rPr>
          <w:rFonts w:ascii="Arial" w:hAnsi="Arial" w:cs="Arial"/>
          <w:i/>
          <w:strike/>
          <w:sz w:val="18"/>
          <w:szCs w:val="18"/>
          <w:highlight w:val="yellow"/>
        </w:rPr>
        <w:t>(Rutilus kutum)</w:t>
      </w:r>
      <w:r w:rsidRPr="00D403F5">
        <w:rPr>
          <w:rFonts w:ascii="Arial" w:hAnsi="Arial" w:cs="Arial"/>
          <w:strike/>
          <w:sz w:val="18"/>
          <w:szCs w:val="18"/>
          <w:highlight w:val="yellow"/>
        </w:rPr>
        <w:t xml:space="preserve">, fathead minnow </w:t>
      </w:r>
      <w:r w:rsidRPr="00D403F5">
        <w:rPr>
          <w:rFonts w:ascii="Arial" w:hAnsi="Arial" w:cs="Arial"/>
          <w:i/>
          <w:strike/>
          <w:sz w:val="18"/>
          <w:szCs w:val="18"/>
          <w:highlight w:val="yellow"/>
        </w:rPr>
        <w:t>(Pimephales promelas)</w:t>
      </w:r>
      <w:r w:rsidRPr="00D403F5">
        <w:rPr>
          <w:rFonts w:ascii="Arial" w:hAnsi="Arial" w:cs="Arial"/>
          <w:strike/>
          <w:sz w:val="18"/>
          <w:szCs w:val="18"/>
          <w:highlight w:val="yellow"/>
        </w:rPr>
        <w:t xml:space="preserve">, golden shiner </w:t>
      </w:r>
      <w:r w:rsidRPr="00D403F5">
        <w:rPr>
          <w:rFonts w:ascii="Arial" w:hAnsi="Arial" w:cs="Arial"/>
          <w:i/>
          <w:strike/>
          <w:sz w:val="18"/>
          <w:szCs w:val="18"/>
          <w:highlight w:val="yellow"/>
        </w:rPr>
        <w:t>(Notemigonus crysoleucas)</w:t>
      </w:r>
      <w:r w:rsidRPr="00D403F5">
        <w:rPr>
          <w:rFonts w:ascii="Arial" w:hAnsi="Arial" w:cs="Arial"/>
          <w:strike/>
          <w:sz w:val="18"/>
          <w:szCs w:val="18"/>
          <w:highlight w:val="yellow"/>
        </w:rPr>
        <w:t xml:space="preserve">, goldfish </w:t>
      </w:r>
      <w:r w:rsidRPr="00D403F5">
        <w:rPr>
          <w:rFonts w:ascii="Arial" w:hAnsi="Arial" w:cs="Arial"/>
          <w:i/>
          <w:strike/>
          <w:sz w:val="18"/>
          <w:szCs w:val="18"/>
          <w:highlight w:val="yellow"/>
        </w:rPr>
        <w:t>(Carassius auratus)</w:t>
      </w:r>
      <w:r w:rsidRPr="00D403F5">
        <w:rPr>
          <w:rFonts w:ascii="Arial" w:hAnsi="Arial" w:cs="Arial"/>
          <w:strike/>
          <w:sz w:val="18"/>
          <w:szCs w:val="18"/>
          <w:highlight w:val="yellow"/>
        </w:rPr>
        <w:t>, grass carp (</w:t>
      </w:r>
      <w:r w:rsidRPr="00D403F5">
        <w:rPr>
          <w:rFonts w:ascii="Arial" w:hAnsi="Arial" w:cs="Arial"/>
          <w:i/>
          <w:strike/>
          <w:sz w:val="18"/>
          <w:szCs w:val="18"/>
          <w:highlight w:val="yellow"/>
        </w:rPr>
        <w:t>Ctenopharyngodon idella)</w:t>
      </w:r>
      <w:r w:rsidRPr="00D403F5">
        <w:rPr>
          <w:rFonts w:ascii="Arial" w:hAnsi="Arial" w:cs="Arial"/>
          <w:strike/>
          <w:sz w:val="18"/>
          <w:szCs w:val="18"/>
          <w:highlight w:val="yellow"/>
        </w:rPr>
        <w:t xml:space="preserve">, roach </w:t>
      </w:r>
      <w:r w:rsidRPr="00D403F5">
        <w:rPr>
          <w:rFonts w:ascii="Arial" w:hAnsi="Arial" w:cs="Arial"/>
          <w:i/>
          <w:strike/>
          <w:sz w:val="18"/>
          <w:szCs w:val="18"/>
          <w:highlight w:val="yellow"/>
        </w:rPr>
        <w:t xml:space="preserve">(Rutilus rutilus) </w:t>
      </w:r>
      <w:r w:rsidRPr="00D403F5">
        <w:rPr>
          <w:rFonts w:ascii="Arial" w:hAnsi="Arial" w:cs="Arial"/>
          <w:sz w:val="18"/>
          <w:szCs w:val="18"/>
          <w:highlight w:val="yellow"/>
        </w:rPr>
        <w:t>and</w:t>
      </w:r>
      <w:r w:rsidRPr="00D403F5">
        <w:rPr>
          <w:rFonts w:ascii="Arial" w:hAnsi="Arial" w:cs="Arial"/>
          <w:strike/>
          <w:sz w:val="18"/>
          <w:szCs w:val="18"/>
          <w:highlight w:val="yellow"/>
        </w:rPr>
        <w:t xml:space="preserve"> sheatfish (also known as European or wels catfish) </w:t>
      </w:r>
      <w:r w:rsidRPr="00D403F5">
        <w:rPr>
          <w:rFonts w:ascii="Arial" w:hAnsi="Arial" w:cs="Arial"/>
          <w:i/>
          <w:strike/>
          <w:sz w:val="18"/>
          <w:szCs w:val="18"/>
          <w:highlight w:val="yellow"/>
        </w:rPr>
        <w:t>(Silurus</w:t>
      </w:r>
      <w:r w:rsidRPr="00D403F5">
        <w:rPr>
          <w:rFonts w:ascii="Arial" w:hAnsi="Arial" w:cs="Arial"/>
          <w:i/>
          <w:strike/>
          <w:spacing w:val="-7"/>
          <w:sz w:val="18"/>
          <w:szCs w:val="18"/>
          <w:highlight w:val="yellow"/>
        </w:rPr>
        <w:t xml:space="preserve"> </w:t>
      </w:r>
      <w:r w:rsidRPr="00D403F5">
        <w:rPr>
          <w:rFonts w:ascii="Arial" w:hAnsi="Arial" w:cs="Arial"/>
          <w:i/>
          <w:strike/>
          <w:sz w:val="18"/>
          <w:szCs w:val="18"/>
          <w:highlight w:val="yellow"/>
        </w:rPr>
        <w:t>glanis)</w:t>
      </w:r>
      <w:r w:rsidRPr="00D403F5">
        <w:rPr>
          <w:rFonts w:ascii="Arial" w:hAnsi="Arial" w:cs="Arial"/>
          <w:strike/>
          <w:sz w:val="18"/>
          <w:szCs w:val="18"/>
          <w:highlight w:val="yellow"/>
        </w:rPr>
        <w:t>.</w:t>
      </w:r>
    </w:p>
    <w:tbl>
      <w:tblPr>
        <w:tblW w:w="6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1"/>
        <w:gridCol w:w="2158"/>
        <w:gridCol w:w="2158"/>
      </w:tblGrid>
      <w:tr w:rsidR="007B3D5C" w:rsidRPr="00D403F5" w14:paraId="4E0C5DCF" w14:textId="77777777" w:rsidTr="007B3D5C">
        <w:trPr>
          <w:tblHeader/>
          <w:jc w:val="center"/>
        </w:trPr>
        <w:tc>
          <w:tcPr>
            <w:tcW w:w="1921" w:type="dxa"/>
            <w:tcBorders>
              <w:top w:val="single" w:sz="4" w:space="0" w:color="auto"/>
              <w:bottom w:val="single" w:sz="4" w:space="0" w:color="auto"/>
            </w:tcBorders>
            <w:vAlign w:val="center"/>
          </w:tcPr>
          <w:p w14:paraId="49B610F3" w14:textId="77777777" w:rsidR="007B3D5C" w:rsidRPr="00D403F5" w:rsidRDefault="007B3D5C" w:rsidP="00652B4E">
            <w:pPr>
              <w:pStyle w:val="TableHead"/>
              <w:spacing w:before="60" w:after="60"/>
              <w:rPr>
                <w:rFonts w:ascii="Arial" w:hAnsi="Arial" w:cs="Arial"/>
                <w:szCs w:val="18"/>
                <w:u w:val="double"/>
                <w:lang w:val="en-GB"/>
              </w:rPr>
            </w:pPr>
            <w:bookmarkStart w:id="53" w:name="_Hlk22140801"/>
            <w:r w:rsidRPr="00D403F5">
              <w:rPr>
                <w:rFonts w:ascii="Arial" w:hAnsi="Arial" w:cs="Arial"/>
                <w:szCs w:val="18"/>
                <w:u w:val="double"/>
                <w:lang w:val="en-GB"/>
              </w:rPr>
              <w:t>Family</w:t>
            </w:r>
          </w:p>
        </w:tc>
        <w:tc>
          <w:tcPr>
            <w:tcW w:w="2158" w:type="dxa"/>
            <w:tcBorders>
              <w:top w:val="single" w:sz="4" w:space="0" w:color="auto"/>
              <w:bottom w:val="single" w:sz="4" w:space="0" w:color="auto"/>
            </w:tcBorders>
            <w:shd w:val="clear" w:color="auto" w:fill="auto"/>
            <w:vAlign w:val="center"/>
          </w:tcPr>
          <w:p w14:paraId="68B51F81" w14:textId="77777777" w:rsidR="007B3D5C" w:rsidRPr="00D403F5" w:rsidRDefault="007B3D5C" w:rsidP="00652B4E">
            <w:pPr>
              <w:pStyle w:val="TableHead"/>
              <w:spacing w:before="60" w:after="60"/>
              <w:rPr>
                <w:rFonts w:ascii="Arial" w:hAnsi="Arial" w:cs="Arial"/>
                <w:szCs w:val="18"/>
                <w:u w:val="double"/>
                <w:lang w:val="en-GB"/>
              </w:rPr>
            </w:pPr>
            <w:r w:rsidRPr="00D403F5">
              <w:rPr>
                <w:rFonts w:ascii="Arial" w:hAnsi="Arial" w:cs="Arial"/>
                <w:szCs w:val="18"/>
                <w:u w:val="double"/>
                <w:lang w:val="en-GB"/>
              </w:rPr>
              <w:t>Scientific name</w:t>
            </w:r>
          </w:p>
        </w:tc>
        <w:tc>
          <w:tcPr>
            <w:tcW w:w="2158" w:type="dxa"/>
            <w:tcBorders>
              <w:top w:val="single" w:sz="4" w:space="0" w:color="auto"/>
              <w:bottom w:val="single" w:sz="4" w:space="0" w:color="auto"/>
            </w:tcBorders>
            <w:vAlign w:val="center"/>
          </w:tcPr>
          <w:p w14:paraId="078680EB" w14:textId="77777777" w:rsidR="007B3D5C" w:rsidRPr="00D403F5" w:rsidRDefault="007B3D5C" w:rsidP="00652B4E">
            <w:pPr>
              <w:pStyle w:val="TableHead"/>
              <w:spacing w:before="60" w:after="60"/>
              <w:rPr>
                <w:rFonts w:ascii="Arial" w:hAnsi="Arial" w:cs="Arial"/>
                <w:szCs w:val="18"/>
                <w:u w:val="double"/>
                <w:lang w:val="en-GB"/>
              </w:rPr>
            </w:pPr>
            <w:r w:rsidRPr="00D403F5">
              <w:rPr>
                <w:rFonts w:ascii="Arial" w:hAnsi="Arial" w:cs="Arial"/>
                <w:szCs w:val="18"/>
                <w:u w:val="double"/>
                <w:lang w:val="en-GB"/>
              </w:rPr>
              <w:t>Common name</w:t>
            </w:r>
          </w:p>
        </w:tc>
      </w:tr>
      <w:tr w:rsidR="007B3D5C" w:rsidRPr="00D403F5" w14:paraId="75C276A6" w14:textId="77777777" w:rsidTr="007B3D5C">
        <w:trPr>
          <w:jc w:val="center"/>
        </w:trPr>
        <w:tc>
          <w:tcPr>
            <w:tcW w:w="1921" w:type="dxa"/>
            <w:vMerge w:val="restart"/>
            <w:vAlign w:val="center"/>
          </w:tcPr>
          <w:p w14:paraId="4B77AF02" w14:textId="77777777" w:rsidR="007B3D5C" w:rsidRPr="00D403F5" w:rsidRDefault="000667F3" w:rsidP="00652B4E">
            <w:pPr>
              <w:spacing w:before="60" w:after="60"/>
              <w:jc w:val="center"/>
              <w:rPr>
                <w:rFonts w:ascii="Arial" w:hAnsi="Arial" w:cs="Arial"/>
                <w:color w:val="000000"/>
                <w:sz w:val="18"/>
                <w:szCs w:val="18"/>
                <w:u w:val="double"/>
              </w:rPr>
            </w:pPr>
            <w:hyperlink r:id="rId62" w:history="1">
              <w:r w:rsidR="007B3D5C" w:rsidRPr="00D403F5">
                <w:rPr>
                  <w:rFonts w:ascii="Arial" w:eastAsia="Times New Roman" w:hAnsi="Arial" w:cs="Arial"/>
                  <w:sz w:val="18"/>
                  <w:szCs w:val="18"/>
                </w:rPr>
                <w:t>Cyprinidae</w:t>
              </w:r>
            </w:hyperlink>
          </w:p>
        </w:tc>
        <w:tc>
          <w:tcPr>
            <w:tcW w:w="2158" w:type="dxa"/>
            <w:tcBorders>
              <w:top w:val="single" w:sz="4" w:space="0" w:color="auto"/>
            </w:tcBorders>
            <w:shd w:val="clear" w:color="auto" w:fill="auto"/>
            <w:vAlign w:val="center"/>
          </w:tcPr>
          <w:p w14:paraId="4981AD47" w14:textId="77777777" w:rsidR="007B3D5C" w:rsidRPr="00D403F5" w:rsidRDefault="007B3D5C" w:rsidP="00652B4E">
            <w:pPr>
              <w:pStyle w:val="Tabletext"/>
              <w:spacing w:before="60" w:after="60"/>
              <w:rPr>
                <w:i/>
                <w:szCs w:val="18"/>
              </w:rPr>
            </w:pPr>
            <w:r w:rsidRPr="00D403F5">
              <w:rPr>
                <w:i/>
                <w:szCs w:val="18"/>
              </w:rPr>
              <w:t>Abramis brama</w:t>
            </w:r>
          </w:p>
        </w:tc>
        <w:tc>
          <w:tcPr>
            <w:tcW w:w="2158" w:type="dxa"/>
            <w:tcBorders>
              <w:top w:val="single" w:sz="4" w:space="0" w:color="auto"/>
            </w:tcBorders>
            <w:vAlign w:val="center"/>
          </w:tcPr>
          <w:p w14:paraId="0EE1568F" w14:textId="77777777" w:rsidR="007B3D5C" w:rsidRPr="00D403F5" w:rsidRDefault="007B3D5C" w:rsidP="00652B4E">
            <w:pPr>
              <w:pStyle w:val="Tabletext"/>
              <w:spacing w:before="60" w:after="60"/>
              <w:rPr>
                <w:szCs w:val="18"/>
              </w:rPr>
            </w:pPr>
            <w:r w:rsidRPr="00D403F5">
              <w:rPr>
                <w:szCs w:val="18"/>
              </w:rPr>
              <w:t>Bream</w:t>
            </w:r>
          </w:p>
        </w:tc>
      </w:tr>
      <w:tr w:rsidR="007B3D5C" w:rsidRPr="00D403F5" w14:paraId="5B4DDE13" w14:textId="77777777" w:rsidTr="007B3D5C">
        <w:trPr>
          <w:jc w:val="center"/>
        </w:trPr>
        <w:tc>
          <w:tcPr>
            <w:tcW w:w="1921" w:type="dxa"/>
            <w:vMerge/>
            <w:vAlign w:val="center"/>
          </w:tcPr>
          <w:p w14:paraId="404EC22E" w14:textId="77777777" w:rsidR="007B3D5C" w:rsidRPr="00D403F5" w:rsidRDefault="007B3D5C" w:rsidP="00652B4E">
            <w:pPr>
              <w:spacing w:before="60" w:after="6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287C2C90" w14:textId="77777777" w:rsidR="007B3D5C" w:rsidRPr="00D403F5" w:rsidRDefault="007B3D5C" w:rsidP="00652B4E">
            <w:pPr>
              <w:pStyle w:val="Tabletext"/>
              <w:spacing w:before="60" w:after="60"/>
              <w:rPr>
                <w:i/>
                <w:iCs/>
                <w:color w:val="000000"/>
                <w:szCs w:val="18"/>
                <w:u w:val="double"/>
              </w:rPr>
            </w:pPr>
            <w:r w:rsidRPr="00D403F5">
              <w:rPr>
                <w:i/>
                <w:szCs w:val="18"/>
              </w:rPr>
              <w:t>Aristichthys nobilis</w:t>
            </w:r>
          </w:p>
        </w:tc>
        <w:tc>
          <w:tcPr>
            <w:tcW w:w="2158" w:type="dxa"/>
            <w:tcBorders>
              <w:top w:val="single" w:sz="4" w:space="0" w:color="auto"/>
            </w:tcBorders>
            <w:vAlign w:val="center"/>
          </w:tcPr>
          <w:p w14:paraId="3EC65F96" w14:textId="77777777" w:rsidR="007B3D5C" w:rsidRPr="00D403F5" w:rsidRDefault="007B3D5C" w:rsidP="00652B4E">
            <w:pPr>
              <w:pStyle w:val="Tabletext"/>
              <w:spacing w:before="60" w:after="60"/>
              <w:rPr>
                <w:color w:val="000000"/>
                <w:szCs w:val="18"/>
                <w:u w:val="double"/>
              </w:rPr>
            </w:pPr>
            <w:r w:rsidRPr="00D403F5">
              <w:rPr>
                <w:szCs w:val="18"/>
              </w:rPr>
              <w:t>Bighead</w:t>
            </w:r>
            <w:r w:rsidRPr="00D403F5">
              <w:rPr>
                <w:spacing w:val="-13"/>
                <w:szCs w:val="18"/>
              </w:rPr>
              <w:t xml:space="preserve"> </w:t>
            </w:r>
            <w:r w:rsidRPr="00D403F5">
              <w:rPr>
                <w:szCs w:val="18"/>
              </w:rPr>
              <w:t>carp</w:t>
            </w:r>
          </w:p>
        </w:tc>
      </w:tr>
      <w:tr w:rsidR="007B3D5C" w:rsidRPr="00D403F5" w14:paraId="5E30054D" w14:textId="77777777" w:rsidTr="007B3D5C">
        <w:trPr>
          <w:jc w:val="center"/>
        </w:trPr>
        <w:tc>
          <w:tcPr>
            <w:tcW w:w="1921" w:type="dxa"/>
            <w:vMerge/>
            <w:vAlign w:val="center"/>
          </w:tcPr>
          <w:p w14:paraId="554D5DE9" w14:textId="77777777" w:rsidR="007B3D5C" w:rsidRPr="00D403F5" w:rsidRDefault="007B3D5C" w:rsidP="00652B4E">
            <w:pPr>
              <w:spacing w:before="60" w:after="6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141899C6" w14:textId="77777777" w:rsidR="007B3D5C" w:rsidRPr="00D403F5" w:rsidRDefault="007B3D5C" w:rsidP="00652B4E">
            <w:pPr>
              <w:pStyle w:val="Tabletext"/>
              <w:spacing w:before="60" w:after="60"/>
              <w:rPr>
                <w:i/>
                <w:iCs/>
                <w:color w:val="000000"/>
                <w:szCs w:val="18"/>
                <w:u w:val="double"/>
              </w:rPr>
            </w:pPr>
            <w:r w:rsidRPr="00D403F5">
              <w:rPr>
                <w:i/>
                <w:szCs w:val="18"/>
              </w:rPr>
              <w:t>Carassius auratus</w:t>
            </w:r>
          </w:p>
        </w:tc>
        <w:tc>
          <w:tcPr>
            <w:tcW w:w="2158" w:type="dxa"/>
            <w:tcBorders>
              <w:top w:val="single" w:sz="4" w:space="0" w:color="auto"/>
            </w:tcBorders>
            <w:vAlign w:val="center"/>
          </w:tcPr>
          <w:p w14:paraId="0ED00A83" w14:textId="77777777" w:rsidR="007B3D5C" w:rsidRPr="00D403F5" w:rsidRDefault="007B3D5C" w:rsidP="00652B4E">
            <w:pPr>
              <w:pStyle w:val="Tabletext"/>
              <w:spacing w:before="60" w:after="60"/>
              <w:rPr>
                <w:color w:val="000000"/>
                <w:szCs w:val="18"/>
                <w:u w:val="double"/>
              </w:rPr>
            </w:pPr>
            <w:r w:rsidRPr="00D403F5">
              <w:rPr>
                <w:szCs w:val="18"/>
              </w:rPr>
              <w:t>Goldfish</w:t>
            </w:r>
          </w:p>
        </w:tc>
      </w:tr>
      <w:tr w:rsidR="007B3D5C" w:rsidRPr="00D403F5" w14:paraId="3FE7928F" w14:textId="77777777" w:rsidTr="007B3D5C">
        <w:trPr>
          <w:jc w:val="center"/>
        </w:trPr>
        <w:tc>
          <w:tcPr>
            <w:tcW w:w="1921" w:type="dxa"/>
            <w:vMerge/>
            <w:vAlign w:val="center"/>
          </w:tcPr>
          <w:p w14:paraId="73484046" w14:textId="77777777" w:rsidR="007B3D5C" w:rsidRPr="00D403F5" w:rsidRDefault="007B3D5C" w:rsidP="00652B4E">
            <w:pPr>
              <w:spacing w:before="60" w:after="6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35D6AD73" w14:textId="77777777" w:rsidR="007B3D5C" w:rsidRPr="00D403F5" w:rsidRDefault="007B3D5C" w:rsidP="00652B4E">
            <w:pPr>
              <w:pStyle w:val="Tabletext"/>
              <w:spacing w:before="60" w:after="60"/>
              <w:rPr>
                <w:i/>
                <w:iCs/>
                <w:color w:val="000000"/>
                <w:szCs w:val="18"/>
                <w:u w:val="double"/>
              </w:rPr>
            </w:pPr>
            <w:r w:rsidRPr="00D403F5">
              <w:rPr>
                <w:i/>
                <w:szCs w:val="18"/>
              </w:rPr>
              <w:t>Ctenopharyngodon idella</w:t>
            </w:r>
          </w:p>
        </w:tc>
        <w:tc>
          <w:tcPr>
            <w:tcW w:w="2158" w:type="dxa"/>
            <w:tcBorders>
              <w:top w:val="single" w:sz="4" w:space="0" w:color="auto"/>
            </w:tcBorders>
            <w:vAlign w:val="center"/>
          </w:tcPr>
          <w:p w14:paraId="07C8DD89" w14:textId="77777777" w:rsidR="007B3D5C" w:rsidRPr="00D403F5" w:rsidRDefault="007B3D5C" w:rsidP="00652B4E">
            <w:pPr>
              <w:pStyle w:val="Tabletext"/>
              <w:spacing w:before="60" w:after="60"/>
              <w:rPr>
                <w:color w:val="000000"/>
                <w:szCs w:val="18"/>
                <w:u w:val="double"/>
              </w:rPr>
            </w:pPr>
            <w:r w:rsidRPr="00D403F5">
              <w:rPr>
                <w:szCs w:val="18"/>
              </w:rPr>
              <w:t>Grass carp</w:t>
            </w:r>
          </w:p>
        </w:tc>
      </w:tr>
      <w:tr w:rsidR="007B3D5C" w:rsidRPr="00D403F5" w14:paraId="73ED4E9B" w14:textId="77777777" w:rsidTr="007B3D5C">
        <w:trPr>
          <w:jc w:val="center"/>
        </w:trPr>
        <w:tc>
          <w:tcPr>
            <w:tcW w:w="1921" w:type="dxa"/>
            <w:vMerge/>
            <w:vAlign w:val="center"/>
          </w:tcPr>
          <w:p w14:paraId="31EE3DDC" w14:textId="77777777" w:rsidR="007B3D5C" w:rsidRPr="00D403F5" w:rsidRDefault="007B3D5C" w:rsidP="00652B4E">
            <w:pPr>
              <w:spacing w:before="60" w:after="6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1BC7E675" w14:textId="77777777" w:rsidR="007B3D5C" w:rsidRPr="00D403F5" w:rsidRDefault="007B3D5C" w:rsidP="00652B4E">
            <w:pPr>
              <w:pStyle w:val="Tabletext"/>
              <w:spacing w:before="60" w:after="60"/>
              <w:rPr>
                <w:i/>
                <w:iCs/>
                <w:color w:val="000000"/>
                <w:szCs w:val="18"/>
                <w:u w:val="double"/>
              </w:rPr>
            </w:pPr>
            <w:r w:rsidRPr="00D403F5">
              <w:rPr>
                <w:i/>
                <w:szCs w:val="18"/>
              </w:rPr>
              <w:t>Cyprinus</w:t>
            </w:r>
            <w:r w:rsidRPr="00D403F5">
              <w:rPr>
                <w:i/>
                <w:spacing w:val="-13"/>
                <w:szCs w:val="18"/>
              </w:rPr>
              <w:t xml:space="preserve"> </w:t>
            </w:r>
            <w:r w:rsidRPr="00D403F5">
              <w:rPr>
                <w:i/>
                <w:szCs w:val="18"/>
              </w:rPr>
              <w:t>carpio</w:t>
            </w:r>
          </w:p>
        </w:tc>
        <w:tc>
          <w:tcPr>
            <w:tcW w:w="2158" w:type="dxa"/>
            <w:tcBorders>
              <w:top w:val="single" w:sz="4" w:space="0" w:color="auto"/>
            </w:tcBorders>
            <w:vAlign w:val="center"/>
          </w:tcPr>
          <w:p w14:paraId="5EE0DF8F" w14:textId="77777777" w:rsidR="007B3D5C" w:rsidRPr="00D403F5" w:rsidRDefault="007B3D5C" w:rsidP="00652B4E">
            <w:pPr>
              <w:pStyle w:val="Tabletext"/>
              <w:spacing w:before="60" w:after="60"/>
              <w:rPr>
                <w:color w:val="000000"/>
                <w:szCs w:val="18"/>
                <w:u w:val="double"/>
              </w:rPr>
            </w:pPr>
            <w:r w:rsidRPr="00D403F5">
              <w:rPr>
                <w:szCs w:val="18"/>
              </w:rPr>
              <w:t>Common</w:t>
            </w:r>
            <w:r w:rsidRPr="00D403F5">
              <w:rPr>
                <w:spacing w:val="-13"/>
                <w:szCs w:val="18"/>
              </w:rPr>
              <w:t xml:space="preserve"> </w:t>
            </w:r>
            <w:r w:rsidRPr="00D403F5">
              <w:rPr>
                <w:szCs w:val="18"/>
              </w:rPr>
              <w:t>carp (all</w:t>
            </w:r>
            <w:r w:rsidRPr="00D403F5">
              <w:rPr>
                <w:spacing w:val="-13"/>
                <w:szCs w:val="18"/>
              </w:rPr>
              <w:t xml:space="preserve"> </w:t>
            </w:r>
            <w:r w:rsidRPr="00D403F5">
              <w:rPr>
                <w:szCs w:val="18"/>
              </w:rPr>
              <w:t>varieties</w:t>
            </w:r>
            <w:r w:rsidRPr="00D403F5">
              <w:rPr>
                <w:spacing w:val="-13"/>
                <w:szCs w:val="18"/>
              </w:rPr>
              <w:t xml:space="preserve"> </w:t>
            </w:r>
            <w:r w:rsidRPr="00D403F5">
              <w:rPr>
                <w:szCs w:val="18"/>
              </w:rPr>
              <w:t>and</w:t>
            </w:r>
            <w:r w:rsidRPr="00D403F5">
              <w:rPr>
                <w:spacing w:val="-13"/>
                <w:szCs w:val="18"/>
              </w:rPr>
              <w:t xml:space="preserve"> </w:t>
            </w:r>
            <w:r w:rsidRPr="00D403F5">
              <w:rPr>
                <w:szCs w:val="18"/>
              </w:rPr>
              <w:t>subspecies</w:t>
            </w:r>
            <w:r w:rsidRPr="00D403F5">
              <w:rPr>
                <w:spacing w:val="-13"/>
                <w:szCs w:val="18"/>
              </w:rPr>
              <w:t xml:space="preserve">) </w:t>
            </w:r>
          </w:p>
        </w:tc>
      </w:tr>
      <w:tr w:rsidR="007B3D5C" w:rsidRPr="00D403F5" w14:paraId="2CB9D532" w14:textId="77777777" w:rsidTr="007B3D5C">
        <w:trPr>
          <w:jc w:val="center"/>
        </w:trPr>
        <w:tc>
          <w:tcPr>
            <w:tcW w:w="1921" w:type="dxa"/>
            <w:vMerge/>
            <w:vAlign w:val="center"/>
          </w:tcPr>
          <w:p w14:paraId="71ED9275" w14:textId="77777777" w:rsidR="007B3D5C" w:rsidRPr="00D403F5" w:rsidRDefault="007B3D5C" w:rsidP="00652B4E">
            <w:pPr>
              <w:spacing w:before="60" w:after="6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42187FF9" w14:textId="77777777" w:rsidR="007B3D5C" w:rsidRPr="00D403F5" w:rsidRDefault="007B3D5C" w:rsidP="00652B4E">
            <w:pPr>
              <w:pStyle w:val="Tabletext"/>
              <w:spacing w:before="60" w:after="60"/>
              <w:rPr>
                <w:i/>
                <w:iCs/>
                <w:color w:val="000000"/>
                <w:szCs w:val="18"/>
                <w:u w:val="double"/>
              </w:rPr>
            </w:pPr>
            <w:r w:rsidRPr="00D403F5">
              <w:rPr>
                <w:i/>
                <w:szCs w:val="18"/>
                <w:highlight w:val="yellow"/>
                <w:u w:val="double"/>
              </w:rPr>
              <w:t>Danio rerio</w:t>
            </w:r>
          </w:p>
        </w:tc>
        <w:tc>
          <w:tcPr>
            <w:tcW w:w="2158" w:type="dxa"/>
            <w:tcBorders>
              <w:top w:val="single" w:sz="4" w:space="0" w:color="auto"/>
            </w:tcBorders>
            <w:vAlign w:val="center"/>
          </w:tcPr>
          <w:p w14:paraId="40F25BD5" w14:textId="77777777" w:rsidR="007B3D5C" w:rsidRPr="00D403F5" w:rsidRDefault="007B3D5C" w:rsidP="00652B4E">
            <w:pPr>
              <w:pStyle w:val="Tabletext"/>
              <w:spacing w:before="60" w:after="60"/>
              <w:rPr>
                <w:color w:val="000000"/>
                <w:szCs w:val="18"/>
                <w:u w:val="double"/>
              </w:rPr>
            </w:pPr>
            <w:r w:rsidRPr="00D403F5">
              <w:rPr>
                <w:iCs/>
                <w:szCs w:val="18"/>
                <w:highlight w:val="yellow"/>
                <w:u w:val="double"/>
              </w:rPr>
              <w:t>Zebrafish</w:t>
            </w:r>
          </w:p>
        </w:tc>
      </w:tr>
      <w:tr w:rsidR="007B3D5C" w:rsidRPr="00D403F5" w14:paraId="21980837" w14:textId="77777777" w:rsidTr="007B3D5C">
        <w:trPr>
          <w:jc w:val="center"/>
        </w:trPr>
        <w:tc>
          <w:tcPr>
            <w:tcW w:w="1921" w:type="dxa"/>
            <w:vMerge/>
            <w:vAlign w:val="center"/>
          </w:tcPr>
          <w:p w14:paraId="70349855" w14:textId="77777777" w:rsidR="007B3D5C" w:rsidRPr="00D403F5" w:rsidRDefault="007B3D5C" w:rsidP="00652B4E">
            <w:pPr>
              <w:spacing w:before="60" w:after="6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2CC4E56C" w14:textId="77777777" w:rsidR="007B3D5C" w:rsidRPr="00D403F5" w:rsidRDefault="007B3D5C" w:rsidP="00652B4E">
            <w:pPr>
              <w:pStyle w:val="Tabletext"/>
              <w:spacing w:before="60" w:after="60"/>
              <w:rPr>
                <w:i/>
                <w:iCs/>
                <w:color w:val="000000"/>
                <w:szCs w:val="18"/>
                <w:u w:val="double"/>
              </w:rPr>
            </w:pPr>
            <w:r w:rsidRPr="00D403F5">
              <w:rPr>
                <w:i/>
                <w:szCs w:val="18"/>
              </w:rPr>
              <w:t>Notemigonus crysoleucas</w:t>
            </w:r>
          </w:p>
        </w:tc>
        <w:tc>
          <w:tcPr>
            <w:tcW w:w="2158" w:type="dxa"/>
            <w:tcBorders>
              <w:top w:val="single" w:sz="4" w:space="0" w:color="auto"/>
            </w:tcBorders>
            <w:vAlign w:val="center"/>
          </w:tcPr>
          <w:p w14:paraId="18A23355" w14:textId="77777777" w:rsidR="007B3D5C" w:rsidRPr="00D403F5" w:rsidRDefault="007B3D5C" w:rsidP="00652B4E">
            <w:pPr>
              <w:pStyle w:val="Tabletext"/>
              <w:spacing w:before="60" w:after="60"/>
              <w:rPr>
                <w:color w:val="000000"/>
                <w:szCs w:val="18"/>
                <w:u w:val="double"/>
              </w:rPr>
            </w:pPr>
            <w:r w:rsidRPr="00D403F5">
              <w:rPr>
                <w:szCs w:val="18"/>
              </w:rPr>
              <w:t>Golden shiner</w:t>
            </w:r>
          </w:p>
        </w:tc>
      </w:tr>
      <w:tr w:rsidR="007B3D5C" w:rsidRPr="00D403F5" w14:paraId="26282704" w14:textId="77777777" w:rsidTr="007B3D5C">
        <w:trPr>
          <w:jc w:val="center"/>
        </w:trPr>
        <w:tc>
          <w:tcPr>
            <w:tcW w:w="1921" w:type="dxa"/>
            <w:vMerge/>
            <w:vAlign w:val="center"/>
          </w:tcPr>
          <w:p w14:paraId="607FF2A1" w14:textId="77777777" w:rsidR="007B3D5C" w:rsidRPr="00D403F5" w:rsidRDefault="007B3D5C" w:rsidP="00652B4E">
            <w:pPr>
              <w:spacing w:before="60" w:after="60"/>
              <w:jc w:val="center"/>
              <w:rPr>
                <w:rFonts w:ascii="Arial" w:hAnsi="Arial" w:cs="Arial"/>
                <w:color w:val="000000"/>
                <w:sz w:val="18"/>
                <w:szCs w:val="18"/>
                <w:u w:val="double"/>
              </w:rPr>
            </w:pPr>
          </w:p>
        </w:tc>
        <w:tc>
          <w:tcPr>
            <w:tcW w:w="2158" w:type="dxa"/>
            <w:tcBorders>
              <w:top w:val="single" w:sz="4" w:space="0" w:color="auto"/>
            </w:tcBorders>
            <w:shd w:val="clear" w:color="auto" w:fill="auto"/>
            <w:vAlign w:val="center"/>
          </w:tcPr>
          <w:p w14:paraId="278C03B9" w14:textId="77777777" w:rsidR="007B3D5C" w:rsidRPr="00D403F5" w:rsidRDefault="007B3D5C" w:rsidP="00652B4E">
            <w:pPr>
              <w:pStyle w:val="Tabletext"/>
              <w:spacing w:before="60" w:after="60"/>
              <w:rPr>
                <w:i/>
                <w:iCs/>
                <w:color w:val="000000"/>
                <w:szCs w:val="18"/>
                <w:u w:val="double"/>
              </w:rPr>
            </w:pPr>
            <w:r w:rsidRPr="00D403F5">
              <w:rPr>
                <w:i/>
                <w:szCs w:val="18"/>
              </w:rPr>
              <w:t>Pimephales promelas</w:t>
            </w:r>
          </w:p>
        </w:tc>
        <w:tc>
          <w:tcPr>
            <w:tcW w:w="2158" w:type="dxa"/>
            <w:tcBorders>
              <w:top w:val="single" w:sz="4" w:space="0" w:color="auto"/>
            </w:tcBorders>
            <w:vAlign w:val="center"/>
          </w:tcPr>
          <w:p w14:paraId="4177A600" w14:textId="77777777" w:rsidR="007B3D5C" w:rsidRPr="00D403F5" w:rsidRDefault="007B3D5C" w:rsidP="00652B4E">
            <w:pPr>
              <w:pStyle w:val="Tabletext"/>
              <w:spacing w:before="60" w:after="60"/>
              <w:rPr>
                <w:color w:val="000000"/>
                <w:szCs w:val="18"/>
                <w:u w:val="double"/>
              </w:rPr>
            </w:pPr>
            <w:r w:rsidRPr="00D403F5">
              <w:rPr>
                <w:szCs w:val="18"/>
              </w:rPr>
              <w:t>Fathead minnow</w:t>
            </w:r>
          </w:p>
        </w:tc>
      </w:tr>
      <w:tr w:rsidR="007B3D5C" w:rsidRPr="00D403F5" w14:paraId="349B152B" w14:textId="77777777" w:rsidTr="007B3D5C">
        <w:trPr>
          <w:jc w:val="center"/>
        </w:trPr>
        <w:tc>
          <w:tcPr>
            <w:tcW w:w="1921" w:type="dxa"/>
            <w:vMerge/>
            <w:vAlign w:val="center"/>
          </w:tcPr>
          <w:p w14:paraId="6D6D9633" w14:textId="77777777" w:rsidR="007B3D5C" w:rsidRPr="00D403F5" w:rsidRDefault="007B3D5C" w:rsidP="00652B4E">
            <w:pPr>
              <w:spacing w:before="60" w:after="60"/>
              <w:jc w:val="center"/>
              <w:rPr>
                <w:rFonts w:ascii="Arial" w:hAnsi="Arial" w:cs="Arial"/>
                <w:sz w:val="18"/>
                <w:szCs w:val="18"/>
                <w:u w:val="double"/>
              </w:rPr>
            </w:pPr>
          </w:p>
        </w:tc>
        <w:tc>
          <w:tcPr>
            <w:tcW w:w="2158" w:type="dxa"/>
            <w:tcBorders>
              <w:top w:val="single" w:sz="4" w:space="0" w:color="auto"/>
            </w:tcBorders>
            <w:shd w:val="clear" w:color="auto" w:fill="auto"/>
            <w:vAlign w:val="center"/>
          </w:tcPr>
          <w:p w14:paraId="202802E3" w14:textId="77777777" w:rsidR="007B3D5C" w:rsidRPr="00D403F5" w:rsidRDefault="007B3D5C" w:rsidP="00652B4E">
            <w:pPr>
              <w:pStyle w:val="Tabletext"/>
              <w:spacing w:before="60" w:after="60"/>
              <w:rPr>
                <w:i/>
                <w:szCs w:val="18"/>
                <w:u w:val="double"/>
                <w:lang w:val="en-GB"/>
              </w:rPr>
            </w:pPr>
            <w:r w:rsidRPr="00D403F5">
              <w:rPr>
                <w:i/>
                <w:szCs w:val="18"/>
              </w:rPr>
              <w:t>Rutilus kutum</w:t>
            </w:r>
          </w:p>
        </w:tc>
        <w:tc>
          <w:tcPr>
            <w:tcW w:w="2158" w:type="dxa"/>
            <w:tcBorders>
              <w:top w:val="single" w:sz="4" w:space="0" w:color="auto"/>
            </w:tcBorders>
            <w:vAlign w:val="center"/>
          </w:tcPr>
          <w:p w14:paraId="3A038892" w14:textId="77777777" w:rsidR="007B3D5C" w:rsidRPr="00D403F5" w:rsidRDefault="007B3D5C" w:rsidP="00652B4E">
            <w:pPr>
              <w:pStyle w:val="Tabletext"/>
              <w:spacing w:before="60" w:after="60"/>
              <w:rPr>
                <w:iCs/>
                <w:szCs w:val="18"/>
                <w:u w:val="double"/>
                <w:lang w:val="en-GB"/>
              </w:rPr>
            </w:pPr>
            <w:r w:rsidRPr="00D403F5">
              <w:rPr>
                <w:szCs w:val="18"/>
              </w:rPr>
              <w:t>Caspian white fish</w:t>
            </w:r>
          </w:p>
        </w:tc>
      </w:tr>
      <w:tr w:rsidR="007B3D5C" w:rsidRPr="00D403F5" w14:paraId="25AA5ADD" w14:textId="77777777" w:rsidTr="007B3D5C">
        <w:trPr>
          <w:jc w:val="center"/>
        </w:trPr>
        <w:tc>
          <w:tcPr>
            <w:tcW w:w="1921" w:type="dxa"/>
            <w:vMerge/>
            <w:vAlign w:val="center"/>
          </w:tcPr>
          <w:p w14:paraId="3C87DB14" w14:textId="77777777" w:rsidR="007B3D5C" w:rsidRPr="00D403F5" w:rsidRDefault="007B3D5C" w:rsidP="00652B4E">
            <w:pPr>
              <w:spacing w:before="60" w:after="60"/>
              <w:jc w:val="center"/>
              <w:rPr>
                <w:rFonts w:ascii="Arial" w:hAnsi="Arial" w:cs="Arial"/>
                <w:sz w:val="18"/>
                <w:szCs w:val="18"/>
                <w:u w:val="double"/>
              </w:rPr>
            </w:pPr>
          </w:p>
        </w:tc>
        <w:tc>
          <w:tcPr>
            <w:tcW w:w="2158" w:type="dxa"/>
            <w:tcBorders>
              <w:top w:val="single" w:sz="4" w:space="0" w:color="auto"/>
            </w:tcBorders>
            <w:shd w:val="clear" w:color="auto" w:fill="auto"/>
            <w:vAlign w:val="center"/>
          </w:tcPr>
          <w:p w14:paraId="42EC5A8B" w14:textId="77777777" w:rsidR="007B3D5C" w:rsidRPr="00D403F5" w:rsidRDefault="007B3D5C" w:rsidP="00652B4E">
            <w:pPr>
              <w:pStyle w:val="Tabletext"/>
              <w:spacing w:before="60" w:after="60"/>
              <w:rPr>
                <w:i/>
                <w:szCs w:val="18"/>
                <w:u w:val="double"/>
                <w:lang w:val="en-GB"/>
              </w:rPr>
            </w:pPr>
            <w:r w:rsidRPr="00D403F5">
              <w:rPr>
                <w:i/>
                <w:szCs w:val="18"/>
              </w:rPr>
              <w:t>Rutilus rutilus</w:t>
            </w:r>
          </w:p>
        </w:tc>
        <w:tc>
          <w:tcPr>
            <w:tcW w:w="2158" w:type="dxa"/>
            <w:tcBorders>
              <w:top w:val="single" w:sz="4" w:space="0" w:color="auto"/>
            </w:tcBorders>
            <w:vAlign w:val="center"/>
          </w:tcPr>
          <w:p w14:paraId="005A5CE5" w14:textId="77777777" w:rsidR="007B3D5C" w:rsidRPr="00D403F5" w:rsidRDefault="007B3D5C" w:rsidP="00652B4E">
            <w:pPr>
              <w:pStyle w:val="Tabletext"/>
              <w:spacing w:before="60" w:after="60"/>
              <w:rPr>
                <w:iCs/>
                <w:szCs w:val="18"/>
                <w:u w:val="double"/>
                <w:lang w:val="en-GB"/>
              </w:rPr>
            </w:pPr>
            <w:r w:rsidRPr="00D403F5">
              <w:rPr>
                <w:szCs w:val="18"/>
              </w:rPr>
              <w:t>Roach</w:t>
            </w:r>
          </w:p>
        </w:tc>
      </w:tr>
      <w:tr w:rsidR="007B3D5C" w:rsidRPr="00D403F5" w14:paraId="12A9B1F0" w14:textId="77777777" w:rsidTr="007B3D5C">
        <w:trPr>
          <w:jc w:val="center"/>
        </w:trPr>
        <w:tc>
          <w:tcPr>
            <w:tcW w:w="1921" w:type="dxa"/>
            <w:vAlign w:val="center"/>
          </w:tcPr>
          <w:p w14:paraId="136CA76E" w14:textId="77777777" w:rsidR="007B3D5C" w:rsidRPr="00D403F5" w:rsidRDefault="000667F3" w:rsidP="00652B4E">
            <w:pPr>
              <w:pStyle w:val="Tabletext"/>
              <w:spacing w:before="60" w:after="60"/>
              <w:rPr>
                <w:szCs w:val="18"/>
                <w:u w:val="double"/>
                <w:lang w:val="en-GB"/>
              </w:rPr>
            </w:pPr>
            <w:hyperlink r:id="rId63" w:history="1">
              <w:r w:rsidR="007B3D5C" w:rsidRPr="00D403F5">
                <w:rPr>
                  <w:szCs w:val="18"/>
                </w:rPr>
                <w:t>Siluridae</w:t>
              </w:r>
            </w:hyperlink>
          </w:p>
        </w:tc>
        <w:tc>
          <w:tcPr>
            <w:tcW w:w="2158" w:type="dxa"/>
            <w:tcBorders>
              <w:top w:val="single" w:sz="4" w:space="0" w:color="auto"/>
            </w:tcBorders>
            <w:shd w:val="clear" w:color="auto" w:fill="auto"/>
            <w:vAlign w:val="center"/>
          </w:tcPr>
          <w:p w14:paraId="4A5FF257" w14:textId="77777777" w:rsidR="007B3D5C" w:rsidRPr="00D403F5" w:rsidRDefault="007B3D5C" w:rsidP="00652B4E">
            <w:pPr>
              <w:pStyle w:val="Tabletext"/>
              <w:spacing w:before="60" w:after="60"/>
              <w:rPr>
                <w:i/>
                <w:szCs w:val="18"/>
                <w:u w:val="double"/>
                <w:lang w:val="en-GB"/>
              </w:rPr>
            </w:pPr>
            <w:r w:rsidRPr="00D403F5">
              <w:rPr>
                <w:i/>
                <w:szCs w:val="18"/>
              </w:rPr>
              <w:t>Silurus</w:t>
            </w:r>
            <w:r w:rsidRPr="00D403F5">
              <w:rPr>
                <w:i/>
                <w:spacing w:val="-7"/>
                <w:szCs w:val="18"/>
              </w:rPr>
              <w:t xml:space="preserve"> </w:t>
            </w:r>
            <w:r w:rsidRPr="00D403F5">
              <w:rPr>
                <w:i/>
                <w:szCs w:val="18"/>
              </w:rPr>
              <w:t>glanis</w:t>
            </w:r>
          </w:p>
        </w:tc>
        <w:tc>
          <w:tcPr>
            <w:tcW w:w="2158" w:type="dxa"/>
            <w:tcBorders>
              <w:top w:val="single" w:sz="4" w:space="0" w:color="auto"/>
            </w:tcBorders>
            <w:vAlign w:val="center"/>
          </w:tcPr>
          <w:p w14:paraId="5DE0C31A" w14:textId="77777777" w:rsidR="007B3D5C" w:rsidRPr="00D403F5" w:rsidRDefault="007B3D5C" w:rsidP="00652B4E">
            <w:pPr>
              <w:pStyle w:val="Tabletext"/>
              <w:spacing w:before="60" w:after="60"/>
              <w:rPr>
                <w:iCs/>
                <w:szCs w:val="18"/>
                <w:u w:val="double"/>
                <w:lang w:val="en-GB"/>
              </w:rPr>
            </w:pPr>
            <w:r w:rsidRPr="00D403F5">
              <w:rPr>
                <w:szCs w:val="18"/>
              </w:rPr>
              <w:t>Sheatfish (also known as European or wels catfish)</w:t>
            </w:r>
          </w:p>
        </w:tc>
      </w:tr>
      <w:bookmarkEnd w:id="53"/>
    </w:tbl>
    <w:p w14:paraId="131BF079" w14:textId="77777777" w:rsidR="007B3D5C" w:rsidRPr="00D403F5" w:rsidRDefault="007B3D5C" w:rsidP="00D403F5">
      <w:pPr>
        <w:spacing w:after="0"/>
        <w:rPr>
          <w:rFonts w:ascii="Arial" w:hAnsi="Arial" w:cs="Arial"/>
          <w:sz w:val="18"/>
          <w:szCs w:val="18"/>
        </w:rPr>
      </w:pPr>
    </w:p>
    <w:p w14:paraId="2BE9B2B6" w14:textId="77777777" w:rsidR="00C7266C" w:rsidRPr="00D403F5" w:rsidRDefault="00C7266C" w:rsidP="00D403F5">
      <w:pPr>
        <w:pStyle w:val="aff0"/>
        <w:jc w:val="center"/>
        <w:rPr>
          <w:rFonts w:ascii="Ottawa" w:hAnsi="Ottawa"/>
        </w:rPr>
      </w:pPr>
      <w:r w:rsidRPr="00D403F5">
        <w:rPr>
          <w:rFonts w:ascii="Ottawa" w:hAnsi="Ottawa"/>
        </w:rPr>
        <w:t>[…]</w:t>
      </w:r>
    </w:p>
    <w:p w14:paraId="07175B69" w14:textId="77777777" w:rsidR="000E0A30" w:rsidRPr="00D403F5" w:rsidRDefault="000E0A30" w:rsidP="00652B4E">
      <w:pPr>
        <w:spacing w:before="720" w:after="72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6BB5CE74" w14:textId="77777777" w:rsidR="007B3D5C" w:rsidRPr="00D403F5" w:rsidRDefault="007B3D5C" w:rsidP="00D403F5">
      <w:pPr>
        <w:spacing w:after="0"/>
        <w:rPr>
          <w:rFonts w:ascii="Arial" w:hAnsi="Arial" w:cs="Arial"/>
          <w:sz w:val="18"/>
          <w:szCs w:val="18"/>
        </w:rPr>
      </w:pPr>
    </w:p>
    <w:p w14:paraId="1DC742D2" w14:textId="77777777" w:rsidR="00C7266C" w:rsidRPr="00D403F5" w:rsidRDefault="00C7266C" w:rsidP="00D403F5">
      <w:pPr>
        <w:spacing w:after="0"/>
        <w:ind w:left="107"/>
        <w:jc w:val="both"/>
        <w:rPr>
          <w:rFonts w:ascii="Arial" w:hAnsi="Arial" w:cs="Arial"/>
          <w:sz w:val="18"/>
          <w:szCs w:val="18"/>
        </w:rPr>
        <w:sectPr w:rsidR="00C7266C" w:rsidRPr="00D403F5" w:rsidSect="007B3D5C">
          <w:headerReference w:type="even" r:id="rId64"/>
          <w:headerReference w:type="default" r:id="rId65"/>
          <w:footerReference w:type="default" r:id="rId66"/>
          <w:headerReference w:type="first" r:id="rId67"/>
          <w:type w:val="oddPage"/>
          <w:pgSz w:w="12240" w:h="15840"/>
          <w:pgMar w:top="1440" w:right="1440" w:bottom="1440" w:left="1440" w:header="709" w:footer="709" w:gutter="0"/>
          <w:cols w:space="720"/>
          <w:docGrid w:linePitch="360"/>
        </w:sectPr>
      </w:pPr>
    </w:p>
    <w:p w14:paraId="32DC6F3C" w14:textId="77777777" w:rsidR="00C7266C" w:rsidRPr="00D403F5" w:rsidRDefault="00C7266C" w:rsidP="00910ED6">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p>
    <w:p w14:paraId="4DA41C2D" w14:textId="77777777" w:rsidR="00C7266C" w:rsidRPr="00951F46" w:rsidRDefault="00C7266C" w:rsidP="00D403F5">
      <w:pPr>
        <w:pStyle w:val="aff5"/>
        <w:tabs>
          <w:tab w:val="left" w:pos="284"/>
        </w:tabs>
        <w:spacing w:before="0" w:after="0"/>
        <w:rPr>
          <w:rFonts w:ascii="Times New Roman" w:hAnsi="Times New Roman"/>
          <w:b/>
          <w:caps/>
          <w:sz w:val="22"/>
          <w:szCs w:val="22"/>
        </w:rPr>
      </w:pPr>
      <w:r w:rsidRPr="00951F46">
        <w:rPr>
          <w:rFonts w:ascii="Times New Roman" w:hAnsi="Times New Roman"/>
          <w:b/>
          <w:sz w:val="22"/>
          <w:szCs w:val="22"/>
        </w:rPr>
        <w:t>PATHWAYS FOR CLAIMING FREEDOM FROM</w:t>
      </w:r>
      <w:r w:rsidRPr="00951F46">
        <w:rPr>
          <w:rFonts w:ascii="Times New Roman" w:hAnsi="Times New Roman"/>
          <w:b/>
          <w:sz w:val="22"/>
          <w:szCs w:val="22"/>
        </w:rPr>
        <w:br/>
        <w:t xml:space="preserve">DISEASE IN </w:t>
      </w:r>
      <w:r w:rsidRPr="00951F46">
        <w:rPr>
          <w:rFonts w:ascii="Times New Roman" w:hAnsi="Times New Roman"/>
          <w:b/>
          <w:caps/>
          <w:sz w:val="22"/>
          <w:szCs w:val="22"/>
        </w:rPr>
        <w:t xml:space="preserve">the oie </w:t>
      </w:r>
      <w:r w:rsidRPr="00951F46">
        <w:rPr>
          <w:rFonts w:ascii="Times New Roman" w:hAnsi="Times New Roman"/>
          <w:b/>
          <w:i/>
          <w:caps/>
          <w:sz w:val="22"/>
          <w:szCs w:val="22"/>
        </w:rPr>
        <w:t>aquatic ANIMAL HEALTH Code</w:t>
      </w:r>
    </w:p>
    <w:p w14:paraId="2BD9C55A" w14:textId="77777777" w:rsidR="00C7266C" w:rsidRPr="00951F46" w:rsidRDefault="00C7266C" w:rsidP="00D403F5">
      <w:pPr>
        <w:pStyle w:val="1"/>
        <w:tabs>
          <w:tab w:val="left" w:pos="284"/>
        </w:tabs>
        <w:spacing w:before="0"/>
        <w:jc w:val="center"/>
        <w:rPr>
          <w:rFonts w:ascii="Times New Roman" w:hAnsi="Times New Roman"/>
          <w:color w:val="auto"/>
          <w:sz w:val="20"/>
          <w:szCs w:val="20"/>
        </w:rPr>
      </w:pPr>
      <w:r w:rsidRPr="00951F46">
        <w:rPr>
          <w:rFonts w:ascii="Times New Roman" w:hAnsi="Times New Roman"/>
          <w:color w:val="auto"/>
          <w:sz w:val="20"/>
          <w:szCs w:val="20"/>
        </w:rPr>
        <w:t xml:space="preserve">A discussion paper developed by the OIE Aquatic Animal Health Standards Commission </w:t>
      </w:r>
    </w:p>
    <w:p w14:paraId="5C74C524" w14:textId="77777777" w:rsidR="00C7266C" w:rsidRPr="00951F46" w:rsidRDefault="00C7266C" w:rsidP="00D403F5">
      <w:pPr>
        <w:pStyle w:val="1"/>
        <w:tabs>
          <w:tab w:val="left" w:pos="284"/>
        </w:tabs>
        <w:spacing w:before="0"/>
        <w:jc w:val="center"/>
        <w:rPr>
          <w:rFonts w:ascii="Times New Roman" w:hAnsi="Times New Roman"/>
          <w:color w:val="auto"/>
          <w:sz w:val="20"/>
          <w:szCs w:val="20"/>
        </w:rPr>
      </w:pPr>
      <w:r w:rsidRPr="00951F46">
        <w:rPr>
          <w:rFonts w:ascii="Times New Roman" w:hAnsi="Times New Roman"/>
          <w:color w:val="auto"/>
          <w:sz w:val="20"/>
          <w:szCs w:val="20"/>
        </w:rPr>
        <w:t>for Member Countries’ comment.</w:t>
      </w:r>
    </w:p>
    <w:p w14:paraId="06BBDFCE" w14:textId="77777777" w:rsidR="00C7266C" w:rsidRPr="00951F46" w:rsidRDefault="00C7266C" w:rsidP="00D403F5">
      <w:pPr>
        <w:spacing w:after="0"/>
        <w:rPr>
          <w:sz w:val="20"/>
          <w:szCs w:val="20"/>
        </w:rPr>
      </w:pPr>
    </w:p>
    <w:p w14:paraId="7085A0A0" w14:textId="77777777" w:rsidR="00C7266C" w:rsidRPr="00D403F5" w:rsidRDefault="00C7266C" w:rsidP="00910ED6">
      <w:pPr>
        <w:spacing w:after="240"/>
        <w:jc w:val="center"/>
        <w:rPr>
          <w:rFonts w:ascii="Times New Roman" w:hAnsi="Times New Roman" w:cs="Times New Roman"/>
          <w:sz w:val="18"/>
          <w:szCs w:val="18"/>
        </w:rPr>
      </w:pPr>
      <w:r w:rsidRPr="00D403F5">
        <w:rPr>
          <w:rFonts w:ascii="Times New Roman" w:eastAsiaTheme="majorEastAsia" w:hAnsi="Times New Roman" w:cs="Times New Roman"/>
          <w:sz w:val="18"/>
          <w:szCs w:val="18"/>
        </w:rPr>
        <w:t>Version 2: October 2019</w:t>
      </w:r>
    </w:p>
    <w:p w14:paraId="502B4E40" w14:textId="77777777" w:rsidR="00C7266C" w:rsidRPr="00D403F5" w:rsidRDefault="00C7266C" w:rsidP="00910ED6">
      <w:pPr>
        <w:spacing w:after="240" w:line="240" w:lineRule="auto"/>
        <w:ind w:left="426" w:hanging="426"/>
        <w:jc w:val="both"/>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Summary</w:t>
      </w:r>
    </w:p>
    <w:p w14:paraId="2865D4A7" w14:textId="77777777" w:rsidR="00C7266C" w:rsidRPr="00D403F5" w:rsidRDefault="00C7266C" w:rsidP="00910ED6">
      <w:pPr>
        <w:tabs>
          <w:tab w:val="left" w:pos="284"/>
        </w:tabs>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This paper aims to explore improvements to the standards of the </w:t>
      </w:r>
      <w:r w:rsidRPr="00D403F5">
        <w:rPr>
          <w:rFonts w:ascii="Times New Roman" w:hAnsi="Times New Roman" w:cs="Times New Roman"/>
          <w:i/>
          <w:sz w:val="18"/>
          <w:szCs w:val="18"/>
        </w:rPr>
        <w:t>Aquatic Code</w:t>
      </w:r>
      <w:r w:rsidRPr="00D403F5">
        <w:rPr>
          <w:rStyle w:val="af6"/>
          <w:rFonts w:ascii="Times New Roman" w:hAnsi="Times New Roman" w:cs="Times New Roman"/>
          <w:i/>
          <w:sz w:val="18"/>
          <w:szCs w:val="18"/>
        </w:rPr>
        <w:footnoteReference w:id="4"/>
      </w:r>
      <w:r w:rsidRPr="00D403F5">
        <w:rPr>
          <w:rFonts w:ascii="Times New Roman" w:hAnsi="Times New Roman" w:cs="Times New Roman"/>
          <w:sz w:val="18"/>
          <w:szCs w:val="18"/>
        </w:rPr>
        <w:t xml:space="preserve"> for demonstration of freedom from OIE </w:t>
      </w:r>
      <w:r w:rsidRPr="00D403F5">
        <w:rPr>
          <w:rFonts w:ascii="Times New Roman" w:hAnsi="Times New Roman" w:cs="Times New Roman"/>
          <w:i/>
          <w:sz w:val="18"/>
          <w:szCs w:val="18"/>
        </w:rPr>
        <w:t>listed diseases</w:t>
      </w:r>
      <w:r w:rsidRPr="00D403F5">
        <w:rPr>
          <w:rFonts w:ascii="Times New Roman" w:hAnsi="Times New Roman" w:cs="Times New Roman"/>
          <w:sz w:val="18"/>
          <w:szCs w:val="18"/>
        </w:rPr>
        <w:t xml:space="preserve">. These standards are provided through several inter-related parts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for example: articles X.X.4. (</w:t>
      </w:r>
      <w:r w:rsidRPr="00D403F5">
        <w:rPr>
          <w:rFonts w:ascii="Times New Roman" w:hAnsi="Times New Roman" w:cs="Times New Roman"/>
          <w:i/>
          <w:sz w:val="18"/>
          <w:szCs w:val="18"/>
        </w:rPr>
        <w:t>free country</w:t>
      </w:r>
      <w:r w:rsidRPr="00D403F5">
        <w:rPr>
          <w:rFonts w:ascii="Times New Roman" w:hAnsi="Times New Roman" w:cs="Times New Roman"/>
          <w:sz w:val="18"/>
          <w:szCs w:val="18"/>
        </w:rPr>
        <w:t>), X.X.5. (</w:t>
      </w:r>
      <w:r w:rsidRPr="00D403F5">
        <w:rPr>
          <w:rFonts w:ascii="Times New Roman" w:hAnsi="Times New Roman" w:cs="Times New Roman"/>
          <w:i/>
          <w:sz w:val="18"/>
          <w:szCs w:val="18"/>
        </w:rPr>
        <w:t>free 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free compartment</w:t>
      </w:r>
      <w:r w:rsidRPr="00D403F5">
        <w:rPr>
          <w:rFonts w:ascii="Times New Roman" w:hAnsi="Times New Roman" w:cs="Times New Roman"/>
          <w:sz w:val="18"/>
          <w:szCs w:val="18"/>
        </w:rPr>
        <w:t xml:space="preserve">) and X.X.6. (maintenance of freedom) of each disease-specific chapter (except Infection with ISAV, for which numbering differs); Chapter 1.4. </w:t>
      </w:r>
      <w:r w:rsidRPr="00D403F5">
        <w:rPr>
          <w:rFonts w:ascii="Times New Roman" w:hAnsi="Times New Roman" w:cs="Times New Roman"/>
          <w:i/>
          <w:sz w:val="18"/>
          <w:szCs w:val="18"/>
        </w:rPr>
        <w:t>Aquatic animal health surveillance</w:t>
      </w:r>
      <w:r w:rsidRPr="00D403F5">
        <w:rPr>
          <w:rFonts w:ascii="Times New Roman" w:hAnsi="Times New Roman" w:cs="Times New Roman"/>
          <w:sz w:val="18"/>
          <w:szCs w:val="18"/>
        </w:rPr>
        <w:t xml:space="preserve">; and relevant definitions in the glossary (e.g.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w:t>
      </w:r>
    </w:p>
    <w:p w14:paraId="659BD79E" w14:textId="77777777" w:rsidR="00C7266C" w:rsidRPr="00D403F5" w:rsidRDefault="00C7266C" w:rsidP="00910ED6">
      <w:pPr>
        <w:tabs>
          <w:tab w:val="left" w:pos="284"/>
        </w:tabs>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Version 1 of this discussion paper was circulated to Member Countries in the September 2018 meeting report of the Aquatic Animal Health Standards Commission (hereafter called Aquatic Animals Commission). Member Countries were invited to provide responses to 15 questions regarding different provisions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relevant to declaration of freedom (refer to Appendix 1). Responses were received from the </w:t>
      </w:r>
      <w:r w:rsidRPr="00D403F5">
        <w:rPr>
          <w:rFonts w:ascii="Times New Roman" w:hAnsi="Times New Roman" w:cs="Times New Roman"/>
          <w:sz w:val="18"/>
          <w:szCs w:val="18"/>
          <w:shd w:val="clear" w:color="auto" w:fill="FFFFFF"/>
        </w:rPr>
        <w:t>African Union – Interafrican Bureau for Animal Resources,</w:t>
      </w:r>
      <w:r w:rsidRPr="00D403F5">
        <w:rPr>
          <w:rFonts w:ascii="Times New Roman" w:hAnsi="Times New Roman" w:cs="Times New Roman"/>
          <w:sz w:val="18"/>
          <w:szCs w:val="18"/>
        </w:rPr>
        <w:t xml:space="preserve"> Australia, Canada, China (The Peoples Rep. of), Chinese Taipei, the European Union, Japan, Malaysia, Mexico, New Caledonia, New Zealand, Norway, Thailand, and Vietnam, representing 94 member states of the OIE.</w:t>
      </w:r>
    </w:p>
    <w:p w14:paraId="26ABB725" w14:textId="77777777" w:rsidR="00C7266C" w:rsidRPr="00D403F5" w:rsidRDefault="00C7266C" w:rsidP="00910ED6">
      <w:pPr>
        <w:tabs>
          <w:tab w:val="left" w:pos="284"/>
        </w:tabs>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This Version 2 of the discussion paper includes summaries of the responses provided by Member Countries on Version 1 and revised recommendations throughout the paper based on those responses. These recommendations form the basis of the proposed approach by the Aquatic Animals Commission to the revision of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articles relevant to declaration of freedom. </w:t>
      </w:r>
    </w:p>
    <w:p w14:paraId="249DCBC1" w14:textId="77777777" w:rsidR="00C7266C" w:rsidRPr="00D403F5" w:rsidRDefault="00C7266C" w:rsidP="00910ED6">
      <w:pPr>
        <w:tabs>
          <w:tab w:val="left" w:pos="284"/>
        </w:tabs>
        <w:spacing w:after="24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Following this consultation with Member Countries, the Aquatic Animals Commission proposes to retain the broad framework of requirements in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for declaration of freedom for reasons of simplicity and practicality and to provide confidence among </w:t>
      </w:r>
      <w:r w:rsidRPr="00D403F5">
        <w:rPr>
          <w:rFonts w:ascii="Times New Roman" w:hAnsi="Times New Roman" w:cs="Times New Roman"/>
          <w:i/>
          <w:iCs/>
          <w:sz w:val="18"/>
          <w:szCs w:val="18"/>
        </w:rPr>
        <w:t>Member Countries</w:t>
      </w:r>
      <w:r w:rsidRPr="00D403F5">
        <w:rPr>
          <w:rFonts w:ascii="Times New Roman" w:hAnsi="Times New Roman" w:cs="Times New Roman"/>
          <w:sz w:val="18"/>
          <w:szCs w:val="18"/>
        </w:rPr>
        <w:t xml:space="preserve"> in the strength of self-declarations of freedom (principles A to D of section 2 below). However, the revised approaches recommended in this discussion paper will also provide additional flexibility (e.g. to use secondary sources of data) and improve rigour in determining the required surveillance periods specified in disease-specific chapters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(principles A, D, E of section 2 below). Some of the key approaches recommended include:</w:t>
      </w:r>
    </w:p>
    <w:p w14:paraId="549E5F43" w14:textId="77777777" w:rsidR="00C7266C" w:rsidRPr="00D403F5" w:rsidRDefault="00C7266C" w:rsidP="00910ED6">
      <w:pPr>
        <w:spacing w:after="240" w:line="240" w:lineRule="auto"/>
        <w:ind w:left="426" w:hanging="426"/>
        <w:jc w:val="both"/>
        <w:rPr>
          <w:rFonts w:ascii="Times New Roman" w:hAnsi="Times New Roman" w:cs="Times New Roman"/>
          <w:sz w:val="18"/>
          <w:szCs w:val="18"/>
        </w:rPr>
      </w:pPr>
      <w:r w:rsidRPr="00D403F5">
        <w:rPr>
          <w:rFonts w:ascii="Times New Roman" w:hAnsi="Times New Roman" w:cs="Times New Roman"/>
          <w:sz w:val="18"/>
          <w:szCs w:val="18"/>
        </w:rPr>
        <w:t>1.</w:t>
      </w:r>
      <w:r w:rsidRPr="00D403F5">
        <w:rPr>
          <w:rFonts w:ascii="Times New Roman" w:hAnsi="Times New Roman" w:cs="Times New Roman"/>
          <w:sz w:val="18"/>
          <w:szCs w:val="18"/>
        </w:rPr>
        <w:tab/>
        <w:t xml:space="preserve">Pathway 1 – absence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(refer to section 3.1.) </w:t>
      </w:r>
    </w:p>
    <w:p w14:paraId="5AB9775D" w14:textId="77777777" w:rsidR="00C7266C" w:rsidRPr="00D403F5" w:rsidRDefault="00C7266C" w:rsidP="00910ED6">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This pathway will be retained in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and further guidance on its application, including appropriate circumstances of use and required standards of evidence, will be incorporated into Chapter 1.4.</w:t>
      </w:r>
    </w:p>
    <w:p w14:paraId="18250573" w14:textId="77777777" w:rsidR="00C7266C" w:rsidRPr="00D403F5" w:rsidRDefault="00C7266C" w:rsidP="00910ED6">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This pathway will not be available for pathogens that are considered to have a broad and uncertain range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w:t>
      </w:r>
    </w:p>
    <w:p w14:paraId="5F4EDE5F" w14:textId="77777777" w:rsidR="00C7266C" w:rsidRPr="00D403F5" w:rsidRDefault="00C7266C" w:rsidP="00054758">
      <w:pPr>
        <w:spacing w:after="240" w:line="240" w:lineRule="auto"/>
        <w:ind w:left="426" w:hanging="426"/>
        <w:jc w:val="both"/>
        <w:rPr>
          <w:rFonts w:ascii="Times New Roman" w:hAnsi="Times New Roman" w:cs="Times New Roman"/>
          <w:sz w:val="18"/>
          <w:szCs w:val="18"/>
        </w:rPr>
      </w:pPr>
      <w:r w:rsidRPr="00D403F5">
        <w:rPr>
          <w:rFonts w:ascii="Times New Roman" w:hAnsi="Times New Roman" w:cs="Times New Roman"/>
          <w:sz w:val="18"/>
          <w:szCs w:val="18"/>
        </w:rPr>
        <w:t>2.</w:t>
      </w:r>
      <w:r w:rsidRPr="00D403F5">
        <w:rPr>
          <w:rFonts w:ascii="Times New Roman" w:hAnsi="Times New Roman" w:cs="Times New Roman"/>
          <w:sz w:val="18"/>
          <w:szCs w:val="18"/>
        </w:rPr>
        <w:tab/>
        <w:t xml:space="preserve">Pathway 2 – historical freedom (refer to section 3.2.) </w:t>
      </w:r>
    </w:p>
    <w:p w14:paraId="6FB5DB4B"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Requirements for this pathway will aim to achieve 95% confidence of disease freedom for countries and zones—primarily through passive surveillance data. The pathway will not be available for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w:t>
      </w:r>
    </w:p>
    <w:p w14:paraId="6852B674"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Requirements for evaluating the performance of </w:t>
      </w:r>
      <w:r w:rsidRPr="00D403F5">
        <w:rPr>
          <w:rFonts w:ascii="Times New Roman" w:hAnsi="Times New Roman" w:cs="Times New Roman"/>
          <w:i/>
          <w:iCs/>
          <w:sz w:val="18"/>
          <w:szCs w:val="18"/>
        </w:rPr>
        <w:t>early detection systems</w:t>
      </w:r>
      <w:r w:rsidRPr="00D403F5">
        <w:rPr>
          <w:rFonts w:ascii="Times New Roman" w:hAnsi="Times New Roman" w:cs="Times New Roman"/>
          <w:sz w:val="18"/>
          <w:szCs w:val="18"/>
        </w:rPr>
        <w:t xml:space="preserve"> (which provide passive surveillance data) will be elaborated in Chapter 1.4.</w:t>
      </w:r>
    </w:p>
    <w:p w14:paraId="482E7CF9"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It will be possible to use secondary sources of evidence for this pathway (i.e.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data).</w:t>
      </w:r>
    </w:p>
    <w:p w14:paraId="3A7D2776" w14:textId="77777777" w:rsidR="00C7266C" w:rsidRPr="00D403F5" w:rsidRDefault="00C7266C" w:rsidP="00054758">
      <w:pPr>
        <w:spacing w:after="240" w:line="240" w:lineRule="auto"/>
        <w:ind w:left="851" w:hanging="425"/>
        <w:jc w:val="both"/>
        <w:rPr>
          <w:rFonts w:ascii="Times New Roman" w:hAnsi="Times New Roman" w:cs="Times New Roman"/>
          <w:iCs/>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pathway will not be available for pathogenic agents under circumstances where infection would not manifest clinically and subsequently be observed, reported and investigated as part of the country’s </w:t>
      </w:r>
      <w:r w:rsidRPr="00D403F5">
        <w:rPr>
          <w:rFonts w:ascii="Times New Roman" w:hAnsi="Times New Roman" w:cs="Times New Roman"/>
          <w:i/>
          <w:sz w:val="18"/>
          <w:szCs w:val="18"/>
        </w:rPr>
        <w:t xml:space="preserve">early detection system </w:t>
      </w:r>
      <w:r w:rsidRPr="00D403F5">
        <w:rPr>
          <w:rFonts w:ascii="Times New Roman" w:hAnsi="Times New Roman" w:cs="Times New Roman"/>
          <w:iCs/>
          <w:sz w:val="18"/>
          <w:szCs w:val="18"/>
        </w:rPr>
        <w:t>(e.g. ISAV HPR0).</w:t>
      </w:r>
    </w:p>
    <w:p w14:paraId="3C78E9D3" w14:textId="77777777" w:rsidR="00054758" w:rsidRDefault="00054758" w:rsidP="00054758">
      <w:pPr>
        <w:spacing w:after="240" w:line="240" w:lineRule="auto"/>
        <w:ind w:left="425" w:hanging="425"/>
        <w:jc w:val="both"/>
        <w:rPr>
          <w:rFonts w:ascii="Times New Roman" w:hAnsi="Times New Roman" w:cs="Times New Roman"/>
          <w:sz w:val="18"/>
          <w:szCs w:val="18"/>
        </w:rPr>
      </w:pPr>
      <w:r>
        <w:rPr>
          <w:rFonts w:ascii="Times New Roman" w:hAnsi="Times New Roman" w:cs="Times New Roman"/>
          <w:sz w:val="18"/>
          <w:szCs w:val="18"/>
        </w:rPr>
        <w:br w:type="page"/>
      </w:r>
    </w:p>
    <w:p w14:paraId="05AF2669" w14:textId="77777777" w:rsidR="00054758" w:rsidRPr="00D403F5" w:rsidRDefault="00054758" w:rsidP="00054758">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6E5FACE3" w14:textId="580E6D03" w:rsidR="00C7266C" w:rsidRPr="00D403F5" w:rsidRDefault="00C7266C" w:rsidP="00054758">
      <w:pPr>
        <w:spacing w:after="240" w:line="240" w:lineRule="auto"/>
        <w:ind w:left="425" w:hanging="425"/>
        <w:jc w:val="both"/>
        <w:rPr>
          <w:rFonts w:ascii="Times New Roman" w:hAnsi="Times New Roman" w:cs="Times New Roman"/>
          <w:sz w:val="18"/>
          <w:szCs w:val="18"/>
        </w:rPr>
      </w:pPr>
      <w:r w:rsidRPr="00D403F5">
        <w:rPr>
          <w:rFonts w:ascii="Times New Roman" w:hAnsi="Times New Roman" w:cs="Times New Roman"/>
          <w:sz w:val="18"/>
          <w:szCs w:val="18"/>
        </w:rPr>
        <w:t>3.</w:t>
      </w:r>
      <w:r w:rsidRPr="00D403F5">
        <w:rPr>
          <w:rFonts w:ascii="Times New Roman" w:hAnsi="Times New Roman" w:cs="Times New Roman"/>
          <w:sz w:val="18"/>
          <w:szCs w:val="18"/>
        </w:rPr>
        <w:tab/>
        <w:t>Pathway 3 – unknown disease status (refer to section 3.3.)</w:t>
      </w:r>
    </w:p>
    <w:p w14:paraId="67786431"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Prior to commencement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w:t>
      </w:r>
      <w:r w:rsidRPr="00D403F5">
        <w:rPr>
          <w:rFonts w:ascii="Times New Roman" w:hAnsi="Times New Roman" w:cs="Times New Roman"/>
          <w:i/>
          <w:iCs/>
          <w:sz w:val="18"/>
          <w:szCs w:val="18"/>
        </w:rPr>
        <w:t>basic biosecurity conditions</w:t>
      </w:r>
      <w:r w:rsidRPr="00D403F5">
        <w:rPr>
          <w:rFonts w:ascii="Times New Roman" w:hAnsi="Times New Roman" w:cs="Times New Roman"/>
          <w:sz w:val="18"/>
          <w:szCs w:val="18"/>
        </w:rPr>
        <w:t xml:space="preserve"> will need to be in place for a period of time to prevent introduction and establishment of the disease. Criteria for defining this period for each disease-specific chapter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will be included in Chapter 1.4 but the default minimum will be one year.</w:t>
      </w:r>
    </w:p>
    <w:p w14:paraId="10A8A304"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for </w:t>
      </w:r>
      <w:r w:rsidRPr="00D403F5">
        <w:rPr>
          <w:rFonts w:ascii="Times New Roman" w:hAnsi="Times New Roman" w:cs="Times New Roman"/>
          <w:sz w:val="18"/>
          <w:szCs w:val="18"/>
          <w:u w:val="single"/>
        </w:rPr>
        <w:t>countries and zones</w:t>
      </w:r>
      <w:r w:rsidRPr="00D403F5">
        <w:rPr>
          <w:rFonts w:ascii="Times New Roman" w:hAnsi="Times New Roman" w:cs="Times New Roman"/>
          <w:sz w:val="18"/>
          <w:szCs w:val="18"/>
        </w:rPr>
        <w:t xml:space="preserve"> will be required to occur over a minimum period of time. Criteria for defining this period for each disease-specific chapter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will be included in Chapter 1.4. but the default minimum will be two years.</w:t>
      </w:r>
    </w:p>
    <w:p w14:paraId="3082838E"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for </w:t>
      </w:r>
      <w:r w:rsidRPr="00D403F5">
        <w:rPr>
          <w:rFonts w:ascii="Times New Roman" w:hAnsi="Times New Roman" w:cs="Times New Roman"/>
          <w:i/>
          <w:sz w:val="18"/>
          <w:szCs w:val="18"/>
          <w:u w:val="single"/>
        </w:rPr>
        <w:t>compartments</w:t>
      </w:r>
      <w:r w:rsidRPr="00D403F5">
        <w:rPr>
          <w:rFonts w:ascii="Times New Roman" w:hAnsi="Times New Roman" w:cs="Times New Roman"/>
          <w:sz w:val="18"/>
          <w:szCs w:val="18"/>
        </w:rPr>
        <w:t xml:space="preserve"> will be required to occur over a minimum period of time. Criteria for defining this period for each disease-specific chapter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will be included in Chapter 1.4. but the default minimum will be one year.</w:t>
      </w:r>
    </w:p>
    <w:p w14:paraId="19FDB3C8"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It will be possible to use passive surveillance data as additional evidence of freedom where it can be demonstrated to be an appropriately sensitive method for detection of the disease in populations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w:t>
      </w:r>
    </w:p>
    <w:p w14:paraId="34E6C74A" w14:textId="77777777" w:rsidR="00C7266C" w:rsidRPr="00D403F5" w:rsidRDefault="00C7266C" w:rsidP="00054758">
      <w:pPr>
        <w:spacing w:after="240" w:line="240" w:lineRule="auto"/>
        <w:ind w:left="425" w:hanging="425"/>
        <w:jc w:val="both"/>
        <w:rPr>
          <w:rFonts w:ascii="Times New Roman" w:hAnsi="Times New Roman" w:cs="Times New Roman"/>
          <w:sz w:val="18"/>
          <w:szCs w:val="18"/>
        </w:rPr>
      </w:pPr>
      <w:r w:rsidRPr="00D403F5">
        <w:rPr>
          <w:rFonts w:ascii="Times New Roman" w:hAnsi="Times New Roman" w:cs="Times New Roman"/>
          <w:sz w:val="18"/>
          <w:szCs w:val="18"/>
        </w:rPr>
        <w:t>4.</w:t>
      </w:r>
      <w:r w:rsidRPr="00D403F5">
        <w:rPr>
          <w:rFonts w:ascii="Times New Roman" w:hAnsi="Times New Roman" w:cs="Times New Roman"/>
          <w:sz w:val="18"/>
          <w:szCs w:val="18"/>
        </w:rPr>
        <w:tab/>
        <w:t>Pathway 4 – Return to freedom (refer to section 3.4.)</w:t>
      </w:r>
    </w:p>
    <w:p w14:paraId="14782E3D" w14:textId="77777777" w:rsidR="00C7266C" w:rsidRPr="00D403F5" w:rsidRDefault="00C7266C" w:rsidP="00054758">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For </w:t>
      </w:r>
      <w:r w:rsidRPr="00D403F5">
        <w:rPr>
          <w:rFonts w:ascii="Times New Roman" w:hAnsi="Times New Roman" w:cs="Times New Roman"/>
          <w:i/>
          <w:sz w:val="18"/>
          <w:szCs w:val="18"/>
          <w:u w:val="single"/>
        </w:rPr>
        <w:t>compartments</w:t>
      </w:r>
      <w:r w:rsidRPr="00D403F5">
        <w:rPr>
          <w:rFonts w:ascii="Times New Roman" w:hAnsi="Times New Roman" w:cs="Times New Roman"/>
          <w:sz w:val="18"/>
          <w:szCs w:val="18"/>
        </w:rPr>
        <w:t xml:space="preserve">, a mechanism to regain freedom following an outbreak will be included in each of the disease-specific chapters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Surveillance will be required within the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following depopulation and decontamination to demonstrate that eradication has been successful and to test the reviewed biosecurity conditions.</w:t>
      </w:r>
    </w:p>
    <w:p w14:paraId="61929128" w14:textId="77777777" w:rsidR="00C7266C" w:rsidRPr="00D403F5" w:rsidRDefault="00C7266C" w:rsidP="00054758">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For </w:t>
      </w:r>
      <w:r w:rsidRPr="00D403F5">
        <w:rPr>
          <w:rFonts w:ascii="Times New Roman" w:hAnsi="Times New Roman" w:cs="Times New Roman"/>
          <w:sz w:val="18"/>
          <w:szCs w:val="18"/>
          <w:u w:val="single"/>
        </w:rPr>
        <w:t>countries and zones</w:t>
      </w:r>
      <w:r w:rsidRPr="00D403F5">
        <w:rPr>
          <w:rFonts w:ascii="Times New Roman" w:hAnsi="Times New Roman" w:cs="Times New Roman"/>
          <w:sz w:val="18"/>
          <w:szCs w:val="18"/>
        </w:rPr>
        <w:t xml:space="preserve">, surveillance to regain freedom will be required over a period of time that is determined by the epidemiology of the specific disease and will be included in each of the disease-specific chapters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The default minimum period of surveillance will be consistent with requirements for the original declaration of freedom. However, a general provision in Chapter 1.4.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will allow a self-declaration of freedom to be made sooner if Member Countries can demonstrate that the approach would provide an appropriate standard of evidence for the circumstances of the outbreak and the disease. </w:t>
      </w:r>
    </w:p>
    <w:p w14:paraId="4ED791CF" w14:textId="77777777" w:rsidR="00C7266C" w:rsidRPr="00D403F5" w:rsidRDefault="00C7266C" w:rsidP="00054758">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Clearer guidance will be provided on establishing </w:t>
      </w:r>
      <w:r w:rsidRPr="00D403F5">
        <w:rPr>
          <w:rFonts w:ascii="Times New Roman" w:hAnsi="Times New Roman" w:cs="Times New Roman"/>
          <w:i/>
          <w:sz w:val="18"/>
          <w:szCs w:val="18"/>
        </w:rPr>
        <w:t>infected</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protection zones</w:t>
      </w:r>
      <w:r w:rsidRPr="00D403F5">
        <w:rPr>
          <w:rFonts w:ascii="Times New Roman" w:hAnsi="Times New Roman" w:cs="Times New Roman"/>
          <w:sz w:val="18"/>
          <w:szCs w:val="18"/>
        </w:rPr>
        <w:t xml:space="preserve"> and sampling within them (for farmed and wild animals) in Chapter 1.4.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w:t>
      </w:r>
    </w:p>
    <w:p w14:paraId="3F0189B7" w14:textId="77777777" w:rsidR="00C7266C" w:rsidRPr="00D403F5" w:rsidRDefault="00C7266C" w:rsidP="00054758">
      <w:pPr>
        <w:spacing w:after="240" w:line="240" w:lineRule="auto"/>
        <w:ind w:left="425" w:hanging="425"/>
        <w:jc w:val="both"/>
        <w:rPr>
          <w:rFonts w:ascii="Times New Roman" w:hAnsi="Times New Roman" w:cs="Times New Roman"/>
          <w:sz w:val="18"/>
          <w:szCs w:val="18"/>
        </w:rPr>
      </w:pPr>
      <w:r w:rsidRPr="00D403F5">
        <w:rPr>
          <w:rFonts w:ascii="Times New Roman" w:hAnsi="Times New Roman" w:cs="Times New Roman"/>
          <w:sz w:val="18"/>
          <w:szCs w:val="18"/>
        </w:rPr>
        <w:t>5.</w:t>
      </w:r>
      <w:r w:rsidRPr="00D403F5">
        <w:rPr>
          <w:rFonts w:ascii="Times New Roman" w:hAnsi="Times New Roman" w:cs="Times New Roman"/>
          <w:sz w:val="18"/>
          <w:szCs w:val="18"/>
        </w:rPr>
        <w:tab/>
        <w:t>Maintaining freedom (refer to section 4)</w:t>
      </w:r>
    </w:p>
    <w:p w14:paraId="390D1151"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For pathways 2, 3 and 4, maintenance of free status will require evidence that </w:t>
      </w:r>
      <w:r w:rsidRPr="00D403F5">
        <w:rPr>
          <w:rFonts w:ascii="Times New Roman" w:hAnsi="Times New Roman" w:cs="Times New Roman"/>
          <w:i/>
          <w:iCs/>
          <w:sz w:val="18"/>
          <w:szCs w:val="18"/>
        </w:rPr>
        <w:t>basic biosecurity conditions</w:t>
      </w:r>
      <w:r w:rsidRPr="00D403F5">
        <w:rPr>
          <w:rFonts w:ascii="Times New Roman" w:hAnsi="Times New Roman" w:cs="Times New Roman"/>
          <w:sz w:val="18"/>
          <w:szCs w:val="18"/>
        </w:rPr>
        <w:t xml:space="preserve"> have been continuously met.</w:t>
      </w:r>
    </w:p>
    <w:p w14:paraId="455E101D"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If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that was required for initial demonstration of freedom is to be discontinued for any identified population, evidence must be provided that passive surveillance, as provided by the country’s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would detect the disease in those populations should it occur. </w:t>
      </w:r>
    </w:p>
    <w:p w14:paraId="449D1182" w14:textId="77777777" w:rsidR="00C7266C" w:rsidRPr="00D403F5" w:rsidRDefault="00C7266C" w:rsidP="00054758">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Any ongoing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to maintain freedom should be undertaken at a level necessary to maintain confidence of freedom and should take into account the likelihood of </w:t>
      </w:r>
      <w:hyperlink r:id="rId68" w:anchor="terme_infection" w:history="1">
        <w:r w:rsidRPr="00D403F5">
          <w:rPr>
            <w:rFonts w:ascii="Times New Roman" w:hAnsi="Times New Roman" w:cs="Times New Roman"/>
            <w:sz w:val="18"/>
            <w:szCs w:val="18"/>
          </w:rPr>
          <w:t>infection</w:t>
        </w:r>
      </w:hyperlink>
      <w:r w:rsidRPr="00D403F5">
        <w:rPr>
          <w:rFonts w:ascii="Times New Roman" w:hAnsi="Times New Roman" w:cs="Times New Roman"/>
          <w:sz w:val="18"/>
          <w:szCs w:val="18"/>
        </w:rPr>
        <w:t>.</w:t>
      </w:r>
    </w:p>
    <w:p w14:paraId="490BD82A" w14:textId="77777777" w:rsidR="00C7266C" w:rsidRPr="00D403F5" w:rsidRDefault="00C7266C" w:rsidP="00054758">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Additional guidance on what constitutes ‘conditions conducive to clinical expression of infection’ will be included in Chapter 1.4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as will guidance on how to evaluate or test an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w:t>
      </w:r>
    </w:p>
    <w:p w14:paraId="6670906F" w14:textId="77777777" w:rsidR="00C7266C" w:rsidRPr="00D403F5" w:rsidRDefault="00C7266C" w:rsidP="00054758">
      <w:pPr>
        <w:spacing w:after="240"/>
        <w:ind w:left="425" w:hanging="425"/>
        <w:jc w:val="both"/>
        <w:rPr>
          <w:rFonts w:ascii="Times New Roman" w:hAnsi="Times New Roman" w:cs="Times New Roman"/>
          <w:sz w:val="18"/>
          <w:szCs w:val="18"/>
        </w:rPr>
      </w:pPr>
      <w:r w:rsidRPr="00D403F5">
        <w:rPr>
          <w:rFonts w:ascii="Times New Roman" w:hAnsi="Times New Roman" w:cs="Times New Roman"/>
          <w:sz w:val="18"/>
          <w:szCs w:val="18"/>
        </w:rPr>
        <w:t>6.</w:t>
      </w:r>
      <w:r w:rsidRPr="00D403F5">
        <w:rPr>
          <w:rFonts w:ascii="Times New Roman" w:hAnsi="Times New Roman" w:cs="Times New Roman"/>
          <w:sz w:val="18"/>
          <w:szCs w:val="18"/>
        </w:rPr>
        <w:tab/>
        <w:t>Chapter 1.4. Aquatic Animal Surveillance (refer to section 5)</w:t>
      </w:r>
      <w:r w:rsidRPr="00D403F5" w:rsidDel="004E4BDF">
        <w:rPr>
          <w:rFonts w:ascii="Times New Roman" w:hAnsi="Times New Roman" w:cs="Times New Roman"/>
          <w:sz w:val="18"/>
          <w:szCs w:val="18"/>
        </w:rPr>
        <w:t xml:space="preserve"> </w:t>
      </w:r>
    </w:p>
    <w:p w14:paraId="0761CF9D" w14:textId="77777777" w:rsidR="00C7266C" w:rsidRPr="00D403F5" w:rsidRDefault="00C7266C" w:rsidP="00054758">
      <w:pPr>
        <w:spacing w:after="240"/>
        <w:ind w:left="426" w:firstLine="1"/>
        <w:jc w:val="both"/>
        <w:rPr>
          <w:rFonts w:ascii="Times New Roman" w:hAnsi="Times New Roman" w:cs="Times New Roman"/>
          <w:sz w:val="18"/>
          <w:szCs w:val="18"/>
        </w:rPr>
      </w:pPr>
      <w:r w:rsidRPr="00D403F5">
        <w:rPr>
          <w:rFonts w:ascii="Times New Roman" w:hAnsi="Times New Roman" w:cs="Times New Roman"/>
          <w:sz w:val="18"/>
          <w:szCs w:val="18"/>
        </w:rPr>
        <w:t>This chapter will be substantially revised to provide improved guidance and support the recommendations described above, specifically to:</w:t>
      </w:r>
    </w:p>
    <w:p w14:paraId="4E6672FB" w14:textId="77777777" w:rsidR="00C7266C" w:rsidRPr="00D403F5" w:rsidRDefault="00C7266C" w:rsidP="00054758">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Include the criteria recommended in this paper for determining the relevant time periods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and periods of surveillance) in each of the disease-specific chapters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w:t>
      </w:r>
    </w:p>
    <w:p w14:paraId="4B55E2D2" w14:textId="77777777" w:rsidR="00C7266C" w:rsidRPr="00D403F5" w:rsidRDefault="00C7266C" w:rsidP="00054758">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Provide flexibility to use secondary forms of surveillance data for relevant pathways.</w:t>
      </w:r>
    </w:p>
    <w:p w14:paraId="72FEA76E" w14:textId="77777777" w:rsidR="00054758" w:rsidRPr="00D403F5" w:rsidRDefault="00054758" w:rsidP="00054758">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38EB71C0" w14:textId="77777777" w:rsidR="00C7266C" w:rsidRPr="00D403F5" w:rsidRDefault="00C7266C" w:rsidP="00054758">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Include guidance on regaining freedom following eradication of a disease at the level of a country, zone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(not currently included), and maintaining freedom; including guidance on a risk-based approach to survey design.</w:t>
      </w:r>
    </w:p>
    <w:p w14:paraId="3B7795F6" w14:textId="77777777" w:rsidR="00C7266C" w:rsidRPr="00D403F5" w:rsidRDefault="00C7266C" w:rsidP="00054758">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Include additional guidance on what constitutes an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including how it may be evaluated.</w:t>
      </w:r>
    </w:p>
    <w:p w14:paraId="75C0D595" w14:textId="77777777" w:rsidR="00C7266C" w:rsidRPr="00D403F5" w:rsidRDefault="00C7266C" w:rsidP="00054758">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Include guidance on what constitutes ‘conditions conducive to clinical expression of infection’.</w:t>
      </w:r>
    </w:p>
    <w:p w14:paraId="01CE9F75" w14:textId="77777777" w:rsidR="00C7266C" w:rsidRPr="00D403F5" w:rsidRDefault="00C7266C" w:rsidP="00054758">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Include guidance on establishing </w:t>
      </w:r>
      <w:r w:rsidRPr="00D403F5">
        <w:rPr>
          <w:rFonts w:ascii="Times New Roman" w:hAnsi="Times New Roman" w:cs="Times New Roman"/>
          <w:i/>
          <w:sz w:val="18"/>
          <w:szCs w:val="18"/>
        </w:rPr>
        <w:t>infected</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protection zones</w:t>
      </w:r>
      <w:r w:rsidRPr="00D403F5">
        <w:rPr>
          <w:rFonts w:ascii="Times New Roman" w:hAnsi="Times New Roman" w:cs="Times New Roman"/>
          <w:sz w:val="18"/>
          <w:szCs w:val="18"/>
        </w:rPr>
        <w:t xml:space="preserve"> and sampling within them for farmed and wild animals.</w:t>
      </w:r>
    </w:p>
    <w:p w14:paraId="6EC7F563" w14:textId="77777777" w:rsidR="00C7266C" w:rsidRPr="00D403F5" w:rsidRDefault="00C7266C" w:rsidP="00054758">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Member Countries are invited to comment on this Version 2 of the discussion paper, in particular on the recommended approaches included throughout. Member Countries need not reiterate comments made previously as these have been, and will continue to be considered by the Aquatic Animals Commission. However, new perspectives or information to inform aspects of this work are welcomed.</w:t>
      </w:r>
    </w:p>
    <w:p w14:paraId="081DC56A" w14:textId="77777777" w:rsidR="00C7266C" w:rsidRPr="00D403F5" w:rsidRDefault="00C7266C" w:rsidP="00054758">
      <w:pPr>
        <w:spacing w:after="240"/>
        <w:ind w:left="425" w:hanging="425"/>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1.</w:t>
      </w:r>
      <w:r w:rsidRPr="00D403F5">
        <w:rPr>
          <w:rFonts w:ascii="Times New Roman" w:hAnsi="Times New Roman" w:cs="Times New Roman"/>
          <w:b/>
          <w:caps/>
          <w:color w:val="0070C0"/>
          <w:sz w:val="18"/>
          <w:szCs w:val="18"/>
        </w:rPr>
        <w:tab/>
        <w:t xml:space="preserve">Background </w:t>
      </w:r>
    </w:p>
    <w:p w14:paraId="792B33DE" w14:textId="77777777" w:rsidR="00C7266C" w:rsidRPr="00D403F5" w:rsidRDefault="00C7266C" w:rsidP="00054758">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Chapter 1.4. of the </w:t>
      </w:r>
      <w:r w:rsidRPr="00D403F5">
        <w:rPr>
          <w:rFonts w:ascii="Times New Roman" w:hAnsi="Times New Roman" w:cs="Times New Roman"/>
          <w:i/>
          <w:sz w:val="18"/>
          <w:szCs w:val="18"/>
        </w:rPr>
        <w:t>OIE</w:t>
      </w:r>
      <w:r w:rsidRPr="00D403F5">
        <w:rPr>
          <w:rFonts w:ascii="Times New Roman" w:hAnsi="Times New Roman" w:cs="Times New Roman"/>
          <w:sz w:val="18"/>
          <w:szCs w:val="18"/>
        </w:rPr>
        <w:t xml:space="preserve"> </w:t>
      </w:r>
      <w:r w:rsidRPr="00D403F5">
        <w:rPr>
          <w:rFonts w:ascii="Times New Roman" w:hAnsi="Times New Roman" w:cs="Times New Roman"/>
          <w:i/>
          <w:sz w:val="18"/>
          <w:szCs w:val="18"/>
        </w:rPr>
        <w:t>Aquatic Animal Health Code</w:t>
      </w:r>
      <w:r w:rsidRPr="00D403F5">
        <w:rPr>
          <w:rFonts w:ascii="Times New Roman" w:hAnsi="Times New Roman" w:cs="Times New Roman"/>
          <w:sz w:val="18"/>
          <w:szCs w:val="18"/>
        </w:rPr>
        <w:t xml:space="preserve"> </w:t>
      </w:r>
      <w:r w:rsidRPr="00D403F5">
        <w:rPr>
          <w:rFonts w:ascii="Times New Roman" w:hAnsi="Times New Roman" w:cs="Times New Roman"/>
          <w:i/>
          <w:sz w:val="18"/>
          <w:szCs w:val="18"/>
        </w:rPr>
        <w:t xml:space="preserve">(Aquatic Code) </w:t>
      </w:r>
      <w:r w:rsidRPr="00D403F5">
        <w:rPr>
          <w:rFonts w:ascii="Times New Roman" w:hAnsi="Times New Roman" w:cs="Times New Roman"/>
          <w:sz w:val="18"/>
          <w:szCs w:val="18"/>
        </w:rPr>
        <w:t xml:space="preserve">describes four pathways through which Member Countries can make self-declarations of freedom from a disease. These four pathways are also reflected in each of the disease-specific chapters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in Article X.X.4. (Country free from disease X), and Article X.X.5.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free from disease X). Additionally, Article X.X.6. describes the requirements for maintenance of free status. An example of these articles is provided at </w:t>
      </w:r>
      <w:r w:rsidRPr="00D403F5">
        <w:rPr>
          <w:rFonts w:ascii="Times New Roman" w:hAnsi="Times New Roman" w:cs="Times New Roman"/>
          <w:sz w:val="18"/>
          <w:szCs w:val="18"/>
          <w:u w:val="single"/>
        </w:rPr>
        <w:t>Appendix 2</w:t>
      </w:r>
      <w:r w:rsidRPr="00D403F5">
        <w:rPr>
          <w:rFonts w:ascii="Times New Roman" w:hAnsi="Times New Roman" w:cs="Times New Roman"/>
          <w:sz w:val="18"/>
          <w:szCs w:val="18"/>
        </w:rPr>
        <w:t xml:space="preserve">. </w:t>
      </w:r>
    </w:p>
    <w:p w14:paraId="0971CCFA"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Within Articles X.X.4. and X.X.5., several periods of time are specified for which a country must have </w:t>
      </w:r>
      <w:r w:rsidRPr="00D403F5">
        <w:rPr>
          <w:rFonts w:ascii="Times New Roman" w:hAnsi="Times New Roman" w:cs="Times New Roman"/>
          <w:i/>
          <w:sz w:val="18"/>
          <w:szCs w:val="18"/>
        </w:rPr>
        <w:t>basic biosecurity conditions</w:t>
      </w:r>
      <w:r w:rsidRPr="00D403F5">
        <w:rPr>
          <w:rStyle w:val="af6"/>
          <w:rFonts w:ascii="Times New Roman" w:eastAsia="Symbol" w:hAnsi="Times New Roman" w:cs="Times New Roman"/>
          <w:i/>
          <w:sz w:val="18"/>
          <w:szCs w:val="18"/>
        </w:rPr>
        <w:footnoteReference w:id="5"/>
      </w:r>
      <w:r w:rsidRPr="00D403F5">
        <w:rPr>
          <w:rFonts w:ascii="Times New Roman" w:hAnsi="Times New Roman" w:cs="Times New Roman"/>
          <w:sz w:val="18"/>
          <w:szCs w:val="18"/>
        </w:rPr>
        <w:t xml:space="preserve"> in place or for which surveillance must be conducted. These periods are applied differently across the four pathways for claiming freedom at the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level and among various </w:t>
      </w:r>
      <w:r w:rsidRPr="00D403F5">
        <w:rPr>
          <w:rFonts w:ascii="Times New Roman" w:hAnsi="Times New Roman" w:cs="Times New Roman"/>
          <w:i/>
          <w:sz w:val="18"/>
          <w:szCs w:val="18"/>
        </w:rPr>
        <w:t>listed diseases</w:t>
      </w:r>
      <w:r w:rsidRPr="00D403F5">
        <w:rPr>
          <w:rFonts w:ascii="Times New Roman" w:hAnsi="Times New Roman" w:cs="Times New Roman"/>
          <w:sz w:val="18"/>
          <w:szCs w:val="18"/>
        </w:rPr>
        <w:t xml:space="preserve">. </w:t>
      </w:r>
      <w:r w:rsidRPr="00D403F5">
        <w:rPr>
          <w:rFonts w:ascii="Times New Roman" w:hAnsi="Times New Roman" w:cs="Times New Roman"/>
          <w:sz w:val="18"/>
          <w:szCs w:val="18"/>
          <w:u w:val="single"/>
        </w:rPr>
        <w:t>Appendix 3</w:t>
      </w:r>
      <w:r w:rsidRPr="00D403F5">
        <w:rPr>
          <w:rFonts w:ascii="Times New Roman" w:hAnsi="Times New Roman" w:cs="Times New Roman"/>
          <w:sz w:val="18"/>
          <w:szCs w:val="18"/>
        </w:rPr>
        <w:t xml:space="preserve"> provides a summary for all </w:t>
      </w:r>
      <w:r w:rsidRPr="00D403F5">
        <w:rPr>
          <w:rFonts w:ascii="Times New Roman" w:hAnsi="Times New Roman" w:cs="Times New Roman"/>
          <w:i/>
          <w:sz w:val="18"/>
          <w:szCs w:val="18"/>
        </w:rPr>
        <w:t>listed diseases</w:t>
      </w:r>
      <w:r w:rsidRPr="00D403F5">
        <w:rPr>
          <w:rFonts w:ascii="Times New Roman" w:hAnsi="Times New Roman" w:cs="Times New Roman"/>
          <w:sz w:val="18"/>
          <w:szCs w:val="18"/>
        </w:rPr>
        <w:t xml:space="preserve"> of the relevant periods for declaration of country freedom that are included 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There has not previously been any documented rationale on the considerations or criteria for determining these periods. </w:t>
      </w:r>
    </w:p>
    <w:p w14:paraId="5ACF39E6" w14:textId="77777777" w:rsidR="00C7266C" w:rsidRPr="00D403F5" w:rsidRDefault="00C7266C" w:rsidP="0076436B">
      <w:pPr>
        <w:spacing w:after="24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Member Countries have previously requested that the Aquatic Animals Commission explain how these periods are determined. In 2016, the Commission requested that an OIE </w:t>
      </w:r>
      <w:r w:rsidRPr="00D403F5">
        <w:rPr>
          <w:rFonts w:ascii="Times New Roman" w:hAnsi="Times New Roman" w:cs="Times New Roman"/>
          <w:i/>
          <w:sz w:val="18"/>
          <w:szCs w:val="18"/>
        </w:rPr>
        <w:t xml:space="preserve">ad hoc </w:t>
      </w:r>
      <w:r w:rsidRPr="00D403F5">
        <w:rPr>
          <w:rFonts w:ascii="Times New Roman" w:hAnsi="Times New Roman" w:cs="Times New Roman"/>
          <w:sz w:val="18"/>
          <w:szCs w:val="18"/>
        </w:rPr>
        <w:t xml:space="preserve">Group be established to consider this issue and provide advice on appropriate criteria or guidelines for determining the periods in Articles X.X.4. and X.X.5. The </w:t>
      </w:r>
      <w:r w:rsidRPr="00D403F5">
        <w:rPr>
          <w:rFonts w:ascii="Times New Roman" w:hAnsi="Times New Roman" w:cs="Times New Roman"/>
          <w:i/>
          <w:sz w:val="18"/>
          <w:szCs w:val="18"/>
        </w:rPr>
        <w:t>ad</w:t>
      </w:r>
      <w:r w:rsidRPr="00D403F5">
        <w:rPr>
          <w:rFonts w:ascii="Times New Roman" w:hAnsi="Times New Roman" w:cs="Times New Roman"/>
          <w:sz w:val="18"/>
          <w:szCs w:val="18"/>
        </w:rPr>
        <w:t xml:space="preserve"> </w:t>
      </w:r>
      <w:r w:rsidRPr="00D403F5">
        <w:rPr>
          <w:rFonts w:ascii="Times New Roman" w:hAnsi="Times New Roman" w:cs="Times New Roman"/>
          <w:i/>
          <w:sz w:val="18"/>
          <w:szCs w:val="18"/>
        </w:rPr>
        <w:t>hoc</w:t>
      </w:r>
      <w:r w:rsidRPr="00D403F5">
        <w:rPr>
          <w:rFonts w:ascii="Times New Roman" w:hAnsi="Times New Roman" w:cs="Times New Roman"/>
          <w:sz w:val="18"/>
          <w:szCs w:val="18"/>
        </w:rPr>
        <w:t xml:space="preserve"> Group on Demonstration of disease freedom met twice in 2017. It found that the requested task could not be separated from a broader review of the structure of Articles X.X.4. and X.X.5. in each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Although it progressed consideration of these issues, the </w:t>
      </w:r>
      <w:r w:rsidRPr="00D403F5">
        <w:rPr>
          <w:rFonts w:ascii="Times New Roman" w:hAnsi="Times New Roman" w:cs="Times New Roman"/>
          <w:i/>
          <w:sz w:val="18"/>
          <w:szCs w:val="18"/>
        </w:rPr>
        <w:t>ad hoc</w:t>
      </w:r>
      <w:r w:rsidRPr="00D403F5">
        <w:rPr>
          <w:rFonts w:ascii="Times New Roman" w:hAnsi="Times New Roman" w:cs="Times New Roman"/>
          <w:sz w:val="18"/>
          <w:szCs w:val="18"/>
        </w:rPr>
        <w:t xml:space="preserve"> Group was not able to develop recommendations that were sufficiently advanced to provide to Member Countries for their comments.</w:t>
      </w:r>
    </w:p>
    <w:p w14:paraId="5AED1035" w14:textId="77777777" w:rsidR="00C7266C" w:rsidRPr="00D403F5" w:rsidRDefault="00C7266C" w:rsidP="0076436B">
      <w:pPr>
        <w:spacing w:after="24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At its February 2018 meeting, the Aquatic Animals Commission</w:t>
      </w:r>
      <w:r w:rsidRPr="00D403F5" w:rsidDel="00D76220">
        <w:rPr>
          <w:rFonts w:ascii="Times New Roman" w:hAnsi="Times New Roman" w:cs="Times New Roman"/>
          <w:sz w:val="18"/>
          <w:szCs w:val="18"/>
        </w:rPr>
        <w:t xml:space="preserve"> </w:t>
      </w:r>
      <w:r w:rsidRPr="00D403F5">
        <w:rPr>
          <w:rFonts w:ascii="Times New Roman" w:hAnsi="Times New Roman" w:cs="Times New Roman"/>
          <w:sz w:val="18"/>
          <w:szCs w:val="18"/>
        </w:rPr>
        <w:t xml:space="preserve">considered progress that had been made and agreed that the next step would be for the Commission to prepare a discussion paper to explore the rationale for determining the time periods included in Articles X.X.4. and X.X.5. of each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The present document serves this purpose, and has been developed in consideration of the </w:t>
      </w:r>
      <w:r w:rsidRPr="00D403F5">
        <w:rPr>
          <w:rFonts w:ascii="Times New Roman" w:hAnsi="Times New Roman" w:cs="Times New Roman"/>
          <w:i/>
          <w:sz w:val="18"/>
          <w:szCs w:val="18"/>
        </w:rPr>
        <w:t>ad hoc</w:t>
      </w:r>
      <w:r w:rsidRPr="00D403F5">
        <w:rPr>
          <w:rFonts w:ascii="Times New Roman" w:hAnsi="Times New Roman" w:cs="Times New Roman"/>
          <w:sz w:val="18"/>
          <w:szCs w:val="18"/>
        </w:rPr>
        <w:t xml:space="preserve"> Group’s discussions and the guidance documents that had been provided to it by the Commission.</w:t>
      </w:r>
    </w:p>
    <w:p w14:paraId="5393B16C" w14:textId="77777777" w:rsidR="00C7266C" w:rsidRPr="00D403F5" w:rsidRDefault="00C7266C" w:rsidP="0076436B">
      <w:pPr>
        <w:spacing w:after="240" w:line="240" w:lineRule="auto"/>
        <w:ind w:left="426"/>
        <w:jc w:val="both"/>
        <w:rPr>
          <w:rFonts w:ascii="Times New Roman" w:hAnsi="Times New Roman" w:cs="Times New Roman"/>
          <w:sz w:val="18"/>
          <w:szCs w:val="18"/>
        </w:rPr>
      </w:pPr>
      <w:bookmarkStart w:id="54" w:name="_Hlk527989480"/>
      <w:r w:rsidRPr="00D403F5">
        <w:rPr>
          <w:rFonts w:ascii="Times New Roman" w:hAnsi="Times New Roman" w:cs="Times New Roman"/>
          <w:sz w:val="18"/>
          <w:szCs w:val="18"/>
        </w:rPr>
        <w:t xml:space="preserve">While the primary task of this paper is to consider the time periods in Articles X.X.4. and X.X.5., there are other related issues that are explored. For example, the Aquatic Animals Commission has also recognised that Articles X.X.4. and X.X.5. are somewhat inflexible. For instance, certain types of surveillance data are specified which may not be appropriate or practical in all circumstances, e.g. for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Revision of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provisions for declaration of freedom may provide an opportunity to reflect more flexible, outcome-based surveillance methods.</w:t>
      </w:r>
    </w:p>
    <w:bookmarkEnd w:id="54"/>
    <w:p w14:paraId="375DD02D" w14:textId="77777777" w:rsidR="0076436B" w:rsidRDefault="0076436B" w:rsidP="0076436B">
      <w:pPr>
        <w:spacing w:after="480"/>
        <w:jc w:val="right"/>
        <w:rPr>
          <w:rFonts w:ascii="Times New Roman" w:hAnsi="Times New Roman" w:cs="Times New Roman"/>
          <w:sz w:val="18"/>
          <w:szCs w:val="18"/>
          <w:u w:val="single"/>
        </w:rPr>
      </w:pPr>
      <w:r>
        <w:rPr>
          <w:rFonts w:ascii="Times New Roman" w:hAnsi="Times New Roman" w:cs="Times New Roman"/>
          <w:sz w:val="18"/>
          <w:szCs w:val="18"/>
          <w:u w:val="single"/>
        </w:rPr>
        <w:br w:type="page"/>
      </w:r>
    </w:p>
    <w:p w14:paraId="06C9AC17" w14:textId="60D3C5F2" w:rsidR="0076436B" w:rsidRPr="00D403F5" w:rsidRDefault="0076436B" w:rsidP="0076436B">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640A52D9" w14:textId="77777777" w:rsidR="00C7266C" w:rsidRPr="00D403F5" w:rsidRDefault="00C7266C" w:rsidP="0076436B">
      <w:pPr>
        <w:keepNext/>
        <w:spacing w:after="240" w:line="240" w:lineRule="auto"/>
        <w:ind w:left="425" w:hanging="425"/>
        <w:jc w:val="both"/>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2.</w:t>
      </w:r>
      <w:r w:rsidRPr="00D403F5">
        <w:rPr>
          <w:rFonts w:ascii="Times New Roman" w:hAnsi="Times New Roman" w:cs="Times New Roman"/>
          <w:b/>
          <w:caps/>
          <w:color w:val="0070C0"/>
          <w:sz w:val="18"/>
          <w:szCs w:val="18"/>
        </w:rPr>
        <w:tab/>
        <w:t>Objectives of this paper</w:t>
      </w:r>
    </w:p>
    <w:p w14:paraId="7B194E22" w14:textId="77777777" w:rsidR="00C7266C" w:rsidRPr="00D403F5" w:rsidRDefault="00C7266C" w:rsidP="0076436B">
      <w:pPr>
        <w:keepNext/>
        <w:spacing w:after="24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The primary objectives of this paper are to:</w:t>
      </w:r>
    </w:p>
    <w:p w14:paraId="14D75F7F" w14:textId="77777777" w:rsidR="00C7266C" w:rsidRPr="00D403F5" w:rsidRDefault="00C7266C" w:rsidP="0076436B">
      <w:pPr>
        <w:keepNext/>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1.</w:t>
      </w:r>
      <w:r w:rsidRPr="00D403F5">
        <w:rPr>
          <w:rFonts w:ascii="Times New Roman" w:hAnsi="Times New Roman" w:cs="Times New Roman"/>
          <w:sz w:val="18"/>
          <w:szCs w:val="18"/>
        </w:rPr>
        <w:tab/>
        <w:t xml:space="preserve">Define criteria and recommend guidelines that can be applied for determining the time periods included in Articles X.X.4. and X.X.5. of the disease-specific chapters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w:t>
      </w:r>
    </w:p>
    <w:p w14:paraId="25774941" w14:textId="77777777" w:rsidR="00C7266C" w:rsidRPr="00D403F5" w:rsidRDefault="00C7266C" w:rsidP="0076436B">
      <w:pPr>
        <w:keepNext/>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2.</w:t>
      </w:r>
      <w:r w:rsidRPr="00D403F5">
        <w:rPr>
          <w:rFonts w:ascii="Times New Roman" w:hAnsi="Times New Roman" w:cs="Times New Roman"/>
          <w:sz w:val="18"/>
          <w:szCs w:val="18"/>
        </w:rPr>
        <w:tab/>
        <w:t>Explore possible improvements to Articles X.X.4., X.X.5. and X.X.6.</w:t>
      </w:r>
    </w:p>
    <w:p w14:paraId="6C420C57" w14:textId="77777777" w:rsidR="00C7266C" w:rsidRPr="00D403F5" w:rsidRDefault="00C7266C" w:rsidP="0076436B">
      <w:pPr>
        <w:spacing w:after="24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Secondary objectives of the paper include:</w:t>
      </w:r>
    </w:p>
    <w:p w14:paraId="3CE05B9E" w14:textId="77777777" w:rsidR="00C7266C" w:rsidRPr="00D403F5" w:rsidRDefault="00C7266C" w:rsidP="0076436B">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3.</w:t>
      </w:r>
      <w:r w:rsidRPr="00D403F5">
        <w:rPr>
          <w:rFonts w:ascii="Times New Roman" w:hAnsi="Times New Roman" w:cs="Times New Roman"/>
          <w:sz w:val="18"/>
          <w:szCs w:val="18"/>
        </w:rPr>
        <w:tab/>
        <w:t>Identifying the nature of revisions that may be required to Chapter 1.4. (consistent with objectives 1 and 2).</w:t>
      </w:r>
    </w:p>
    <w:p w14:paraId="0627998A" w14:textId="77777777" w:rsidR="00C7266C" w:rsidRPr="00D403F5" w:rsidRDefault="00C7266C" w:rsidP="0076436B">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4.</w:t>
      </w:r>
      <w:r w:rsidRPr="00D403F5">
        <w:rPr>
          <w:rFonts w:ascii="Times New Roman" w:hAnsi="Times New Roman" w:cs="Times New Roman"/>
          <w:sz w:val="18"/>
          <w:szCs w:val="18"/>
        </w:rPr>
        <w:tab/>
        <w:t xml:space="preserve">Determine whether guidance is required within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for Member Countries on the approach to designing surveillance for and making a self-declaration of freedom. </w:t>
      </w:r>
    </w:p>
    <w:p w14:paraId="3839EE24" w14:textId="77777777" w:rsidR="00C7266C" w:rsidRPr="00D403F5" w:rsidRDefault="00C7266C" w:rsidP="0076436B">
      <w:pPr>
        <w:spacing w:after="24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In addressing the objectives described above, several principles are proposed to achieve these objectives. Any changes to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guidance on self-declaration of freedom at the country, zone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level should:</w:t>
      </w:r>
    </w:p>
    <w:p w14:paraId="2171BEF6" w14:textId="77777777" w:rsidR="00C7266C" w:rsidRPr="00D403F5" w:rsidRDefault="00C7266C" w:rsidP="0076436B">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A.</w:t>
      </w:r>
      <w:r w:rsidRPr="00D403F5">
        <w:rPr>
          <w:rFonts w:ascii="Times New Roman" w:hAnsi="Times New Roman" w:cs="Times New Roman"/>
          <w:sz w:val="18"/>
          <w:szCs w:val="18"/>
        </w:rPr>
        <w:tab/>
        <w:t xml:space="preserve">provide confidence among Member Countries in the strength of self-declarations of freedom that are made in accordance with any proposed approaches 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w:t>
      </w:r>
    </w:p>
    <w:p w14:paraId="23B79BB7" w14:textId="77777777" w:rsidR="00C7266C" w:rsidRPr="00D403F5" w:rsidRDefault="00C7266C" w:rsidP="0076436B">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B.</w:t>
      </w:r>
      <w:r w:rsidRPr="00D403F5">
        <w:rPr>
          <w:rFonts w:ascii="Times New Roman" w:hAnsi="Times New Roman" w:cs="Times New Roman"/>
          <w:sz w:val="18"/>
          <w:szCs w:val="18"/>
        </w:rPr>
        <w:tab/>
        <w:t xml:space="preserve">be fit for the intended purpose at the level of either country, zone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w:t>
      </w:r>
    </w:p>
    <w:p w14:paraId="55DD85BC" w14:textId="77777777" w:rsidR="00C7266C" w:rsidRPr="00D403F5" w:rsidRDefault="00C7266C" w:rsidP="0076436B">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C.</w:t>
      </w:r>
      <w:r w:rsidRPr="00D403F5">
        <w:rPr>
          <w:rFonts w:ascii="Times New Roman" w:hAnsi="Times New Roman" w:cs="Times New Roman"/>
          <w:sz w:val="18"/>
          <w:szCs w:val="18"/>
        </w:rPr>
        <w:tab/>
        <w:t>be as uncomplicated as possible and readily understandable by Member Countries;</w:t>
      </w:r>
    </w:p>
    <w:p w14:paraId="2E60575D" w14:textId="77777777" w:rsidR="00C7266C" w:rsidRPr="00D403F5" w:rsidRDefault="00C7266C" w:rsidP="0076436B">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D.</w:t>
      </w:r>
      <w:r w:rsidRPr="00D403F5">
        <w:rPr>
          <w:rFonts w:ascii="Times New Roman" w:hAnsi="Times New Roman" w:cs="Times New Roman"/>
          <w:sz w:val="18"/>
          <w:szCs w:val="18"/>
        </w:rPr>
        <w:tab/>
        <w:t xml:space="preserve">be practical and developed considering the resource constraints of Member Countries; </w:t>
      </w:r>
    </w:p>
    <w:p w14:paraId="41044B00" w14:textId="77777777" w:rsidR="00C7266C" w:rsidRPr="00D403F5" w:rsidRDefault="00C7266C" w:rsidP="0076436B">
      <w:pPr>
        <w:spacing w:after="240" w:line="240" w:lineRule="auto"/>
        <w:ind w:left="850" w:hanging="425"/>
        <w:jc w:val="both"/>
        <w:rPr>
          <w:rFonts w:ascii="Times New Roman" w:hAnsi="Times New Roman" w:cs="Times New Roman"/>
          <w:sz w:val="18"/>
          <w:szCs w:val="18"/>
        </w:rPr>
      </w:pPr>
      <w:r w:rsidRPr="00D403F5">
        <w:rPr>
          <w:rFonts w:ascii="Times New Roman" w:hAnsi="Times New Roman" w:cs="Times New Roman"/>
          <w:sz w:val="18"/>
          <w:szCs w:val="18"/>
        </w:rPr>
        <w:t>E.</w:t>
      </w:r>
      <w:r w:rsidRPr="00D403F5">
        <w:rPr>
          <w:rFonts w:ascii="Times New Roman" w:hAnsi="Times New Roman" w:cs="Times New Roman"/>
          <w:sz w:val="18"/>
          <w:szCs w:val="18"/>
        </w:rPr>
        <w:tab/>
        <w:t xml:space="preserve">be sufficiently flexible to allow efficient approaches that meet principle A.  </w:t>
      </w:r>
    </w:p>
    <w:p w14:paraId="5CBE0C06" w14:textId="77777777" w:rsidR="00C7266C" w:rsidRPr="00D403F5" w:rsidRDefault="00C7266C" w:rsidP="0076436B">
      <w:pPr>
        <w:spacing w:after="240" w:line="240" w:lineRule="auto"/>
        <w:ind w:left="425" w:hanging="425"/>
        <w:jc w:val="both"/>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3.</w:t>
      </w:r>
      <w:r w:rsidRPr="00D403F5">
        <w:rPr>
          <w:rFonts w:ascii="Times New Roman" w:hAnsi="Times New Roman" w:cs="Times New Roman"/>
          <w:b/>
          <w:caps/>
          <w:color w:val="0070C0"/>
          <w:sz w:val="18"/>
          <w:szCs w:val="18"/>
        </w:rPr>
        <w:tab/>
        <w:t>Analysis of existing pathways for claiming freedom</w:t>
      </w:r>
    </w:p>
    <w:p w14:paraId="01E037E5"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The pathways within the disease-specific chapters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that Member Countries can use to make a self-declaration of freedom are described for countries, zones or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which have:</w:t>
      </w:r>
    </w:p>
    <w:p w14:paraId="02871D22" w14:textId="77777777" w:rsidR="00C7266C" w:rsidRPr="00D403F5" w:rsidRDefault="00C7266C" w:rsidP="0076436B">
      <w:pPr>
        <w:spacing w:after="240"/>
        <w:ind w:left="850" w:hanging="425"/>
        <w:jc w:val="both"/>
        <w:rPr>
          <w:rFonts w:ascii="Times New Roman" w:hAnsi="Times New Roman" w:cs="Times New Roman"/>
          <w:sz w:val="18"/>
          <w:szCs w:val="18"/>
        </w:rPr>
      </w:pPr>
      <w:r w:rsidRPr="00D403F5">
        <w:rPr>
          <w:rFonts w:ascii="Times New Roman" w:hAnsi="Times New Roman" w:cs="Times New Roman"/>
          <w:sz w:val="18"/>
          <w:szCs w:val="18"/>
        </w:rPr>
        <w:t>1.</w:t>
      </w:r>
      <w:r w:rsidRPr="00D403F5">
        <w:rPr>
          <w:rFonts w:ascii="Times New Roman" w:hAnsi="Times New Roman" w:cs="Times New Roman"/>
          <w:sz w:val="18"/>
          <w:szCs w:val="18"/>
        </w:rPr>
        <w:tab/>
        <w:t xml:space="preserve">Absence of </w:t>
      </w:r>
      <w:r w:rsidRPr="00D403F5">
        <w:rPr>
          <w:rFonts w:ascii="Times New Roman" w:hAnsi="Times New Roman" w:cs="Times New Roman"/>
          <w:i/>
          <w:sz w:val="18"/>
          <w:szCs w:val="18"/>
        </w:rPr>
        <w:t>susceptible species</w:t>
      </w:r>
    </w:p>
    <w:p w14:paraId="14755222" w14:textId="77777777" w:rsidR="00C7266C" w:rsidRPr="00D403F5" w:rsidRDefault="00C7266C" w:rsidP="0076436B">
      <w:pPr>
        <w:spacing w:after="240"/>
        <w:ind w:left="850" w:hanging="425"/>
        <w:jc w:val="both"/>
        <w:rPr>
          <w:rFonts w:ascii="Times New Roman" w:hAnsi="Times New Roman" w:cs="Times New Roman"/>
          <w:sz w:val="18"/>
          <w:szCs w:val="18"/>
        </w:rPr>
      </w:pPr>
      <w:r w:rsidRPr="00D403F5">
        <w:rPr>
          <w:rFonts w:ascii="Times New Roman" w:hAnsi="Times New Roman" w:cs="Times New Roman"/>
          <w:sz w:val="18"/>
          <w:szCs w:val="18"/>
        </w:rPr>
        <w:t>2.</w:t>
      </w:r>
      <w:r w:rsidRPr="00D403F5">
        <w:rPr>
          <w:rFonts w:ascii="Times New Roman" w:hAnsi="Times New Roman" w:cs="Times New Roman"/>
          <w:sz w:val="18"/>
          <w:szCs w:val="18"/>
        </w:rPr>
        <w:tab/>
        <w:t>Had no occurrence for at least the last ten years (historical freedom)</w:t>
      </w:r>
    </w:p>
    <w:p w14:paraId="73DC9F58" w14:textId="77777777" w:rsidR="00C7266C" w:rsidRPr="00D403F5" w:rsidRDefault="00C7266C" w:rsidP="0076436B">
      <w:pPr>
        <w:spacing w:after="240"/>
        <w:ind w:left="850" w:hanging="425"/>
        <w:jc w:val="both"/>
        <w:rPr>
          <w:rFonts w:ascii="Times New Roman" w:hAnsi="Times New Roman" w:cs="Times New Roman"/>
          <w:sz w:val="18"/>
          <w:szCs w:val="18"/>
        </w:rPr>
      </w:pPr>
      <w:r w:rsidRPr="00D403F5">
        <w:rPr>
          <w:rFonts w:ascii="Times New Roman" w:hAnsi="Times New Roman" w:cs="Times New Roman"/>
          <w:sz w:val="18"/>
          <w:szCs w:val="18"/>
        </w:rPr>
        <w:t>3.</w:t>
      </w:r>
      <w:r w:rsidRPr="00D403F5">
        <w:rPr>
          <w:rFonts w:ascii="Times New Roman" w:hAnsi="Times New Roman" w:cs="Times New Roman"/>
          <w:sz w:val="18"/>
          <w:szCs w:val="18"/>
        </w:rPr>
        <w:tab/>
        <w:t>Unknown disease status</w:t>
      </w:r>
    </w:p>
    <w:p w14:paraId="71D9DE43" w14:textId="77777777" w:rsidR="00C7266C" w:rsidRPr="00D403F5" w:rsidRDefault="00C7266C" w:rsidP="0076436B">
      <w:pPr>
        <w:spacing w:after="240"/>
        <w:ind w:left="850" w:hanging="425"/>
        <w:jc w:val="both"/>
        <w:rPr>
          <w:rFonts w:ascii="Times New Roman" w:hAnsi="Times New Roman" w:cs="Times New Roman"/>
          <w:sz w:val="18"/>
          <w:szCs w:val="18"/>
        </w:rPr>
      </w:pPr>
      <w:r w:rsidRPr="00D403F5">
        <w:rPr>
          <w:rFonts w:ascii="Times New Roman" w:hAnsi="Times New Roman" w:cs="Times New Roman"/>
          <w:sz w:val="18"/>
          <w:szCs w:val="18"/>
        </w:rPr>
        <w:t>4.</w:t>
      </w:r>
      <w:r w:rsidRPr="00D403F5">
        <w:rPr>
          <w:rFonts w:ascii="Times New Roman" w:hAnsi="Times New Roman" w:cs="Times New Roman"/>
          <w:sz w:val="18"/>
          <w:szCs w:val="18"/>
        </w:rPr>
        <w:tab/>
        <w:t>Previously made a self-declaration of freedom, but lost their free status due to a detection.</w:t>
      </w:r>
    </w:p>
    <w:p w14:paraId="4E30B4BD"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In all cases,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(compulsory notification of the disease or suspicion of the disease to the Competent Authority, an </w:t>
      </w:r>
      <w:r w:rsidRPr="00D403F5">
        <w:rPr>
          <w:rFonts w:ascii="Times New Roman" w:hAnsi="Times New Roman" w:cs="Times New Roman"/>
          <w:i/>
          <w:sz w:val="18"/>
          <w:szCs w:val="18"/>
        </w:rPr>
        <w:t>early detection system</w:t>
      </w:r>
      <w:r w:rsidRPr="00D403F5">
        <w:rPr>
          <w:rStyle w:val="af6"/>
          <w:rFonts w:ascii="Times New Roman" w:eastAsia="Symbol" w:hAnsi="Times New Roman" w:cs="Times New Roman"/>
          <w:i/>
          <w:sz w:val="18"/>
          <w:szCs w:val="18"/>
        </w:rPr>
        <w:footnoteReference w:id="6"/>
      </w:r>
      <w:r w:rsidRPr="00D403F5">
        <w:rPr>
          <w:rFonts w:ascii="Times New Roman" w:hAnsi="Times New Roman" w:cs="Times New Roman"/>
          <w:sz w:val="18"/>
          <w:szCs w:val="18"/>
        </w:rPr>
        <w:t xml:space="preserve"> and measures to prevent disease introduction) need to be in place to claim freedom and, for Pathways 3 and 4, </w:t>
      </w:r>
      <w:r w:rsidRPr="00D403F5">
        <w:rPr>
          <w:rFonts w:ascii="Times New Roman" w:hAnsi="Times New Roman" w:cs="Times New Roman"/>
          <w:i/>
          <w:iCs/>
          <w:sz w:val="18"/>
          <w:szCs w:val="18"/>
        </w:rPr>
        <w:t>targeted surveillance</w:t>
      </w:r>
      <w:r w:rsidRPr="00D403F5">
        <w:rPr>
          <w:rFonts w:ascii="Times New Roman" w:hAnsi="Times New Roman" w:cs="Times New Roman"/>
          <w:sz w:val="18"/>
          <w:szCs w:val="18"/>
        </w:rPr>
        <w:t xml:space="preserve"> is also required.</w:t>
      </w:r>
    </w:p>
    <w:p w14:paraId="763EC55B" w14:textId="77777777" w:rsidR="0076436B" w:rsidRPr="00D403F5" w:rsidRDefault="0076436B"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3D928F00" w14:textId="77777777" w:rsidR="00C7266C" w:rsidRPr="00D403F5" w:rsidRDefault="00C7266C" w:rsidP="0076436B">
      <w:pPr>
        <w:spacing w:after="240"/>
        <w:ind w:left="426"/>
        <w:jc w:val="both"/>
        <w:rPr>
          <w:rFonts w:ascii="Times New Roman" w:hAnsi="Times New Roman" w:cs="Times New Roman"/>
          <w:sz w:val="18"/>
          <w:szCs w:val="18"/>
          <w:u w:val="single"/>
        </w:rPr>
      </w:pPr>
      <w:r w:rsidRPr="00D403F5">
        <w:rPr>
          <w:rFonts w:ascii="Times New Roman" w:hAnsi="Times New Roman" w:cs="Times New Roman"/>
          <w:sz w:val="18"/>
          <w:szCs w:val="18"/>
        </w:rPr>
        <w:t xml:space="preserve">Sections 3.1. to 3.4. below analyse the four existing pathways. Each section includes a description of the current approach 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an evaluation of that approach, a summary of Member Country responses on Version 1 of this paper, and recommendations for improvement. </w:t>
      </w:r>
    </w:p>
    <w:p w14:paraId="3A84D2C2" w14:textId="77777777" w:rsidR="00C7266C" w:rsidRPr="00D403F5" w:rsidRDefault="00C7266C" w:rsidP="0076436B">
      <w:pPr>
        <w:spacing w:after="240"/>
        <w:ind w:left="426" w:hanging="426"/>
        <w:jc w:val="both"/>
        <w:rPr>
          <w:rFonts w:ascii="Times New Roman" w:hAnsi="Times New Roman" w:cs="Times New Roman"/>
          <w:b/>
          <w:color w:val="0070C0"/>
          <w:sz w:val="18"/>
          <w:szCs w:val="18"/>
        </w:rPr>
      </w:pPr>
      <w:r w:rsidRPr="00D403F5">
        <w:rPr>
          <w:rFonts w:ascii="Times New Roman" w:hAnsi="Times New Roman" w:cs="Times New Roman"/>
          <w:b/>
          <w:color w:val="0070C0"/>
          <w:sz w:val="18"/>
          <w:szCs w:val="18"/>
        </w:rPr>
        <w:t>3.1.</w:t>
      </w:r>
      <w:r w:rsidRPr="00D403F5">
        <w:rPr>
          <w:rFonts w:ascii="Times New Roman" w:hAnsi="Times New Roman" w:cs="Times New Roman"/>
          <w:b/>
          <w:color w:val="0070C0"/>
          <w:sz w:val="18"/>
          <w:szCs w:val="18"/>
        </w:rPr>
        <w:tab/>
      </w:r>
      <w:r w:rsidRPr="00D403F5">
        <w:rPr>
          <w:rFonts w:ascii="Times New Roman" w:hAnsi="Times New Roman" w:cs="Times New Roman"/>
          <w:b/>
          <w:caps/>
          <w:color w:val="0070C0"/>
          <w:sz w:val="18"/>
          <w:szCs w:val="18"/>
        </w:rPr>
        <w:t xml:space="preserve">Pathway 1 - Absence of </w:t>
      </w:r>
      <w:r w:rsidRPr="00D403F5">
        <w:rPr>
          <w:rFonts w:ascii="Times New Roman" w:hAnsi="Times New Roman" w:cs="Times New Roman"/>
          <w:b/>
          <w:i/>
          <w:caps/>
          <w:color w:val="0070C0"/>
          <w:sz w:val="18"/>
          <w:szCs w:val="18"/>
        </w:rPr>
        <w:t>susceptible species</w:t>
      </w:r>
    </w:p>
    <w:p w14:paraId="14963B90" w14:textId="77777777" w:rsidR="00C7266C" w:rsidRPr="00D403F5" w:rsidRDefault="00C7266C" w:rsidP="0076436B">
      <w:pPr>
        <w:pStyle w:val="3"/>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Current situation in the Aquatic Code</w:t>
      </w:r>
    </w:p>
    <w:p w14:paraId="6277CA0B" w14:textId="77777777" w:rsidR="00C7266C" w:rsidRPr="00D403F5" w:rsidRDefault="00C7266C" w:rsidP="0076436B">
      <w:pPr>
        <w:keepNext/>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Unless otherwise specified in the relevant disease chapter, a country, zone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may be recognised as being free from disease without applying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if there are no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w:t>
      </w:r>
    </w:p>
    <w:p w14:paraId="288EF3D2"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is not currently available for some species that have a broad host range (e.g. infection with viral haemorrhagic septicaemia virus, infection with </w:t>
      </w:r>
      <w:r w:rsidRPr="00D403F5">
        <w:rPr>
          <w:rFonts w:ascii="Times New Roman" w:hAnsi="Times New Roman" w:cs="Times New Roman"/>
          <w:i/>
          <w:sz w:val="18"/>
          <w:szCs w:val="18"/>
        </w:rPr>
        <w:t>Aphanomyces invadans</w:t>
      </w:r>
      <w:r w:rsidRPr="00D403F5">
        <w:rPr>
          <w:rFonts w:ascii="Times New Roman" w:hAnsi="Times New Roman" w:cs="Times New Roman"/>
          <w:sz w:val="18"/>
          <w:szCs w:val="18"/>
        </w:rPr>
        <w:t>; refer to Appendix 2).</w:t>
      </w:r>
    </w:p>
    <w:p w14:paraId="0F2C8161" w14:textId="77777777" w:rsidR="00C7266C" w:rsidRPr="00D403F5" w:rsidRDefault="00C7266C" w:rsidP="0076436B">
      <w:pPr>
        <w:pStyle w:val="3"/>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 xml:space="preserve">Evaluation </w:t>
      </w:r>
    </w:p>
    <w:p w14:paraId="396C21A8"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Although this pathway is epidemiologically sound, it would appear to be of practical application in few circumstances. For example, if a country has no species susceptible to a specific disease (as defined in Article X.X.2. of each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it would have no reason to claim freedom because it would have no domestically produced aquatic animals or products to trade that fall within the scope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’s sanitary standards for that disease.</w:t>
      </w:r>
    </w:p>
    <w:p w14:paraId="04540573"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However, there may be some circumstances where this pathway may be of practical application, for example: </w:t>
      </w:r>
    </w:p>
    <w:p w14:paraId="2661B0F8"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a)</w:t>
      </w:r>
      <w:r w:rsidRPr="00D403F5">
        <w:rPr>
          <w:rFonts w:ascii="Times New Roman" w:hAnsi="Times New Roman" w:cs="Times New Roman"/>
          <w:sz w:val="18"/>
          <w:szCs w:val="18"/>
        </w:rPr>
        <w:tab/>
        <w:t xml:space="preserve">where a country wishes to self-declare freedom prior to introducing a new species (susceptible to the disease in question) for aquaculture purposes in accordance with Articles X.X.7 or X.X.8. of each disease-specific chapter. </w:t>
      </w:r>
    </w:p>
    <w:p w14:paraId="0CCEE9AC"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b)</w:t>
      </w:r>
      <w:r w:rsidRPr="00D403F5">
        <w:rPr>
          <w:rFonts w:ascii="Times New Roman" w:hAnsi="Times New Roman" w:cs="Times New Roman"/>
          <w:sz w:val="18"/>
          <w:szCs w:val="18"/>
        </w:rPr>
        <w:tab/>
        <w:t xml:space="preserve">where aquatic animals or products either transit through a country or are imported into the country for processing and reexport. </w:t>
      </w:r>
    </w:p>
    <w:p w14:paraId="550BDB81"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For this pathway,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would need to be in place for a period of time prior to the introduction of the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sufficient to ensure that i) no pathogenic agent introduced via aquatic animal commodities remained present in the environment, ii) the pathogenic agent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was properly established.</w:t>
      </w:r>
    </w:p>
    <w:p w14:paraId="42F0CB7D"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relies on confidence that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are in fact absent from a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To be confident that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are absent there must be a) sound knowledge of the range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of a pathogenic agent and b) sufficient knowledge of the local aquatic animal fauna to be confident that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are absent. </w:t>
      </w:r>
    </w:p>
    <w:p w14:paraId="2ABB5C45" w14:textId="77777777" w:rsidR="00C7266C" w:rsidRPr="00D403F5" w:rsidRDefault="00C7266C" w:rsidP="0076436B">
      <w:pPr>
        <w:pStyle w:val="3"/>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Member Country comments - February 2019</w:t>
      </w:r>
    </w:p>
    <w:p w14:paraId="70CF7F15"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A small majority of Member Country responses were in favour of retaining the pathway and some countries indicated that they were likely to use it.  </w:t>
      </w:r>
    </w:p>
    <w:p w14:paraId="634B356C"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Member countries made the following suggestions regarding the appropriate standard of evidence that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are absent from a country:</w:t>
      </w:r>
    </w:p>
    <w:p w14:paraId="574D668C"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a)</w:t>
      </w:r>
      <w:r w:rsidRPr="00D403F5">
        <w:rPr>
          <w:rFonts w:ascii="Times New Roman" w:hAnsi="Times New Roman" w:cs="Times New Roman"/>
          <w:sz w:val="18"/>
          <w:szCs w:val="18"/>
        </w:rPr>
        <w:tab/>
        <w:t xml:space="preserve">There has never been any report of the existence of the species in the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w:t>
      </w:r>
    </w:p>
    <w:p w14:paraId="4F63DB6E"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b)</w:t>
      </w:r>
      <w:r w:rsidRPr="00D403F5">
        <w:rPr>
          <w:rFonts w:ascii="Times New Roman" w:hAnsi="Times New Roman" w:cs="Times New Roman"/>
          <w:sz w:val="18"/>
          <w:szCs w:val="18"/>
        </w:rPr>
        <w:tab/>
        <w:t xml:space="preserve">Documentation from the relevant authorities showing that those species have not been moved into the country or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p>
    <w:p w14:paraId="44E5EB3E"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c)</w:t>
      </w:r>
      <w:r w:rsidRPr="00D403F5">
        <w:rPr>
          <w:rFonts w:ascii="Times New Roman" w:hAnsi="Times New Roman" w:cs="Times New Roman"/>
          <w:sz w:val="18"/>
          <w:szCs w:val="18"/>
        </w:rPr>
        <w:tab/>
        <w:t xml:space="preserve">Provision of documentation which sets out scientific evidence indicating that the likelihood of the presence of animals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in the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is negligible.</w:t>
      </w:r>
    </w:p>
    <w:p w14:paraId="0C65F4E3" w14:textId="77777777" w:rsidR="0076436B" w:rsidRPr="00D403F5" w:rsidRDefault="0076436B" w:rsidP="0076436B">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437E9306"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Member countries also provided suggestions on the data sources that could be utilised to demonstrate that a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is absent, including:</w:t>
      </w:r>
    </w:p>
    <w:p w14:paraId="69DB1D6D"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Historical fisheries data on known species distribution </w:t>
      </w:r>
    </w:p>
    <w:p w14:paraId="1604CD0B"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Data on physiological requirements</w:t>
      </w:r>
    </w:p>
    <w:p w14:paraId="513AEECB"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Global Biodiversity database</w:t>
      </w:r>
    </w:p>
    <w:p w14:paraId="5CE7CCBE"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FAO databases on natural range of habitat</w:t>
      </w:r>
    </w:p>
    <w:p w14:paraId="43A67D8C"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Review reports in scientific literature, including fisheries and aquatic fauna surveys</w:t>
      </w:r>
    </w:p>
    <w:p w14:paraId="652B4C9B"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Trade data (historical records of transboundary movements of animals).</w:t>
      </w:r>
    </w:p>
    <w:p w14:paraId="4926D3F7" w14:textId="77777777" w:rsidR="00C7266C" w:rsidRPr="00D403F5" w:rsidRDefault="00C7266C" w:rsidP="0076436B">
      <w:pPr>
        <w:pStyle w:val="3"/>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Recommended approach</w:t>
      </w:r>
    </w:p>
    <w:p w14:paraId="719E75A8"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The Aquatic Animals Commission recommends that this pathway be retained in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as many countries have indicated that they are likely to use it to claim freedom. Additionally, the Commission recommends that:</w:t>
      </w:r>
    </w:p>
    <w:p w14:paraId="6714A072"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Member Countries would be expected to provide a reason for wanting to establish disease freedom in the absence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w:t>
      </w:r>
    </w:p>
    <w:p w14:paraId="1D5C1D58"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pathway would not be available for some diseases where there may be uncertainty regarding the range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(This is currently the case in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for Infection with </w:t>
      </w:r>
      <w:r w:rsidRPr="00D403F5">
        <w:rPr>
          <w:rFonts w:ascii="Times New Roman" w:hAnsi="Times New Roman" w:cs="Times New Roman"/>
          <w:i/>
          <w:iCs/>
          <w:sz w:val="18"/>
          <w:szCs w:val="18"/>
        </w:rPr>
        <w:t>Aphanomyces invadans</w:t>
      </w:r>
      <w:r w:rsidRPr="00D403F5">
        <w:rPr>
          <w:rFonts w:ascii="Times New Roman" w:hAnsi="Times New Roman" w:cs="Times New Roman"/>
          <w:sz w:val="18"/>
          <w:szCs w:val="18"/>
        </w:rPr>
        <w:t>.)</w:t>
      </w:r>
    </w:p>
    <w:p w14:paraId="71DE69F8"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Guidance be provided in Chapter 1.4 regarding the standard of evidence and data sources that could be utilised to demonstrate that a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is absent.</w:t>
      </w:r>
    </w:p>
    <w:p w14:paraId="7C94475A" w14:textId="77777777" w:rsidR="00C7266C" w:rsidRPr="00D403F5" w:rsidRDefault="00C7266C" w:rsidP="0076436B">
      <w:pPr>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required period for </w:t>
      </w:r>
      <w:r w:rsidRPr="00D403F5">
        <w:rPr>
          <w:rFonts w:ascii="Times New Roman" w:hAnsi="Times New Roman" w:cs="Times New Roman"/>
          <w:i/>
          <w:sz w:val="18"/>
          <w:szCs w:val="18"/>
        </w:rPr>
        <w:t xml:space="preserve">basic biosecurity conditions </w:t>
      </w:r>
      <w:r w:rsidRPr="00D403F5">
        <w:rPr>
          <w:rFonts w:ascii="Times New Roman" w:hAnsi="Times New Roman" w:cs="Times New Roman"/>
          <w:sz w:val="18"/>
          <w:szCs w:val="18"/>
        </w:rPr>
        <w:t xml:space="preserve">for a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prior to making a declaration of freedom using this pathway should be determined for each pathogen based on its epidemiology.</w:t>
      </w:r>
    </w:p>
    <w:p w14:paraId="1F5A3C5B" w14:textId="77777777" w:rsidR="00C7266C" w:rsidRPr="00D403F5" w:rsidRDefault="00C7266C" w:rsidP="0076436B">
      <w:pPr>
        <w:spacing w:after="240" w:line="240" w:lineRule="auto"/>
        <w:ind w:left="426" w:hanging="426"/>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3.2.</w:t>
      </w:r>
      <w:r w:rsidRPr="00D403F5">
        <w:rPr>
          <w:rFonts w:ascii="Times New Roman" w:hAnsi="Times New Roman" w:cs="Times New Roman"/>
          <w:b/>
          <w:caps/>
          <w:color w:val="0070C0"/>
          <w:sz w:val="18"/>
          <w:szCs w:val="18"/>
        </w:rPr>
        <w:tab/>
        <w:t>Pathway 2 - Historical freedom</w:t>
      </w:r>
    </w:p>
    <w:p w14:paraId="63CA2CB9" w14:textId="77777777" w:rsidR="00C7266C" w:rsidRPr="00D403F5" w:rsidRDefault="00C7266C" w:rsidP="0076436B">
      <w:pPr>
        <w:pStyle w:val="3"/>
        <w:keepNext w:val="0"/>
        <w:keepLines w:val="0"/>
        <w:widowControl w:val="0"/>
        <w:spacing w:before="0" w:after="240"/>
        <w:ind w:left="426" w:firstLine="0"/>
        <w:jc w:val="both"/>
        <w:rPr>
          <w:rFonts w:ascii="Times New Roman" w:hAnsi="Times New Roman" w:cs="Times New Roman"/>
          <w:i/>
          <w:color w:val="0070C0"/>
          <w:sz w:val="18"/>
          <w:szCs w:val="18"/>
        </w:rPr>
      </w:pPr>
      <w:r w:rsidRPr="00D403F5">
        <w:rPr>
          <w:rFonts w:ascii="Times New Roman" w:hAnsi="Times New Roman" w:cs="Times New Roman"/>
          <w:b/>
          <w:bCs/>
          <w:i/>
          <w:color w:val="0070C0"/>
          <w:sz w:val="18"/>
          <w:szCs w:val="18"/>
        </w:rPr>
        <w:t>Current situation in the Aquatic Code</w:t>
      </w:r>
    </w:p>
    <w:p w14:paraId="5E22A1DA" w14:textId="77777777" w:rsidR="00C7266C" w:rsidRPr="00D403F5" w:rsidRDefault="00C7266C" w:rsidP="0076436B">
      <w:pPr>
        <w:widowControl w:val="0"/>
        <w:spacing w:after="24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for demonstrating freedom can be used for a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provided certain conditions are met, such as: </w:t>
      </w:r>
    </w:p>
    <w:p w14:paraId="71A81091" w14:textId="77777777" w:rsidR="00C7266C" w:rsidRPr="00D403F5" w:rsidRDefault="00C7266C" w:rsidP="0076436B">
      <w:pPr>
        <w:keepNext/>
        <w:widowControl w:val="0"/>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there has not been an observed occurrence of the disease for at least the last ten years (the period may be longer for some diseases; refer to Appendix 2); and </w:t>
      </w:r>
    </w:p>
    <w:p w14:paraId="57908BDA" w14:textId="77777777" w:rsidR="00C7266C" w:rsidRPr="00D403F5" w:rsidRDefault="00C7266C" w:rsidP="0076436B">
      <w:pPr>
        <w:keepNext/>
        <w:widowControl w:val="0"/>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have been in place for a specified period. </w:t>
      </w:r>
    </w:p>
    <w:p w14:paraId="5F5209BA"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Evaluation</w:t>
      </w:r>
    </w:p>
    <w:p w14:paraId="694C151C" w14:textId="77777777" w:rsidR="00C7266C" w:rsidRPr="00D403F5" w:rsidRDefault="00C7266C" w:rsidP="0076436B">
      <w:pPr>
        <w:widowControl w:val="0"/>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should only be available for diseases where sufficient confidence can be demonstrated that passive surveillance, as a part of a country’s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would detect the disease if it were to occur. Importantly, the disease would need to manifest clinically, be observed, reported and investigated as part of the country’s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If diseases are not expected to manifest clinically (e.g. ISAV HPR0), this pathway would not be appropriate.</w:t>
      </w:r>
    </w:p>
    <w:p w14:paraId="26D2CCA2"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is appropriate for self-declaration of freedom for countries and zones but may have limited application for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Areas outside of a </w:t>
      </w:r>
      <w:r w:rsidRPr="00D403F5">
        <w:rPr>
          <w:rFonts w:ascii="Times New Roman" w:hAnsi="Times New Roman" w:cs="Times New Roman"/>
          <w:i/>
          <w:sz w:val="18"/>
          <w:szCs w:val="18"/>
        </w:rPr>
        <w:t>free compartment</w:t>
      </w:r>
      <w:r w:rsidRPr="00D403F5">
        <w:rPr>
          <w:rFonts w:ascii="Times New Roman" w:hAnsi="Times New Roman" w:cs="Times New Roman"/>
          <w:sz w:val="18"/>
          <w:szCs w:val="18"/>
        </w:rPr>
        <w:t xml:space="preserve"> would usually not be declared free (otherwise there may be no reason to have a </w:t>
      </w:r>
      <w:r w:rsidRPr="00D403F5">
        <w:rPr>
          <w:rFonts w:ascii="Times New Roman" w:hAnsi="Times New Roman" w:cs="Times New Roman"/>
          <w:i/>
          <w:sz w:val="18"/>
          <w:szCs w:val="18"/>
        </w:rPr>
        <w:t>free compartment</w:t>
      </w:r>
      <w:r w:rsidRPr="00D403F5">
        <w:rPr>
          <w:rFonts w:ascii="Times New Roman" w:hAnsi="Times New Roman" w:cs="Times New Roman"/>
          <w:sz w:val="18"/>
          <w:szCs w:val="18"/>
        </w:rPr>
        <w:t xml:space="preserve">); therefore, the requirement for the disease to ‘have never been reported’ could not be met. For self-declaration of freedom of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is the most appropriate approach to providing evidence to substantiate a self-declaration of freedom. </w:t>
      </w:r>
    </w:p>
    <w:p w14:paraId="7179D096" w14:textId="77777777" w:rsidR="0076436B" w:rsidRDefault="0076436B" w:rsidP="0076436B">
      <w:pPr>
        <w:spacing w:after="480"/>
        <w:rPr>
          <w:rFonts w:ascii="Times New Roman" w:hAnsi="Times New Roman" w:cs="Times New Roman"/>
          <w:sz w:val="18"/>
          <w:szCs w:val="18"/>
          <w:u w:val="single"/>
        </w:rPr>
      </w:pPr>
      <w:r>
        <w:rPr>
          <w:rFonts w:ascii="Times New Roman" w:hAnsi="Times New Roman" w:cs="Times New Roman"/>
          <w:sz w:val="18"/>
          <w:szCs w:val="18"/>
          <w:u w:val="single"/>
        </w:rPr>
        <w:br w:type="page"/>
      </w:r>
    </w:p>
    <w:p w14:paraId="0B3741E1" w14:textId="770AB976" w:rsidR="0076436B" w:rsidRPr="00D403F5" w:rsidRDefault="0076436B"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00012731"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Passive surveillance is generally not effective in wild populations because they are either not observed, or the level of observation may be limited compared to farmed animals. This could mean that, as currently described, this pathway is not available even if passive surveillance provided robust evidence of freedom for most of the populations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in a country or zone. This issue could be addressed if Member Countries could: a) supplement evidence from passive surveillance with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data for populations not adequately covered by passive surveillance; or b) demonstrate that wild populations are epidemiologically linked to farmed populations such that disease would be observed in farmed populations should it occur in linked wild populations. This issue is discussed further below under recommended approach.</w:t>
      </w:r>
    </w:p>
    <w:p w14:paraId="47492917"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For this pathway, the period required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to be in place varies among diseases. This period should be set appropriately such that passive surveillance (provided through a country’s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will establish sufficient evidence of freedom from the disease, and that import requirements are sufficient to prevent introduction of the disease during the period that evidence of freedom is being obtained. Many factors need to be considered to determine the sensitivity of a passive surveillance system (and thus the period that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in place before freedom based on historic grounds can be demonstrated), such as the epidemiology of the disease (notably its clinical expression), host and environmental factors. </w:t>
      </w:r>
    </w:p>
    <w:p w14:paraId="5CBA2A3A"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Member Country comments February 2019</w:t>
      </w:r>
    </w:p>
    <w:p w14:paraId="6CF2D6B9"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Most Member Countries wished to retain the pathway for claiming historical freedom from a disease. A minority considered that the disease should never have been detected to be able to use this pathway but most believed that a minimum time period (e.g. 10 years) where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are in place would be sufficient for this pathway. </w:t>
      </w:r>
    </w:p>
    <w:p w14:paraId="3B246760" w14:textId="77777777" w:rsidR="00C7266C" w:rsidRPr="00D403F5" w:rsidRDefault="00C7266C" w:rsidP="0076436B">
      <w:pPr>
        <w:autoSpaceDE w:val="0"/>
        <w:autoSpaceDN w:val="0"/>
        <w:adjustRightInd w:val="0"/>
        <w:spacing w:after="240" w:line="240" w:lineRule="auto"/>
        <w:ind w:left="425"/>
        <w:jc w:val="both"/>
        <w:rPr>
          <w:rFonts w:ascii="Times New Roman" w:hAnsi="Times New Roman" w:cs="Times New Roman"/>
          <w:color w:val="000000" w:themeColor="text1"/>
          <w:sz w:val="18"/>
          <w:szCs w:val="18"/>
        </w:rPr>
      </w:pPr>
      <w:r w:rsidRPr="00D403F5">
        <w:rPr>
          <w:rFonts w:ascii="Times New Roman" w:hAnsi="Times New Roman" w:cs="Times New Roman"/>
          <w:sz w:val="18"/>
          <w:szCs w:val="18"/>
        </w:rPr>
        <w:t xml:space="preserve">Most Member Countries agreed that the factors for determining the required period of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for </w:t>
      </w:r>
      <w:r w:rsidRPr="00D403F5">
        <w:rPr>
          <w:rFonts w:ascii="Times New Roman" w:hAnsi="Times New Roman" w:cs="Times New Roman"/>
          <w:i/>
          <w:sz w:val="18"/>
          <w:szCs w:val="18"/>
        </w:rPr>
        <w:t>listed diseases</w:t>
      </w:r>
      <w:r w:rsidRPr="00D403F5">
        <w:rPr>
          <w:rFonts w:ascii="Times New Roman" w:hAnsi="Times New Roman" w:cs="Times New Roman"/>
          <w:sz w:val="18"/>
          <w:szCs w:val="18"/>
        </w:rPr>
        <w:t xml:space="preserve"> were appropriate. Additional factors were highlighted by one Member Country including the existence of latent spores or other life stages outside of the host. </w:t>
      </w:r>
      <w:r w:rsidRPr="00D403F5">
        <w:rPr>
          <w:rFonts w:ascii="Times New Roman" w:hAnsi="Times New Roman" w:cs="Times New Roman"/>
          <w:color w:val="000000" w:themeColor="text1"/>
          <w:sz w:val="18"/>
          <w:szCs w:val="18"/>
        </w:rPr>
        <w:t xml:space="preserve">One Member Country noted that factors related to production systems and management practices are likely to change over time. </w:t>
      </w:r>
    </w:p>
    <w:p w14:paraId="7F33F725"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It was noted that quantifying the sensitivity of an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could be technically difficult. It was acknowledged that epidemiological modelling is appropriate and defensible for determining overall sensitivity of surveillance and confidence in establishing freedom; however, this may exclude countries that lack sufficient epidemiology expertise from effectively applying these measures. The use of a default period would make this pathway for claiming freedom more accessible to Member Countries. </w:t>
      </w:r>
    </w:p>
    <w:p w14:paraId="079D51A9"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Some Member Countries indicated concern with allowing a period of passive surveillance less than 10 years due to the technical difficulties associated with accurately determining the sensitivity of passive surveillance. </w:t>
      </w:r>
    </w:p>
    <w:p w14:paraId="3952869A"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A small number of Member Countries recommended that there be no default period at all and Member Countries should determine the required periods of passive surveillance to achieve 95% confidence of freedom. These views were contrary to many others (refer to paragraphs above) that requested that a default period be recommended for each disease.</w:t>
      </w:r>
    </w:p>
    <w:p w14:paraId="2E02A35A"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Some Member Countries also requested additional clarity on key concepts relevant to passive surveillance; for example, defining observers and ‘conditions conducive to clinical expression of infection’. Member countries also requested that guidance be provided so that the relevant factors that contribute to determining the values in Table 1 (below) could be clearly described. </w:t>
      </w:r>
    </w:p>
    <w:p w14:paraId="364192A1"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Member countries highlighted the lack of sensitivity of passive surveillance for wild aquatic animal populations; however, many also noted that it is applicable in some circumstances. </w:t>
      </w:r>
    </w:p>
    <w:p w14:paraId="0CA309A7" w14:textId="77777777" w:rsidR="00C7266C" w:rsidRPr="00D403F5" w:rsidRDefault="00C7266C" w:rsidP="0076436B">
      <w:pPr>
        <w:pStyle w:val="3"/>
        <w:keepNext w:val="0"/>
        <w:keepLines w:val="0"/>
        <w:widowControl w:val="0"/>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Recommended approach</w:t>
      </w:r>
    </w:p>
    <w:p w14:paraId="65B5F301" w14:textId="77777777" w:rsidR="00C7266C" w:rsidRPr="00D403F5" w:rsidRDefault="00C7266C" w:rsidP="0076436B">
      <w:pPr>
        <w:pStyle w:val="40"/>
        <w:spacing w:before="0" w:after="240"/>
        <w:ind w:left="426" w:firstLine="0"/>
        <w:jc w:val="both"/>
        <w:rPr>
          <w:rFonts w:ascii="Times New Roman" w:hAnsi="Times New Roman" w:cs="Times New Roman"/>
          <w:b/>
          <w:bCs/>
          <w:iCs w:val="0"/>
          <w:color w:val="auto"/>
          <w:sz w:val="18"/>
          <w:szCs w:val="18"/>
        </w:rPr>
      </w:pPr>
      <w:r w:rsidRPr="00D403F5">
        <w:rPr>
          <w:rFonts w:ascii="Times New Roman" w:hAnsi="Times New Roman" w:cs="Times New Roman"/>
          <w:iCs w:val="0"/>
          <w:color w:val="auto"/>
          <w:sz w:val="18"/>
          <w:szCs w:val="18"/>
        </w:rPr>
        <w:t>Requirements for passive surveillance</w:t>
      </w:r>
    </w:p>
    <w:p w14:paraId="10385511"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It is proposed that, similar to current provisions of the relevant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a country or zone (but not a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could be declared free from a disease on the basis of historical freedom. The evidence for historical freedom is passive surveillance data generated by a country’s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that should meet the following conditions.</w:t>
      </w:r>
    </w:p>
    <w:p w14:paraId="4A844894" w14:textId="77777777" w:rsidR="0076436B" w:rsidRPr="0076436B" w:rsidRDefault="0076436B" w:rsidP="0076436B">
      <w:pPr>
        <w:spacing w:after="480" w:line="240" w:lineRule="auto"/>
        <w:jc w:val="both"/>
        <w:rPr>
          <w:rFonts w:ascii="Times New Roman" w:hAnsi="Times New Roman" w:cs="Times New Roman"/>
          <w:sz w:val="18"/>
          <w:szCs w:val="18"/>
        </w:rPr>
      </w:pPr>
      <w:r w:rsidRPr="0076436B">
        <w:rPr>
          <w:rFonts w:ascii="Times New Roman" w:hAnsi="Times New Roman" w:cs="Times New Roman"/>
          <w:sz w:val="18"/>
          <w:szCs w:val="18"/>
          <w:u w:val="single"/>
        </w:rPr>
        <w:t>Annex 8</w:t>
      </w:r>
      <w:r w:rsidRPr="0076436B">
        <w:rPr>
          <w:rFonts w:ascii="Times New Roman" w:hAnsi="Times New Roman" w:cs="Times New Roman"/>
          <w:sz w:val="18"/>
          <w:szCs w:val="18"/>
        </w:rPr>
        <w:t xml:space="preserve"> (contd)</w:t>
      </w:r>
    </w:p>
    <w:p w14:paraId="5C242FA3" w14:textId="4FE138E5" w:rsidR="00C7266C" w:rsidRPr="00D403F5" w:rsidRDefault="00C7266C" w:rsidP="0076436B">
      <w:pPr>
        <w:pStyle w:val="a4"/>
        <w:numPr>
          <w:ilvl w:val="0"/>
          <w:numId w:val="21"/>
        </w:numPr>
        <w:spacing w:after="240" w:line="240" w:lineRule="auto"/>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the disease has not been reported in the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(including in wild aquatic animal populations) for a default minimum period that would be determined based on factors specific to that disease (see section on requirements for </w:t>
      </w:r>
      <w:r w:rsidRPr="00D403F5">
        <w:rPr>
          <w:rFonts w:ascii="Times New Roman" w:hAnsi="Times New Roman" w:cs="Times New Roman"/>
          <w:i/>
          <w:iCs/>
          <w:sz w:val="18"/>
          <w:szCs w:val="18"/>
        </w:rPr>
        <w:t>basic biosecurity conditions</w:t>
      </w:r>
      <w:r w:rsidRPr="00D403F5">
        <w:rPr>
          <w:rFonts w:ascii="Times New Roman" w:hAnsi="Times New Roman" w:cs="Times New Roman"/>
          <w:sz w:val="18"/>
          <w:szCs w:val="18"/>
        </w:rPr>
        <w:t xml:space="preserve"> below);</w:t>
      </w:r>
    </w:p>
    <w:p w14:paraId="73445E79" w14:textId="77777777" w:rsidR="00C7266C" w:rsidRPr="00D403F5" w:rsidRDefault="00C7266C" w:rsidP="0076436B">
      <w:pPr>
        <w:pStyle w:val="a4"/>
        <w:numPr>
          <w:ilvl w:val="0"/>
          <w:numId w:val="21"/>
        </w:numPr>
        <w:spacing w:after="240" w:line="240" w:lineRule="auto"/>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the country has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in place including an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that is sufficiently sensitive to detect the disease should it occur and the following conditions (additional to the requirements of an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are met: </w:t>
      </w:r>
    </w:p>
    <w:p w14:paraId="20E93521" w14:textId="77777777" w:rsidR="00C7266C" w:rsidRPr="00D403F5" w:rsidRDefault="00C7266C" w:rsidP="0076436B">
      <w:pPr>
        <w:pStyle w:val="a4"/>
        <w:numPr>
          <w:ilvl w:val="1"/>
          <w:numId w:val="21"/>
        </w:numPr>
        <w:spacing w:after="240" w:line="240" w:lineRule="auto"/>
        <w:ind w:left="1418"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conditions within the country (biotic and abiotic) are conducive to clinical expression of the infection such that if the pathogenic agent were present, it would produce clinical signs of the disease in populations of susceptible animals;</w:t>
      </w:r>
    </w:p>
    <w:p w14:paraId="2DA7FF7E" w14:textId="77777777" w:rsidR="00C7266C" w:rsidRPr="00D403F5" w:rsidRDefault="00C7266C" w:rsidP="0076436B">
      <w:pPr>
        <w:pStyle w:val="a4"/>
        <w:numPr>
          <w:ilvl w:val="1"/>
          <w:numId w:val="21"/>
        </w:numPr>
        <w:spacing w:after="240" w:line="240" w:lineRule="auto"/>
        <w:ind w:left="1418"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for populations of susceptible </w:t>
      </w:r>
      <w:r w:rsidRPr="00D403F5">
        <w:rPr>
          <w:rFonts w:ascii="Times New Roman" w:hAnsi="Times New Roman" w:cs="Times New Roman"/>
          <w:sz w:val="18"/>
          <w:szCs w:val="18"/>
          <w:u w:val="single"/>
        </w:rPr>
        <w:t>farmed</w:t>
      </w:r>
      <w:r w:rsidRPr="00D403F5">
        <w:rPr>
          <w:rFonts w:ascii="Times New Roman" w:hAnsi="Times New Roman" w:cs="Times New Roman"/>
          <w:sz w:val="18"/>
          <w:szCs w:val="18"/>
        </w:rPr>
        <w:t xml:space="preserve"> aquatic animals they must be under sufficient observation such that, if clinical signs of the disease were to occur, they would be observed;</w:t>
      </w:r>
    </w:p>
    <w:p w14:paraId="210149B6" w14:textId="77777777" w:rsidR="00C7266C" w:rsidRPr="00D403F5" w:rsidRDefault="00C7266C" w:rsidP="0076436B">
      <w:pPr>
        <w:pStyle w:val="a4"/>
        <w:numPr>
          <w:ilvl w:val="1"/>
          <w:numId w:val="21"/>
        </w:numPr>
        <w:spacing w:after="240" w:line="240" w:lineRule="auto"/>
        <w:ind w:left="1418"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there must be sufficient awareness by potential observers that observation of clinical signs of the disease would lead to reporting;</w:t>
      </w:r>
    </w:p>
    <w:p w14:paraId="497582CA" w14:textId="77777777" w:rsidR="00C7266C" w:rsidRPr="00D403F5" w:rsidRDefault="00C7266C" w:rsidP="0076436B">
      <w:pPr>
        <w:pStyle w:val="a4"/>
        <w:numPr>
          <w:ilvl w:val="1"/>
          <w:numId w:val="21"/>
        </w:numPr>
        <w:spacing w:after="240" w:line="240" w:lineRule="auto"/>
        <w:ind w:left="1418" w:hanging="425"/>
        <w:contextualSpacing w:val="0"/>
        <w:jc w:val="both"/>
        <w:rPr>
          <w:rFonts w:ascii="Times New Roman" w:hAnsi="Times New Roman" w:cs="Times New Roman"/>
          <w:sz w:val="18"/>
          <w:szCs w:val="18"/>
        </w:rPr>
      </w:pPr>
      <w:bookmarkStart w:id="55" w:name="_Hlk507087194"/>
      <w:r w:rsidRPr="00D403F5">
        <w:rPr>
          <w:rFonts w:ascii="Times New Roman" w:hAnsi="Times New Roman" w:cs="Times New Roman"/>
          <w:sz w:val="18"/>
          <w:szCs w:val="18"/>
        </w:rPr>
        <w:t xml:space="preserve">for populations of susceptible </w:t>
      </w:r>
      <w:r w:rsidRPr="00D403F5">
        <w:rPr>
          <w:rFonts w:ascii="Times New Roman" w:hAnsi="Times New Roman" w:cs="Times New Roman"/>
          <w:sz w:val="18"/>
          <w:szCs w:val="18"/>
          <w:u w:val="single"/>
        </w:rPr>
        <w:t>wild</w:t>
      </w:r>
      <w:r w:rsidRPr="00D403F5">
        <w:rPr>
          <w:rFonts w:ascii="Times New Roman" w:hAnsi="Times New Roman" w:cs="Times New Roman"/>
          <w:sz w:val="18"/>
          <w:szCs w:val="18"/>
        </w:rPr>
        <w:t xml:space="preserve"> aquatic animals, they must:</w:t>
      </w:r>
    </w:p>
    <w:p w14:paraId="3C2757A6" w14:textId="77777777" w:rsidR="00C7266C" w:rsidRPr="00D403F5" w:rsidRDefault="00C7266C" w:rsidP="0076436B">
      <w:pPr>
        <w:pStyle w:val="a4"/>
        <w:numPr>
          <w:ilvl w:val="2"/>
          <w:numId w:val="21"/>
        </w:numPr>
        <w:spacing w:after="240" w:line="240" w:lineRule="auto"/>
        <w:ind w:left="1843" w:hanging="426"/>
        <w:contextualSpacing w:val="0"/>
        <w:jc w:val="both"/>
        <w:rPr>
          <w:rFonts w:ascii="Times New Roman" w:hAnsi="Times New Roman" w:cs="Times New Roman"/>
          <w:sz w:val="18"/>
          <w:szCs w:val="18"/>
        </w:rPr>
      </w:pPr>
      <w:r w:rsidRPr="00D403F5">
        <w:rPr>
          <w:rFonts w:ascii="Times New Roman" w:hAnsi="Times New Roman" w:cs="Times New Roman"/>
          <w:sz w:val="18"/>
          <w:szCs w:val="18"/>
        </w:rPr>
        <w:t>be under sufficient observation such that if clinical signs of the disease were to occur they would be observed and reported, or</w:t>
      </w:r>
    </w:p>
    <w:p w14:paraId="4058FFED" w14:textId="77777777" w:rsidR="00C7266C" w:rsidRPr="00D403F5" w:rsidRDefault="00C7266C" w:rsidP="0076436B">
      <w:pPr>
        <w:pStyle w:val="a4"/>
        <w:numPr>
          <w:ilvl w:val="2"/>
          <w:numId w:val="21"/>
        </w:numPr>
        <w:spacing w:after="240" w:line="240" w:lineRule="auto"/>
        <w:ind w:left="1843" w:hanging="426"/>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be epidemiologically linked to farmed populations such that the disease would occur and be observed and reported in farmed populations if it were to occur in wild aquatic animal populations; </w:t>
      </w:r>
    </w:p>
    <w:p w14:paraId="315EED75" w14:textId="77777777" w:rsidR="00C7266C" w:rsidRPr="00D403F5" w:rsidRDefault="00C7266C" w:rsidP="0076436B">
      <w:pPr>
        <w:pStyle w:val="a4"/>
        <w:numPr>
          <w:ilvl w:val="1"/>
          <w:numId w:val="21"/>
        </w:numPr>
        <w:spacing w:after="240" w:line="240" w:lineRule="auto"/>
        <w:ind w:left="1418"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there must be access to sufficient diagnostic capability to confirm or exclude cases of the disease.</w:t>
      </w:r>
    </w:p>
    <w:bookmarkEnd w:id="55"/>
    <w:p w14:paraId="21C86A7C" w14:textId="77777777" w:rsidR="00C7266C" w:rsidRPr="00D403F5" w:rsidRDefault="00C7266C" w:rsidP="0076436B">
      <w:pPr>
        <w:pStyle w:val="40"/>
        <w:spacing w:before="0" w:after="120"/>
        <w:ind w:left="426" w:firstLine="0"/>
        <w:jc w:val="both"/>
        <w:rPr>
          <w:rFonts w:ascii="Times New Roman" w:hAnsi="Times New Roman" w:cs="Times New Roman"/>
          <w:iCs w:val="0"/>
          <w:color w:val="auto"/>
          <w:sz w:val="18"/>
          <w:szCs w:val="18"/>
        </w:rPr>
      </w:pPr>
      <w:r w:rsidRPr="00D403F5">
        <w:rPr>
          <w:rFonts w:ascii="Times New Roman" w:hAnsi="Times New Roman" w:cs="Times New Roman"/>
          <w:iCs w:val="0"/>
          <w:color w:val="auto"/>
          <w:sz w:val="18"/>
          <w:szCs w:val="18"/>
        </w:rPr>
        <w:t>Need for targeted surveillance</w:t>
      </w:r>
    </w:p>
    <w:p w14:paraId="20A9EDBE" w14:textId="77777777" w:rsidR="00C7266C" w:rsidRPr="00D403F5" w:rsidRDefault="00C7266C" w:rsidP="0076436B">
      <w:pPr>
        <w:spacing w:after="12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If passive surveillance for some susceptible aquatic animal populations would not meet the requirements for passive surveillance specified above (e.g. for wild populations), it is proposed that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could be used to provide additional evidence of freedom for those identified populations. However, for this pathway to be used it must be based primarily on historical freedom (i.e. passive surveillance data); alternatively, pathway 3 (section 3.3. below) should be used.</w:t>
      </w:r>
    </w:p>
    <w:p w14:paraId="32124B92" w14:textId="77777777" w:rsidR="00C7266C" w:rsidRPr="00D403F5" w:rsidRDefault="00C7266C" w:rsidP="0076436B">
      <w:pPr>
        <w:pStyle w:val="40"/>
        <w:spacing w:before="0" w:after="120"/>
        <w:ind w:left="426" w:firstLine="0"/>
        <w:jc w:val="both"/>
        <w:rPr>
          <w:rFonts w:ascii="Times New Roman" w:hAnsi="Times New Roman" w:cs="Times New Roman"/>
          <w:i w:val="0"/>
          <w:color w:val="auto"/>
          <w:sz w:val="18"/>
          <w:szCs w:val="18"/>
        </w:rPr>
      </w:pPr>
      <w:r w:rsidRPr="00D403F5">
        <w:rPr>
          <w:rFonts w:ascii="Times New Roman" w:hAnsi="Times New Roman" w:cs="Times New Roman"/>
          <w:iCs w:val="0"/>
          <w:color w:val="auto"/>
          <w:sz w:val="18"/>
          <w:szCs w:val="18"/>
        </w:rPr>
        <w:t>Requirements for basic biosecurity conditions</w:t>
      </w:r>
    </w:p>
    <w:p w14:paraId="02E9E6B3" w14:textId="77777777" w:rsidR="00C7266C" w:rsidRPr="00D403F5" w:rsidRDefault="00C7266C" w:rsidP="0076436B">
      <w:pPr>
        <w:spacing w:after="12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Prior to a self-declaration of freedom being made,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in place for a period that is sufficient that, should the disease be present, it would manifest clinically and be detected by the country’s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Additionally, during that period there must be effective controls to prevent the introduction and establishment of the disease. Each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should include a </w:t>
      </w:r>
      <w:r w:rsidRPr="00D403F5">
        <w:rPr>
          <w:rFonts w:ascii="Times New Roman" w:hAnsi="Times New Roman" w:cs="Times New Roman"/>
          <w:sz w:val="18"/>
          <w:szCs w:val="18"/>
          <w:u w:val="single"/>
        </w:rPr>
        <w:t>minimum</w:t>
      </w:r>
      <w:r w:rsidRPr="00D403F5">
        <w:rPr>
          <w:rFonts w:ascii="Times New Roman" w:hAnsi="Times New Roman" w:cs="Times New Roman"/>
          <w:sz w:val="18"/>
          <w:szCs w:val="18"/>
        </w:rPr>
        <w:t xml:space="preserve"> period that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in place prior to a self-declaration of freedom being made in accordance with this pathway. </w:t>
      </w:r>
    </w:p>
    <w:p w14:paraId="62441F84" w14:textId="77777777" w:rsidR="00C7266C" w:rsidRPr="00D403F5" w:rsidRDefault="00C7266C" w:rsidP="0076436B">
      <w:pPr>
        <w:spacing w:after="12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It is proposed that the period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for a self-declaration of freedom on historical grounds, should be determined considering factors that would affect the sensitivity of passive surveillance, including:</w:t>
      </w:r>
    </w:p>
    <w:p w14:paraId="6A79F786" w14:textId="77777777" w:rsidR="00C7266C" w:rsidRPr="00D403F5" w:rsidRDefault="00C7266C" w:rsidP="0076436B">
      <w:pPr>
        <w:widowControl w:val="0"/>
        <w:spacing w:after="12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maximum duration of the production cycle for the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w:t>
      </w:r>
    </w:p>
    <w:p w14:paraId="6419C816" w14:textId="77777777" w:rsidR="00C7266C" w:rsidRPr="00D403F5" w:rsidRDefault="00C7266C" w:rsidP="0076436B">
      <w:pPr>
        <w:widowControl w:val="0"/>
        <w:spacing w:after="12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life stages at which animals are susceptible; </w:t>
      </w:r>
    </w:p>
    <w:p w14:paraId="4C1DF039" w14:textId="77777777" w:rsidR="00C7266C" w:rsidRPr="00D403F5" w:rsidRDefault="00C7266C" w:rsidP="0076436B">
      <w:pPr>
        <w:widowControl w:val="0"/>
        <w:spacing w:after="12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expected severity and duration of clinical signs in the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(and therefore the likelihood of detection);</w:t>
      </w:r>
    </w:p>
    <w:p w14:paraId="33959AB1" w14:textId="77777777" w:rsidR="00C7266C" w:rsidRPr="00D403F5" w:rsidRDefault="00C7266C" w:rsidP="0076436B">
      <w:pPr>
        <w:widowControl w:val="0"/>
        <w:spacing w:after="12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environmental conditions that influence levels of infection and clinical expression, including seasonality of the </w:t>
      </w:r>
      <w:r w:rsidRPr="00D403F5">
        <w:rPr>
          <w:rFonts w:ascii="Times New Roman" w:hAnsi="Times New Roman" w:cs="Times New Roman"/>
          <w:iCs/>
          <w:sz w:val="18"/>
          <w:szCs w:val="18"/>
        </w:rPr>
        <w:t>disease</w:t>
      </w:r>
      <w:r w:rsidRPr="00D403F5">
        <w:rPr>
          <w:rFonts w:ascii="Times New Roman" w:hAnsi="Times New Roman" w:cs="Times New Roman"/>
          <w:sz w:val="18"/>
          <w:szCs w:val="18"/>
        </w:rPr>
        <w:t xml:space="preserve"> (period of the year when clinical </w:t>
      </w:r>
      <w:r w:rsidRPr="00D403F5">
        <w:rPr>
          <w:rFonts w:ascii="Times New Roman" w:hAnsi="Times New Roman" w:cs="Times New Roman"/>
          <w:iCs/>
          <w:sz w:val="18"/>
          <w:szCs w:val="18"/>
        </w:rPr>
        <w:t>disease</w:t>
      </w:r>
      <w:r w:rsidRPr="00D403F5">
        <w:rPr>
          <w:rFonts w:ascii="Times New Roman" w:hAnsi="Times New Roman" w:cs="Times New Roman"/>
          <w:sz w:val="18"/>
          <w:szCs w:val="18"/>
        </w:rPr>
        <w:t xml:space="preserve"> occurs, e.g. when water temperatures are permissive);</w:t>
      </w:r>
    </w:p>
    <w:p w14:paraId="0D5C45EE" w14:textId="77777777" w:rsidR="00C7266C" w:rsidRPr="00D403F5" w:rsidRDefault="00C7266C" w:rsidP="0076436B">
      <w:pPr>
        <w:widowControl w:val="0"/>
        <w:tabs>
          <w:tab w:val="left" w:pos="1274"/>
        </w:tabs>
        <w:spacing w:after="12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factors specific to the pathogenic agent (e.g. production of spores)</w:t>
      </w:r>
    </w:p>
    <w:p w14:paraId="27F375D5" w14:textId="77777777" w:rsidR="00C7266C" w:rsidRPr="00D403F5" w:rsidRDefault="00C7266C" w:rsidP="0076436B">
      <w:pPr>
        <w:widowControl w:val="0"/>
        <w:spacing w:after="12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production systems and management practices that would affect observation of clinical signs if they were to occur;</w:t>
      </w:r>
    </w:p>
    <w:p w14:paraId="41FC32F6" w14:textId="77777777" w:rsidR="00C7266C" w:rsidRPr="00D403F5" w:rsidRDefault="00C7266C" w:rsidP="0076436B">
      <w:pPr>
        <w:widowControl w:val="0"/>
        <w:spacing w:after="24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any other relevant factors that may influence presentation of clinical signs and observation of the disease should it be present. </w:t>
      </w:r>
    </w:p>
    <w:p w14:paraId="42164D32" w14:textId="77777777" w:rsidR="0076436B" w:rsidRPr="00D403F5" w:rsidRDefault="0076436B"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033BE542" w14:textId="78CF01C7" w:rsidR="00C7266C" w:rsidRPr="00D403F5" w:rsidRDefault="00C7266C" w:rsidP="0076436B">
      <w:pPr>
        <w:widowControl w:val="0"/>
        <w:spacing w:after="12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It is proposed that the level of confidence of the evidence provided for historical freedom (on the basis of passive surveillance) should be equivalent to that of other pathways for which the evidence is provided by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The level of confidence of freedom should be set at 95%, consistent with the current requirements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If a combination of surveillance data sources is to be used (e.g. passive and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the level of confidence should also be set at 95%.</w:t>
      </w:r>
    </w:p>
    <w:p w14:paraId="2BD6B8F2" w14:textId="77777777" w:rsidR="00C7266C" w:rsidRPr="00D403F5" w:rsidRDefault="00C7266C" w:rsidP="0076436B">
      <w:pPr>
        <w:widowControl w:val="0"/>
        <w:spacing w:after="12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The default period of passive surveillance required to make a self-declaration of freedom for all diseases 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will be ten years. This period is the minimum required to achieve 95% likelihood of detection if the annual likelihood of detection is 30%. If, following consideration of the factors affecting the sensitivity of passive surveillance (provided above), the annual likelihood of detection is considered likely to be less than 30%, the minimum period required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(including passive surveillance) defined in the relevant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will be set to a period greater than ten years, as appropriate. </w:t>
      </w:r>
    </w:p>
    <w:p w14:paraId="7E536430" w14:textId="77777777" w:rsidR="00C7266C" w:rsidRPr="00D403F5" w:rsidRDefault="00C7266C" w:rsidP="0076436B">
      <w:pPr>
        <w:widowControl w:val="0"/>
        <w:spacing w:after="12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A country making a self-declaration of freedom on the basis of historical freedom will need to provide an explanation of how the criteria (i.e.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presented for this pathway have been met. Further, if the annual likelihood of detection is considered to be lower than 30% (where the required period is 10 years) due to a country’s circumstances (e.g. nature of the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environmental conditions, nature of the aquaculture industry), this pathway will not be valid. Instead, an alternative pathway that utilises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data will be required.   </w:t>
      </w:r>
    </w:p>
    <w:p w14:paraId="60377873" w14:textId="77777777" w:rsidR="00C7266C" w:rsidRPr="00D403F5" w:rsidRDefault="00C7266C" w:rsidP="0076436B">
      <w:pPr>
        <w:widowControl w:val="0"/>
        <w:spacing w:after="12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Epidemiological methods, such as scenario tree modelling, are available to determine the sensitivity of a surveillance system and thus the likelihood that a pathogenic agent, if present, is detected </w:t>
      </w:r>
      <w:r w:rsidRPr="00D403F5">
        <w:rPr>
          <w:rFonts w:ascii="Times New Roman" w:hAnsi="Times New Roman" w:cs="Times New Roman"/>
          <w:sz w:val="18"/>
          <w:szCs w:val="18"/>
        </w:rPr>
        <w:fldChar w:fldCharType="begin" w:fldLock="1"/>
      </w:r>
      <w:r w:rsidRPr="00D403F5">
        <w:rPr>
          <w:rFonts w:ascii="Times New Roman" w:hAnsi="Times New Roman" w:cs="Times New Roman"/>
          <w:sz w:val="18"/>
          <w:szCs w:val="18"/>
        </w:rPr>
        <w:instrText>ADDIN CSL_CITATION { "citationItems" : [ { "id" : "ITEM-1", "itemData" : { "DOI" : "10.1016/j.prevetmed.2006.09.008", "author" : [ { "dropping-particle" : "", "family" : "Martin", "given" : "P A J", "non-dropping-particle" : "", "parse-names" : false, "suffix" : "" }, { "dropping-particle" : "", "family" : "Cameron", "given" : "A R", "non-dropping-particle" : "", "parse-names" : false, "suffix" : "" }, { "dropping-particle" : "", "family" : "Greiner", "given" : "M", "non-dropping-particle" : "", "parse-names" : false, "suffix" : "" } ], "container-title" : "Preventive veterinary medicine", "id" : "ITEM-1", "issued" : { "date-parts" : [ [ "2007" ] ] }, "page" : "71-97", "title" : "Demonstrating freedom from disease using multiple complex data sources 1 : A new methodology based on scenario trees", "type" : "article-journal", "volume" : "79" }, "uris" : [ "http://www.mendeley.com/documents/?uuid=1ae65a8e-ddb3-4a42-b4fe-0d3779b5b013" ] } ], "mendeley" : { "formattedCitation" : "(Martin, Cameron, &amp; Greiner, 2007)", "plainTextFormattedCitation" : "(Martin, Cameron, &amp; Greiner, 2007)", "previouslyFormattedCitation" : "(Martin, Cameron, &amp; Greiner, 2007)" }, "properties" : {  }, "schema" : "https://github.com/citation-style-language/schema/raw/master/csl-citation.json" }</w:instrText>
      </w:r>
      <w:r w:rsidRPr="00D403F5">
        <w:rPr>
          <w:rFonts w:ascii="Times New Roman" w:hAnsi="Times New Roman" w:cs="Times New Roman"/>
          <w:sz w:val="18"/>
          <w:szCs w:val="18"/>
        </w:rPr>
        <w:fldChar w:fldCharType="separate"/>
      </w:r>
      <w:r w:rsidRPr="00D403F5">
        <w:rPr>
          <w:rFonts w:ascii="Times New Roman" w:hAnsi="Times New Roman" w:cs="Times New Roman"/>
          <w:sz w:val="18"/>
          <w:szCs w:val="18"/>
        </w:rPr>
        <w:t>(Martin, Cameron &amp; Greiner, 2007)</w:t>
      </w:r>
      <w:r w:rsidRPr="00D403F5">
        <w:rPr>
          <w:rFonts w:ascii="Times New Roman" w:hAnsi="Times New Roman" w:cs="Times New Roman"/>
          <w:sz w:val="18"/>
          <w:szCs w:val="18"/>
        </w:rPr>
        <w:fldChar w:fldCharType="end"/>
      </w:r>
      <w:r w:rsidRPr="00D403F5">
        <w:rPr>
          <w:rFonts w:ascii="Times New Roman" w:hAnsi="Times New Roman" w:cs="Times New Roman"/>
          <w:sz w:val="18"/>
          <w:szCs w:val="18"/>
        </w:rPr>
        <w:t>.</w:t>
      </w:r>
    </w:p>
    <w:p w14:paraId="4B14CD16" w14:textId="77777777" w:rsidR="00C7266C" w:rsidRPr="00D403F5" w:rsidRDefault="00C7266C" w:rsidP="0076436B">
      <w:pPr>
        <w:widowControl w:val="0"/>
        <w:spacing w:after="120"/>
        <w:ind w:left="426" w:right="423"/>
        <w:jc w:val="both"/>
        <w:rPr>
          <w:rFonts w:ascii="Times New Roman" w:hAnsi="Times New Roman" w:cs="Times New Roman"/>
          <w:color w:val="404040"/>
          <w:sz w:val="18"/>
          <w:szCs w:val="18"/>
        </w:rPr>
      </w:pPr>
      <w:bookmarkStart w:id="56" w:name="terme_oeuf"/>
      <w:bookmarkEnd w:id="56"/>
      <w:r w:rsidRPr="00D403F5">
        <w:rPr>
          <w:rFonts w:ascii="Times New Roman" w:hAnsi="Times New Roman" w:cs="Times New Roman"/>
          <w:b/>
          <w:sz w:val="18"/>
          <w:szCs w:val="18"/>
        </w:rPr>
        <w:t>Table 1.</w:t>
      </w:r>
      <w:r w:rsidRPr="00D403F5">
        <w:rPr>
          <w:rFonts w:ascii="Times New Roman" w:hAnsi="Times New Roman" w:cs="Times New Roman"/>
          <w:sz w:val="18"/>
          <w:szCs w:val="18"/>
        </w:rPr>
        <w:t xml:space="preserve"> Likelihood that pathogenic agent is detected by passive surveillance based on annual likelihood of detection and duration of surveillance.</w:t>
      </w:r>
    </w:p>
    <w:tbl>
      <w:tblPr>
        <w:tblW w:w="8144" w:type="dxa"/>
        <w:tblInd w:w="562" w:type="dxa"/>
        <w:tblLook w:val="04A0" w:firstRow="1" w:lastRow="0" w:firstColumn="1" w:lastColumn="0" w:noHBand="0" w:noVBand="1"/>
      </w:tblPr>
      <w:tblGrid>
        <w:gridCol w:w="1344"/>
        <w:gridCol w:w="680"/>
        <w:gridCol w:w="680"/>
        <w:gridCol w:w="680"/>
        <w:gridCol w:w="680"/>
        <w:gridCol w:w="680"/>
        <w:gridCol w:w="680"/>
        <w:gridCol w:w="680"/>
        <w:gridCol w:w="680"/>
        <w:gridCol w:w="680"/>
        <w:gridCol w:w="680"/>
      </w:tblGrid>
      <w:tr w:rsidR="00C7266C" w:rsidRPr="00D403F5" w14:paraId="5FA5A4EC" w14:textId="77777777" w:rsidTr="00C7266C">
        <w:trPr>
          <w:trHeight w:val="794"/>
        </w:trPr>
        <w:tc>
          <w:tcPr>
            <w:tcW w:w="1344" w:type="dxa"/>
            <w:vMerge w:val="restart"/>
            <w:tcBorders>
              <w:top w:val="single" w:sz="4" w:space="0" w:color="auto"/>
              <w:left w:val="single" w:sz="4" w:space="0" w:color="auto"/>
              <w:right w:val="nil"/>
            </w:tcBorders>
            <w:shd w:val="clear" w:color="auto" w:fill="auto"/>
            <w:noWrap/>
            <w:vAlign w:val="bottom"/>
            <w:hideMark/>
          </w:tcPr>
          <w:p w14:paraId="780CA1C0" w14:textId="77777777" w:rsidR="00C7266C" w:rsidRPr="00D403F5" w:rsidRDefault="00C7266C" w:rsidP="00D403F5">
            <w:pPr>
              <w:widowControl w:val="0"/>
              <w:spacing w:after="0"/>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Annual likelihood of detection (pD)</w:t>
            </w:r>
          </w:p>
        </w:tc>
        <w:tc>
          <w:tcPr>
            <w:tcW w:w="6800"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3E03" w14:textId="77777777" w:rsidR="00C7266C" w:rsidRPr="00D403F5" w:rsidRDefault="00C7266C" w:rsidP="00D403F5">
            <w:pPr>
              <w:widowControl w:val="0"/>
              <w:spacing w:after="0"/>
              <w:jc w:val="both"/>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Years (n) </w:t>
            </w:r>
          </w:p>
        </w:tc>
      </w:tr>
      <w:tr w:rsidR="00C7266C" w:rsidRPr="00D403F5" w14:paraId="5773AE29" w14:textId="77777777" w:rsidTr="00C7266C">
        <w:trPr>
          <w:trHeight w:val="300"/>
        </w:trPr>
        <w:tc>
          <w:tcPr>
            <w:tcW w:w="1344" w:type="dxa"/>
            <w:vMerge/>
            <w:tcBorders>
              <w:left w:val="single" w:sz="4" w:space="0" w:color="auto"/>
              <w:bottom w:val="single" w:sz="4" w:space="0" w:color="auto"/>
              <w:right w:val="single" w:sz="4" w:space="0" w:color="auto"/>
            </w:tcBorders>
            <w:shd w:val="clear" w:color="auto" w:fill="auto"/>
            <w:noWrap/>
            <w:vAlign w:val="bottom"/>
            <w:hideMark/>
          </w:tcPr>
          <w:p w14:paraId="70B4D589" w14:textId="77777777" w:rsidR="00C7266C" w:rsidRPr="00D403F5" w:rsidRDefault="00C7266C" w:rsidP="00D403F5">
            <w:pPr>
              <w:widowControl w:val="0"/>
              <w:spacing w:after="0"/>
              <w:jc w:val="both"/>
              <w:rPr>
                <w:rFonts w:ascii="Times New Roman" w:hAnsi="Times New Roman" w:cs="Times New Roman"/>
                <w:color w:val="000000"/>
                <w:sz w:val="18"/>
                <w:szCs w:val="18"/>
                <w:lang w:eastAsia="en-GB"/>
              </w:rPr>
            </w:pPr>
          </w:p>
        </w:tc>
        <w:tc>
          <w:tcPr>
            <w:tcW w:w="680" w:type="dxa"/>
            <w:tcBorders>
              <w:top w:val="nil"/>
              <w:left w:val="nil"/>
              <w:bottom w:val="single" w:sz="4" w:space="0" w:color="auto"/>
              <w:right w:val="single" w:sz="4" w:space="0" w:color="auto"/>
            </w:tcBorders>
            <w:shd w:val="clear" w:color="auto" w:fill="auto"/>
            <w:noWrap/>
            <w:vAlign w:val="bottom"/>
            <w:hideMark/>
          </w:tcPr>
          <w:p w14:paraId="6470E6DF"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10</w:t>
            </w:r>
          </w:p>
        </w:tc>
        <w:tc>
          <w:tcPr>
            <w:tcW w:w="680" w:type="dxa"/>
            <w:tcBorders>
              <w:top w:val="nil"/>
              <w:left w:val="nil"/>
              <w:bottom w:val="single" w:sz="4" w:space="0" w:color="auto"/>
              <w:right w:val="single" w:sz="4" w:space="0" w:color="auto"/>
            </w:tcBorders>
            <w:shd w:val="clear" w:color="auto" w:fill="auto"/>
            <w:noWrap/>
            <w:vAlign w:val="bottom"/>
            <w:hideMark/>
          </w:tcPr>
          <w:p w14:paraId="5A55EDD3"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9</w:t>
            </w:r>
          </w:p>
        </w:tc>
        <w:tc>
          <w:tcPr>
            <w:tcW w:w="680" w:type="dxa"/>
            <w:tcBorders>
              <w:top w:val="nil"/>
              <w:left w:val="nil"/>
              <w:bottom w:val="single" w:sz="4" w:space="0" w:color="auto"/>
              <w:right w:val="single" w:sz="4" w:space="0" w:color="auto"/>
            </w:tcBorders>
            <w:shd w:val="clear" w:color="auto" w:fill="auto"/>
            <w:noWrap/>
            <w:vAlign w:val="bottom"/>
            <w:hideMark/>
          </w:tcPr>
          <w:p w14:paraId="2D91985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8</w:t>
            </w:r>
          </w:p>
        </w:tc>
        <w:tc>
          <w:tcPr>
            <w:tcW w:w="680" w:type="dxa"/>
            <w:tcBorders>
              <w:top w:val="nil"/>
              <w:left w:val="nil"/>
              <w:bottom w:val="single" w:sz="4" w:space="0" w:color="auto"/>
              <w:right w:val="single" w:sz="4" w:space="0" w:color="auto"/>
            </w:tcBorders>
            <w:shd w:val="clear" w:color="auto" w:fill="auto"/>
            <w:noWrap/>
            <w:vAlign w:val="bottom"/>
            <w:hideMark/>
          </w:tcPr>
          <w:p w14:paraId="458CF4AD"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7</w:t>
            </w:r>
          </w:p>
        </w:tc>
        <w:tc>
          <w:tcPr>
            <w:tcW w:w="680" w:type="dxa"/>
            <w:tcBorders>
              <w:top w:val="nil"/>
              <w:left w:val="nil"/>
              <w:bottom w:val="single" w:sz="4" w:space="0" w:color="auto"/>
              <w:right w:val="single" w:sz="4" w:space="0" w:color="auto"/>
            </w:tcBorders>
            <w:shd w:val="clear" w:color="auto" w:fill="auto"/>
            <w:noWrap/>
            <w:vAlign w:val="bottom"/>
            <w:hideMark/>
          </w:tcPr>
          <w:p w14:paraId="4B9372DA"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6</w:t>
            </w:r>
          </w:p>
        </w:tc>
        <w:tc>
          <w:tcPr>
            <w:tcW w:w="680" w:type="dxa"/>
            <w:tcBorders>
              <w:top w:val="nil"/>
              <w:left w:val="nil"/>
              <w:bottom w:val="single" w:sz="4" w:space="0" w:color="auto"/>
              <w:right w:val="single" w:sz="4" w:space="0" w:color="auto"/>
            </w:tcBorders>
            <w:shd w:val="clear" w:color="auto" w:fill="auto"/>
            <w:noWrap/>
            <w:vAlign w:val="bottom"/>
            <w:hideMark/>
          </w:tcPr>
          <w:p w14:paraId="72AA0583"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5</w:t>
            </w:r>
          </w:p>
        </w:tc>
        <w:tc>
          <w:tcPr>
            <w:tcW w:w="680" w:type="dxa"/>
            <w:tcBorders>
              <w:top w:val="nil"/>
              <w:left w:val="nil"/>
              <w:bottom w:val="single" w:sz="4" w:space="0" w:color="auto"/>
              <w:right w:val="single" w:sz="4" w:space="0" w:color="auto"/>
            </w:tcBorders>
            <w:shd w:val="clear" w:color="auto" w:fill="auto"/>
            <w:noWrap/>
            <w:vAlign w:val="bottom"/>
            <w:hideMark/>
          </w:tcPr>
          <w:p w14:paraId="7FA25724"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4</w:t>
            </w:r>
          </w:p>
        </w:tc>
        <w:tc>
          <w:tcPr>
            <w:tcW w:w="680" w:type="dxa"/>
            <w:tcBorders>
              <w:top w:val="nil"/>
              <w:left w:val="nil"/>
              <w:bottom w:val="single" w:sz="4" w:space="0" w:color="auto"/>
              <w:right w:val="single" w:sz="4" w:space="0" w:color="auto"/>
            </w:tcBorders>
            <w:shd w:val="clear" w:color="auto" w:fill="auto"/>
            <w:noWrap/>
            <w:vAlign w:val="bottom"/>
            <w:hideMark/>
          </w:tcPr>
          <w:p w14:paraId="11F5F724"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3</w:t>
            </w:r>
          </w:p>
        </w:tc>
        <w:tc>
          <w:tcPr>
            <w:tcW w:w="680" w:type="dxa"/>
            <w:tcBorders>
              <w:top w:val="nil"/>
              <w:left w:val="nil"/>
              <w:bottom w:val="single" w:sz="4" w:space="0" w:color="auto"/>
              <w:right w:val="single" w:sz="4" w:space="0" w:color="auto"/>
            </w:tcBorders>
            <w:shd w:val="clear" w:color="auto" w:fill="auto"/>
            <w:noWrap/>
            <w:vAlign w:val="bottom"/>
            <w:hideMark/>
          </w:tcPr>
          <w:p w14:paraId="2416EBAF"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2</w:t>
            </w:r>
          </w:p>
        </w:tc>
        <w:tc>
          <w:tcPr>
            <w:tcW w:w="680" w:type="dxa"/>
            <w:tcBorders>
              <w:top w:val="nil"/>
              <w:left w:val="nil"/>
              <w:bottom w:val="single" w:sz="4" w:space="0" w:color="auto"/>
              <w:right w:val="single" w:sz="4" w:space="0" w:color="auto"/>
            </w:tcBorders>
            <w:shd w:val="clear" w:color="auto" w:fill="auto"/>
            <w:noWrap/>
            <w:vAlign w:val="bottom"/>
            <w:hideMark/>
          </w:tcPr>
          <w:p w14:paraId="1E5C569E"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1</w:t>
            </w:r>
          </w:p>
        </w:tc>
      </w:tr>
      <w:tr w:rsidR="00C7266C" w:rsidRPr="00D403F5" w14:paraId="7C0E58D2" w14:textId="77777777" w:rsidTr="00C7266C">
        <w:trPr>
          <w:trHeight w:val="300"/>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0BED2EA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0.5</w:t>
            </w:r>
          </w:p>
        </w:tc>
        <w:tc>
          <w:tcPr>
            <w:tcW w:w="680" w:type="dxa"/>
            <w:tcBorders>
              <w:top w:val="nil"/>
              <w:left w:val="nil"/>
              <w:bottom w:val="single" w:sz="4" w:space="0" w:color="auto"/>
              <w:right w:val="single" w:sz="4" w:space="0" w:color="auto"/>
            </w:tcBorders>
            <w:shd w:val="clear" w:color="auto" w:fill="auto"/>
            <w:noWrap/>
            <w:vAlign w:val="bottom"/>
            <w:hideMark/>
          </w:tcPr>
          <w:p w14:paraId="25240C72"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1.00</w:t>
            </w:r>
          </w:p>
        </w:tc>
        <w:tc>
          <w:tcPr>
            <w:tcW w:w="680" w:type="dxa"/>
            <w:tcBorders>
              <w:top w:val="nil"/>
              <w:left w:val="nil"/>
              <w:bottom w:val="single" w:sz="4" w:space="0" w:color="auto"/>
              <w:right w:val="single" w:sz="4" w:space="0" w:color="auto"/>
            </w:tcBorders>
            <w:shd w:val="clear" w:color="auto" w:fill="auto"/>
            <w:noWrap/>
            <w:vAlign w:val="bottom"/>
            <w:hideMark/>
          </w:tcPr>
          <w:p w14:paraId="72FE3F56"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1.00</w:t>
            </w:r>
          </w:p>
        </w:tc>
        <w:tc>
          <w:tcPr>
            <w:tcW w:w="680" w:type="dxa"/>
            <w:tcBorders>
              <w:top w:val="nil"/>
              <w:left w:val="nil"/>
              <w:bottom w:val="single" w:sz="4" w:space="0" w:color="auto"/>
              <w:right w:val="single" w:sz="4" w:space="0" w:color="auto"/>
            </w:tcBorders>
            <w:shd w:val="clear" w:color="auto" w:fill="auto"/>
            <w:noWrap/>
            <w:vAlign w:val="bottom"/>
            <w:hideMark/>
          </w:tcPr>
          <w:p w14:paraId="1ED0C2DA"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1.00</w:t>
            </w:r>
          </w:p>
        </w:tc>
        <w:tc>
          <w:tcPr>
            <w:tcW w:w="680" w:type="dxa"/>
            <w:tcBorders>
              <w:top w:val="nil"/>
              <w:left w:val="nil"/>
              <w:bottom w:val="single" w:sz="4" w:space="0" w:color="auto"/>
              <w:right w:val="single" w:sz="4" w:space="0" w:color="auto"/>
            </w:tcBorders>
            <w:shd w:val="clear" w:color="auto" w:fill="auto"/>
            <w:noWrap/>
            <w:vAlign w:val="bottom"/>
            <w:hideMark/>
          </w:tcPr>
          <w:p w14:paraId="49CFDB5E"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0.99</w:t>
            </w:r>
          </w:p>
        </w:tc>
        <w:tc>
          <w:tcPr>
            <w:tcW w:w="680" w:type="dxa"/>
            <w:tcBorders>
              <w:top w:val="nil"/>
              <w:left w:val="nil"/>
              <w:bottom w:val="single" w:sz="4" w:space="0" w:color="auto"/>
              <w:right w:val="single" w:sz="4" w:space="0" w:color="auto"/>
            </w:tcBorders>
            <w:shd w:val="clear" w:color="auto" w:fill="auto"/>
            <w:noWrap/>
            <w:vAlign w:val="bottom"/>
            <w:hideMark/>
          </w:tcPr>
          <w:p w14:paraId="461F8B8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0.98</w:t>
            </w:r>
          </w:p>
        </w:tc>
        <w:tc>
          <w:tcPr>
            <w:tcW w:w="680" w:type="dxa"/>
            <w:tcBorders>
              <w:top w:val="single" w:sz="4" w:space="0" w:color="auto"/>
              <w:left w:val="nil"/>
              <w:bottom w:val="single" w:sz="4" w:space="0" w:color="auto"/>
              <w:right w:val="single" w:sz="4" w:space="0" w:color="auto"/>
            </w:tcBorders>
            <w:shd w:val="clear" w:color="auto" w:fill="FFFF00"/>
            <w:noWrap/>
            <w:vAlign w:val="bottom"/>
            <w:hideMark/>
          </w:tcPr>
          <w:p w14:paraId="43378BFC"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0.97</w:t>
            </w:r>
          </w:p>
        </w:tc>
        <w:tc>
          <w:tcPr>
            <w:tcW w:w="680" w:type="dxa"/>
            <w:tcBorders>
              <w:top w:val="nil"/>
              <w:left w:val="nil"/>
              <w:bottom w:val="single" w:sz="4" w:space="0" w:color="auto"/>
              <w:right w:val="single" w:sz="4" w:space="0" w:color="auto"/>
            </w:tcBorders>
            <w:shd w:val="clear" w:color="auto" w:fill="auto"/>
            <w:noWrap/>
            <w:vAlign w:val="bottom"/>
            <w:hideMark/>
          </w:tcPr>
          <w:p w14:paraId="45021E42"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0.94</w:t>
            </w:r>
          </w:p>
        </w:tc>
        <w:tc>
          <w:tcPr>
            <w:tcW w:w="680" w:type="dxa"/>
            <w:tcBorders>
              <w:top w:val="nil"/>
              <w:left w:val="nil"/>
              <w:bottom w:val="single" w:sz="4" w:space="0" w:color="auto"/>
              <w:right w:val="single" w:sz="4" w:space="0" w:color="auto"/>
            </w:tcBorders>
            <w:shd w:val="clear" w:color="auto" w:fill="auto"/>
            <w:noWrap/>
            <w:vAlign w:val="bottom"/>
            <w:hideMark/>
          </w:tcPr>
          <w:p w14:paraId="7D4FB066"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0.88</w:t>
            </w:r>
          </w:p>
        </w:tc>
        <w:tc>
          <w:tcPr>
            <w:tcW w:w="680" w:type="dxa"/>
            <w:tcBorders>
              <w:top w:val="nil"/>
              <w:left w:val="nil"/>
              <w:bottom w:val="single" w:sz="4" w:space="0" w:color="auto"/>
              <w:right w:val="single" w:sz="4" w:space="0" w:color="auto"/>
            </w:tcBorders>
            <w:shd w:val="clear" w:color="auto" w:fill="auto"/>
            <w:noWrap/>
            <w:vAlign w:val="bottom"/>
            <w:hideMark/>
          </w:tcPr>
          <w:p w14:paraId="752F44DE"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0.75</w:t>
            </w:r>
          </w:p>
        </w:tc>
        <w:tc>
          <w:tcPr>
            <w:tcW w:w="680" w:type="dxa"/>
            <w:tcBorders>
              <w:top w:val="nil"/>
              <w:left w:val="nil"/>
              <w:bottom w:val="single" w:sz="4" w:space="0" w:color="auto"/>
              <w:right w:val="single" w:sz="4" w:space="0" w:color="auto"/>
            </w:tcBorders>
            <w:shd w:val="clear" w:color="auto" w:fill="auto"/>
            <w:noWrap/>
            <w:vAlign w:val="bottom"/>
            <w:hideMark/>
          </w:tcPr>
          <w:p w14:paraId="3171F69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0.50</w:t>
            </w:r>
          </w:p>
        </w:tc>
      </w:tr>
      <w:tr w:rsidR="00C7266C" w:rsidRPr="00D403F5" w14:paraId="6B2D48CC" w14:textId="77777777" w:rsidTr="00C7266C">
        <w:trPr>
          <w:trHeight w:val="300"/>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4D72593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0.4</w:t>
            </w:r>
          </w:p>
        </w:tc>
        <w:tc>
          <w:tcPr>
            <w:tcW w:w="680" w:type="dxa"/>
            <w:tcBorders>
              <w:top w:val="nil"/>
              <w:left w:val="nil"/>
              <w:bottom w:val="single" w:sz="4" w:space="0" w:color="auto"/>
              <w:right w:val="single" w:sz="4" w:space="0" w:color="auto"/>
            </w:tcBorders>
            <w:shd w:val="clear" w:color="auto" w:fill="auto"/>
            <w:noWrap/>
            <w:vAlign w:val="bottom"/>
            <w:hideMark/>
          </w:tcPr>
          <w:p w14:paraId="36D46BA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0.99</w:t>
            </w:r>
          </w:p>
        </w:tc>
        <w:tc>
          <w:tcPr>
            <w:tcW w:w="680" w:type="dxa"/>
            <w:tcBorders>
              <w:top w:val="nil"/>
              <w:left w:val="nil"/>
              <w:bottom w:val="single" w:sz="4" w:space="0" w:color="auto"/>
              <w:right w:val="single" w:sz="4" w:space="0" w:color="auto"/>
            </w:tcBorders>
            <w:shd w:val="clear" w:color="auto" w:fill="auto"/>
            <w:noWrap/>
            <w:vAlign w:val="bottom"/>
            <w:hideMark/>
          </w:tcPr>
          <w:p w14:paraId="0E3341D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0.99</w:t>
            </w:r>
          </w:p>
        </w:tc>
        <w:tc>
          <w:tcPr>
            <w:tcW w:w="680" w:type="dxa"/>
            <w:tcBorders>
              <w:top w:val="single" w:sz="4" w:space="0" w:color="auto"/>
              <w:left w:val="nil"/>
              <w:bottom w:val="single" w:sz="4" w:space="0" w:color="auto"/>
              <w:right w:val="single" w:sz="4" w:space="0" w:color="auto"/>
            </w:tcBorders>
            <w:shd w:val="clear" w:color="auto" w:fill="FFFF00"/>
            <w:noWrap/>
            <w:vAlign w:val="bottom"/>
            <w:hideMark/>
          </w:tcPr>
          <w:p w14:paraId="5F706F0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0.98</w:t>
            </w:r>
          </w:p>
        </w:tc>
        <w:tc>
          <w:tcPr>
            <w:tcW w:w="680" w:type="dxa"/>
            <w:tcBorders>
              <w:top w:val="single" w:sz="4" w:space="0" w:color="auto"/>
              <w:left w:val="nil"/>
              <w:bottom w:val="single" w:sz="4" w:space="0" w:color="auto"/>
              <w:right w:val="single" w:sz="4" w:space="0" w:color="auto"/>
            </w:tcBorders>
            <w:shd w:val="clear" w:color="auto" w:fill="FFFF00"/>
            <w:noWrap/>
            <w:vAlign w:val="bottom"/>
            <w:hideMark/>
          </w:tcPr>
          <w:p w14:paraId="775F33CE"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0.97</w:t>
            </w:r>
          </w:p>
        </w:tc>
        <w:tc>
          <w:tcPr>
            <w:tcW w:w="680" w:type="dxa"/>
            <w:tcBorders>
              <w:top w:val="single" w:sz="4" w:space="0" w:color="auto"/>
              <w:left w:val="nil"/>
              <w:bottom w:val="single" w:sz="4" w:space="0" w:color="auto"/>
              <w:right w:val="single" w:sz="4" w:space="0" w:color="auto"/>
            </w:tcBorders>
            <w:shd w:val="clear" w:color="auto" w:fill="FFFF00"/>
            <w:noWrap/>
            <w:vAlign w:val="bottom"/>
            <w:hideMark/>
          </w:tcPr>
          <w:p w14:paraId="1A5359C1"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0.95</w:t>
            </w:r>
          </w:p>
        </w:tc>
        <w:tc>
          <w:tcPr>
            <w:tcW w:w="680" w:type="dxa"/>
            <w:tcBorders>
              <w:top w:val="nil"/>
              <w:left w:val="nil"/>
              <w:bottom w:val="single" w:sz="4" w:space="0" w:color="auto"/>
              <w:right w:val="single" w:sz="4" w:space="0" w:color="auto"/>
            </w:tcBorders>
            <w:shd w:val="clear" w:color="auto" w:fill="auto"/>
            <w:noWrap/>
            <w:vAlign w:val="bottom"/>
            <w:hideMark/>
          </w:tcPr>
          <w:p w14:paraId="0AA6F498"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0.92</w:t>
            </w:r>
          </w:p>
        </w:tc>
        <w:tc>
          <w:tcPr>
            <w:tcW w:w="680" w:type="dxa"/>
            <w:tcBorders>
              <w:top w:val="nil"/>
              <w:left w:val="nil"/>
              <w:bottom w:val="single" w:sz="4" w:space="0" w:color="auto"/>
              <w:right w:val="single" w:sz="4" w:space="0" w:color="auto"/>
            </w:tcBorders>
            <w:shd w:val="clear" w:color="auto" w:fill="auto"/>
            <w:noWrap/>
            <w:vAlign w:val="bottom"/>
            <w:hideMark/>
          </w:tcPr>
          <w:p w14:paraId="42021687"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0.87</w:t>
            </w:r>
          </w:p>
        </w:tc>
        <w:tc>
          <w:tcPr>
            <w:tcW w:w="680" w:type="dxa"/>
            <w:tcBorders>
              <w:top w:val="nil"/>
              <w:left w:val="nil"/>
              <w:bottom w:val="single" w:sz="4" w:space="0" w:color="auto"/>
              <w:right w:val="single" w:sz="4" w:space="0" w:color="auto"/>
            </w:tcBorders>
            <w:shd w:val="clear" w:color="auto" w:fill="auto"/>
            <w:noWrap/>
            <w:vAlign w:val="bottom"/>
            <w:hideMark/>
          </w:tcPr>
          <w:p w14:paraId="6527126E"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0.78</w:t>
            </w:r>
          </w:p>
        </w:tc>
        <w:tc>
          <w:tcPr>
            <w:tcW w:w="680" w:type="dxa"/>
            <w:tcBorders>
              <w:top w:val="nil"/>
              <w:left w:val="nil"/>
              <w:bottom w:val="single" w:sz="4" w:space="0" w:color="auto"/>
              <w:right w:val="single" w:sz="4" w:space="0" w:color="auto"/>
            </w:tcBorders>
            <w:shd w:val="clear" w:color="auto" w:fill="auto"/>
            <w:noWrap/>
            <w:vAlign w:val="bottom"/>
            <w:hideMark/>
          </w:tcPr>
          <w:p w14:paraId="26FAFA8D"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0.64</w:t>
            </w:r>
          </w:p>
        </w:tc>
        <w:tc>
          <w:tcPr>
            <w:tcW w:w="680" w:type="dxa"/>
            <w:tcBorders>
              <w:top w:val="nil"/>
              <w:left w:val="nil"/>
              <w:bottom w:val="single" w:sz="4" w:space="0" w:color="auto"/>
              <w:right w:val="single" w:sz="4" w:space="0" w:color="auto"/>
            </w:tcBorders>
            <w:shd w:val="clear" w:color="auto" w:fill="auto"/>
            <w:noWrap/>
            <w:vAlign w:val="bottom"/>
            <w:hideMark/>
          </w:tcPr>
          <w:p w14:paraId="056ABEF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0.40</w:t>
            </w:r>
          </w:p>
        </w:tc>
      </w:tr>
      <w:tr w:rsidR="00C7266C" w:rsidRPr="00D403F5" w14:paraId="1716C34E" w14:textId="77777777" w:rsidTr="00C7266C">
        <w:trPr>
          <w:trHeight w:val="300"/>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434E9AFE"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0.3</w:t>
            </w:r>
          </w:p>
        </w:tc>
        <w:tc>
          <w:tcPr>
            <w:tcW w:w="680" w:type="dxa"/>
            <w:tcBorders>
              <w:top w:val="single" w:sz="4" w:space="0" w:color="auto"/>
              <w:left w:val="nil"/>
              <w:bottom w:val="single" w:sz="4" w:space="0" w:color="auto"/>
              <w:right w:val="single" w:sz="4" w:space="0" w:color="auto"/>
            </w:tcBorders>
            <w:shd w:val="clear" w:color="auto" w:fill="FFFF00"/>
            <w:noWrap/>
            <w:vAlign w:val="bottom"/>
            <w:hideMark/>
          </w:tcPr>
          <w:p w14:paraId="399CD6DE"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0.97</w:t>
            </w:r>
          </w:p>
        </w:tc>
        <w:tc>
          <w:tcPr>
            <w:tcW w:w="680" w:type="dxa"/>
            <w:tcBorders>
              <w:top w:val="single" w:sz="4" w:space="0" w:color="auto"/>
              <w:left w:val="nil"/>
              <w:bottom w:val="single" w:sz="4" w:space="0" w:color="auto"/>
              <w:right w:val="single" w:sz="4" w:space="0" w:color="auto"/>
            </w:tcBorders>
            <w:shd w:val="clear" w:color="auto" w:fill="FFFF00"/>
            <w:noWrap/>
            <w:vAlign w:val="bottom"/>
            <w:hideMark/>
          </w:tcPr>
          <w:p w14:paraId="50EBDF42"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0.96</w:t>
            </w:r>
          </w:p>
        </w:tc>
        <w:tc>
          <w:tcPr>
            <w:tcW w:w="680" w:type="dxa"/>
            <w:tcBorders>
              <w:top w:val="nil"/>
              <w:left w:val="nil"/>
              <w:bottom w:val="single" w:sz="4" w:space="0" w:color="auto"/>
              <w:right w:val="single" w:sz="4" w:space="0" w:color="auto"/>
            </w:tcBorders>
            <w:shd w:val="clear" w:color="auto" w:fill="auto"/>
            <w:noWrap/>
            <w:vAlign w:val="bottom"/>
            <w:hideMark/>
          </w:tcPr>
          <w:p w14:paraId="03E0D44D"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0.94</w:t>
            </w:r>
          </w:p>
        </w:tc>
        <w:tc>
          <w:tcPr>
            <w:tcW w:w="680" w:type="dxa"/>
            <w:tcBorders>
              <w:top w:val="nil"/>
              <w:left w:val="nil"/>
              <w:bottom w:val="single" w:sz="4" w:space="0" w:color="auto"/>
              <w:right w:val="single" w:sz="4" w:space="0" w:color="auto"/>
            </w:tcBorders>
            <w:shd w:val="clear" w:color="auto" w:fill="auto"/>
            <w:noWrap/>
            <w:vAlign w:val="bottom"/>
            <w:hideMark/>
          </w:tcPr>
          <w:p w14:paraId="633D41F9"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0.92</w:t>
            </w:r>
          </w:p>
        </w:tc>
        <w:tc>
          <w:tcPr>
            <w:tcW w:w="680" w:type="dxa"/>
            <w:tcBorders>
              <w:top w:val="nil"/>
              <w:left w:val="nil"/>
              <w:bottom w:val="single" w:sz="4" w:space="0" w:color="auto"/>
              <w:right w:val="single" w:sz="4" w:space="0" w:color="auto"/>
            </w:tcBorders>
            <w:shd w:val="clear" w:color="auto" w:fill="auto"/>
            <w:noWrap/>
            <w:vAlign w:val="bottom"/>
            <w:hideMark/>
          </w:tcPr>
          <w:p w14:paraId="4018C98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0.88</w:t>
            </w:r>
          </w:p>
        </w:tc>
        <w:tc>
          <w:tcPr>
            <w:tcW w:w="680" w:type="dxa"/>
            <w:tcBorders>
              <w:top w:val="nil"/>
              <w:left w:val="nil"/>
              <w:bottom w:val="single" w:sz="4" w:space="0" w:color="auto"/>
              <w:right w:val="single" w:sz="4" w:space="0" w:color="auto"/>
            </w:tcBorders>
            <w:shd w:val="clear" w:color="auto" w:fill="auto"/>
            <w:noWrap/>
            <w:vAlign w:val="bottom"/>
            <w:hideMark/>
          </w:tcPr>
          <w:p w14:paraId="11F8BC68"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0.83</w:t>
            </w:r>
          </w:p>
        </w:tc>
        <w:tc>
          <w:tcPr>
            <w:tcW w:w="680" w:type="dxa"/>
            <w:tcBorders>
              <w:top w:val="nil"/>
              <w:left w:val="nil"/>
              <w:bottom w:val="single" w:sz="4" w:space="0" w:color="auto"/>
              <w:right w:val="single" w:sz="4" w:space="0" w:color="auto"/>
            </w:tcBorders>
            <w:shd w:val="clear" w:color="auto" w:fill="auto"/>
            <w:noWrap/>
            <w:vAlign w:val="bottom"/>
            <w:hideMark/>
          </w:tcPr>
          <w:p w14:paraId="0E608C45"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0.76</w:t>
            </w:r>
          </w:p>
        </w:tc>
        <w:tc>
          <w:tcPr>
            <w:tcW w:w="680" w:type="dxa"/>
            <w:tcBorders>
              <w:top w:val="nil"/>
              <w:left w:val="nil"/>
              <w:bottom w:val="single" w:sz="4" w:space="0" w:color="auto"/>
              <w:right w:val="single" w:sz="4" w:space="0" w:color="auto"/>
            </w:tcBorders>
            <w:shd w:val="clear" w:color="auto" w:fill="auto"/>
            <w:noWrap/>
            <w:vAlign w:val="bottom"/>
            <w:hideMark/>
          </w:tcPr>
          <w:p w14:paraId="28F1E62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0.66</w:t>
            </w:r>
          </w:p>
        </w:tc>
        <w:tc>
          <w:tcPr>
            <w:tcW w:w="680" w:type="dxa"/>
            <w:tcBorders>
              <w:top w:val="nil"/>
              <w:left w:val="nil"/>
              <w:bottom w:val="single" w:sz="4" w:space="0" w:color="auto"/>
              <w:right w:val="single" w:sz="4" w:space="0" w:color="auto"/>
            </w:tcBorders>
            <w:shd w:val="clear" w:color="auto" w:fill="auto"/>
            <w:noWrap/>
            <w:vAlign w:val="bottom"/>
            <w:hideMark/>
          </w:tcPr>
          <w:p w14:paraId="6317D4D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0.51</w:t>
            </w:r>
          </w:p>
        </w:tc>
        <w:tc>
          <w:tcPr>
            <w:tcW w:w="680" w:type="dxa"/>
            <w:tcBorders>
              <w:top w:val="nil"/>
              <w:left w:val="nil"/>
              <w:bottom w:val="single" w:sz="4" w:space="0" w:color="auto"/>
              <w:right w:val="single" w:sz="4" w:space="0" w:color="auto"/>
            </w:tcBorders>
            <w:shd w:val="clear" w:color="auto" w:fill="auto"/>
            <w:noWrap/>
            <w:vAlign w:val="bottom"/>
            <w:hideMark/>
          </w:tcPr>
          <w:p w14:paraId="244C1D8F"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0.30</w:t>
            </w:r>
          </w:p>
        </w:tc>
      </w:tr>
      <w:tr w:rsidR="00C7266C" w:rsidRPr="00D403F5" w14:paraId="04EC7154" w14:textId="77777777" w:rsidTr="00C7266C">
        <w:trPr>
          <w:trHeight w:val="300"/>
        </w:trPr>
        <w:tc>
          <w:tcPr>
            <w:tcW w:w="1344" w:type="dxa"/>
            <w:tcBorders>
              <w:top w:val="nil"/>
              <w:left w:val="single" w:sz="4" w:space="0" w:color="auto"/>
              <w:bottom w:val="single" w:sz="4" w:space="0" w:color="auto"/>
              <w:right w:val="single" w:sz="4" w:space="0" w:color="auto"/>
            </w:tcBorders>
            <w:shd w:val="clear" w:color="auto" w:fill="auto"/>
            <w:noWrap/>
            <w:vAlign w:val="bottom"/>
          </w:tcPr>
          <w:p w14:paraId="5F4F3E55"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0.25</w:t>
            </w:r>
          </w:p>
        </w:tc>
        <w:tc>
          <w:tcPr>
            <w:tcW w:w="680" w:type="dxa"/>
            <w:tcBorders>
              <w:top w:val="nil"/>
              <w:left w:val="nil"/>
              <w:bottom w:val="single" w:sz="4" w:space="0" w:color="auto"/>
              <w:right w:val="single" w:sz="4" w:space="0" w:color="auto"/>
            </w:tcBorders>
            <w:shd w:val="clear" w:color="auto" w:fill="auto"/>
            <w:noWrap/>
            <w:vAlign w:val="bottom"/>
          </w:tcPr>
          <w:p w14:paraId="7E172927" w14:textId="77777777" w:rsidR="00C7266C" w:rsidRPr="00D403F5" w:rsidRDefault="00C7266C" w:rsidP="00D403F5">
            <w:pPr>
              <w:widowControl w:val="0"/>
              <w:spacing w:after="0"/>
              <w:jc w:val="center"/>
              <w:rPr>
                <w:rFonts w:ascii="Times New Roman" w:hAnsi="Times New Roman" w:cs="Times New Roman"/>
                <w:color w:val="000000"/>
                <w:sz w:val="18"/>
                <w:szCs w:val="18"/>
                <w:highlight w:val="yellow"/>
                <w:lang w:eastAsia="en-GB"/>
              </w:rPr>
            </w:pPr>
            <w:r w:rsidRPr="00D403F5">
              <w:rPr>
                <w:rFonts w:ascii="Times New Roman" w:hAnsi="Times New Roman" w:cs="Times New Roman"/>
                <w:color w:val="000000"/>
                <w:sz w:val="18"/>
                <w:szCs w:val="18"/>
              </w:rPr>
              <w:t>0.94</w:t>
            </w:r>
          </w:p>
        </w:tc>
        <w:tc>
          <w:tcPr>
            <w:tcW w:w="680" w:type="dxa"/>
            <w:tcBorders>
              <w:top w:val="nil"/>
              <w:left w:val="nil"/>
              <w:bottom w:val="single" w:sz="4" w:space="0" w:color="auto"/>
              <w:right w:val="single" w:sz="4" w:space="0" w:color="auto"/>
            </w:tcBorders>
            <w:shd w:val="clear" w:color="auto" w:fill="FFFFFF"/>
            <w:noWrap/>
            <w:vAlign w:val="bottom"/>
          </w:tcPr>
          <w:p w14:paraId="5992BB0C"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0.92</w:t>
            </w:r>
          </w:p>
        </w:tc>
        <w:tc>
          <w:tcPr>
            <w:tcW w:w="680" w:type="dxa"/>
            <w:tcBorders>
              <w:top w:val="nil"/>
              <w:left w:val="nil"/>
              <w:bottom w:val="single" w:sz="4" w:space="0" w:color="auto"/>
              <w:right w:val="single" w:sz="4" w:space="0" w:color="auto"/>
            </w:tcBorders>
            <w:shd w:val="clear" w:color="auto" w:fill="auto"/>
            <w:noWrap/>
            <w:vAlign w:val="bottom"/>
          </w:tcPr>
          <w:p w14:paraId="6D1E9B31"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0.90</w:t>
            </w:r>
          </w:p>
        </w:tc>
        <w:tc>
          <w:tcPr>
            <w:tcW w:w="680" w:type="dxa"/>
            <w:tcBorders>
              <w:top w:val="nil"/>
              <w:left w:val="nil"/>
              <w:bottom w:val="single" w:sz="4" w:space="0" w:color="auto"/>
              <w:right w:val="single" w:sz="4" w:space="0" w:color="auto"/>
            </w:tcBorders>
            <w:shd w:val="clear" w:color="auto" w:fill="auto"/>
            <w:noWrap/>
            <w:vAlign w:val="bottom"/>
          </w:tcPr>
          <w:p w14:paraId="4A348CDA"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0.87</w:t>
            </w:r>
          </w:p>
        </w:tc>
        <w:tc>
          <w:tcPr>
            <w:tcW w:w="680" w:type="dxa"/>
            <w:tcBorders>
              <w:top w:val="nil"/>
              <w:left w:val="nil"/>
              <w:bottom w:val="single" w:sz="4" w:space="0" w:color="auto"/>
              <w:right w:val="single" w:sz="4" w:space="0" w:color="auto"/>
            </w:tcBorders>
            <w:shd w:val="clear" w:color="auto" w:fill="auto"/>
            <w:noWrap/>
            <w:vAlign w:val="bottom"/>
          </w:tcPr>
          <w:p w14:paraId="5D0C702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0.82</w:t>
            </w:r>
          </w:p>
        </w:tc>
        <w:tc>
          <w:tcPr>
            <w:tcW w:w="680" w:type="dxa"/>
            <w:tcBorders>
              <w:top w:val="nil"/>
              <w:left w:val="nil"/>
              <w:bottom w:val="single" w:sz="4" w:space="0" w:color="auto"/>
              <w:right w:val="single" w:sz="4" w:space="0" w:color="auto"/>
            </w:tcBorders>
            <w:shd w:val="clear" w:color="auto" w:fill="auto"/>
            <w:noWrap/>
            <w:vAlign w:val="bottom"/>
          </w:tcPr>
          <w:p w14:paraId="41380DD1"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0.76</w:t>
            </w:r>
          </w:p>
        </w:tc>
        <w:tc>
          <w:tcPr>
            <w:tcW w:w="680" w:type="dxa"/>
            <w:tcBorders>
              <w:top w:val="nil"/>
              <w:left w:val="nil"/>
              <w:bottom w:val="single" w:sz="4" w:space="0" w:color="auto"/>
              <w:right w:val="single" w:sz="4" w:space="0" w:color="auto"/>
            </w:tcBorders>
            <w:shd w:val="clear" w:color="auto" w:fill="auto"/>
            <w:noWrap/>
            <w:vAlign w:val="bottom"/>
          </w:tcPr>
          <w:p w14:paraId="1E76EFD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0.68</w:t>
            </w:r>
          </w:p>
        </w:tc>
        <w:tc>
          <w:tcPr>
            <w:tcW w:w="680" w:type="dxa"/>
            <w:tcBorders>
              <w:top w:val="nil"/>
              <w:left w:val="nil"/>
              <w:bottom w:val="single" w:sz="4" w:space="0" w:color="auto"/>
              <w:right w:val="single" w:sz="4" w:space="0" w:color="auto"/>
            </w:tcBorders>
            <w:shd w:val="clear" w:color="auto" w:fill="auto"/>
            <w:noWrap/>
            <w:vAlign w:val="bottom"/>
          </w:tcPr>
          <w:p w14:paraId="53DC71BC"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0.58</w:t>
            </w:r>
          </w:p>
        </w:tc>
        <w:tc>
          <w:tcPr>
            <w:tcW w:w="680" w:type="dxa"/>
            <w:tcBorders>
              <w:top w:val="nil"/>
              <w:left w:val="nil"/>
              <w:bottom w:val="single" w:sz="4" w:space="0" w:color="auto"/>
              <w:right w:val="single" w:sz="4" w:space="0" w:color="auto"/>
            </w:tcBorders>
            <w:shd w:val="clear" w:color="auto" w:fill="auto"/>
            <w:noWrap/>
            <w:vAlign w:val="bottom"/>
          </w:tcPr>
          <w:p w14:paraId="4B041695"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0.44</w:t>
            </w:r>
          </w:p>
        </w:tc>
        <w:tc>
          <w:tcPr>
            <w:tcW w:w="680" w:type="dxa"/>
            <w:tcBorders>
              <w:top w:val="nil"/>
              <w:left w:val="nil"/>
              <w:bottom w:val="single" w:sz="4" w:space="0" w:color="auto"/>
              <w:right w:val="single" w:sz="4" w:space="0" w:color="auto"/>
            </w:tcBorders>
            <w:shd w:val="clear" w:color="auto" w:fill="auto"/>
            <w:noWrap/>
            <w:vAlign w:val="bottom"/>
          </w:tcPr>
          <w:p w14:paraId="76E3316F"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rPr>
              <w:t>0.25</w:t>
            </w:r>
          </w:p>
        </w:tc>
      </w:tr>
      <w:tr w:rsidR="00C7266C" w:rsidRPr="00D403F5" w14:paraId="1D06ACE1" w14:textId="77777777" w:rsidTr="00C7266C">
        <w:trPr>
          <w:trHeight w:val="300"/>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7DC45CAF"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0.2</w:t>
            </w:r>
          </w:p>
        </w:tc>
        <w:tc>
          <w:tcPr>
            <w:tcW w:w="680" w:type="dxa"/>
            <w:tcBorders>
              <w:top w:val="nil"/>
              <w:left w:val="nil"/>
              <w:bottom w:val="single" w:sz="4" w:space="0" w:color="auto"/>
              <w:right w:val="single" w:sz="4" w:space="0" w:color="auto"/>
            </w:tcBorders>
            <w:shd w:val="clear" w:color="auto" w:fill="auto"/>
            <w:noWrap/>
            <w:vAlign w:val="bottom"/>
            <w:hideMark/>
          </w:tcPr>
          <w:p w14:paraId="7124961D"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0.89</w:t>
            </w:r>
          </w:p>
        </w:tc>
        <w:tc>
          <w:tcPr>
            <w:tcW w:w="680" w:type="dxa"/>
            <w:tcBorders>
              <w:top w:val="nil"/>
              <w:left w:val="nil"/>
              <w:bottom w:val="single" w:sz="4" w:space="0" w:color="auto"/>
              <w:right w:val="single" w:sz="4" w:space="0" w:color="auto"/>
            </w:tcBorders>
            <w:shd w:val="clear" w:color="auto" w:fill="auto"/>
            <w:noWrap/>
            <w:vAlign w:val="bottom"/>
            <w:hideMark/>
          </w:tcPr>
          <w:p w14:paraId="239FCFFF"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0.87</w:t>
            </w:r>
          </w:p>
        </w:tc>
        <w:tc>
          <w:tcPr>
            <w:tcW w:w="680" w:type="dxa"/>
            <w:tcBorders>
              <w:top w:val="nil"/>
              <w:left w:val="nil"/>
              <w:bottom w:val="single" w:sz="4" w:space="0" w:color="auto"/>
              <w:right w:val="single" w:sz="4" w:space="0" w:color="auto"/>
            </w:tcBorders>
            <w:shd w:val="clear" w:color="auto" w:fill="auto"/>
            <w:noWrap/>
            <w:vAlign w:val="bottom"/>
            <w:hideMark/>
          </w:tcPr>
          <w:p w14:paraId="44FB2E0C"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0.83</w:t>
            </w:r>
          </w:p>
        </w:tc>
        <w:tc>
          <w:tcPr>
            <w:tcW w:w="680" w:type="dxa"/>
            <w:tcBorders>
              <w:top w:val="nil"/>
              <w:left w:val="nil"/>
              <w:bottom w:val="single" w:sz="4" w:space="0" w:color="auto"/>
              <w:right w:val="single" w:sz="4" w:space="0" w:color="auto"/>
            </w:tcBorders>
            <w:shd w:val="clear" w:color="auto" w:fill="auto"/>
            <w:noWrap/>
            <w:vAlign w:val="bottom"/>
            <w:hideMark/>
          </w:tcPr>
          <w:p w14:paraId="732255FA"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0.79</w:t>
            </w:r>
          </w:p>
        </w:tc>
        <w:tc>
          <w:tcPr>
            <w:tcW w:w="680" w:type="dxa"/>
            <w:tcBorders>
              <w:top w:val="nil"/>
              <w:left w:val="nil"/>
              <w:bottom w:val="single" w:sz="4" w:space="0" w:color="auto"/>
              <w:right w:val="single" w:sz="4" w:space="0" w:color="auto"/>
            </w:tcBorders>
            <w:shd w:val="clear" w:color="auto" w:fill="auto"/>
            <w:noWrap/>
            <w:vAlign w:val="bottom"/>
            <w:hideMark/>
          </w:tcPr>
          <w:p w14:paraId="07494CF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0.74</w:t>
            </w:r>
          </w:p>
        </w:tc>
        <w:tc>
          <w:tcPr>
            <w:tcW w:w="680" w:type="dxa"/>
            <w:tcBorders>
              <w:top w:val="nil"/>
              <w:left w:val="nil"/>
              <w:bottom w:val="single" w:sz="4" w:space="0" w:color="auto"/>
              <w:right w:val="single" w:sz="4" w:space="0" w:color="auto"/>
            </w:tcBorders>
            <w:shd w:val="clear" w:color="auto" w:fill="auto"/>
            <w:noWrap/>
            <w:vAlign w:val="bottom"/>
            <w:hideMark/>
          </w:tcPr>
          <w:p w14:paraId="22194312"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0.67</w:t>
            </w:r>
          </w:p>
        </w:tc>
        <w:tc>
          <w:tcPr>
            <w:tcW w:w="680" w:type="dxa"/>
            <w:tcBorders>
              <w:top w:val="nil"/>
              <w:left w:val="nil"/>
              <w:bottom w:val="single" w:sz="4" w:space="0" w:color="auto"/>
              <w:right w:val="single" w:sz="4" w:space="0" w:color="auto"/>
            </w:tcBorders>
            <w:shd w:val="clear" w:color="auto" w:fill="auto"/>
            <w:noWrap/>
            <w:vAlign w:val="bottom"/>
            <w:hideMark/>
          </w:tcPr>
          <w:p w14:paraId="3E2EBFA3"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0.59</w:t>
            </w:r>
          </w:p>
        </w:tc>
        <w:tc>
          <w:tcPr>
            <w:tcW w:w="680" w:type="dxa"/>
            <w:tcBorders>
              <w:top w:val="nil"/>
              <w:left w:val="nil"/>
              <w:bottom w:val="single" w:sz="4" w:space="0" w:color="auto"/>
              <w:right w:val="single" w:sz="4" w:space="0" w:color="auto"/>
            </w:tcBorders>
            <w:shd w:val="clear" w:color="auto" w:fill="auto"/>
            <w:noWrap/>
            <w:vAlign w:val="bottom"/>
            <w:hideMark/>
          </w:tcPr>
          <w:p w14:paraId="227AAF9A"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0.49</w:t>
            </w:r>
          </w:p>
        </w:tc>
        <w:tc>
          <w:tcPr>
            <w:tcW w:w="680" w:type="dxa"/>
            <w:tcBorders>
              <w:top w:val="nil"/>
              <w:left w:val="nil"/>
              <w:bottom w:val="single" w:sz="4" w:space="0" w:color="auto"/>
              <w:right w:val="single" w:sz="4" w:space="0" w:color="auto"/>
            </w:tcBorders>
            <w:shd w:val="clear" w:color="auto" w:fill="auto"/>
            <w:noWrap/>
            <w:vAlign w:val="bottom"/>
            <w:hideMark/>
          </w:tcPr>
          <w:p w14:paraId="57AF633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0.36</w:t>
            </w:r>
          </w:p>
        </w:tc>
        <w:tc>
          <w:tcPr>
            <w:tcW w:w="680" w:type="dxa"/>
            <w:tcBorders>
              <w:top w:val="nil"/>
              <w:left w:val="nil"/>
              <w:bottom w:val="single" w:sz="4" w:space="0" w:color="auto"/>
              <w:right w:val="single" w:sz="4" w:space="0" w:color="auto"/>
            </w:tcBorders>
            <w:shd w:val="clear" w:color="auto" w:fill="auto"/>
            <w:noWrap/>
            <w:vAlign w:val="bottom"/>
            <w:hideMark/>
          </w:tcPr>
          <w:p w14:paraId="7E7D03C6"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0.20</w:t>
            </w:r>
          </w:p>
        </w:tc>
      </w:tr>
      <w:tr w:rsidR="00C7266C" w:rsidRPr="00D403F5" w14:paraId="35E73937" w14:textId="77777777" w:rsidTr="00C7266C">
        <w:trPr>
          <w:trHeight w:val="300"/>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2423076F"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0.1</w:t>
            </w:r>
          </w:p>
        </w:tc>
        <w:tc>
          <w:tcPr>
            <w:tcW w:w="680" w:type="dxa"/>
            <w:tcBorders>
              <w:top w:val="nil"/>
              <w:left w:val="nil"/>
              <w:bottom w:val="single" w:sz="4" w:space="0" w:color="auto"/>
              <w:right w:val="single" w:sz="4" w:space="0" w:color="auto"/>
            </w:tcBorders>
            <w:shd w:val="clear" w:color="auto" w:fill="auto"/>
            <w:noWrap/>
            <w:vAlign w:val="bottom"/>
            <w:hideMark/>
          </w:tcPr>
          <w:p w14:paraId="6EE1030A"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0.65</w:t>
            </w:r>
          </w:p>
        </w:tc>
        <w:tc>
          <w:tcPr>
            <w:tcW w:w="680" w:type="dxa"/>
            <w:tcBorders>
              <w:top w:val="nil"/>
              <w:left w:val="nil"/>
              <w:bottom w:val="single" w:sz="4" w:space="0" w:color="auto"/>
              <w:right w:val="single" w:sz="4" w:space="0" w:color="auto"/>
            </w:tcBorders>
            <w:shd w:val="clear" w:color="auto" w:fill="auto"/>
            <w:noWrap/>
            <w:vAlign w:val="bottom"/>
            <w:hideMark/>
          </w:tcPr>
          <w:p w14:paraId="493E8F0B"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0.61</w:t>
            </w:r>
          </w:p>
        </w:tc>
        <w:tc>
          <w:tcPr>
            <w:tcW w:w="680" w:type="dxa"/>
            <w:tcBorders>
              <w:top w:val="nil"/>
              <w:left w:val="nil"/>
              <w:bottom w:val="single" w:sz="4" w:space="0" w:color="auto"/>
              <w:right w:val="single" w:sz="4" w:space="0" w:color="auto"/>
            </w:tcBorders>
            <w:shd w:val="clear" w:color="auto" w:fill="auto"/>
            <w:noWrap/>
            <w:vAlign w:val="bottom"/>
            <w:hideMark/>
          </w:tcPr>
          <w:p w14:paraId="00026EF1"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0.57</w:t>
            </w:r>
          </w:p>
        </w:tc>
        <w:tc>
          <w:tcPr>
            <w:tcW w:w="680" w:type="dxa"/>
            <w:tcBorders>
              <w:top w:val="nil"/>
              <w:left w:val="nil"/>
              <w:bottom w:val="single" w:sz="4" w:space="0" w:color="auto"/>
              <w:right w:val="single" w:sz="4" w:space="0" w:color="auto"/>
            </w:tcBorders>
            <w:shd w:val="clear" w:color="auto" w:fill="auto"/>
            <w:noWrap/>
            <w:vAlign w:val="bottom"/>
            <w:hideMark/>
          </w:tcPr>
          <w:p w14:paraId="7866D423"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0.52</w:t>
            </w:r>
          </w:p>
        </w:tc>
        <w:tc>
          <w:tcPr>
            <w:tcW w:w="680" w:type="dxa"/>
            <w:tcBorders>
              <w:top w:val="nil"/>
              <w:left w:val="nil"/>
              <w:bottom w:val="single" w:sz="4" w:space="0" w:color="auto"/>
              <w:right w:val="single" w:sz="4" w:space="0" w:color="auto"/>
            </w:tcBorders>
            <w:shd w:val="clear" w:color="auto" w:fill="auto"/>
            <w:noWrap/>
            <w:vAlign w:val="bottom"/>
            <w:hideMark/>
          </w:tcPr>
          <w:p w14:paraId="1BE53296"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0.47</w:t>
            </w:r>
          </w:p>
        </w:tc>
        <w:tc>
          <w:tcPr>
            <w:tcW w:w="680" w:type="dxa"/>
            <w:tcBorders>
              <w:top w:val="nil"/>
              <w:left w:val="nil"/>
              <w:bottom w:val="single" w:sz="4" w:space="0" w:color="auto"/>
              <w:right w:val="single" w:sz="4" w:space="0" w:color="auto"/>
            </w:tcBorders>
            <w:shd w:val="clear" w:color="auto" w:fill="auto"/>
            <w:noWrap/>
            <w:vAlign w:val="bottom"/>
            <w:hideMark/>
          </w:tcPr>
          <w:p w14:paraId="42D26D19"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0.41</w:t>
            </w:r>
          </w:p>
        </w:tc>
        <w:tc>
          <w:tcPr>
            <w:tcW w:w="680" w:type="dxa"/>
            <w:tcBorders>
              <w:top w:val="nil"/>
              <w:left w:val="nil"/>
              <w:bottom w:val="single" w:sz="4" w:space="0" w:color="auto"/>
              <w:right w:val="single" w:sz="4" w:space="0" w:color="auto"/>
            </w:tcBorders>
            <w:shd w:val="clear" w:color="auto" w:fill="auto"/>
            <w:noWrap/>
            <w:vAlign w:val="bottom"/>
            <w:hideMark/>
          </w:tcPr>
          <w:p w14:paraId="1DB0324C"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0.34</w:t>
            </w:r>
          </w:p>
        </w:tc>
        <w:tc>
          <w:tcPr>
            <w:tcW w:w="680" w:type="dxa"/>
            <w:tcBorders>
              <w:top w:val="nil"/>
              <w:left w:val="nil"/>
              <w:bottom w:val="single" w:sz="4" w:space="0" w:color="auto"/>
              <w:right w:val="single" w:sz="4" w:space="0" w:color="auto"/>
            </w:tcBorders>
            <w:shd w:val="clear" w:color="auto" w:fill="auto"/>
            <w:noWrap/>
            <w:vAlign w:val="bottom"/>
            <w:hideMark/>
          </w:tcPr>
          <w:p w14:paraId="0B865BC3"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0.27</w:t>
            </w:r>
          </w:p>
        </w:tc>
        <w:tc>
          <w:tcPr>
            <w:tcW w:w="680" w:type="dxa"/>
            <w:tcBorders>
              <w:top w:val="nil"/>
              <w:left w:val="nil"/>
              <w:bottom w:val="single" w:sz="4" w:space="0" w:color="auto"/>
              <w:right w:val="single" w:sz="4" w:space="0" w:color="auto"/>
            </w:tcBorders>
            <w:shd w:val="clear" w:color="auto" w:fill="auto"/>
            <w:noWrap/>
            <w:vAlign w:val="bottom"/>
            <w:hideMark/>
          </w:tcPr>
          <w:p w14:paraId="3C7B0CA0"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0.19</w:t>
            </w:r>
          </w:p>
        </w:tc>
        <w:tc>
          <w:tcPr>
            <w:tcW w:w="680" w:type="dxa"/>
            <w:tcBorders>
              <w:top w:val="nil"/>
              <w:left w:val="nil"/>
              <w:bottom w:val="single" w:sz="4" w:space="0" w:color="auto"/>
              <w:right w:val="single" w:sz="4" w:space="0" w:color="auto"/>
            </w:tcBorders>
            <w:shd w:val="clear" w:color="auto" w:fill="auto"/>
            <w:noWrap/>
            <w:vAlign w:val="bottom"/>
            <w:hideMark/>
          </w:tcPr>
          <w:p w14:paraId="57A02639" w14:textId="77777777" w:rsidR="00C7266C" w:rsidRPr="00D403F5" w:rsidRDefault="00C7266C" w:rsidP="00D403F5">
            <w:pPr>
              <w:widowControl w:val="0"/>
              <w:spacing w:after="0"/>
              <w:jc w:val="center"/>
              <w:rPr>
                <w:rFonts w:ascii="Times New Roman" w:hAnsi="Times New Roman" w:cs="Times New Roman"/>
                <w:color w:val="000000"/>
                <w:sz w:val="18"/>
                <w:szCs w:val="18"/>
                <w:lang w:eastAsia="en-GB"/>
              </w:rPr>
            </w:pPr>
            <w:r w:rsidRPr="00D403F5">
              <w:rPr>
                <w:rFonts w:ascii="Times New Roman" w:hAnsi="Times New Roman" w:cs="Times New Roman"/>
                <w:color w:val="000000"/>
                <w:sz w:val="18"/>
                <w:szCs w:val="18"/>
                <w:lang w:eastAsia="en-GB"/>
              </w:rPr>
              <w:t>0.10</w:t>
            </w:r>
          </w:p>
        </w:tc>
      </w:tr>
    </w:tbl>
    <w:p w14:paraId="028ACB06" w14:textId="77777777" w:rsidR="00C7266C" w:rsidRPr="00D403F5" w:rsidRDefault="00C7266C" w:rsidP="00D403F5">
      <w:pPr>
        <w:pStyle w:val="a4"/>
        <w:spacing w:after="0"/>
        <w:ind w:left="426" w:hanging="426"/>
        <w:contextualSpacing w:val="0"/>
        <w:jc w:val="both"/>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3.3.</w:t>
      </w:r>
      <w:r w:rsidRPr="00D403F5">
        <w:rPr>
          <w:rFonts w:ascii="Times New Roman" w:hAnsi="Times New Roman" w:cs="Times New Roman"/>
          <w:b/>
          <w:caps/>
          <w:color w:val="0070C0"/>
          <w:sz w:val="18"/>
          <w:szCs w:val="18"/>
        </w:rPr>
        <w:tab/>
        <w:t>Pathway 3 – Unknown disease status</w:t>
      </w:r>
    </w:p>
    <w:p w14:paraId="219B6911" w14:textId="77777777" w:rsidR="00C7266C" w:rsidRPr="00D403F5" w:rsidRDefault="00C7266C" w:rsidP="00D403F5">
      <w:pPr>
        <w:pStyle w:val="3"/>
        <w:keepNext w:val="0"/>
        <w:keepLines w:val="0"/>
        <w:widowControl w:val="0"/>
        <w:spacing w:before="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Current situation in the Aquatic Code</w:t>
      </w:r>
    </w:p>
    <w:p w14:paraId="621A7A62"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for demonstrating freedom can be used for a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The requirements of this pathway include that:</w:t>
      </w:r>
    </w:p>
    <w:p w14:paraId="2CD5DDD7" w14:textId="77777777" w:rsidR="00C7266C" w:rsidRPr="00D403F5" w:rsidRDefault="00C7266C" w:rsidP="00D403F5">
      <w:pPr>
        <w:spacing w:after="0"/>
        <w:ind w:left="851" w:hanging="425"/>
        <w:jc w:val="both"/>
        <w:rPr>
          <w:rFonts w:ascii="Times New Roman" w:hAnsi="Times New Roman" w:cs="Times New Roman"/>
          <w:sz w:val="18"/>
          <w:szCs w:val="18"/>
        </w:rPr>
      </w:pPr>
      <w:r w:rsidRPr="00D403F5">
        <w:rPr>
          <w:rFonts w:ascii="Times New Roman" w:hAnsi="Times New Roman" w:cs="Times New Roman"/>
          <w:i/>
          <w:sz w:val="18"/>
          <w:szCs w:val="18"/>
        </w:rPr>
        <w:t>‒</w:t>
      </w:r>
      <w:r w:rsidRPr="00D403F5">
        <w:rPr>
          <w:rFonts w:ascii="Times New Roman" w:hAnsi="Times New Roman" w:cs="Times New Roman"/>
          <w:i/>
          <w:sz w:val="18"/>
          <w:szCs w:val="18"/>
        </w:rPr>
        <w:tab/>
        <w:t>basic biosecurity conditions</w:t>
      </w:r>
      <w:r w:rsidRPr="00D403F5">
        <w:rPr>
          <w:rFonts w:ascii="Times New Roman" w:hAnsi="Times New Roman" w:cs="Times New Roman"/>
          <w:sz w:val="18"/>
          <w:szCs w:val="18"/>
        </w:rPr>
        <w:t xml:space="preserve"> have been continuously met for a certain period; and</w:t>
      </w:r>
    </w:p>
    <w:p w14:paraId="23AC4B96" w14:textId="77777777" w:rsidR="00C7266C" w:rsidRPr="00D403F5" w:rsidRDefault="00C7266C" w:rsidP="00D403F5">
      <w:pPr>
        <w:spacing w:after="0"/>
        <w:ind w:left="851" w:hanging="425"/>
        <w:jc w:val="both"/>
        <w:rPr>
          <w:rFonts w:ascii="Times New Roman" w:hAnsi="Times New Roman" w:cs="Times New Roman"/>
          <w:sz w:val="18"/>
          <w:szCs w:val="18"/>
        </w:rPr>
      </w:pPr>
      <w:r w:rsidRPr="00D403F5">
        <w:rPr>
          <w:rFonts w:ascii="Times New Roman" w:hAnsi="Times New Roman" w:cs="Times New Roman"/>
          <w:i/>
          <w:sz w:val="18"/>
          <w:szCs w:val="18"/>
        </w:rPr>
        <w:t>‒</w:t>
      </w:r>
      <w:r w:rsidRPr="00D403F5">
        <w:rPr>
          <w:rFonts w:ascii="Times New Roman" w:hAnsi="Times New Roman" w:cs="Times New Roman"/>
          <w:i/>
          <w:sz w:val="18"/>
          <w:szCs w:val="18"/>
        </w:rPr>
        <w:tab/>
        <w:t>targeted surveillance</w:t>
      </w:r>
      <w:r w:rsidRPr="00D403F5">
        <w:rPr>
          <w:rFonts w:ascii="Times New Roman" w:hAnsi="Times New Roman" w:cs="Times New Roman"/>
          <w:sz w:val="18"/>
          <w:szCs w:val="18"/>
        </w:rPr>
        <w:t xml:space="preserve">, as described in Chapter 1.4., has been in place for a certain period without detection of </w:t>
      </w:r>
      <w:r w:rsidRPr="00D403F5">
        <w:rPr>
          <w:rFonts w:ascii="Times New Roman" w:hAnsi="Times New Roman" w:cs="Times New Roman"/>
          <w:i/>
          <w:sz w:val="18"/>
          <w:szCs w:val="18"/>
        </w:rPr>
        <w:t>infection</w:t>
      </w:r>
      <w:r w:rsidRPr="00D403F5">
        <w:rPr>
          <w:rFonts w:ascii="Times New Roman" w:hAnsi="Times New Roman" w:cs="Times New Roman"/>
          <w:sz w:val="18"/>
          <w:szCs w:val="18"/>
        </w:rPr>
        <w:t xml:space="preserve"> with the relevant </w:t>
      </w:r>
      <w:r w:rsidRPr="00D403F5">
        <w:rPr>
          <w:rFonts w:ascii="Times New Roman" w:hAnsi="Times New Roman" w:cs="Times New Roman"/>
          <w:i/>
          <w:sz w:val="18"/>
          <w:szCs w:val="18"/>
        </w:rPr>
        <w:t>pathogenic agent</w:t>
      </w:r>
      <w:r w:rsidRPr="00D403F5">
        <w:rPr>
          <w:rFonts w:ascii="Times New Roman" w:hAnsi="Times New Roman" w:cs="Times New Roman"/>
          <w:sz w:val="18"/>
          <w:szCs w:val="18"/>
        </w:rPr>
        <w:t>.</w:t>
      </w:r>
    </w:p>
    <w:p w14:paraId="23DC821A"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Additionally, Chapter 1.4.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(refer to Article 1.4.6., point 3) requires that:</w:t>
      </w:r>
    </w:p>
    <w:p w14:paraId="5D77D34B" w14:textId="77777777" w:rsidR="00C7266C" w:rsidRPr="00D403F5" w:rsidRDefault="00C7266C" w:rsidP="00D403F5">
      <w:pPr>
        <w:autoSpaceDE w:val="0"/>
        <w:autoSpaceDN w:val="0"/>
        <w:adjustRightInd w:val="0"/>
        <w:spacing w:after="0"/>
        <w:ind w:left="851" w:hanging="425"/>
        <w:jc w:val="both"/>
        <w:rPr>
          <w:rFonts w:ascii="Times New Roman" w:hAnsi="Times New Roman" w:cs="Times New Roman"/>
          <w:sz w:val="18"/>
          <w:szCs w:val="18"/>
        </w:rPr>
      </w:pPr>
      <w:r w:rsidRPr="00D403F5">
        <w:rPr>
          <w:rFonts w:ascii="Times New Roman" w:hAnsi="Times New Roman" w:cs="Times New Roman"/>
          <w:sz w:val="18"/>
          <w:szCs w:val="18"/>
        </w:rPr>
        <w:t>a)</w:t>
      </w:r>
      <w:r w:rsidRPr="00D403F5">
        <w:rPr>
          <w:rFonts w:ascii="Times New Roman" w:hAnsi="Times New Roman" w:cs="Times New Roman"/>
          <w:sz w:val="18"/>
          <w:szCs w:val="18"/>
        </w:rPr>
        <w:tab/>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are in place and effectively enforced;</w:t>
      </w:r>
    </w:p>
    <w:p w14:paraId="58F1D8C2" w14:textId="77777777" w:rsidR="00C7266C" w:rsidRPr="00D403F5" w:rsidRDefault="00C7266C" w:rsidP="00D403F5">
      <w:pPr>
        <w:tabs>
          <w:tab w:val="left" w:pos="990"/>
        </w:tabs>
        <w:autoSpaceDE w:val="0"/>
        <w:autoSpaceDN w:val="0"/>
        <w:adjustRightInd w:val="0"/>
        <w:spacing w:after="0"/>
        <w:ind w:left="851" w:hanging="425"/>
        <w:jc w:val="both"/>
        <w:rPr>
          <w:rFonts w:ascii="Times New Roman" w:hAnsi="Times New Roman" w:cs="Times New Roman"/>
          <w:sz w:val="18"/>
          <w:szCs w:val="18"/>
        </w:rPr>
      </w:pPr>
      <w:r w:rsidRPr="00D403F5">
        <w:rPr>
          <w:rFonts w:ascii="Times New Roman" w:hAnsi="Times New Roman" w:cs="Times New Roman"/>
          <w:sz w:val="18"/>
          <w:szCs w:val="18"/>
        </w:rPr>
        <w:t>b)</w:t>
      </w:r>
      <w:r w:rsidRPr="00D403F5">
        <w:rPr>
          <w:rFonts w:ascii="Times New Roman" w:hAnsi="Times New Roman" w:cs="Times New Roman"/>
          <w:sz w:val="18"/>
          <w:szCs w:val="18"/>
        </w:rPr>
        <w:tab/>
        <w:t xml:space="preserve">no vaccination against the disease has been carried out unless otherwise provided 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w:t>
      </w:r>
    </w:p>
    <w:p w14:paraId="511575A0" w14:textId="77777777" w:rsidR="00C7266C" w:rsidRPr="00D403F5" w:rsidRDefault="00C7266C" w:rsidP="00D403F5">
      <w:pPr>
        <w:tabs>
          <w:tab w:val="left" w:pos="990"/>
        </w:tabs>
        <w:autoSpaceDE w:val="0"/>
        <w:autoSpaceDN w:val="0"/>
        <w:adjustRightInd w:val="0"/>
        <w:spacing w:after="0"/>
        <w:ind w:left="851" w:hanging="425"/>
        <w:jc w:val="both"/>
        <w:rPr>
          <w:rFonts w:ascii="Times New Roman" w:hAnsi="Times New Roman" w:cs="Times New Roman"/>
          <w:sz w:val="18"/>
          <w:szCs w:val="18"/>
        </w:rPr>
      </w:pPr>
      <w:r w:rsidRPr="00D403F5">
        <w:rPr>
          <w:rFonts w:ascii="Times New Roman" w:hAnsi="Times New Roman" w:cs="Times New Roman"/>
          <w:sz w:val="18"/>
          <w:szCs w:val="18"/>
        </w:rPr>
        <w:t>c)</w:t>
      </w:r>
      <w:r w:rsidRPr="00D403F5">
        <w:rPr>
          <w:rFonts w:ascii="Times New Roman" w:hAnsi="Times New Roman" w:cs="Times New Roman"/>
          <w:sz w:val="18"/>
          <w:szCs w:val="18"/>
        </w:rPr>
        <w:tab/>
        <w:t xml:space="preserve">the disease is not known to be established in wild aquatic animals within the country or zone intended to be declared free. (A country or zone cannot apply for freedom if there is any evidence of disease in wild aquatic animals.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in wild aquatic animals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is necessary to confirm </w:t>
      </w:r>
      <w:r w:rsidRPr="00D403F5">
        <w:rPr>
          <w:rFonts w:ascii="Times New Roman" w:hAnsi="Times New Roman" w:cs="Times New Roman"/>
          <w:i/>
          <w:sz w:val="18"/>
          <w:szCs w:val="18"/>
        </w:rPr>
        <w:t>absence</w:t>
      </w:r>
      <w:r w:rsidRPr="00D403F5">
        <w:rPr>
          <w:rFonts w:ascii="Times New Roman" w:hAnsi="Times New Roman" w:cs="Times New Roman"/>
          <w:sz w:val="18"/>
          <w:szCs w:val="18"/>
        </w:rPr>
        <w:t>.)</w:t>
      </w:r>
    </w:p>
    <w:p w14:paraId="3F4E4B39" w14:textId="77777777" w:rsidR="00C7266C" w:rsidRPr="00D403F5" w:rsidRDefault="00C7266C" w:rsidP="00D403F5">
      <w:pPr>
        <w:pStyle w:val="3"/>
        <w:keepNext w:val="0"/>
        <w:keepLines w:val="0"/>
        <w:widowControl w:val="0"/>
        <w:spacing w:before="0"/>
        <w:ind w:left="426" w:firstLine="0"/>
        <w:jc w:val="both"/>
        <w:rPr>
          <w:rFonts w:ascii="Times New Roman" w:hAnsi="Times New Roman"/>
          <w:b/>
          <w:bCs/>
          <w:i/>
          <w:color w:val="0070C0"/>
          <w:sz w:val="18"/>
          <w:szCs w:val="18"/>
        </w:rPr>
      </w:pPr>
      <w:r w:rsidRPr="00D403F5">
        <w:rPr>
          <w:rFonts w:ascii="Times New Roman" w:hAnsi="Times New Roman"/>
          <w:b/>
          <w:bCs/>
          <w:i/>
          <w:color w:val="0070C0"/>
          <w:sz w:val="18"/>
          <w:szCs w:val="18"/>
        </w:rPr>
        <w:br w:type="page"/>
      </w:r>
    </w:p>
    <w:p w14:paraId="39A8AA37" w14:textId="77777777"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1696D806" w14:textId="77777777" w:rsidR="00C7266C" w:rsidRPr="00D403F5" w:rsidRDefault="00C7266C" w:rsidP="00D403F5">
      <w:pPr>
        <w:pStyle w:val="3"/>
        <w:keepNext w:val="0"/>
        <w:keepLines w:val="0"/>
        <w:widowControl w:val="0"/>
        <w:spacing w:before="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Evaluation</w:t>
      </w:r>
    </w:p>
    <w:p w14:paraId="33EA2211"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is appropriate for self-declaration of freedom for countries, </w:t>
      </w:r>
      <w:r w:rsidRPr="00D403F5">
        <w:rPr>
          <w:rFonts w:ascii="Times New Roman" w:hAnsi="Times New Roman" w:cs="Times New Roman"/>
          <w:i/>
          <w:sz w:val="18"/>
          <w:szCs w:val="18"/>
        </w:rPr>
        <w:t>zones</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and may be applied when less resource intensive pathways cannot be applied (e.g. historical freedom based on passive surveillance cannot be claimed due to previous occurrence of clinical disease). </w:t>
      </w:r>
    </w:p>
    <w:p w14:paraId="3829AF62"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This pathway has previously emphasised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as the sole form of evidence to support a self-declaration of freedom. However, through the application of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passive surveillance evidence will also be generated. The relative weight of evidence from passive and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would depend on a range of factors as described above for the historical freedom (refer to Section 3.2. above).</w:t>
      </w:r>
    </w:p>
    <w:p w14:paraId="323A07D6"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in place so that there are effective controls to prevent disease introduction from the time surveillance commences. However,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may be necessary for a period prior to the commencement of surveillance that is sufficient to ensure that the disease would be detected (i.e. has reached the design prevalence) if it had been introduced immediately prior to the implementation of measures to prevent introduction.</w:t>
      </w:r>
    </w:p>
    <w:p w14:paraId="774B7049" w14:textId="77777777" w:rsidR="00C7266C" w:rsidRPr="00D403F5" w:rsidRDefault="00C7266C" w:rsidP="00D403F5">
      <w:pPr>
        <w:pStyle w:val="3"/>
        <w:keepNext w:val="0"/>
        <w:keepLines w:val="0"/>
        <w:widowControl w:val="0"/>
        <w:spacing w:before="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Summary of Member Country comments February 2019</w:t>
      </w:r>
    </w:p>
    <w:p w14:paraId="241F8EAB"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In general, Member Countries supported the criteria for determining periods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for this pathway with some Members Countries reiterating comments provided for pathway 2. </w:t>
      </w:r>
    </w:p>
    <w:p w14:paraId="69B0EA0B"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The following suggestions were made to improve guidance:</w:t>
      </w:r>
    </w:p>
    <w:p w14:paraId="430FA37A" w14:textId="77777777" w:rsidR="00C7266C" w:rsidRPr="00D403F5" w:rsidRDefault="00C7266C" w:rsidP="00D403F5">
      <w:pPr>
        <w:spacing w:after="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The terms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and ‘active surveillance’ are clearly defined and distinguished.</w:t>
      </w:r>
    </w:p>
    <w:p w14:paraId="49FF6659" w14:textId="77777777" w:rsidR="00C7266C" w:rsidRPr="00D403F5" w:rsidRDefault="00C7266C" w:rsidP="00D403F5">
      <w:pPr>
        <w:spacing w:after="0"/>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The design of a surveillance programme needs to:</w:t>
      </w:r>
    </w:p>
    <w:p w14:paraId="660634CE" w14:textId="77777777" w:rsidR="00C7266C" w:rsidRPr="00D403F5" w:rsidRDefault="00C7266C" w:rsidP="00D403F5">
      <w:pPr>
        <w:pStyle w:val="a4"/>
        <w:numPr>
          <w:ilvl w:val="0"/>
          <w:numId w:val="27"/>
        </w:numPr>
        <w:spacing w:after="0" w:line="240" w:lineRule="auto"/>
        <w:ind w:left="1276"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consider the number of species in the country/zone that are susceptible to a given disease</w:t>
      </w:r>
    </w:p>
    <w:p w14:paraId="17249FD3" w14:textId="77777777" w:rsidR="00C7266C" w:rsidRPr="00D403F5" w:rsidRDefault="00C7266C" w:rsidP="00D403F5">
      <w:pPr>
        <w:pStyle w:val="a4"/>
        <w:numPr>
          <w:ilvl w:val="0"/>
          <w:numId w:val="27"/>
        </w:numPr>
        <w:spacing w:after="0" w:line="240" w:lineRule="auto"/>
        <w:ind w:left="1276"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consider the epidemiological links of the species (geographically/indirectly through water/anthropogenic movements etc.)</w:t>
      </w:r>
    </w:p>
    <w:p w14:paraId="73142516" w14:textId="77777777" w:rsidR="00C7266C" w:rsidRPr="00D403F5" w:rsidRDefault="00C7266C" w:rsidP="00D403F5">
      <w:pPr>
        <w:pStyle w:val="a4"/>
        <w:numPr>
          <w:ilvl w:val="0"/>
          <w:numId w:val="27"/>
        </w:numPr>
        <w:spacing w:after="0" w:line="240" w:lineRule="auto"/>
        <w:ind w:left="1276"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consider strain differentiation, ability to detect pathogen presence and different disease presentations/conditions conducive to clinical expression of infection</w:t>
      </w:r>
    </w:p>
    <w:p w14:paraId="66DFA91D" w14:textId="77777777" w:rsidR="00C7266C" w:rsidRPr="00D403F5" w:rsidRDefault="00C7266C" w:rsidP="00D403F5">
      <w:pPr>
        <w:pStyle w:val="a4"/>
        <w:numPr>
          <w:ilvl w:val="0"/>
          <w:numId w:val="27"/>
        </w:numPr>
        <w:spacing w:after="0" w:line="240" w:lineRule="auto"/>
        <w:ind w:left="1276"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ensure that all or a representative sample of non-epidemiologically linked populations are sampled to determine their health status.</w:t>
      </w:r>
    </w:p>
    <w:p w14:paraId="2D679B92" w14:textId="77777777" w:rsidR="00C7266C" w:rsidRPr="00D403F5" w:rsidRDefault="00C7266C" w:rsidP="00D403F5">
      <w:pPr>
        <w:spacing w:after="0"/>
        <w:ind w:left="567"/>
        <w:jc w:val="both"/>
        <w:rPr>
          <w:rFonts w:ascii="Times New Roman" w:hAnsi="Times New Roman" w:cs="Times New Roman"/>
          <w:sz w:val="18"/>
          <w:szCs w:val="18"/>
        </w:rPr>
      </w:pPr>
      <w:r w:rsidRPr="00D403F5">
        <w:rPr>
          <w:rFonts w:ascii="Times New Roman" w:hAnsi="Times New Roman" w:cs="Times New Roman"/>
          <w:sz w:val="18"/>
          <w:szCs w:val="18"/>
        </w:rPr>
        <w:t xml:space="preserve">Member Country views varied on the appropriate minimum period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to be in place prior to the commencement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for declaring freedom for countries or zones. However, it appears (based on the rationale provided) that some Member Countries did not recognise that the purpose of implementing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prior to the commencement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is not to commence obtaining surveillance information, rather to ensure that import requirements are in place to prevent the introduction of disease.  </w:t>
      </w:r>
    </w:p>
    <w:p w14:paraId="7AC8084D" w14:textId="77777777" w:rsidR="00C7266C" w:rsidRPr="00D403F5" w:rsidRDefault="00C7266C" w:rsidP="00D403F5">
      <w:pPr>
        <w:spacing w:after="0"/>
        <w:ind w:left="567"/>
        <w:jc w:val="both"/>
        <w:rPr>
          <w:rFonts w:ascii="Times New Roman" w:hAnsi="Times New Roman" w:cs="Times New Roman"/>
          <w:sz w:val="18"/>
          <w:szCs w:val="18"/>
        </w:rPr>
      </w:pPr>
      <w:r w:rsidRPr="00D403F5">
        <w:rPr>
          <w:rFonts w:ascii="Times New Roman" w:hAnsi="Times New Roman" w:cs="Times New Roman"/>
          <w:sz w:val="18"/>
          <w:szCs w:val="18"/>
        </w:rPr>
        <w:t xml:space="preserve">Although views varied, most Member Countries supported the proposal of a 1-year </w:t>
      </w:r>
      <w:r w:rsidRPr="00D403F5">
        <w:rPr>
          <w:rFonts w:ascii="Times New Roman" w:hAnsi="Times New Roman" w:cs="Times New Roman"/>
          <w:sz w:val="18"/>
          <w:szCs w:val="18"/>
          <w:u w:val="single"/>
        </w:rPr>
        <w:t>minimum</w:t>
      </w:r>
      <w:r w:rsidRPr="00D403F5">
        <w:rPr>
          <w:rFonts w:ascii="Times New Roman" w:hAnsi="Times New Roman" w:cs="Times New Roman"/>
          <w:sz w:val="18"/>
          <w:szCs w:val="18"/>
        </w:rPr>
        <w:t xml:space="preserve"> period for </w:t>
      </w:r>
      <w:r w:rsidRPr="00D403F5">
        <w:rPr>
          <w:rFonts w:ascii="Times New Roman" w:hAnsi="Times New Roman" w:cs="Times New Roman"/>
          <w:i/>
          <w:sz w:val="18"/>
          <w:szCs w:val="18"/>
        </w:rPr>
        <w:t xml:space="preserve">basic biosecurity conditions </w:t>
      </w:r>
      <w:r w:rsidRPr="00D403F5">
        <w:rPr>
          <w:rFonts w:ascii="Times New Roman" w:hAnsi="Times New Roman" w:cs="Times New Roman"/>
          <w:sz w:val="18"/>
          <w:szCs w:val="18"/>
        </w:rPr>
        <w:t xml:space="preserve">before surveillance. Other views are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to be implemented only at the point at which surveillance begins to a period of 3 years before surveillance begins. </w:t>
      </w:r>
    </w:p>
    <w:p w14:paraId="66F37120" w14:textId="77777777" w:rsidR="00C7266C" w:rsidRPr="00D403F5" w:rsidRDefault="00C7266C" w:rsidP="00D403F5">
      <w:pPr>
        <w:spacing w:after="0"/>
        <w:ind w:left="567"/>
        <w:jc w:val="both"/>
        <w:rPr>
          <w:rFonts w:ascii="Times New Roman" w:hAnsi="Times New Roman" w:cs="Times New Roman"/>
          <w:sz w:val="18"/>
          <w:szCs w:val="18"/>
        </w:rPr>
      </w:pPr>
      <w:r w:rsidRPr="00D403F5">
        <w:rPr>
          <w:rFonts w:ascii="Times New Roman" w:hAnsi="Times New Roman" w:cs="Times New Roman"/>
          <w:sz w:val="18"/>
          <w:szCs w:val="18"/>
        </w:rPr>
        <w:t xml:space="preserve">One Member Country was against fixing a period, preferring that the OIE list criteria that Member Countries need to consider in determining the time required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prior to commencement of surveillance. Another Member Country suggested that: for a country or zone, the period should be set at least 2 years or 2 production cycles whichever is longer; and for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the period should be set at 1 year or 1 production cycle, whichever is longer.</w:t>
      </w:r>
    </w:p>
    <w:p w14:paraId="4DD344FF" w14:textId="77777777" w:rsidR="00C7266C" w:rsidRPr="00D403F5" w:rsidRDefault="00C7266C" w:rsidP="00D403F5">
      <w:pPr>
        <w:spacing w:after="0"/>
        <w:rPr>
          <w:sz w:val="18"/>
          <w:szCs w:val="18"/>
          <w:u w:val="single"/>
        </w:rPr>
      </w:pPr>
      <w:r w:rsidRPr="00D403F5">
        <w:rPr>
          <w:sz w:val="18"/>
          <w:szCs w:val="18"/>
          <w:u w:val="single"/>
        </w:rPr>
        <w:br w:type="page"/>
      </w:r>
    </w:p>
    <w:p w14:paraId="2447BBE8" w14:textId="312404A7" w:rsidR="00C7266C" w:rsidRPr="00D403F5" w:rsidRDefault="00C7266C"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6F00809B" w14:textId="77777777" w:rsidR="00C7266C" w:rsidRPr="00D403F5" w:rsidRDefault="00C7266C" w:rsidP="00D403F5">
      <w:pPr>
        <w:spacing w:after="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There was general support from Member Countries that there should be a default frequency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as a general requirement and the majority of Member Countries indicated a preference for two surveys per year for two years. However, most Member Countries also noted that a risk-based approach to maximise the likelihood of detection may provide sufficient evidence at a lower frequency of surveys and that sufficient flexibility should be available for this approach. </w:t>
      </w:r>
    </w:p>
    <w:p w14:paraId="0152A589" w14:textId="77777777" w:rsidR="00C7266C" w:rsidRPr="00D403F5" w:rsidRDefault="00C7266C" w:rsidP="00D403F5">
      <w:pPr>
        <w:pStyle w:val="3"/>
        <w:keepNext w:val="0"/>
        <w:keepLines w:val="0"/>
        <w:widowControl w:val="0"/>
        <w:spacing w:before="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Recommended approach</w:t>
      </w:r>
    </w:p>
    <w:p w14:paraId="5AA5298C" w14:textId="77777777" w:rsidR="00C7266C" w:rsidRPr="00D403F5" w:rsidRDefault="00C7266C" w:rsidP="00D403F5">
      <w:pPr>
        <w:pStyle w:val="3"/>
        <w:keepNext w:val="0"/>
        <w:keepLines w:val="0"/>
        <w:widowControl w:val="0"/>
        <w:spacing w:before="0"/>
        <w:ind w:left="426" w:firstLine="0"/>
        <w:jc w:val="both"/>
        <w:rPr>
          <w:rFonts w:ascii="Times New Roman" w:hAnsi="Times New Roman" w:cs="Times New Roman"/>
          <w:bCs/>
          <w:i/>
          <w:color w:val="auto"/>
          <w:sz w:val="18"/>
          <w:szCs w:val="18"/>
        </w:rPr>
      </w:pPr>
      <w:r w:rsidRPr="00D403F5">
        <w:rPr>
          <w:rFonts w:ascii="Times New Roman" w:hAnsi="Times New Roman" w:cs="Times New Roman"/>
          <w:bCs/>
          <w:i/>
          <w:color w:val="auto"/>
          <w:sz w:val="18"/>
          <w:szCs w:val="18"/>
        </w:rPr>
        <w:t>Requirements for basic biosecurity conditions</w:t>
      </w:r>
    </w:p>
    <w:p w14:paraId="0D37C338" w14:textId="77777777" w:rsidR="00C7266C" w:rsidRPr="00D403F5" w:rsidRDefault="00C7266C" w:rsidP="00D403F5">
      <w:pPr>
        <w:spacing w:after="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Prior to a self-declaration of freedom being made through this pathway,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in place to ensure there are effective controls to prevent the introduction and establishment of the disease. The period of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sufficient that, should the disease have been previously introduced, there would be sufficient time for it to reach design prevalence (based on assumptions of the survey design) by the time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has commenced. Each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should include a minimum period that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in place prior to the </w:t>
      </w:r>
      <w:r w:rsidRPr="00D403F5">
        <w:rPr>
          <w:rFonts w:ascii="Times New Roman" w:hAnsi="Times New Roman" w:cs="Times New Roman"/>
          <w:sz w:val="18"/>
          <w:szCs w:val="18"/>
          <w:u w:val="single"/>
        </w:rPr>
        <w:t>commencement</w:t>
      </w:r>
      <w:r w:rsidRPr="00D403F5">
        <w:rPr>
          <w:rFonts w:ascii="Times New Roman" w:hAnsi="Times New Roman" w:cs="Times New Roman"/>
          <w:sz w:val="18"/>
          <w:szCs w:val="18"/>
        </w:rPr>
        <w:t xml:space="preserve">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w:t>
      </w:r>
    </w:p>
    <w:p w14:paraId="2F48F4BD" w14:textId="77777777" w:rsidR="00C7266C" w:rsidRPr="00D403F5" w:rsidRDefault="00C7266C" w:rsidP="00D403F5">
      <w:pPr>
        <w:spacing w:after="0" w:line="240" w:lineRule="auto"/>
        <w:ind w:left="426"/>
        <w:jc w:val="both"/>
        <w:rPr>
          <w:rFonts w:ascii="Times New Roman" w:hAnsi="Times New Roman" w:cs="Times New Roman"/>
          <w:sz w:val="18"/>
          <w:szCs w:val="18"/>
        </w:rPr>
      </w:pPr>
      <w:r w:rsidRPr="00D403F5">
        <w:rPr>
          <w:rFonts w:ascii="Times New Roman" w:hAnsi="Times New Roman" w:cs="Times New Roman"/>
          <w:sz w:val="18"/>
          <w:szCs w:val="18"/>
        </w:rPr>
        <w:t>It is proposed that the minimum period</w:t>
      </w:r>
      <w:r w:rsidRPr="00D403F5">
        <w:rPr>
          <w:rFonts w:ascii="Times New Roman" w:hAnsi="Times New Roman" w:cs="Times New Roman"/>
          <w:i/>
          <w:sz w:val="18"/>
          <w:szCs w:val="18"/>
        </w:rPr>
        <w:t xml:space="preserve"> </w:t>
      </w:r>
      <w:r w:rsidRPr="00D403F5">
        <w:rPr>
          <w:rFonts w:ascii="Times New Roman" w:hAnsi="Times New Roman" w:cs="Times New Roman"/>
          <w:sz w:val="18"/>
          <w:szCs w:val="18"/>
        </w:rPr>
        <w:t>that</w:t>
      </w:r>
      <w:r w:rsidRPr="00D403F5">
        <w:rPr>
          <w:rFonts w:ascii="Times New Roman" w:hAnsi="Times New Roman" w:cs="Times New Roman"/>
          <w:i/>
          <w:sz w:val="18"/>
          <w:szCs w:val="18"/>
        </w:rPr>
        <w:t xml:space="preserve"> basic biosecurity conditions</w:t>
      </w:r>
      <w:r w:rsidRPr="00D403F5" w:rsidDel="00763062">
        <w:rPr>
          <w:rFonts w:ascii="Times New Roman" w:hAnsi="Times New Roman" w:cs="Times New Roman"/>
          <w:sz w:val="18"/>
          <w:szCs w:val="18"/>
        </w:rPr>
        <w:t xml:space="preserve"> </w:t>
      </w:r>
      <w:r w:rsidRPr="00D403F5">
        <w:rPr>
          <w:rFonts w:ascii="Times New Roman" w:hAnsi="Times New Roman" w:cs="Times New Roman"/>
          <w:sz w:val="18"/>
          <w:szCs w:val="18"/>
        </w:rPr>
        <w:t xml:space="preserve">should be in place </w:t>
      </w:r>
      <w:r w:rsidRPr="00D403F5">
        <w:rPr>
          <w:rFonts w:ascii="Times New Roman" w:hAnsi="Times New Roman" w:cs="Times New Roman"/>
          <w:sz w:val="18"/>
          <w:szCs w:val="18"/>
          <w:u w:val="single"/>
        </w:rPr>
        <w:t>prior to commencement</w:t>
      </w:r>
      <w:r w:rsidRPr="00D403F5">
        <w:rPr>
          <w:rFonts w:ascii="Times New Roman" w:hAnsi="Times New Roman" w:cs="Times New Roman"/>
          <w:sz w:val="18"/>
          <w:szCs w:val="18"/>
        </w:rPr>
        <w:t xml:space="preserve">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will generally be one year. It is expected that this period will be sufficient under most circumstances for a disease to reach a prevalence sufficiently high</w:t>
      </w:r>
      <w:r w:rsidRPr="00D403F5">
        <w:rPr>
          <w:rStyle w:val="ad"/>
          <w:rFonts w:ascii="Times New Roman" w:hAnsi="Times New Roman" w:cs="Times New Roman"/>
          <w:sz w:val="18"/>
          <w:szCs w:val="18"/>
        </w:rPr>
        <w:t xml:space="preserve"> to </w:t>
      </w:r>
      <w:r w:rsidRPr="00D403F5">
        <w:rPr>
          <w:rFonts w:ascii="Times New Roman" w:hAnsi="Times New Roman" w:cs="Times New Roman"/>
          <w:sz w:val="18"/>
          <w:szCs w:val="18"/>
        </w:rPr>
        <w:t xml:space="preserve">be detected by a well-designed survey. However, different recommendations may be provided 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for some diseases where it is considered that the epidemiology of a disease and nature of production systems would affect the expected rate of increase in prevalence and intensity of infection in the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following introduction of the disease. In setting an alternative period, the following criteria should be considered:</w:t>
      </w:r>
    </w:p>
    <w:p w14:paraId="1CE1D5BF" w14:textId="77777777" w:rsidR="00C7266C" w:rsidRPr="00D403F5" w:rsidRDefault="00C7266C" w:rsidP="00D403F5">
      <w:pPr>
        <w:spacing w:after="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maximum duration of the production cycle for the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w:t>
      </w:r>
    </w:p>
    <w:p w14:paraId="1ED1C71F" w14:textId="77777777" w:rsidR="00C7266C" w:rsidRPr="00D403F5" w:rsidRDefault="00C7266C" w:rsidP="00D403F5">
      <w:pPr>
        <w:spacing w:after="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the life stages at which animals are susceptible; </w:t>
      </w:r>
    </w:p>
    <w:p w14:paraId="70D0B5B8" w14:textId="77777777" w:rsidR="00C7266C" w:rsidRPr="00D403F5" w:rsidRDefault="00C7266C" w:rsidP="00D403F5">
      <w:pPr>
        <w:spacing w:after="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seasonality of the disease (periods of the year when prevalence and intensity of infection is highest and most conducive to detection);</w:t>
      </w:r>
    </w:p>
    <w:p w14:paraId="11D83C4C" w14:textId="77777777" w:rsidR="00C7266C" w:rsidRPr="00D403F5" w:rsidRDefault="00C7266C" w:rsidP="00D403F5">
      <w:pPr>
        <w:spacing w:after="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production systems and management practices that would affect occurrence of infection;</w:t>
      </w:r>
    </w:p>
    <w:p w14:paraId="2F8DEB07" w14:textId="77777777" w:rsidR="00C7266C" w:rsidRPr="00D403F5" w:rsidRDefault="00C7266C" w:rsidP="00D403F5">
      <w:pPr>
        <w:spacing w:after="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any other relevant factors that may influence the expected rate of increase in prevalence and intensity of infection in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following introduction of the disease. </w:t>
      </w:r>
    </w:p>
    <w:p w14:paraId="727E46F4" w14:textId="77777777" w:rsidR="00C7266C" w:rsidRPr="00D403F5" w:rsidRDefault="00C7266C" w:rsidP="00D403F5">
      <w:pPr>
        <w:pStyle w:val="3"/>
        <w:keepNext w:val="0"/>
        <w:keepLines w:val="0"/>
        <w:widowControl w:val="0"/>
        <w:spacing w:before="0"/>
        <w:ind w:left="425" w:firstLine="0"/>
        <w:jc w:val="both"/>
        <w:rPr>
          <w:rFonts w:ascii="Times New Roman" w:hAnsi="Times New Roman" w:cs="Times New Roman"/>
          <w:bCs/>
          <w:i/>
          <w:color w:val="auto"/>
          <w:sz w:val="18"/>
          <w:szCs w:val="18"/>
        </w:rPr>
      </w:pPr>
      <w:r w:rsidRPr="00D403F5">
        <w:rPr>
          <w:rFonts w:ascii="Times New Roman" w:hAnsi="Times New Roman" w:cs="Times New Roman"/>
          <w:bCs/>
          <w:i/>
          <w:color w:val="auto"/>
          <w:sz w:val="18"/>
          <w:szCs w:val="18"/>
        </w:rPr>
        <w:t>Requirements for targeted surveillance</w:t>
      </w:r>
    </w:p>
    <w:p w14:paraId="7174EF8E" w14:textId="77777777" w:rsidR="00C7266C" w:rsidRPr="00D403F5" w:rsidRDefault="00C7266C" w:rsidP="00D403F5">
      <w:pPr>
        <w:spacing w:after="0" w:line="240" w:lineRule="auto"/>
        <w:ind w:left="425"/>
        <w:jc w:val="both"/>
        <w:rPr>
          <w:rFonts w:ascii="Times New Roman" w:hAnsi="Times New Roman" w:cs="Times New Roman"/>
          <w:sz w:val="18"/>
          <w:szCs w:val="18"/>
        </w:rPr>
      </w:pP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surveys should commence after a period of time following the implementation of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(see section above). </w:t>
      </w:r>
    </w:p>
    <w:p w14:paraId="2E171099" w14:textId="77777777" w:rsidR="00C7266C" w:rsidRPr="00D403F5" w:rsidRDefault="00C7266C" w:rsidP="00D403F5">
      <w:pPr>
        <w:spacing w:after="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The requirements for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will depend on epidemiology of the disease, the biology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the populations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in the country, </w:t>
      </w:r>
      <w:r w:rsidRPr="00D403F5">
        <w:rPr>
          <w:rFonts w:ascii="Times New Roman" w:hAnsi="Times New Roman" w:cs="Times New Roman"/>
          <w:i/>
          <w:sz w:val="18"/>
          <w:szCs w:val="18"/>
        </w:rPr>
        <w:t>zone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the epidemiological links of the populations and the nature of production practices and systems. In general, the same criteria proposed above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should also be considered for setting the period required for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w:t>
      </w:r>
    </w:p>
    <w:p w14:paraId="45E49AB8" w14:textId="77777777" w:rsidR="00C7266C" w:rsidRPr="00D403F5" w:rsidRDefault="00C7266C" w:rsidP="00D403F5">
      <w:pPr>
        <w:spacing w:after="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For many diseases, there will be significant temporal variability in the prevalence and intensity of infection (and therefore likelihood of detection by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For example, the likelihood of detection may be greatest for a particular life stage or during periods of the year when pathogenic agent replication and transmission are higher. Environmental variability from one year to another may also result in differences in prevalence and intensity between years that could affect likelihood of detection. Surveys must therefore be designed to account for such variability and sample populations in a manner to maximise the likelihood of detecting a disease should it occur. This may require targeting temporal windows such that sampling can only take place during limited periods within a single year. </w:t>
      </w:r>
    </w:p>
    <w:p w14:paraId="6E105637" w14:textId="77777777" w:rsidR="00C7266C" w:rsidRPr="00D403F5" w:rsidRDefault="00C7266C" w:rsidP="00D403F5">
      <w:pPr>
        <w:spacing w:after="0"/>
        <w:rPr>
          <w:sz w:val="18"/>
          <w:szCs w:val="18"/>
          <w:u w:val="single"/>
        </w:rPr>
      </w:pPr>
      <w:r w:rsidRPr="00D403F5">
        <w:rPr>
          <w:sz w:val="18"/>
          <w:szCs w:val="18"/>
          <w:u w:val="single"/>
        </w:rPr>
        <w:br w:type="page"/>
      </w:r>
    </w:p>
    <w:p w14:paraId="03C85FDD" w14:textId="77777777"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391259B5" w14:textId="77777777" w:rsidR="00C7266C" w:rsidRPr="00D403F5" w:rsidRDefault="00C7266C" w:rsidP="00D403F5">
      <w:pPr>
        <w:spacing w:after="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For these reasons, it is proposed that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must occur over a period of at least two years for </w:t>
      </w:r>
      <w:r w:rsidRPr="00D403F5">
        <w:rPr>
          <w:rFonts w:ascii="Times New Roman" w:hAnsi="Times New Roman" w:cs="Times New Roman"/>
          <w:sz w:val="18"/>
          <w:szCs w:val="18"/>
          <w:u w:val="single"/>
        </w:rPr>
        <w:t>countries</w:t>
      </w:r>
      <w:r w:rsidRPr="00D403F5">
        <w:rPr>
          <w:rFonts w:ascii="Times New Roman" w:hAnsi="Times New Roman" w:cs="Times New Roman"/>
          <w:sz w:val="18"/>
          <w:szCs w:val="18"/>
        </w:rPr>
        <w:t xml:space="preserve"> or </w:t>
      </w:r>
      <w:r w:rsidRPr="00D403F5">
        <w:rPr>
          <w:rFonts w:ascii="Times New Roman" w:hAnsi="Times New Roman" w:cs="Times New Roman"/>
          <w:sz w:val="18"/>
          <w:szCs w:val="18"/>
          <w:u w:val="single"/>
        </w:rPr>
        <w:t>zones</w:t>
      </w:r>
      <w:r w:rsidRPr="00D403F5">
        <w:rPr>
          <w:rFonts w:ascii="Times New Roman" w:hAnsi="Times New Roman" w:cs="Times New Roman"/>
          <w:sz w:val="18"/>
          <w:szCs w:val="18"/>
        </w:rPr>
        <w:t>. Each survey should occur under optimum conditions for detection of the pathogenic agent (e.g. seasons, temperatures, and life stages). The second survey should not commence within three months of completion of the first survey and, if there are breaks in production, the surveys should also ideally span two production cycles.</w:t>
      </w:r>
    </w:p>
    <w:p w14:paraId="100845FB" w14:textId="77777777" w:rsidR="00C7266C" w:rsidRPr="00D403F5" w:rsidRDefault="00C7266C" w:rsidP="00D403F5">
      <w:pPr>
        <w:spacing w:after="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For </w:t>
      </w:r>
      <w:r w:rsidRPr="00D403F5">
        <w:rPr>
          <w:rFonts w:ascii="Times New Roman" w:hAnsi="Times New Roman" w:cs="Times New Roman"/>
          <w:i/>
          <w:sz w:val="18"/>
          <w:szCs w:val="18"/>
          <w:u w:val="single"/>
        </w:rPr>
        <w:t>compartments</w:t>
      </w:r>
      <w:r w:rsidRPr="00D403F5">
        <w:rPr>
          <w:rFonts w:ascii="Times New Roman" w:hAnsi="Times New Roman" w:cs="Times New Roman"/>
          <w:sz w:val="18"/>
          <w:szCs w:val="18"/>
        </w:rPr>
        <w:t xml:space="preserve">, it is proposed that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should generally occur for at least one year prior to a declaration of freedom. This shorter period for a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reflects the more clearly defined populations, the biosecurity controls on those populations and a likely narrower variation in environmental variables. However, a different period (more or less than one year) may be appropriate if warranted by the epidemiology of the disease and the criteria proposed above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For example, different requirements may be appropriate for a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that has a three-year production cycle versus one that has a six-month production cycle; particularly if the disease is likely to occur at a very low prevalence until the third year of the production cycle.  </w:t>
      </w:r>
    </w:p>
    <w:p w14:paraId="28715DC4" w14:textId="77777777" w:rsidR="00C7266C" w:rsidRPr="00D403F5" w:rsidRDefault="00C7266C" w:rsidP="00D403F5">
      <w:pPr>
        <w:spacing w:after="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To maximise the likelihood of pathogen detection, surveys should target species and life stages most likely to be infected and take place at times of the year when temperature and season offer the best opportunity for detection. At least two surveys per year (for at least two consecutive years) need to be conducted three or more months apart to declare freedom, unless disease specific evidence supports an alternative strategy. The number of farms and animals sampled should be sufficient to generate an overall 95% confidence or greater. Design prevalence at the animal and higher levels of aggregation (i.e. pond, farm, village, etc.) should be 2% or lower (a higher design prevalence can be used if justified by epidemiological evidence). The design prevalence may be different for different diseases and guidance will be provided in the relevant disease-specific chapter in the </w:t>
      </w:r>
      <w:r w:rsidRPr="00D403F5">
        <w:rPr>
          <w:rFonts w:ascii="Times New Roman" w:hAnsi="Times New Roman" w:cs="Times New Roman"/>
          <w:i/>
          <w:sz w:val="18"/>
          <w:szCs w:val="18"/>
        </w:rPr>
        <w:t>Aquatic Manual</w:t>
      </w:r>
      <w:r w:rsidRPr="00D403F5">
        <w:rPr>
          <w:rFonts w:ascii="Times New Roman" w:hAnsi="Times New Roman" w:cs="Times New Roman"/>
          <w:sz w:val="18"/>
          <w:szCs w:val="18"/>
        </w:rPr>
        <w:t>). Guidance on survey design will be provided in Chapter 1.4.</w:t>
      </w:r>
    </w:p>
    <w:p w14:paraId="2026E8CB" w14:textId="77777777" w:rsidR="00C7266C" w:rsidRPr="00D403F5" w:rsidRDefault="00C7266C" w:rsidP="00D403F5">
      <w:pPr>
        <w:spacing w:after="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The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(implemented as part of the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contributes additional evidence of freedom from disease before and during the period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Member Countries could adopt a scenario tree modelling approach to combine evidence from targeted and passive surveillance and justify reducing the level of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This may be particularly appropriate where passive surveillance can be demonstrated to be a sensitive method for detection of the disease in certain populations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(in accordance with the criteria proposed above in Section 3.2. historical freedom).  </w:t>
      </w:r>
    </w:p>
    <w:p w14:paraId="0FBD7D41" w14:textId="77777777" w:rsidR="00C7266C" w:rsidRPr="00D403F5" w:rsidRDefault="00C7266C" w:rsidP="00D403F5">
      <w:pPr>
        <w:spacing w:after="0" w:line="240" w:lineRule="auto"/>
        <w:ind w:left="425"/>
        <w:jc w:val="both"/>
        <w:rPr>
          <w:rFonts w:ascii="Times New Roman" w:hAnsi="Times New Roman" w:cs="Times New Roman"/>
          <w:sz w:val="18"/>
          <w:szCs w:val="18"/>
          <w:lang w:val="en"/>
        </w:rPr>
      </w:pPr>
      <w:r w:rsidRPr="00D403F5">
        <w:rPr>
          <w:rFonts w:ascii="Times New Roman" w:hAnsi="Times New Roman" w:cs="Times New Roman"/>
          <w:sz w:val="18"/>
          <w:szCs w:val="18"/>
          <w:lang w:val="en"/>
        </w:rPr>
        <w:t xml:space="preserve">For declared </w:t>
      </w:r>
      <w:r w:rsidRPr="00D403F5">
        <w:rPr>
          <w:rFonts w:ascii="Times New Roman" w:hAnsi="Times New Roman" w:cs="Times New Roman"/>
          <w:i/>
          <w:sz w:val="18"/>
          <w:szCs w:val="18"/>
          <w:lang w:val="en"/>
        </w:rPr>
        <w:t>free</w:t>
      </w:r>
      <w:r w:rsidRPr="00D403F5">
        <w:rPr>
          <w:rFonts w:ascii="Times New Roman" w:hAnsi="Times New Roman" w:cs="Times New Roman"/>
          <w:sz w:val="18"/>
          <w:szCs w:val="18"/>
          <w:lang w:val="en"/>
        </w:rPr>
        <w:t xml:space="preserve"> </w:t>
      </w:r>
      <w:r w:rsidRPr="00D403F5">
        <w:rPr>
          <w:rFonts w:ascii="Times New Roman" w:hAnsi="Times New Roman" w:cs="Times New Roman"/>
          <w:i/>
          <w:iCs/>
          <w:sz w:val="18"/>
          <w:szCs w:val="18"/>
          <w:lang w:val="en"/>
        </w:rPr>
        <w:t>zones</w:t>
      </w:r>
      <w:r w:rsidRPr="00D403F5">
        <w:rPr>
          <w:rFonts w:ascii="Times New Roman" w:hAnsi="Times New Roman" w:cs="Times New Roman"/>
          <w:sz w:val="18"/>
          <w:szCs w:val="18"/>
          <w:lang w:val="en"/>
        </w:rPr>
        <w:t xml:space="preserve"> or </w:t>
      </w:r>
      <w:r w:rsidRPr="00D403F5">
        <w:rPr>
          <w:rFonts w:ascii="Times New Roman" w:hAnsi="Times New Roman" w:cs="Times New Roman"/>
          <w:i/>
          <w:sz w:val="18"/>
          <w:szCs w:val="18"/>
          <w:lang w:val="en"/>
        </w:rPr>
        <w:t>free</w:t>
      </w:r>
      <w:r w:rsidRPr="00D403F5">
        <w:rPr>
          <w:rFonts w:ascii="Times New Roman" w:hAnsi="Times New Roman" w:cs="Times New Roman"/>
          <w:sz w:val="18"/>
          <w:szCs w:val="18"/>
          <w:lang w:val="en"/>
        </w:rPr>
        <w:t xml:space="preserve"> </w:t>
      </w:r>
      <w:r w:rsidRPr="00D403F5">
        <w:rPr>
          <w:rFonts w:ascii="Times New Roman" w:hAnsi="Times New Roman" w:cs="Times New Roman"/>
          <w:i/>
          <w:iCs/>
          <w:sz w:val="18"/>
          <w:szCs w:val="18"/>
          <w:lang w:val="en"/>
        </w:rPr>
        <w:t>compartments</w:t>
      </w:r>
      <w:r w:rsidRPr="00D403F5">
        <w:rPr>
          <w:rFonts w:ascii="Times New Roman" w:hAnsi="Times New Roman" w:cs="Times New Roman"/>
          <w:sz w:val="18"/>
          <w:szCs w:val="18"/>
          <w:lang w:val="en"/>
        </w:rPr>
        <w:t xml:space="preserve"> in infected countries and in all cases where conditions are not conducive to clinical expression of the pathogenic agent, </w:t>
      </w:r>
      <w:r w:rsidRPr="00D403F5">
        <w:rPr>
          <w:rFonts w:ascii="Times New Roman" w:hAnsi="Times New Roman" w:cs="Times New Roman"/>
          <w:i/>
          <w:iCs/>
          <w:sz w:val="18"/>
          <w:szCs w:val="18"/>
          <w:lang w:val="en"/>
        </w:rPr>
        <w:t>targeted surveillance</w:t>
      </w:r>
      <w:r w:rsidRPr="00D403F5">
        <w:rPr>
          <w:rFonts w:ascii="Times New Roman" w:hAnsi="Times New Roman" w:cs="Times New Roman"/>
          <w:sz w:val="18"/>
          <w:szCs w:val="18"/>
          <w:lang w:val="en"/>
        </w:rPr>
        <w:t xml:space="preserve"> needs to be continued at a level determined by the </w:t>
      </w:r>
      <w:r w:rsidRPr="00D403F5">
        <w:rPr>
          <w:rFonts w:ascii="Times New Roman" w:hAnsi="Times New Roman" w:cs="Times New Roman"/>
          <w:i/>
          <w:iCs/>
          <w:sz w:val="18"/>
          <w:szCs w:val="18"/>
          <w:lang w:val="en"/>
        </w:rPr>
        <w:t>Aquatic Animal Health Service</w:t>
      </w:r>
      <w:r w:rsidRPr="00D403F5">
        <w:rPr>
          <w:rFonts w:ascii="Times New Roman" w:hAnsi="Times New Roman" w:cs="Times New Roman"/>
          <w:sz w:val="18"/>
          <w:szCs w:val="18"/>
          <w:lang w:val="en"/>
        </w:rPr>
        <w:t xml:space="preserve"> on the basis of the likelihood of </w:t>
      </w:r>
      <w:r w:rsidRPr="00D403F5">
        <w:rPr>
          <w:rFonts w:ascii="Times New Roman" w:hAnsi="Times New Roman" w:cs="Times New Roman"/>
          <w:i/>
          <w:iCs/>
          <w:sz w:val="18"/>
          <w:szCs w:val="18"/>
          <w:lang w:val="en"/>
        </w:rPr>
        <w:t>infection</w:t>
      </w:r>
      <w:r w:rsidRPr="00D403F5">
        <w:rPr>
          <w:rFonts w:ascii="Times New Roman" w:hAnsi="Times New Roman" w:cs="Times New Roman"/>
          <w:sz w:val="18"/>
          <w:szCs w:val="18"/>
          <w:lang w:val="en"/>
        </w:rPr>
        <w:t>.</w:t>
      </w:r>
    </w:p>
    <w:p w14:paraId="737AE15B" w14:textId="77777777" w:rsidR="00C7266C" w:rsidRPr="00D403F5" w:rsidRDefault="00C7266C" w:rsidP="00D403F5">
      <w:pPr>
        <w:spacing w:after="0" w:line="240" w:lineRule="auto"/>
        <w:ind w:left="426" w:hanging="426"/>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3.4.</w:t>
      </w:r>
      <w:r w:rsidRPr="00D403F5">
        <w:rPr>
          <w:rFonts w:ascii="Times New Roman" w:hAnsi="Times New Roman" w:cs="Times New Roman"/>
          <w:b/>
          <w:caps/>
          <w:color w:val="0070C0"/>
          <w:sz w:val="18"/>
          <w:szCs w:val="18"/>
        </w:rPr>
        <w:tab/>
        <w:t xml:space="preserve">Pathway 4 – Returning to freedom </w:t>
      </w:r>
    </w:p>
    <w:p w14:paraId="4C24497B" w14:textId="77777777" w:rsidR="00C7266C" w:rsidRPr="00D403F5" w:rsidRDefault="00C7266C" w:rsidP="00D403F5">
      <w:pPr>
        <w:pStyle w:val="3"/>
        <w:keepNext w:val="0"/>
        <w:keepLines w:val="0"/>
        <w:widowControl w:val="0"/>
        <w:spacing w:before="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Current situation in the Aquatic Code</w:t>
      </w:r>
    </w:p>
    <w:p w14:paraId="2723E367" w14:textId="77777777" w:rsidR="00C7266C" w:rsidRPr="00D403F5" w:rsidRDefault="00C7266C" w:rsidP="00D403F5">
      <w:pPr>
        <w:pStyle w:val="Web"/>
        <w:spacing w:before="0" w:beforeAutospacing="0" w:after="0" w:afterAutospacing="0"/>
        <w:ind w:left="426"/>
        <w:jc w:val="both"/>
        <w:rPr>
          <w:sz w:val="18"/>
          <w:szCs w:val="18"/>
          <w:lang w:val="en"/>
        </w:rPr>
      </w:pPr>
      <w:r w:rsidRPr="00D403F5">
        <w:rPr>
          <w:sz w:val="18"/>
          <w:szCs w:val="18"/>
          <w:lang w:val="en"/>
        </w:rPr>
        <w:t xml:space="preserve">If a previous </w:t>
      </w:r>
      <w:r w:rsidRPr="00D403F5">
        <w:rPr>
          <w:i/>
          <w:iCs/>
          <w:sz w:val="18"/>
          <w:szCs w:val="18"/>
          <w:lang w:val="en"/>
        </w:rPr>
        <w:t>self-declaration of freedom</w:t>
      </w:r>
      <w:r w:rsidRPr="00D403F5">
        <w:rPr>
          <w:sz w:val="18"/>
          <w:szCs w:val="18"/>
          <w:lang w:val="en"/>
        </w:rPr>
        <w:t xml:space="preserve"> had been made but was subsequently lost due to the detection of infection, the following conditions need to be met to return to freedom:</w:t>
      </w:r>
    </w:p>
    <w:p w14:paraId="26D7B997" w14:textId="77777777" w:rsidR="00C7266C" w:rsidRPr="00D403F5" w:rsidRDefault="00C7266C" w:rsidP="00D403F5">
      <w:pPr>
        <w:pStyle w:val="Web"/>
        <w:spacing w:before="0" w:beforeAutospacing="0" w:after="0" w:afterAutospacing="0"/>
        <w:ind w:left="851" w:hanging="425"/>
        <w:jc w:val="both"/>
        <w:rPr>
          <w:sz w:val="18"/>
          <w:szCs w:val="18"/>
          <w:lang w:val="en"/>
        </w:rPr>
      </w:pPr>
      <w:r w:rsidRPr="00D403F5">
        <w:rPr>
          <w:sz w:val="18"/>
          <w:szCs w:val="18"/>
          <w:lang w:val="en"/>
        </w:rPr>
        <w:t>a)</w:t>
      </w:r>
      <w:r w:rsidRPr="00D403F5">
        <w:rPr>
          <w:sz w:val="18"/>
          <w:szCs w:val="18"/>
          <w:lang w:val="en"/>
        </w:rPr>
        <w:tab/>
        <w:t xml:space="preserve">on detection of the </w:t>
      </w:r>
      <w:r w:rsidRPr="00D403F5">
        <w:rPr>
          <w:i/>
          <w:iCs/>
          <w:sz w:val="18"/>
          <w:szCs w:val="18"/>
          <w:lang w:val="en"/>
        </w:rPr>
        <w:t>disease</w:t>
      </w:r>
      <w:r w:rsidRPr="00D403F5">
        <w:rPr>
          <w:sz w:val="18"/>
          <w:szCs w:val="18"/>
          <w:lang w:val="en"/>
        </w:rPr>
        <w:t xml:space="preserve">, the affected area was declared an </w:t>
      </w:r>
      <w:r w:rsidRPr="00D403F5">
        <w:rPr>
          <w:i/>
          <w:iCs/>
          <w:sz w:val="18"/>
          <w:szCs w:val="18"/>
          <w:lang w:val="en"/>
        </w:rPr>
        <w:t>infected zone</w:t>
      </w:r>
      <w:r w:rsidRPr="00D403F5">
        <w:rPr>
          <w:sz w:val="18"/>
          <w:szCs w:val="18"/>
          <w:lang w:val="en"/>
        </w:rPr>
        <w:t xml:space="preserve"> and a </w:t>
      </w:r>
      <w:r w:rsidRPr="00D403F5">
        <w:rPr>
          <w:i/>
          <w:iCs/>
          <w:sz w:val="18"/>
          <w:szCs w:val="18"/>
          <w:lang w:val="en"/>
        </w:rPr>
        <w:t>protection zone</w:t>
      </w:r>
      <w:r w:rsidRPr="00D403F5">
        <w:rPr>
          <w:sz w:val="18"/>
          <w:szCs w:val="18"/>
          <w:lang w:val="en"/>
        </w:rPr>
        <w:t xml:space="preserve"> was established; and</w:t>
      </w:r>
    </w:p>
    <w:p w14:paraId="3CF7A129" w14:textId="77777777" w:rsidR="00C7266C" w:rsidRPr="00D403F5" w:rsidRDefault="00C7266C" w:rsidP="00D403F5">
      <w:pPr>
        <w:pStyle w:val="Web"/>
        <w:spacing w:before="0" w:beforeAutospacing="0" w:after="0" w:afterAutospacing="0"/>
        <w:ind w:left="851" w:hanging="425"/>
        <w:jc w:val="both"/>
        <w:rPr>
          <w:sz w:val="18"/>
          <w:szCs w:val="18"/>
          <w:lang w:val="en"/>
        </w:rPr>
      </w:pPr>
      <w:r w:rsidRPr="00D403F5">
        <w:rPr>
          <w:sz w:val="18"/>
          <w:szCs w:val="18"/>
          <w:lang w:val="en"/>
        </w:rPr>
        <w:t>b)</w:t>
      </w:r>
      <w:r w:rsidRPr="00D403F5">
        <w:rPr>
          <w:sz w:val="18"/>
          <w:szCs w:val="18"/>
          <w:lang w:val="en"/>
        </w:rPr>
        <w:tab/>
        <w:t xml:space="preserve">infected populations have been destroyed or removed from the </w:t>
      </w:r>
      <w:r w:rsidRPr="00D403F5">
        <w:rPr>
          <w:i/>
          <w:iCs/>
          <w:sz w:val="18"/>
          <w:szCs w:val="18"/>
          <w:lang w:val="en"/>
        </w:rPr>
        <w:t>infected zone</w:t>
      </w:r>
      <w:r w:rsidRPr="00D403F5">
        <w:rPr>
          <w:sz w:val="18"/>
          <w:szCs w:val="18"/>
          <w:lang w:val="en"/>
        </w:rPr>
        <w:t xml:space="preserve"> by means that minimise the </w:t>
      </w:r>
      <w:r w:rsidRPr="00D403F5">
        <w:rPr>
          <w:i/>
          <w:iCs/>
          <w:sz w:val="18"/>
          <w:szCs w:val="18"/>
          <w:lang w:val="en"/>
        </w:rPr>
        <w:t>risk</w:t>
      </w:r>
      <w:r w:rsidRPr="00D403F5">
        <w:rPr>
          <w:sz w:val="18"/>
          <w:szCs w:val="18"/>
          <w:lang w:val="en"/>
        </w:rPr>
        <w:t xml:space="preserve"> of further spread of the </w:t>
      </w:r>
      <w:r w:rsidRPr="00D403F5">
        <w:rPr>
          <w:i/>
          <w:iCs/>
          <w:sz w:val="18"/>
          <w:szCs w:val="18"/>
          <w:lang w:val="en"/>
        </w:rPr>
        <w:t>disease</w:t>
      </w:r>
      <w:r w:rsidRPr="00D403F5">
        <w:rPr>
          <w:sz w:val="18"/>
          <w:szCs w:val="18"/>
          <w:lang w:val="en"/>
        </w:rPr>
        <w:t xml:space="preserve">, and the appropriate </w:t>
      </w:r>
      <w:r w:rsidRPr="00D403F5">
        <w:rPr>
          <w:i/>
          <w:iCs/>
          <w:sz w:val="18"/>
          <w:szCs w:val="18"/>
          <w:lang w:val="en"/>
        </w:rPr>
        <w:t>disinfection</w:t>
      </w:r>
      <w:r w:rsidRPr="00D403F5">
        <w:rPr>
          <w:sz w:val="18"/>
          <w:szCs w:val="18"/>
          <w:lang w:val="en"/>
        </w:rPr>
        <w:t xml:space="preserve"> procedures (as described in Chapter 4.3.) have been completed; and</w:t>
      </w:r>
    </w:p>
    <w:p w14:paraId="02EE6A6E" w14:textId="77777777" w:rsidR="00C7266C" w:rsidRPr="00D403F5" w:rsidRDefault="00C7266C" w:rsidP="00D403F5">
      <w:pPr>
        <w:pStyle w:val="Web"/>
        <w:spacing w:before="0" w:beforeAutospacing="0" w:after="0" w:afterAutospacing="0"/>
        <w:ind w:left="851" w:hanging="425"/>
        <w:jc w:val="both"/>
        <w:rPr>
          <w:sz w:val="18"/>
          <w:szCs w:val="18"/>
          <w:lang w:val="en"/>
        </w:rPr>
      </w:pPr>
      <w:r w:rsidRPr="00D403F5">
        <w:rPr>
          <w:sz w:val="18"/>
          <w:szCs w:val="18"/>
          <w:lang w:val="en"/>
        </w:rPr>
        <w:t>c)</w:t>
      </w:r>
      <w:r w:rsidRPr="00D403F5">
        <w:rPr>
          <w:sz w:val="18"/>
          <w:szCs w:val="18"/>
          <w:lang w:val="en"/>
        </w:rPr>
        <w:tab/>
        <w:t xml:space="preserve">previously existing </w:t>
      </w:r>
      <w:r w:rsidRPr="00D403F5">
        <w:rPr>
          <w:i/>
          <w:iCs/>
          <w:sz w:val="18"/>
          <w:szCs w:val="18"/>
          <w:lang w:val="en"/>
        </w:rPr>
        <w:t>basic biosecurity conditions</w:t>
      </w:r>
      <w:r w:rsidRPr="00D403F5">
        <w:rPr>
          <w:sz w:val="18"/>
          <w:szCs w:val="18"/>
          <w:lang w:val="en"/>
        </w:rPr>
        <w:t xml:space="preserve"> have been reviewed and modified as necessary and have continuously been in place since eradication of the </w:t>
      </w:r>
      <w:r w:rsidRPr="00D403F5">
        <w:rPr>
          <w:i/>
          <w:iCs/>
          <w:sz w:val="18"/>
          <w:szCs w:val="18"/>
          <w:lang w:val="en"/>
        </w:rPr>
        <w:t>disease</w:t>
      </w:r>
      <w:r w:rsidRPr="00D403F5">
        <w:rPr>
          <w:sz w:val="18"/>
          <w:szCs w:val="18"/>
          <w:lang w:val="en"/>
        </w:rPr>
        <w:t>; and</w:t>
      </w:r>
    </w:p>
    <w:p w14:paraId="0F75AAD9" w14:textId="77777777" w:rsidR="00C7266C" w:rsidRPr="00D403F5" w:rsidRDefault="00C7266C" w:rsidP="00D403F5">
      <w:pPr>
        <w:pStyle w:val="Web"/>
        <w:spacing w:before="0" w:beforeAutospacing="0" w:after="0" w:afterAutospacing="0"/>
        <w:ind w:left="851" w:hanging="425"/>
        <w:jc w:val="both"/>
        <w:rPr>
          <w:sz w:val="18"/>
          <w:szCs w:val="18"/>
          <w:lang w:val="en"/>
        </w:rPr>
      </w:pPr>
      <w:r w:rsidRPr="00D403F5">
        <w:rPr>
          <w:iCs/>
          <w:sz w:val="18"/>
          <w:szCs w:val="18"/>
          <w:lang w:val="en"/>
        </w:rPr>
        <w:t>d)</w:t>
      </w:r>
      <w:r w:rsidRPr="00D403F5">
        <w:rPr>
          <w:i/>
          <w:iCs/>
          <w:sz w:val="18"/>
          <w:szCs w:val="18"/>
          <w:lang w:val="en"/>
        </w:rPr>
        <w:tab/>
        <w:t>targeted surveillance</w:t>
      </w:r>
      <w:r w:rsidRPr="00D403F5">
        <w:rPr>
          <w:sz w:val="18"/>
          <w:szCs w:val="18"/>
          <w:lang w:val="en"/>
        </w:rPr>
        <w:t xml:space="preserve">, as described in Chapter 1.4., has been in place for at least the last two years without detection of the relevant </w:t>
      </w:r>
      <w:r w:rsidRPr="00D403F5">
        <w:rPr>
          <w:i/>
          <w:sz w:val="18"/>
          <w:szCs w:val="18"/>
          <w:lang w:val="en"/>
        </w:rPr>
        <w:t>pathogenic agent.</w:t>
      </w:r>
    </w:p>
    <w:p w14:paraId="3027F2BE" w14:textId="77777777" w:rsidR="00C7266C" w:rsidRPr="00D403F5" w:rsidRDefault="00C7266C" w:rsidP="00D403F5">
      <w:pPr>
        <w:spacing w:after="0" w:line="240" w:lineRule="auto"/>
        <w:ind w:left="426"/>
        <w:jc w:val="both"/>
        <w:rPr>
          <w:rFonts w:ascii="Times New Roman" w:hAnsi="Times New Roman" w:cs="Times New Roman"/>
          <w:sz w:val="18"/>
          <w:szCs w:val="18"/>
          <w:lang w:val="en" w:eastAsia="en-AU"/>
        </w:rPr>
      </w:pPr>
      <w:r w:rsidRPr="00D403F5">
        <w:rPr>
          <w:rFonts w:ascii="Times New Roman" w:hAnsi="Times New Roman" w:cs="Times New Roman"/>
          <w:sz w:val="18"/>
          <w:szCs w:val="18"/>
          <w:lang w:val="en" w:eastAsia="en-AU"/>
        </w:rPr>
        <w:t xml:space="preserve">Note that Chapter 1.4. of the </w:t>
      </w:r>
      <w:r w:rsidRPr="00D403F5">
        <w:rPr>
          <w:rFonts w:ascii="Times New Roman" w:hAnsi="Times New Roman" w:cs="Times New Roman"/>
          <w:i/>
          <w:sz w:val="18"/>
          <w:szCs w:val="18"/>
          <w:lang w:val="en" w:eastAsia="en-AU"/>
        </w:rPr>
        <w:t>Aquatic Code</w:t>
      </w:r>
      <w:r w:rsidRPr="00D403F5">
        <w:rPr>
          <w:rFonts w:ascii="Times New Roman" w:hAnsi="Times New Roman" w:cs="Times New Roman"/>
          <w:sz w:val="18"/>
          <w:szCs w:val="18"/>
          <w:lang w:val="en" w:eastAsia="en-AU"/>
        </w:rPr>
        <w:t xml:space="preserve"> on </w:t>
      </w:r>
      <w:r w:rsidRPr="00D403F5">
        <w:rPr>
          <w:rFonts w:ascii="Times New Roman" w:hAnsi="Times New Roman" w:cs="Times New Roman"/>
          <w:i/>
          <w:sz w:val="18"/>
          <w:szCs w:val="18"/>
          <w:lang w:val="en" w:eastAsia="en-AU"/>
        </w:rPr>
        <w:t>Aquatic Animal Health Surveillance</w:t>
      </w:r>
      <w:r w:rsidRPr="00D403F5">
        <w:rPr>
          <w:rFonts w:ascii="Times New Roman" w:hAnsi="Times New Roman" w:cs="Times New Roman"/>
          <w:sz w:val="18"/>
          <w:szCs w:val="18"/>
          <w:lang w:val="en" w:eastAsia="en-AU"/>
        </w:rPr>
        <w:t xml:space="preserve">, includes no specific guidance for this pathway to return to freedom following eradication of a disease. A new </w:t>
      </w:r>
      <w:r w:rsidRPr="00D403F5">
        <w:rPr>
          <w:rFonts w:ascii="Times New Roman" w:hAnsi="Times New Roman" w:cs="Times New Roman"/>
          <w:i/>
          <w:sz w:val="18"/>
          <w:szCs w:val="18"/>
          <w:lang w:val="en" w:eastAsia="en-AU"/>
        </w:rPr>
        <w:t>Aquatic Code</w:t>
      </w:r>
      <w:r w:rsidRPr="00D403F5">
        <w:rPr>
          <w:rFonts w:ascii="Times New Roman" w:hAnsi="Times New Roman" w:cs="Times New Roman"/>
          <w:sz w:val="18"/>
          <w:szCs w:val="18"/>
          <w:lang w:val="en" w:eastAsia="en-AU"/>
        </w:rPr>
        <w:t xml:space="preserve"> chapter on emergency disease response has been proposed for Section 4 of the </w:t>
      </w:r>
      <w:r w:rsidRPr="00D403F5">
        <w:rPr>
          <w:rFonts w:ascii="Times New Roman" w:hAnsi="Times New Roman" w:cs="Times New Roman"/>
          <w:i/>
          <w:iCs/>
          <w:sz w:val="18"/>
          <w:szCs w:val="18"/>
          <w:lang w:val="en" w:eastAsia="en-AU"/>
        </w:rPr>
        <w:t>Aquatic Code</w:t>
      </w:r>
      <w:r w:rsidRPr="00D403F5">
        <w:rPr>
          <w:rFonts w:ascii="Times New Roman" w:hAnsi="Times New Roman" w:cs="Times New Roman"/>
          <w:sz w:val="18"/>
          <w:szCs w:val="18"/>
          <w:lang w:val="en" w:eastAsia="en-AU"/>
        </w:rPr>
        <w:t xml:space="preserve"> to guide Member Countries’ emergency responses; however, it remains to be developed. </w:t>
      </w:r>
    </w:p>
    <w:p w14:paraId="71E1A1F3" w14:textId="77777777" w:rsidR="00C7266C" w:rsidRPr="00D403F5" w:rsidRDefault="00C7266C" w:rsidP="00D403F5">
      <w:pPr>
        <w:spacing w:after="0"/>
        <w:rPr>
          <w:sz w:val="18"/>
          <w:szCs w:val="18"/>
          <w:u w:val="single"/>
        </w:rPr>
      </w:pPr>
      <w:r w:rsidRPr="00D403F5">
        <w:rPr>
          <w:sz w:val="18"/>
          <w:szCs w:val="18"/>
          <w:u w:val="single"/>
        </w:rPr>
        <w:br w:type="page"/>
      </w:r>
    </w:p>
    <w:p w14:paraId="07983E71" w14:textId="6E8B524F" w:rsidR="00C7266C" w:rsidRPr="00D403F5" w:rsidRDefault="00C7266C"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76A0193D" w14:textId="77777777" w:rsidR="00C7266C" w:rsidRPr="00D403F5" w:rsidRDefault="00C7266C" w:rsidP="00D403F5">
      <w:pPr>
        <w:pStyle w:val="3"/>
        <w:keepNext w:val="0"/>
        <w:keepLines w:val="0"/>
        <w:widowControl w:val="0"/>
        <w:spacing w:before="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Evaluation</w:t>
      </w:r>
    </w:p>
    <w:p w14:paraId="76F52F18" w14:textId="77777777" w:rsidR="00C7266C" w:rsidRPr="00D403F5" w:rsidRDefault="00C7266C" w:rsidP="00D403F5">
      <w:pPr>
        <w:pStyle w:val="Web"/>
        <w:spacing w:before="0" w:beforeAutospacing="0" w:after="0" w:afterAutospacing="0"/>
        <w:ind w:left="426"/>
        <w:jc w:val="both"/>
        <w:rPr>
          <w:sz w:val="18"/>
          <w:szCs w:val="18"/>
          <w:lang w:val="en-US"/>
        </w:rPr>
      </w:pPr>
      <w:r w:rsidRPr="00D403F5">
        <w:rPr>
          <w:sz w:val="18"/>
          <w:szCs w:val="18"/>
          <w:lang w:val="en-US"/>
        </w:rPr>
        <w:t xml:space="preserve">This pathway applies only to </w:t>
      </w:r>
      <w:r w:rsidRPr="00D403F5">
        <w:rPr>
          <w:sz w:val="18"/>
          <w:szCs w:val="18"/>
          <w:lang w:val="en"/>
        </w:rPr>
        <w:t xml:space="preserve">countries or zones for which a </w:t>
      </w:r>
      <w:r w:rsidRPr="00D403F5">
        <w:rPr>
          <w:i/>
          <w:iCs/>
          <w:sz w:val="18"/>
          <w:szCs w:val="18"/>
          <w:lang w:val="en"/>
        </w:rPr>
        <w:t>self-declaration of freedom</w:t>
      </w:r>
      <w:r w:rsidRPr="00D403F5">
        <w:rPr>
          <w:sz w:val="18"/>
          <w:szCs w:val="18"/>
          <w:lang w:val="en"/>
        </w:rPr>
        <w:t xml:space="preserve"> had been made but free status was subsequently lost due to the detection of infection. </w:t>
      </w:r>
      <w:r w:rsidRPr="00D403F5">
        <w:rPr>
          <w:sz w:val="18"/>
          <w:szCs w:val="18"/>
          <w:lang w:val="en-US"/>
        </w:rPr>
        <w:t xml:space="preserve">The requirements of this pathway apply to circumstances where a disease will be contained and eradicated, and the risk of subsequent introduction addressed, with </w:t>
      </w:r>
      <w:r w:rsidRPr="00D403F5">
        <w:rPr>
          <w:sz w:val="18"/>
          <w:szCs w:val="18"/>
          <w:lang w:val="en"/>
        </w:rPr>
        <w:t>the</w:t>
      </w:r>
      <w:r w:rsidRPr="00D403F5">
        <w:rPr>
          <w:sz w:val="18"/>
          <w:szCs w:val="18"/>
          <w:lang w:val="en-US"/>
        </w:rPr>
        <w:t xml:space="preserve"> view of re-establishing freedom from the disease. </w:t>
      </w:r>
    </w:p>
    <w:p w14:paraId="371CA82D" w14:textId="77777777" w:rsidR="00C7266C" w:rsidRPr="00D403F5" w:rsidRDefault="00C7266C" w:rsidP="00D403F5">
      <w:pPr>
        <w:pStyle w:val="Web"/>
        <w:spacing w:before="0" w:beforeAutospacing="0" w:after="0" w:afterAutospacing="0"/>
        <w:ind w:left="426"/>
        <w:jc w:val="both"/>
        <w:rPr>
          <w:sz w:val="18"/>
          <w:szCs w:val="18"/>
          <w:lang w:val="en-US"/>
        </w:rPr>
      </w:pPr>
      <w:r w:rsidRPr="00D403F5">
        <w:rPr>
          <w:sz w:val="18"/>
          <w:szCs w:val="18"/>
          <w:lang w:val="en-US"/>
        </w:rPr>
        <w:t xml:space="preserve">Note </w:t>
      </w:r>
      <w:r w:rsidRPr="00D403F5">
        <w:rPr>
          <w:sz w:val="18"/>
          <w:szCs w:val="18"/>
          <w:lang w:val="en"/>
        </w:rPr>
        <w:t>that</w:t>
      </w:r>
      <w:r w:rsidRPr="00D403F5">
        <w:rPr>
          <w:sz w:val="18"/>
          <w:szCs w:val="18"/>
          <w:lang w:val="en-US"/>
        </w:rPr>
        <w:t xml:space="preserve"> this pathway </w:t>
      </w:r>
      <w:r w:rsidRPr="00D403F5">
        <w:rPr>
          <w:sz w:val="18"/>
          <w:szCs w:val="18"/>
          <w:u w:val="single"/>
          <w:lang w:val="en-US"/>
        </w:rPr>
        <w:t>does not</w:t>
      </w:r>
      <w:r w:rsidRPr="00D403F5">
        <w:rPr>
          <w:sz w:val="18"/>
          <w:szCs w:val="18"/>
          <w:lang w:val="en-US"/>
        </w:rPr>
        <w:t xml:space="preserve"> currently apply to </w:t>
      </w:r>
      <w:r w:rsidRPr="00D403F5">
        <w:rPr>
          <w:i/>
          <w:sz w:val="18"/>
          <w:szCs w:val="18"/>
          <w:lang w:val="en-US"/>
        </w:rPr>
        <w:t>compartments</w:t>
      </w:r>
      <w:r w:rsidRPr="00D403F5">
        <w:rPr>
          <w:sz w:val="18"/>
          <w:szCs w:val="18"/>
          <w:lang w:val="en-US"/>
        </w:rPr>
        <w:t xml:space="preserve"> which have lost their free status following detection of the disease.</w:t>
      </w:r>
    </w:p>
    <w:p w14:paraId="616C94F2"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In a country or zone, the criteria applied to regaining freedom after a disease outbreak need to provide assurance (at an equivalent level to an initial </w:t>
      </w:r>
      <w:bookmarkStart w:id="57" w:name="_Hlk524104902"/>
      <w:r w:rsidRPr="00D403F5">
        <w:rPr>
          <w:rFonts w:ascii="Times New Roman" w:hAnsi="Times New Roman" w:cs="Times New Roman"/>
          <w:i/>
          <w:iCs/>
          <w:sz w:val="18"/>
          <w:szCs w:val="18"/>
          <w:lang w:val="en"/>
        </w:rPr>
        <w:t>self-declaration of freedom</w:t>
      </w:r>
      <w:bookmarkEnd w:id="57"/>
      <w:r w:rsidRPr="00D403F5">
        <w:rPr>
          <w:rFonts w:ascii="Times New Roman" w:hAnsi="Times New Roman" w:cs="Times New Roman"/>
          <w:sz w:val="18"/>
          <w:szCs w:val="18"/>
          <w:lang w:val="en"/>
        </w:rPr>
        <w:t xml:space="preserve">) </w:t>
      </w:r>
      <w:r w:rsidRPr="00D403F5">
        <w:rPr>
          <w:rFonts w:ascii="Times New Roman" w:hAnsi="Times New Roman" w:cs="Times New Roman"/>
          <w:sz w:val="18"/>
          <w:szCs w:val="18"/>
        </w:rPr>
        <w:t xml:space="preserve">that the eradication programme has been successful. Under circumstances of an eradication programme, affected populations will normally be well defined—affected farms would be depopulated and animals disposed of in an appropriate manner in accordance with Chapter 4.7 to prevent further spread of the disease; any in-contact farmed or wild populations would also require investigation to determine their disease status. </w:t>
      </w:r>
    </w:p>
    <w:p w14:paraId="1D9AF683"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lang w:val="en"/>
        </w:rPr>
        <w:t>It may be possible to return to freedom more quickly</w:t>
      </w:r>
      <w:r w:rsidRPr="00D403F5">
        <w:rPr>
          <w:rFonts w:ascii="Times New Roman" w:hAnsi="Times New Roman" w:cs="Times New Roman"/>
          <w:sz w:val="18"/>
          <w:szCs w:val="18"/>
        </w:rPr>
        <w:t xml:space="preserve"> under an eradication programme than in an initial </w:t>
      </w:r>
      <w:r w:rsidRPr="00D403F5">
        <w:rPr>
          <w:rFonts w:ascii="Times New Roman" w:hAnsi="Times New Roman" w:cs="Times New Roman"/>
          <w:i/>
          <w:iCs/>
          <w:sz w:val="18"/>
          <w:szCs w:val="18"/>
          <w:lang w:val="en"/>
        </w:rPr>
        <w:t>self-declaration of freedom</w:t>
      </w:r>
      <w:r w:rsidRPr="00D403F5">
        <w:rPr>
          <w:rFonts w:ascii="Times New Roman" w:hAnsi="Times New Roman" w:cs="Times New Roman"/>
          <w:sz w:val="18"/>
          <w:szCs w:val="18"/>
          <w:lang w:val="en"/>
        </w:rPr>
        <w:t xml:space="preserve"> for a country or zone</w:t>
      </w:r>
      <w:r w:rsidRPr="00D403F5">
        <w:rPr>
          <w:rFonts w:ascii="Times New Roman" w:hAnsi="Times New Roman" w:cs="Times New Roman"/>
          <w:sz w:val="18"/>
          <w:szCs w:val="18"/>
        </w:rPr>
        <w:t xml:space="preserve"> because study populations may be more narrowly defined</w:t>
      </w:r>
      <w:r w:rsidRPr="00D403F5">
        <w:rPr>
          <w:rFonts w:ascii="Times New Roman" w:hAnsi="Times New Roman" w:cs="Times New Roman"/>
          <w:sz w:val="18"/>
          <w:szCs w:val="18"/>
          <w:lang w:val="en"/>
        </w:rPr>
        <w:t xml:space="preserve">. However, consideration must be given to the likely pathways of introduction and a review of </w:t>
      </w:r>
      <w:r w:rsidRPr="00D403F5">
        <w:rPr>
          <w:rFonts w:ascii="Times New Roman" w:hAnsi="Times New Roman" w:cs="Times New Roman"/>
          <w:i/>
          <w:sz w:val="18"/>
          <w:szCs w:val="18"/>
          <w:lang w:val="en"/>
        </w:rPr>
        <w:t>basic biosecurity conditions</w:t>
      </w:r>
      <w:r w:rsidRPr="00D403F5">
        <w:rPr>
          <w:rFonts w:ascii="Times New Roman" w:hAnsi="Times New Roman" w:cs="Times New Roman"/>
          <w:sz w:val="18"/>
          <w:szCs w:val="18"/>
          <w:lang w:val="en"/>
        </w:rPr>
        <w:t xml:space="preserve"> to ensure that </w:t>
      </w:r>
      <w:r w:rsidRPr="00D403F5">
        <w:rPr>
          <w:rFonts w:ascii="Times New Roman" w:hAnsi="Times New Roman" w:cs="Times New Roman"/>
          <w:sz w:val="18"/>
          <w:szCs w:val="18"/>
        </w:rPr>
        <w:t>import requirements to prevent the re-introduction of disease are effective. T</w:t>
      </w:r>
      <w:r w:rsidRPr="00D403F5">
        <w:rPr>
          <w:rFonts w:ascii="Times New Roman" w:hAnsi="Times New Roman" w:cs="Times New Roman"/>
          <w:sz w:val="18"/>
          <w:szCs w:val="18"/>
          <w:lang w:val="en"/>
        </w:rPr>
        <w:t xml:space="preserve">he circumstances of the disease outbreak (e.g. affecting a small versus large geographic area), the type of production systems affected (e.g. open versus closed) and the epidemiology of the disease </w:t>
      </w:r>
      <w:r w:rsidRPr="00D403F5">
        <w:rPr>
          <w:rFonts w:ascii="Times New Roman" w:hAnsi="Times New Roman" w:cs="Times New Roman"/>
          <w:sz w:val="18"/>
          <w:szCs w:val="18"/>
        </w:rPr>
        <w:t>would also impact the surveillance period required for demonstration of freedom.</w:t>
      </w:r>
    </w:p>
    <w:p w14:paraId="5CEFB6F6"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Chapter 1.4. does not provide specific guidance on surveillance required to regain freedom and no reference is made to </w:t>
      </w:r>
      <w:r w:rsidRPr="00D403F5">
        <w:rPr>
          <w:rFonts w:ascii="Times New Roman" w:hAnsi="Times New Roman" w:cs="Times New Roman"/>
          <w:i/>
          <w:sz w:val="18"/>
          <w:szCs w:val="18"/>
        </w:rPr>
        <w:t xml:space="preserve">infected </w:t>
      </w:r>
      <w:r w:rsidRPr="00D403F5">
        <w:rPr>
          <w:rFonts w:ascii="Times New Roman" w:hAnsi="Times New Roman" w:cs="Times New Roman"/>
          <w:sz w:val="18"/>
          <w:szCs w:val="18"/>
        </w:rPr>
        <w:t xml:space="preserve">or </w:t>
      </w:r>
      <w:r w:rsidRPr="00D403F5">
        <w:rPr>
          <w:rFonts w:ascii="Times New Roman" w:hAnsi="Times New Roman" w:cs="Times New Roman"/>
          <w:i/>
          <w:sz w:val="18"/>
          <w:szCs w:val="18"/>
        </w:rPr>
        <w:t>protection</w:t>
      </w:r>
      <w:r w:rsidRPr="00D403F5">
        <w:rPr>
          <w:rFonts w:ascii="Times New Roman" w:hAnsi="Times New Roman" w:cs="Times New Roman"/>
          <w:sz w:val="18"/>
          <w:szCs w:val="18"/>
        </w:rPr>
        <w:t xml:space="preserve"> zones. The glossary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defines ‘</w:t>
      </w:r>
      <w:r w:rsidRPr="00D403F5">
        <w:rPr>
          <w:rFonts w:ascii="Times New Roman" w:hAnsi="Times New Roman" w:cs="Times New Roman"/>
          <w:i/>
          <w:sz w:val="18"/>
          <w:szCs w:val="18"/>
        </w:rPr>
        <w:t>infected zone</w:t>
      </w:r>
      <w:r w:rsidRPr="00D403F5">
        <w:rPr>
          <w:rFonts w:ascii="Times New Roman" w:hAnsi="Times New Roman" w:cs="Times New Roman"/>
          <w:sz w:val="18"/>
          <w:szCs w:val="18"/>
        </w:rPr>
        <w:t>’ and ‘</w:t>
      </w:r>
      <w:r w:rsidRPr="00D403F5">
        <w:rPr>
          <w:rFonts w:ascii="Times New Roman" w:hAnsi="Times New Roman" w:cs="Times New Roman"/>
          <w:i/>
          <w:sz w:val="18"/>
          <w:szCs w:val="18"/>
        </w:rPr>
        <w:t>protection zone’</w:t>
      </w:r>
      <w:r w:rsidRPr="00D403F5">
        <w:rPr>
          <w:rFonts w:ascii="Times New Roman" w:hAnsi="Times New Roman" w:cs="Times New Roman"/>
          <w:sz w:val="18"/>
          <w:szCs w:val="18"/>
        </w:rPr>
        <w:t xml:space="preserve"> as provided below. </w:t>
      </w:r>
    </w:p>
    <w:p w14:paraId="734ADE1F" w14:textId="77777777" w:rsidR="00C7266C" w:rsidRPr="00D403F5" w:rsidRDefault="00C7266C" w:rsidP="00D403F5">
      <w:pPr>
        <w:pStyle w:val="3"/>
        <w:keepNext w:val="0"/>
        <w:keepLines w:val="0"/>
        <w:widowControl w:val="0"/>
        <w:numPr>
          <w:ilvl w:val="2"/>
          <w:numId w:val="17"/>
        </w:numPr>
        <w:spacing w:before="0"/>
        <w:ind w:left="851" w:hanging="425"/>
        <w:jc w:val="both"/>
        <w:rPr>
          <w:rFonts w:ascii="Times New Roman" w:hAnsi="Times New Roman" w:cs="Times New Roman"/>
          <w:bCs/>
          <w:i/>
          <w:color w:val="auto"/>
          <w:sz w:val="18"/>
          <w:szCs w:val="18"/>
        </w:rPr>
      </w:pPr>
      <w:r w:rsidRPr="00D403F5">
        <w:rPr>
          <w:rFonts w:ascii="Times New Roman" w:hAnsi="Times New Roman" w:cs="Times New Roman"/>
          <w:bCs/>
          <w:i/>
          <w:color w:val="auto"/>
          <w:sz w:val="18"/>
          <w:szCs w:val="18"/>
        </w:rPr>
        <w:t xml:space="preserve">INFECTED ZONE means a </w:t>
      </w:r>
      <w:r w:rsidRPr="00D403F5">
        <w:rPr>
          <w:rFonts w:ascii="Times New Roman" w:hAnsi="Times New Roman" w:cs="Times New Roman"/>
          <w:bCs/>
          <w:color w:val="auto"/>
          <w:sz w:val="18"/>
          <w:szCs w:val="18"/>
        </w:rPr>
        <w:t>zone</w:t>
      </w:r>
      <w:r w:rsidRPr="00D403F5">
        <w:rPr>
          <w:rFonts w:ascii="Times New Roman" w:hAnsi="Times New Roman" w:cs="Times New Roman"/>
          <w:bCs/>
          <w:i/>
          <w:color w:val="auto"/>
          <w:sz w:val="18"/>
          <w:szCs w:val="18"/>
        </w:rPr>
        <w:t xml:space="preserve"> in which a </w:t>
      </w:r>
      <w:r w:rsidRPr="00D403F5">
        <w:rPr>
          <w:rFonts w:ascii="Times New Roman" w:hAnsi="Times New Roman" w:cs="Times New Roman"/>
          <w:bCs/>
          <w:color w:val="auto"/>
          <w:sz w:val="18"/>
          <w:szCs w:val="18"/>
        </w:rPr>
        <w:t>disease</w:t>
      </w:r>
      <w:r w:rsidRPr="00D403F5">
        <w:rPr>
          <w:rFonts w:ascii="Times New Roman" w:hAnsi="Times New Roman" w:cs="Times New Roman"/>
          <w:bCs/>
          <w:i/>
          <w:color w:val="auto"/>
          <w:sz w:val="18"/>
          <w:szCs w:val="18"/>
        </w:rPr>
        <w:t xml:space="preserve"> has been diagnosed.</w:t>
      </w:r>
    </w:p>
    <w:p w14:paraId="1A38348A" w14:textId="77777777" w:rsidR="00C7266C" w:rsidRPr="00D403F5" w:rsidRDefault="00C7266C" w:rsidP="00D403F5">
      <w:pPr>
        <w:pStyle w:val="3"/>
        <w:keepNext w:val="0"/>
        <w:keepLines w:val="0"/>
        <w:widowControl w:val="0"/>
        <w:numPr>
          <w:ilvl w:val="2"/>
          <w:numId w:val="17"/>
        </w:numPr>
        <w:spacing w:before="0"/>
        <w:ind w:left="851" w:hanging="425"/>
        <w:jc w:val="both"/>
        <w:rPr>
          <w:rFonts w:ascii="Times New Roman" w:hAnsi="Times New Roman" w:cs="Times New Roman"/>
          <w:bCs/>
          <w:i/>
          <w:color w:val="auto"/>
          <w:sz w:val="18"/>
          <w:szCs w:val="18"/>
        </w:rPr>
      </w:pPr>
      <w:r w:rsidRPr="00D403F5">
        <w:rPr>
          <w:rFonts w:ascii="Times New Roman" w:hAnsi="Times New Roman" w:cs="Times New Roman"/>
          <w:bCs/>
          <w:i/>
          <w:color w:val="auto"/>
          <w:sz w:val="18"/>
          <w:szCs w:val="18"/>
        </w:rPr>
        <w:t xml:space="preserve">PROTECTION ZONE means a </w:t>
      </w:r>
      <w:r w:rsidRPr="00D403F5">
        <w:rPr>
          <w:rFonts w:ascii="Times New Roman" w:hAnsi="Times New Roman" w:cs="Times New Roman"/>
          <w:bCs/>
          <w:color w:val="auto"/>
          <w:sz w:val="18"/>
          <w:szCs w:val="18"/>
        </w:rPr>
        <w:t>zone</w:t>
      </w:r>
      <w:r w:rsidRPr="00D403F5">
        <w:rPr>
          <w:rFonts w:ascii="Times New Roman" w:hAnsi="Times New Roman" w:cs="Times New Roman"/>
          <w:bCs/>
          <w:i/>
          <w:color w:val="auto"/>
          <w:sz w:val="18"/>
          <w:szCs w:val="18"/>
        </w:rPr>
        <w:t xml:space="preserve"> established to protect the health status of </w:t>
      </w:r>
      <w:r w:rsidRPr="00D403F5">
        <w:rPr>
          <w:rFonts w:ascii="Times New Roman" w:hAnsi="Times New Roman" w:cs="Times New Roman"/>
          <w:bCs/>
          <w:color w:val="auto"/>
          <w:sz w:val="18"/>
          <w:szCs w:val="18"/>
        </w:rPr>
        <w:t>aquatic animals</w:t>
      </w:r>
      <w:r w:rsidRPr="00D403F5">
        <w:rPr>
          <w:rFonts w:ascii="Times New Roman" w:hAnsi="Times New Roman" w:cs="Times New Roman"/>
          <w:bCs/>
          <w:i/>
          <w:color w:val="auto"/>
          <w:sz w:val="18"/>
          <w:szCs w:val="18"/>
        </w:rPr>
        <w:t xml:space="preserve"> in a </w:t>
      </w:r>
      <w:r w:rsidRPr="00D403F5">
        <w:rPr>
          <w:rFonts w:ascii="Times New Roman" w:hAnsi="Times New Roman" w:cs="Times New Roman"/>
          <w:bCs/>
          <w:color w:val="auto"/>
          <w:sz w:val="18"/>
          <w:szCs w:val="18"/>
        </w:rPr>
        <w:t>free country</w:t>
      </w:r>
      <w:r w:rsidRPr="00D403F5">
        <w:rPr>
          <w:rFonts w:ascii="Times New Roman" w:hAnsi="Times New Roman" w:cs="Times New Roman"/>
          <w:bCs/>
          <w:i/>
          <w:color w:val="auto"/>
          <w:sz w:val="18"/>
          <w:szCs w:val="18"/>
        </w:rPr>
        <w:t xml:space="preserve"> or </w:t>
      </w:r>
      <w:r w:rsidRPr="00D403F5">
        <w:rPr>
          <w:rFonts w:ascii="Times New Roman" w:hAnsi="Times New Roman" w:cs="Times New Roman"/>
          <w:bCs/>
          <w:color w:val="auto"/>
          <w:sz w:val="18"/>
          <w:szCs w:val="18"/>
        </w:rPr>
        <w:t>free zone</w:t>
      </w:r>
      <w:r w:rsidRPr="00D403F5">
        <w:rPr>
          <w:rFonts w:ascii="Times New Roman" w:hAnsi="Times New Roman" w:cs="Times New Roman"/>
          <w:bCs/>
          <w:i/>
          <w:color w:val="auto"/>
          <w:sz w:val="18"/>
          <w:szCs w:val="18"/>
        </w:rPr>
        <w:t xml:space="preserve">, from those in a country or zone of a different </w:t>
      </w:r>
      <w:r w:rsidRPr="00D403F5">
        <w:rPr>
          <w:rFonts w:ascii="Times New Roman" w:hAnsi="Times New Roman" w:cs="Times New Roman"/>
          <w:bCs/>
          <w:color w:val="auto"/>
          <w:sz w:val="18"/>
          <w:szCs w:val="18"/>
        </w:rPr>
        <w:t>aquatic animal health status</w:t>
      </w:r>
      <w:r w:rsidRPr="00D403F5">
        <w:rPr>
          <w:rFonts w:ascii="Times New Roman" w:hAnsi="Times New Roman" w:cs="Times New Roman"/>
          <w:bCs/>
          <w:i/>
          <w:color w:val="auto"/>
          <w:sz w:val="18"/>
          <w:szCs w:val="18"/>
        </w:rPr>
        <w:t xml:space="preserve">, using measures based on the epidemiology of the disease under consideration to prevent spread of the pathogenic agent into a </w:t>
      </w:r>
      <w:r w:rsidRPr="00D403F5">
        <w:rPr>
          <w:rFonts w:ascii="Times New Roman" w:hAnsi="Times New Roman" w:cs="Times New Roman"/>
          <w:bCs/>
          <w:color w:val="auto"/>
          <w:sz w:val="18"/>
          <w:szCs w:val="18"/>
        </w:rPr>
        <w:t>free country</w:t>
      </w:r>
      <w:r w:rsidRPr="00D403F5">
        <w:rPr>
          <w:rFonts w:ascii="Times New Roman" w:hAnsi="Times New Roman" w:cs="Times New Roman"/>
          <w:bCs/>
          <w:i/>
          <w:color w:val="auto"/>
          <w:sz w:val="18"/>
          <w:szCs w:val="18"/>
        </w:rPr>
        <w:t xml:space="preserve"> or </w:t>
      </w:r>
      <w:r w:rsidRPr="00D403F5">
        <w:rPr>
          <w:rFonts w:ascii="Times New Roman" w:hAnsi="Times New Roman" w:cs="Times New Roman"/>
          <w:bCs/>
          <w:color w:val="auto"/>
          <w:sz w:val="18"/>
          <w:szCs w:val="18"/>
        </w:rPr>
        <w:t>free zone</w:t>
      </w:r>
      <w:r w:rsidRPr="00D403F5">
        <w:rPr>
          <w:rFonts w:ascii="Times New Roman" w:hAnsi="Times New Roman" w:cs="Times New Roman"/>
          <w:bCs/>
          <w:i/>
          <w:color w:val="auto"/>
          <w:sz w:val="18"/>
          <w:szCs w:val="18"/>
        </w:rPr>
        <w:t>. These measures may include, but are not limited to, vaccination, movement control and an intensified degree of surveillance.</w:t>
      </w:r>
    </w:p>
    <w:p w14:paraId="79444D8C" w14:textId="77777777" w:rsidR="00C7266C" w:rsidRPr="00D403F5" w:rsidRDefault="00C7266C" w:rsidP="00D403F5">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Further guidance may be necessary to define how the zones should be established and the requirements for surveillance within them.</w:t>
      </w:r>
    </w:p>
    <w:p w14:paraId="4C5FF5A2" w14:textId="77777777" w:rsidR="00C7266C" w:rsidRPr="00D403F5" w:rsidRDefault="00C7266C" w:rsidP="00D403F5">
      <w:pPr>
        <w:pStyle w:val="3"/>
        <w:keepNext w:val="0"/>
        <w:keepLines w:val="0"/>
        <w:widowControl w:val="0"/>
        <w:spacing w:before="0"/>
        <w:ind w:left="425"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Member Country comments February 2018</w:t>
      </w:r>
    </w:p>
    <w:p w14:paraId="185F38C5" w14:textId="77777777" w:rsidR="00C7266C" w:rsidRPr="00D403F5" w:rsidRDefault="00C7266C" w:rsidP="00D403F5">
      <w:pPr>
        <w:pStyle w:val="3"/>
        <w:keepNext w:val="0"/>
        <w:keepLines w:val="0"/>
        <w:widowControl w:val="0"/>
        <w:spacing w:before="0"/>
        <w:ind w:left="425" w:firstLine="0"/>
        <w:jc w:val="both"/>
        <w:rPr>
          <w:rFonts w:ascii="Times New Roman" w:hAnsi="Times New Roman" w:cs="Times New Roman"/>
          <w:iCs/>
          <w:color w:val="000000" w:themeColor="text1"/>
          <w:sz w:val="18"/>
          <w:szCs w:val="18"/>
        </w:rPr>
      </w:pPr>
      <w:r w:rsidRPr="00D403F5">
        <w:rPr>
          <w:rFonts w:ascii="Times New Roman" w:hAnsi="Times New Roman" w:cs="Times New Roman"/>
          <w:iCs/>
          <w:color w:val="000000" w:themeColor="text1"/>
          <w:sz w:val="18"/>
          <w:szCs w:val="18"/>
        </w:rPr>
        <w:t>A majority of Member Countries considered that countries and zones should (under appropriate circumstances) be able to return to freedom more quickly following an eradication programme than in an initial self-declaration of freedom for a country or zone. The rationale provided included that the affected populations may be more narrowly defined than for the original declaration and that the country will have a good knowledge of the disease and study populations in connection with the original declaration. However, Member Countries noted that this will depend on the circumstances of the outbreak and the reason freedom was lost.</w:t>
      </w:r>
    </w:p>
    <w:p w14:paraId="1811AD25" w14:textId="77777777" w:rsidR="00C7266C" w:rsidRPr="00D403F5" w:rsidRDefault="00C7266C" w:rsidP="00D403F5">
      <w:pPr>
        <w:spacing w:after="0"/>
        <w:ind w:left="425"/>
        <w:jc w:val="both"/>
        <w:rPr>
          <w:rFonts w:ascii="Times New Roman" w:hAnsi="Times New Roman" w:cs="Times New Roman"/>
          <w:iCs/>
          <w:color w:val="000000" w:themeColor="text1"/>
          <w:sz w:val="18"/>
          <w:szCs w:val="18"/>
        </w:rPr>
      </w:pPr>
      <w:r w:rsidRPr="00D403F5">
        <w:rPr>
          <w:rFonts w:ascii="Times New Roman" w:eastAsiaTheme="majorEastAsia" w:hAnsi="Times New Roman" w:cs="Times New Roman"/>
          <w:iCs/>
          <w:color w:val="000000" w:themeColor="text1"/>
          <w:sz w:val="18"/>
          <w:szCs w:val="18"/>
        </w:rPr>
        <w:t xml:space="preserve">It was commented that there should not be a necessity to test wild stock when there are enough </w:t>
      </w:r>
      <w:r w:rsidRPr="00D403F5">
        <w:rPr>
          <w:rFonts w:ascii="Times New Roman" w:eastAsiaTheme="majorEastAsia" w:hAnsi="Times New Roman" w:cs="Times New Roman"/>
          <w:i/>
          <w:iCs/>
          <w:color w:val="000000" w:themeColor="text1"/>
          <w:sz w:val="18"/>
          <w:szCs w:val="18"/>
        </w:rPr>
        <w:t>aquaculture establishments</w:t>
      </w:r>
      <w:r w:rsidRPr="00D403F5">
        <w:rPr>
          <w:rFonts w:ascii="Times New Roman" w:eastAsiaTheme="majorEastAsia" w:hAnsi="Times New Roman" w:cs="Times New Roman"/>
          <w:iCs/>
          <w:color w:val="000000" w:themeColor="text1"/>
          <w:sz w:val="18"/>
          <w:szCs w:val="18"/>
        </w:rPr>
        <w:t xml:space="preserve"> in the infected area that will result in the production of sound epidemiological data which accurately reflects the disease status of the system.</w:t>
      </w:r>
    </w:p>
    <w:p w14:paraId="792C142B" w14:textId="77777777" w:rsidR="00C7266C" w:rsidRPr="00D403F5" w:rsidRDefault="00C7266C" w:rsidP="00D403F5">
      <w:pPr>
        <w:pStyle w:val="3"/>
        <w:keepNext w:val="0"/>
        <w:keepLines w:val="0"/>
        <w:widowControl w:val="0"/>
        <w:spacing w:before="0"/>
        <w:ind w:left="425" w:firstLine="0"/>
        <w:jc w:val="both"/>
        <w:rPr>
          <w:rFonts w:ascii="Times New Roman" w:hAnsi="Times New Roman" w:cs="Times New Roman"/>
          <w:iCs/>
          <w:color w:val="000000" w:themeColor="text1"/>
          <w:sz w:val="18"/>
          <w:szCs w:val="18"/>
        </w:rPr>
      </w:pPr>
      <w:r w:rsidRPr="00D403F5">
        <w:rPr>
          <w:rFonts w:ascii="Times New Roman" w:hAnsi="Times New Roman" w:cs="Times New Roman"/>
          <w:iCs/>
          <w:color w:val="000000" w:themeColor="text1"/>
          <w:sz w:val="18"/>
          <w:szCs w:val="18"/>
        </w:rPr>
        <w:t xml:space="preserve">Member Country views on whether </w:t>
      </w:r>
      <w:r w:rsidRPr="00D403F5">
        <w:rPr>
          <w:rFonts w:ascii="Times New Roman" w:hAnsi="Times New Roman" w:cs="Times New Roman"/>
          <w:i/>
          <w:iCs/>
          <w:color w:val="000000" w:themeColor="text1"/>
          <w:sz w:val="18"/>
          <w:szCs w:val="18"/>
        </w:rPr>
        <w:t>compartments</w:t>
      </w:r>
      <w:r w:rsidRPr="00D403F5">
        <w:rPr>
          <w:rFonts w:ascii="Times New Roman" w:hAnsi="Times New Roman" w:cs="Times New Roman"/>
          <w:iCs/>
          <w:color w:val="000000" w:themeColor="text1"/>
          <w:sz w:val="18"/>
          <w:szCs w:val="18"/>
        </w:rPr>
        <w:t xml:space="preserve"> should be able to regain freedom immediately after destocking and successful decontamination were divided. Most indicated a preference for additional assurances that eradication had been successful (e.g. surveillance within the first production cycle under conditions favourable for the detection of the pathogen). Member Countries noted that it was important that </w:t>
      </w:r>
      <w:r w:rsidRPr="00D403F5">
        <w:rPr>
          <w:rFonts w:ascii="Times New Roman" w:hAnsi="Times New Roman" w:cs="Times New Roman"/>
          <w:i/>
          <w:iCs/>
          <w:color w:val="000000" w:themeColor="text1"/>
          <w:sz w:val="18"/>
          <w:szCs w:val="18"/>
        </w:rPr>
        <w:t>basic biosecurity conditions</w:t>
      </w:r>
      <w:r w:rsidRPr="00D403F5">
        <w:rPr>
          <w:rFonts w:ascii="Times New Roman" w:hAnsi="Times New Roman" w:cs="Times New Roman"/>
          <w:iCs/>
          <w:color w:val="000000" w:themeColor="text1"/>
          <w:sz w:val="18"/>
          <w:szCs w:val="18"/>
        </w:rPr>
        <w:t xml:space="preserve"> be reviewed to ensure epidemiological isolation of the </w:t>
      </w:r>
      <w:r w:rsidRPr="00D403F5">
        <w:rPr>
          <w:rFonts w:ascii="Times New Roman" w:hAnsi="Times New Roman" w:cs="Times New Roman"/>
          <w:i/>
          <w:iCs/>
          <w:color w:val="000000" w:themeColor="text1"/>
          <w:sz w:val="18"/>
          <w:szCs w:val="18"/>
        </w:rPr>
        <w:t>compartment</w:t>
      </w:r>
      <w:r w:rsidRPr="00D403F5">
        <w:rPr>
          <w:rFonts w:ascii="Times New Roman" w:hAnsi="Times New Roman" w:cs="Times New Roman"/>
          <w:iCs/>
          <w:color w:val="000000" w:themeColor="text1"/>
          <w:sz w:val="18"/>
          <w:szCs w:val="18"/>
        </w:rPr>
        <w:t xml:space="preserve">. </w:t>
      </w:r>
    </w:p>
    <w:p w14:paraId="2B0EAA83" w14:textId="77777777" w:rsidR="00C7266C" w:rsidRPr="00D403F5" w:rsidRDefault="00C7266C" w:rsidP="00D403F5">
      <w:pPr>
        <w:pStyle w:val="3"/>
        <w:keepNext w:val="0"/>
        <w:keepLines w:val="0"/>
        <w:widowControl w:val="0"/>
        <w:spacing w:before="0"/>
        <w:ind w:left="425" w:firstLine="0"/>
        <w:jc w:val="both"/>
        <w:rPr>
          <w:rFonts w:ascii="Times New Roman" w:hAnsi="Times New Roman"/>
          <w:iCs/>
          <w:color w:val="000000" w:themeColor="text1"/>
          <w:sz w:val="18"/>
          <w:szCs w:val="18"/>
        </w:rPr>
      </w:pPr>
      <w:r w:rsidRPr="00D403F5">
        <w:rPr>
          <w:rFonts w:ascii="Times New Roman" w:hAnsi="Times New Roman"/>
          <w:iCs/>
          <w:color w:val="000000" w:themeColor="text1"/>
          <w:sz w:val="18"/>
          <w:szCs w:val="18"/>
        </w:rPr>
        <w:br w:type="page"/>
      </w:r>
    </w:p>
    <w:p w14:paraId="6CB024DA" w14:textId="77777777"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3C82A10D"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iCs/>
          <w:color w:val="000000" w:themeColor="text1"/>
          <w:sz w:val="18"/>
          <w:szCs w:val="18"/>
        </w:rPr>
      </w:pPr>
      <w:r w:rsidRPr="00D403F5">
        <w:rPr>
          <w:rFonts w:ascii="Times New Roman" w:hAnsi="Times New Roman" w:cs="Times New Roman"/>
          <w:iCs/>
          <w:color w:val="000000" w:themeColor="text1"/>
          <w:sz w:val="18"/>
          <w:szCs w:val="18"/>
        </w:rPr>
        <w:t xml:space="preserve">Member Countries universally supported provision of clearer guidance on establishing </w:t>
      </w:r>
      <w:r w:rsidRPr="00D403F5">
        <w:rPr>
          <w:rFonts w:ascii="Times New Roman" w:hAnsi="Times New Roman" w:cs="Times New Roman"/>
          <w:i/>
          <w:iCs/>
          <w:color w:val="000000" w:themeColor="text1"/>
          <w:sz w:val="18"/>
          <w:szCs w:val="18"/>
        </w:rPr>
        <w:t>infected</w:t>
      </w:r>
      <w:r w:rsidRPr="00D403F5">
        <w:rPr>
          <w:rFonts w:ascii="Times New Roman" w:hAnsi="Times New Roman" w:cs="Times New Roman"/>
          <w:iCs/>
          <w:color w:val="000000" w:themeColor="text1"/>
          <w:sz w:val="18"/>
          <w:szCs w:val="18"/>
        </w:rPr>
        <w:t xml:space="preserve"> and </w:t>
      </w:r>
      <w:r w:rsidRPr="00D403F5">
        <w:rPr>
          <w:rFonts w:ascii="Times New Roman" w:hAnsi="Times New Roman" w:cs="Times New Roman"/>
          <w:i/>
          <w:iCs/>
          <w:color w:val="000000" w:themeColor="text1"/>
          <w:sz w:val="18"/>
          <w:szCs w:val="18"/>
        </w:rPr>
        <w:t>protection zones</w:t>
      </w:r>
      <w:r w:rsidRPr="00D403F5">
        <w:rPr>
          <w:rFonts w:ascii="Times New Roman" w:hAnsi="Times New Roman" w:cs="Times New Roman"/>
          <w:iCs/>
          <w:color w:val="000000" w:themeColor="text1"/>
          <w:sz w:val="18"/>
          <w:szCs w:val="18"/>
        </w:rPr>
        <w:t xml:space="preserve"> and sampling within them (for farmed and wild animals). Views varied on where that guidance should be located – chapters on surveillance, zoning and compartmentalisation or emergency response. In addition, it was suggested that consideration could also be given to the concept of containment zones (i.e. zoning during a disease outbreak) (as provided for in the </w:t>
      </w:r>
      <w:r w:rsidRPr="00D403F5">
        <w:rPr>
          <w:rFonts w:ascii="Times New Roman" w:hAnsi="Times New Roman" w:cs="Times New Roman"/>
          <w:i/>
          <w:iCs/>
          <w:color w:val="000000" w:themeColor="text1"/>
          <w:sz w:val="18"/>
          <w:szCs w:val="18"/>
        </w:rPr>
        <w:t>Terrestrial Code</w:t>
      </w:r>
      <w:r w:rsidRPr="00D403F5">
        <w:rPr>
          <w:rFonts w:ascii="Times New Roman" w:hAnsi="Times New Roman" w:cs="Times New Roman"/>
          <w:iCs/>
          <w:color w:val="000000" w:themeColor="text1"/>
          <w:sz w:val="18"/>
          <w:szCs w:val="18"/>
        </w:rPr>
        <w:t>).</w:t>
      </w:r>
    </w:p>
    <w:p w14:paraId="7A69521A"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Recommended approach</w:t>
      </w:r>
    </w:p>
    <w:p w14:paraId="357F9C3E" w14:textId="77777777" w:rsidR="00C7266C" w:rsidRPr="00D403F5" w:rsidRDefault="00C7266C" w:rsidP="0076436B">
      <w:pPr>
        <w:pStyle w:val="40"/>
        <w:spacing w:before="0" w:after="240"/>
        <w:ind w:left="425" w:firstLine="0"/>
        <w:jc w:val="both"/>
        <w:rPr>
          <w:rFonts w:ascii="Times New Roman" w:hAnsi="Times New Roman" w:cs="Times New Roman"/>
          <w:iCs w:val="0"/>
          <w:color w:val="000000" w:themeColor="text1"/>
          <w:sz w:val="18"/>
          <w:szCs w:val="18"/>
        </w:rPr>
      </w:pPr>
      <w:r w:rsidRPr="00D403F5">
        <w:rPr>
          <w:rFonts w:ascii="Times New Roman" w:hAnsi="Times New Roman" w:cs="Times New Roman"/>
          <w:iCs w:val="0"/>
          <w:color w:val="000000" w:themeColor="text1"/>
          <w:sz w:val="18"/>
          <w:szCs w:val="18"/>
        </w:rPr>
        <w:t xml:space="preserve">Compartments </w:t>
      </w:r>
    </w:p>
    <w:p w14:paraId="7B99C678"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A pathway for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to regain freedom will be included in the disease specific chapters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w:t>
      </w:r>
      <w:r w:rsidRPr="00D403F5">
        <w:rPr>
          <w:rFonts w:ascii="Times New Roman" w:hAnsi="Times New Roman" w:cs="Times New Roman"/>
          <w:i/>
          <w:sz w:val="18"/>
          <w:szCs w:val="18"/>
        </w:rPr>
        <w:t>Compartments</w:t>
      </w:r>
      <w:r w:rsidRPr="00D403F5">
        <w:rPr>
          <w:rFonts w:ascii="Times New Roman" w:hAnsi="Times New Roman" w:cs="Times New Roman"/>
          <w:sz w:val="18"/>
          <w:szCs w:val="18"/>
        </w:rPr>
        <w:t xml:space="preserve"> will be able to return to freedom relatively rapidly; however, a minimum period of time will be required (dependent on the nature of the specific disease) to test the reviewed biosecurity conditions and to undertake at least one round of testing to demonstrate that eradication has been successful.</w:t>
      </w:r>
    </w:p>
    <w:p w14:paraId="555FE287"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i/>
          <w:color w:val="000000" w:themeColor="text1"/>
          <w:sz w:val="18"/>
          <w:szCs w:val="18"/>
        </w:rPr>
      </w:pPr>
      <w:r w:rsidRPr="00D403F5">
        <w:rPr>
          <w:rFonts w:ascii="Times New Roman" w:hAnsi="Times New Roman" w:cs="Times New Roman"/>
          <w:i/>
          <w:color w:val="000000" w:themeColor="text1"/>
          <w:sz w:val="18"/>
          <w:szCs w:val="18"/>
        </w:rPr>
        <w:t>Countries and zones</w:t>
      </w:r>
    </w:p>
    <w:p w14:paraId="5A823553"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The default minimum period of surveillance for countries and zones to regain freedom will be consistent with requirements for the original declaration of freedom. However, a general provision in Chapter 1.4.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will allow a self-declaration of freedom to be made sooner if Member Countries can demonstrate that the approach would provide an appropriate standard of evidence for the circumstances of the outbreak and the disease. </w:t>
      </w:r>
    </w:p>
    <w:p w14:paraId="50449AA7"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iCs/>
          <w:color w:val="000000" w:themeColor="text1"/>
          <w:sz w:val="18"/>
          <w:szCs w:val="18"/>
        </w:rPr>
      </w:pPr>
      <w:r w:rsidRPr="00D403F5">
        <w:rPr>
          <w:rFonts w:ascii="Times New Roman" w:hAnsi="Times New Roman" w:cs="Times New Roman"/>
          <w:i/>
          <w:color w:val="000000" w:themeColor="text1"/>
          <w:sz w:val="18"/>
          <w:szCs w:val="18"/>
        </w:rPr>
        <w:t>Infected and protection zones</w:t>
      </w:r>
      <w:r w:rsidRPr="00D403F5">
        <w:rPr>
          <w:rFonts w:ascii="Times New Roman" w:hAnsi="Times New Roman" w:cs="Times New Roman"/>
          <w:iCs/>
          <w:color w:val="000000" w:themeColor="text1"/>
          <w:sz w:val="18"/>
          <w:szCs w:val="18"/>
        </w:rPr>
        <w:t xml:space="preserve"> </w:t>
      </w:r>
    </w:p>
    <w:p w14:paraId="72EDC8EA"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iCs/>
          <w:color w:val="000000" w:themeColor="text1"/>
          <w:sz w:val="18"/>
          <w:szCs w:val="18"/>
        </w:rPr>
      </w:pPr>
      <w:r w:rsidRPr="00D403F5">
        <w:rPr>
          <w:rFonts w:ascii="Times New Roman" w:hAnsi="Times New Roman" w:cs="Times New Roman"/>
          <w:iCs/>
          <w:color w:val="000000" w:themeColor="text1"/>
          <w:sz w:val="18"/>
          <w:szCs w:val="18"/>
        </w:rPr>
        <w:t xml:space="preserve">Clearer guidance on establishing </w:t>
      </w:r>
      <w:r w:rsidRPr="00D403F5">
        <w:rPr>
          <w:rFonts w:ascii="Times New Roman" w:hAnsi="Times New Roman" w:cs="Times New Roman"/>
          <w:i/>
          <w:iCs/>
          <w:color w:val="000000" w:themeColor="text1"/>
          <w:sz w:val="18"/>
          <w:szCs w:val="18"/>
        </w:rPr>
        <w:t>infected</w:t>
      </w:r>
      <w:r w:rsidRPr="00D403F5">
        <w:rPr>
          <w:rFonts w:ascii="Times New Roman" w:hAnsi="Times New Roman" w:cs="Times New Roman"/>
          <w:iCs/>
          <w:color w:val="000000" w:themeColor="text1"/>
          <w:sz w:val="18"/>
          <w:szCs w:val="18"/>
        </w:rPr>
        <w:t xml:space="preserve"> and </w:t>
      </w:r>
      <w:r w:rsidRPr="00D403F5">
        <w:rPr>
          <w:rFonts w:ascii="Times New Roman" w:hAnsi="Times New Roman" w:cs="Times New Roman"/>
          <w:i/>
          <w:iCs/>
          <w:color w:val="000000" w:themeColor="text1"/>
          <w:sz w:val="18"/>
          <w:szCs w:val="18"/>
        </w:rPr>
        <w:t>protection zones</w:t>
      </w:r>
      <w:r w:rsidRPr="00D403F5">
        <w:rPr>
          <w:rFonts w:ascii="Times New Roman" w:hAnsi="Times New Roman" w:cs="Times New Roman"/>
          <w:iCs/>
          <w:color w:val="000000" w:themeColor="text1"/>
          <w:sz w:val="18"/>
          <w:szCs w:val="18"/>
        </w:rPr>
        <w:t xml:space="preserve"> and sampling within them (for farmed and wild animals) will be developed. Aspects of this guidance will be included, as appropriate, in Chapter 1.4. Surveillance and the new chapter on emergency response in Section 4 of the </w:t>
      </w:r>
      <w:r w:rsidRPr="00D403F5">
        <w:rPr>
          <w:rFonts w:ascii="Times New Roman" w:hAnsi="Times New Roman" w:cs="Times New Roman"/>
          <w:i/>
          <w:color w:val="000000" w:themeColor="text1"/>
          <w:sz w:val="18"/>
          <w:szCs w:val="18"/>
        </w:rPr>
        <w:t>Aquatic Code</w:t>
      </w:r>
      <w:r w:rsidRPr="00D403F5">
        <w:rPr>
          <w:rFonts w:ascii="Times New Roman" w:hAnsi="Times New Roman" w:cs="Times New Roman"/>
          <w:iCs/>
          <w:color w:val="000000" w:themeColor="text1"/>
          <w:sz w:val="18"/>
          <w:szCs w:val="18"/>
        </w:rPr>
        <w:t>.</w:t>
      </w:r>
    </w:p>
    <w:p w14:paraId="2741A774" w14:textId="77777777" w:rsidR="00C7266C" w:rsidRPr="00D403F5" w:rsidRDefault="00C7266C" w:rsidP="0076436B">
      <w:pPr>
        <w:pStyle w:val="40"/>
        <w:spacing w:before="0" w:after="240"/>
        <w:ind w:left="425" w:firstLine="0"/>
        <w:jc w:val="both"/>
        <w:rPr>
          <w:rFonts w:ascii="Times New Roman" w:eastAsia="Times New Roman" w:hAnsi="Times New Roman" w:cs="Times New Roman"/>
          <w:i w:val="0"/>
          <w:iCs w:val="0"/>
          <w:color w:val="auto"/>
          <w:sz w:val="18"/>
          <w:szCs w:val="18"/>
        </w:rPr>
      </w:pPr>
      <w:r w:rsidRPr="00D403F5">
        <w:rPr>
          <w:rFonts w:ascii="Times New Roman" w:hAnsi="Times New Roman" w:cs="Times New Roman"/>
          <w:iCs w:val="0"/>
          <w:color w:val="000000" w:themeColor="text1"/>
          <w:sz w:val="18"/>
          <w:szCs w:val="18"/>
        </w:rPr>
        <w:t>Requirements for targeted surveillance</w:t>
      </w:r>
    </w:p>
    <w:p w14:paraId="1CC1DCF1"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Once all infected populations have been depopulated and disinfected (see Chapter 4.3.) and synchronously fallowed (see Chapter 4.6.) for a period determined by the biophysical properties (i.e. pathogenic agent survival in the environment), a surveillance programme within the </w:t>
      </w:r>
      <w:r w:rsidRPr="00D403F5">
        <w:rPr>
          <w:rFonts w:ascii="Times New Roman" w:hAnsi="Times New Roman" w:cs="Times New Roman"/>
          <w:i/>
          <w:sz w:val="18"/>
          <w:szCs w:val="18"/>
        </w:rPr>
        <w:t>protection</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infected zones</w:t>
      </w:r>
      <w:r w:rsidRPr="00D403F5">
        <w:rPr>
          <w:rFonts w:ascii="Times New Roman" w:hAnsi="Times New Roman" w:cs="Times New Roman"/>
          <w:sz w:val="18"/>
          <w:szCs w:val="18"/>
        </w:rPr>
        <w:t xml:space="preserve"> should commence. The programme should include both farmed and wild populations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in the </w:t>
      </w:r>
      <w:r w:rsidRPr="00D403F5">
        <w:rPr>
          <w:rFonts w:ascii="Times New Roman" w:hAnsi="Times New Roman" w:cs="Times New Roman"/>
          <w:i/>
          <w:sz w:val="18"/>
          <w:szCs w:val="18"/>
        </w:rPr>
        <w:t>protection</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infection zones</w:t>
      </w:r>
      <w:r w:rsidRPr="00D403F5">
        <w:rPr>
          <w:rFonts w:ascii="Times New Roman" w:hAnsi="Times New Roman" w:cs="Times New Roman"/>
          <w:sz w:val="18"/>
          <w:szCs w:val="18"/>
        </w:rPr>
        <w:t>. It is recommended that a risk-based approach to the design of the survey is adopted. The criteria used in Section 3.3. above would be used to determine the frequency and duration of surveillance. The following sites should be targeted for sampling:</w:t>
      </w:r>
    </w:p>
    <w:p w14:paraId="5445CE2F" w14:textId="77777777" w:rsidR="00C7266C" w:rsidRPr="00D403F5" w:rsidRDefault="00C7266C" w:rsidP="0076436B">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Farms which had been infected.</w:t>
      </w:r>
    </w:p>
    <w:p w14:paraId="1503C99A" w14:textId="77777777" w:rsidR="00C7266C" w:rsidRPr="00D403F5" w:rsidRDefault="00C7266C" w:rsidP="0076436B">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Farms and wild populations at greatest risk of exposure to infection during the outbreak, i.e. in close proximity, with other epidemiological contacts such as equipment or aquatic animals. </w:t>
      </w:r>
    </w:p>
    <w:p w14:paraId="4D59DB55" w14:textId="77777777" w:rsidR="00C7266C" w:rsidRPr="00D403F5" w:rsidRDefault="00C7266C" w:rsidP="0076436B">
      <w:pPr>
        <w:spacing w:after="240" w:line="240" w:lineRule="auto"/>
        <w:ind w:left="851" w:hanging="425"/>
        <w:jc w:val="both"/>
        <w:rPr>
          <w:rFonts w:ascii="Times New Roman" w:hAnsi="Times New Roman" w:cs="Times New Roman"/>
          <w:sz w:val="18"/>
          <w:szCs w:val="18"/>
        </w:rPr>
      </w:pPr>
      <w:r w:rsidRPr="00D403F5">
        <w:rPr>
          <w:rFonts w:ascii="Times New Roman" w:hAnsi="Times New Roman" w:cs="Times New Roman"/>
          <w:sz w:val="18"/>
          <w:szCs w:val="18"/>
        </w:rPr>
        <w:t>‒</w:t>
      </w:r>
      <w:r w:rsidRPr="00D403F5">
        <w:rPr>
          <w:rFonts w:ascii="Times New Roman" w:hAnsi="Times New Roman" w:cs="Times New Roman"/>
          <w:sz w:val="18"/>
          <w:szCs w:val="18"/>
        </w:rPr>
        <w:tab/>
        <w:t xml:space="preserve">Wild populations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downstream or in the immediate vicinity of previously infected farms must be included. </w:t>
      </w:r>
    </w:p>
    <w:p w14:paraId="0B40232D" w14:textId="77777777" w:rsidR="00C7266C" w:rsidRPr="00D403F5" w:rsidRDefault="00C7266C" w:rsidP="0076436B">
      <w:pPr>
        <w:spacing w:after="240" w:line="240" w:lineRule="auto"/>
        <w:ind w:left="425"/>
        <w:jc w:val="both"/>
        <w:rPr>
          <w:rFonts w:ascii="Times New Roman" w:hAnsi="Times New Roman" w:cs="Times New Roman"/>
          <w:sz w:val="18"/>
          <w:szCs w:val="18"/>
        </w:rPr>
      </w:pPr>
      <w:r w:rsidRPr="00D403F5">
        <w:rPr>
          <w:rFonts w:ascii="Times New Roman" w:hAnsi="Times New Roman" w:cs="Times New Roman"/>
          <w:sz w:val="18"/>
          <w:szCs w:val="18"/>
        </w:rPr>
        <w:t>It is recommended that at least two negative surveys are conducted prior to reclaiming freedom. The second survey should start at least three months after completion of the first survey, and take place during optimum seasons, temperatures, and life stages to optimise pathogenic agent detection. If there are breaks in production, the surveys should also ideally span two production cycles. In each survey, the number of sites and the samples taken per site in a survey should be sufficient to demonstrate with 95% confidence that the pathogenic agent is not present above a prevalence of 2% (a higher design prevalence can be used if justified by epidemiological evidence).</w:t>
      </w:r>
    </w:p>
    <w:p w14:paraId="726B114C" w14:textId="77777777" w:rsidR="00C7266C" w:rsidRPr="00D403F5" w:rsidRDefault="00C7266C" w:rsidP="0076436B">
      <w:pPr>
        <w:spacing w:after="240"/>
        <w:ind w:left="425" w:hanging="425"/>
        <w:jc w:val="both"/>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4.</w:t>
      </w:r>
      <w:r w:rsidRPr="00D403F5">
        <w:rPr>
          <w:rFonts w:ascii="Times New Roman" w:hAnsi="Times New Roman" w:cs="Times New Roman"/>
          <w:b/>
          <w:caps/>
          <w:color w:val="0070C0"/>
          <w:sz w:val="18"/>
          <w:szCs w:val="18"/>
        </w:rPr>
        <w:tab/>
        <w:t>Maintaining freedom</w:t>
      </w:r>
    </w:p>
    <w:p w14:paraId="10838760"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For freedom to be maintained, </w:t>
      </w:r>
      <w:r w:rsidRPr="00D403F5">
        <w:rPr>
          <w:i/>
          <w:sz w:val="18"/>
          <w:szCs w:val="18"/>
          <w:lang w:val="en"/>
        </w:rPr>
        <w:t>basic biosecurity conditions</w:t>
      </w:r>
      <w:r w:rsidRPr="00D403F5">
        <w:rPr>
          <w:sz w:val="18"/>
          <w:szCs w:val="18"/>
          <w:lang w:val="en"/>
        </w:rPr>
        <w:t xml:space="preserve"> need to remain in place; however, the possibility of introduction of the pathogenic agent may remain, albeit at a very low level. It is therefore important that the </w:t>
      </w:r>
      <w:r w:rsidRPr="00D403F5">
        <w:rPr>
          <w:i/>
          <w:sz w:val="18"/>
          <w:szCs w:val="18"/>
          <w:lang w:val="en"/>
        </w:rPr>
        <w:t>early detection system</w:t>
      </w:r>
      <w:r w:rsidRPr="00D403F5">
        <w:rPr>
          <w:sz w:val="18"/>
          <w:szCs w:val="18"/>
          <w:lang w:val="en"/>
        </w:rPr>
        <w:t xml:space="preserve"> has sufficient sensitivity (i.e. capable of detecting pathogenic agent incursion) to ensure that a 95% confidence in </w:t>
      </w:r>
      <w:r w:rsidRPr="00D403F5">
        <w:rPr>
          <w:i/>
          <w:sz w:val="18"/>
          <w:szCs w:val="18"/>
        </w:rPr>
        <w:t xml:space="preserve">disease </w:t>
      </w:r>
      <w:r w:rsidRPr="00D403F5">
        <w:rPr>
          <w:sz w:val="18"/>
          <w:szCs w:val="18"/>
          <w:lang w:val="en"/>
        </w:rPr>
        <w:t>freedom is maintained.</w:t>
      </w:r>
    </w:p>
    <w:p w14:paraId="72CA27AC" w14:textId="77777777" w:rsidR="0076436B" w:rsidRDefault="0076436B" w:rsidP="0076436B">
      <w:pPr>
        <w:pStyle w:val="3"/>
        <w:keepNext w:val="0"/>
        <w:keepLines w:val="0"/>
        <w:widowControl w:val="0"/>
        <w:spacing w:before="0" w:after="240"/>
        <w:ind w:left="426" w:firstLine="0"/>
        <w:jc w:val="both"/>
        <w:rPr>
          <w:rFonts w:ascii="Times New Roman" w:hAnsi="Times New Roman" w:cs="Times New Roman"/>
          <w:b/>
          <w:bCs/>
          <w:i/>
          <w:color w:val="0070C0"/>
          <w:sz w:val="18"/>
          <w:szCs w:val="18"/>
        </w:rPr>
      </w:pPr>
      <w:r>
        <w:rPr>
          <w:rFonts w:ascii="Times New Roman" w:hAnsi="Times New Roman" w:cs="Times New Roman"/>
          <w:b/>
          <w:bCs/>
          <w:i/>
          <w:color w:val="0070C0"/>
          <w:sz w:val="18"/>
          <w:szCs w:val="18"/>
        </w:rPr>
        <w:br w:type="page"/>
      </w:r>
    </w:p>
    <w:p w14:paraId="5060E10D" w14:textId="77777777" w:rsidR="0076436B" w:rsidRPr="00D403F5" w:rsidRDefault="0076436B"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20ED1D9B" w14:textId="29EFE252" w:rsidR="00C7266C" w:rsidRPr="00D403F5" w:rsidRDefault="00C7266C" w:rsidP="0076436B">
      <w:pPr>
        <w:pStyle w:val="3"/>
        <w:keepNext w:val="0"/>
        <w:keepLines w:val="0"/>
        <w:widowControl w:val="0"/>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Current situation in the Aquatic Code</w:t>
      </w:r>
    </w:p>
    <w:p w14:paraId="439591D5"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A country, </w:t>
      </w:r>
      <w:r w:rsidRPr="00D403F5">
        <w:rPr>
          <w:i/>
          <w:iCs/>
          <w:sz w:val="18"/>
          <w:szCs w:val="18"/>
          <w:lang w:val="en"/>
        </w:rPr>
        <w:t>zone</w:t>
      </w:r>
      <w:r w:rsidRPr="00D403F5">
        <w:rPr>
          <w:sz w:val="18"/>
          <w:szCs w:val="18"/>
          <w:lang w:val="en"/>
        </w:rPr>
        <w:t xml:space="preserve"> or </w:t>
      </w:r>
      <w:r w:rsidRPr="00D403F5">
        <w:rPr>
          <w:i/>
          <w:iCs/>
          <w:sz w:val="18"/>
          <w:szCs w:val="18"/>
          <w:lang w:val="en"/>
        </w:rPr>
        <w:t>compartment</w:t>
      </w:r>
      <w:r w:rsidRPr="00D403F5">
        <w:rPr>
          <w:sz w:val="18"/>
          <w:szCs w:val="18"/>
          <w:lang w:val="en"/>
        </w:rPr>
        <w:t xml:space="preserve"> that is declared free from infection with [pathogenic agent x] following the provisions of points 1 or 2 of Articles X.X.4. or X.X.5. (as relevant) may maintain its status as free from infection with [pathogenic agent X] provided that </w:t>
      </w:r>
      <w:r w:rsidRPr="00D403F5">
        <w:rPr>
          <w:i/>
          <w:iCs/>
          <w:sz w:val="18"/>
          <w:szCs w:val="18"/>
          <w:lang w:val="en"/>
        </w:rPr>
        <w:t>basic biosecurity conditions</w:t>
      </w:r>
      <w:r w:rsidRPr="00D403F5">
        <w:rPr>
          <w:sz w:val="18"/>
          <w:szCs w:val="18"/>
          <w:lang w:val="en"/>
        </w:rPr>
        <w:t xml:space="preserve"> are continuously maintained.</w:t>
      </w:r>
    </w:p>
    <w:p w14:paraId="5C088001"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A country, </w:t>
      </w:r>
      <w:r w:rsidRPr="00D403F5">
        <w:rPr>
          <w:i/>
          <w:iCs/>
          <w:sz w:val="18"/>
          <w:szCs w:val="18"/>
          <w:lang w:val="en"/>
        </w:rPr>
        <w:t>zone</w:t>
      </w:r>
      <w:r w:rsidRPr="00D403F5">
        <w:rPr>
          <w:sz w:val="18"/>
          <w:szCs w:val="18"/>
          <w:lang w:val="en"/>
        </w:rPr>
        <w:t xml:space="preserve"> or </w:t>
      </w:r>
      <w:r w:rsidRPr="00D403F5">
        <w:rPr>
          <w:i/>
          <w:iCs/>
          <w:sz w:val="18"/>
          <w:szCs w:val="18"/>
          <w:lang w:val="en"/>
        </w:rPr>
        <w:t>compartment</w:t>
      </w:r>
      <w:r w:rsidRPr="00D403F5">
        <w:rPr>
          <w:sz w:val="18"/>
          <w:szCs w:val="18"/>
          <w:lang w:val="en"/>
        </w:rPr>
        <w:t xml:space="preserve"> that is declared free from infection with [pathogenic agent X] following the provisions of point 3 of Articles X.X.4. or X.X.5. (as relevant) may discontinue </w:t>
      </w:r>
      <w:r w:rsidRPr="00D403F5">
        <w:rPr>
          <w:i/>
          <w:iCs/>
          <w:sz w:val="18"/>
          <w:szCs w:val="18"/>
          <w:lang w:val="en"/>
        </w:rPr>
        <w:t>targeted surveillance</w:t>
      </w:r>
      <w:r w:rsidRPr="00D403F5">
        <w:rPr>
          <w:sz w:val="18"/>
          <w:szCs w:val="18"/>
          <w:lang w:val="en"/>
        </w:rPr>
        <w:t xml:space="preserve"> and maintain its free status provided that conditions are conducive to clinical expression of infection with [pathogenic agent X], as described in the corresponding chapter of the </w:t>
      </w:r>
      <w:r w:rsidRPr="00D403F5">
        <w:rPr>
          <w:i/>
          <w:iCs/>
          <w:sz w:val="18"/>
          <w:szCs w:val="18"/>
          <w:lang w:val="en"/>
        </w:rPr>
        <w:t>Aquatic Manual</w:t>
      </w:r>
      <w:r w:rsidRPr="00D403F5">
        <w:rPr>
          <w:sz w:val="18"/>
          <w:szCs w:val="18"/>
          <w:lang w:val="en"/>
        </w:rPr>
        <w:t xml:space="preserve">, and that </w:t>
      </w:r>
      <w:r w:rsidRPr="00D403F5">
        <w:rPr>
          <w:i/>
          <w:iCs/>
          <w:sz w:val="18"/>
          <w:szCs w:val="18"/>
          <w:lang w:val="en"/>
        </w:rPr>
        <w:t>basic biosecurity conditions</w:t>
      </w:r>
      <w:r w:rsidRPr="00D403F5">
        <w:rPr>
          <w:sz w:val="18"/>
          <w:szCs w:val="18"/>
          <w:lang w:val="en"/>
        </w:rPr>
        <w:t xml:space="preserve"> are continuously maintained.</w:t>
      </w:r>
    </w:p>
    <w:p w14:paraId="4D238838"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However, for declared </w:t>
      </w:r>
      <w:r w:rsidRPr="00D403F5">
        <w:rPr>
          <w:i/>
          <w:sz w:val="18"/>
          <w:szCs w:val="18"/>
          <w:lang w:val="en"/>
        </w:rPr>
        <w:t xml:space="preserve">free </w:t>
      </w:r>
      <w:r w:rsidRPr="00D403F5">
        <w:rPr>
          <w:i/>
          <w:iCs/>
          <w:sz w:val="18"/>
          <w:szCs w:val="18"/>
          <w:lang w:val="en"/>
        </w:rPr>
        <w:t>zones</w:t>
      </w:r>
      <w:r w:rsidRPr="00D403F5">
        <w:rPr>
          <w:sz w:val="18"/>
          <w:szCs w:val="18"/>
          <w:lang w:val="en"/>
        </w:rPr>
        <w:t xml:space="preserve"> or </w:t>
      </w:r>
      <w:r w:rsidRPr="00D403F5">
        <w:rPr>
          <w:i/>
          <w:sz w:val="18"/>
          <w:szCs w:val="18"/>
          <w:lang w:val="en"/>
        </w:rPr>
        <w:t>free</w:t>
      </w:r>
      <w:r w:rsidRPr="00D403F5">
        <w:rPr>
          <w:sz w:val="18"/>
          <w:szCs w:val="18"/>
          <w:lang w:val="en"/>
        </w:rPr>
        <w:t xml:space="preserve"> </w:t>
      </w:r>
      <w:r w:rsidRPr="00D403F5">
        <w:rPr>
          <w:i/>
          <w:iCs/>
          <w:sz w:val="18"/>
          <w:szCs w:val="18"/>
          <w:lang w:val="en"/>
        </w:rPr>
        <w:t>compartments</w:t>
      </w:r>
      <w:r w:rsidRPr="00D403F5">
        <w:rPr>
          <w:sz w:val="18"/>
          <w:szCs w:val="18"/>
          <w:lang w:val="en"/>
        </w:rPr>
        <w:t xml:space="preserve"> in infected countries and in all cases where conditions are not conducive to clinical expression of infection with [pathogenic agent X], </w:t>
      </w:r>
      <w:r w:rsidRPr="00D403F5">
        <w:rPr>
          <w:i/>
          <w:iCs/>
          <w:sz w:val="18"/>
          <w:szCs w:val="18"/>
          <w:lang w:val="en"/>
        </w:rPr>
        <w:t>targeted surveillance</w:t>
      </w:r>
      <w:r w:rsidRPr="00D403F5">
        <w:rPr>
          <w:sz w:val="18"/>
          <w:szCs w:val="18"/>
          <w:lang w:val="en"/>
        </w:rPr>
        <w:t xml:space="preserve"> should be continued at a level determined by the </w:t>
      </w:r>
      <w:r w:rsidRPr="00D403F5">
        <w:rPr>
          <w:i/>
          <w:iCs/>
          <w:sz w:val="18"/>
          <w:szCs w:val="18"/>
          <w:lang w:val="en"/>
        </w:rPr>
        <w:t>Aquatic Animal Health Service</w:t>
      </w:r>
      <w:r w:rsidRPr="00D403F5">
        <w:rPr>
          <w:sz w:val="18"/>
          <w:szCs w:val="18"/>
          <w:lang w:val="en"/>
        </w:rPr>
        <w:t xml:space="preserve"> on the basis of the likelihood of </w:t>
      </w:r>
      <w:r w:rsidRPr="00D403F5">
        <w:rPr>
          <w:i/>
          <w:iCs/>
          <w:sz w:val="18"/>
          <w:szCs w:val="18"/>
          <w:lang w:val="en"/>
        </w:rPr>
        <w:t>infection</w:t>
      </w:r>
      <w:r w:rsidRPr="00D403F5">
        <w:rPr>
          <w:sz w:val="18"/>
          <w:szCs w:val="18"/>
          <w:lang w:val="en"/>
        </w:rPr>
        <w:t>.</w:t>
      </w:r>
    </w:p>
    <w:p w14:paraId="672DAEB9" w14:textId="77777777" w:rsidR="00C7266C" w:rsidRPr="00D403F5" w:rsidRDefault="00C7266C" w:rsidP="0076436B">
      <w:pPr>
        <w:pStyle w:val="3"/>
        <w:keepNext w:val="0"/>
        <w:keepLines w:val="0"/>
        <w:widowControl w:val="0"/>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Evaluation</w:t>
      </w:r>
    </w:p>
    <w:p w14:paraId="5E94DC00"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For declarations of freedom in accordance with Pathway 2 (Historical freedom: see Section 3.2. above), the critical aspects to maintaining disease freedom are that </w:t>
      </w:r>
      <w:r w:rsidRPr="00D403F5">
        <w:rPr>
          <w:i/>
          <w:sz w:val="18"/>
          <w:szCs w:val="18"/>
          <w:lang w:val="en"/>
        </w:rPr>
        <w:t>basic biosecurity conditions</w:t>
      </w:r>
      <w:r w:rsidRPr="00D403F5">
        <w:rPr>
          <w:sz w:val="18"/>
          <w:szCs w:val="18"/>
          <w:lang w:val="en"/>
        </w:rPr>
        <w:t xml:space="preserve"> are continuously maintained. For </w:t>
      </w:r>
      <w:r w:rsidRPr="00D403F5">
        <w:rPr>
          <w:i/>
          <w:sz w:val="18"/>
          <w:szCs w:val="18"/>
          <w:lang w:val="en"/>
        </w:rPr>
        <w:t>basic biosecurity conditions</w:t>
      </w:r>
      <w:r w:rsidRPr="00D403F5">
        <w:rPr>
          <w:sz w:val="18"/>
          <w:szCs w:val="18"/>
          <w:lang w:val="en"/>
        </w:rPr>
        <w:t xml:space="preserve"> to be maintained and remain effective: i) conditions must remain conducive to clinical expression of the disease, ii) measures to prevent disease introduction must be sustained and, iii) the </w:t>
      </w:r>
      <w:r w:rsidRPr="00D403F5">
        <w:rPr>
          <w:i/>
          <w:iCs/>
          <w:sz w:val="18"/>
          <w:szCs w:val="18"/>
          <w:lang w:val="en"/>
        </w:rPr>
        <w:t>early detection system</w:t>
      </w:r>
      <w:r w:rsidRPr="00D403F5">
        <w:rPr>
          <w:sz w:val="18"/>
          <w:szCs w:val="18"/>
          <w:lang w:val="en"/>
        </w:rPr>
        <w:t xml:space="preserve"> must operate at such a level that introduction of the pathogenic agent would be detected rapidly if it were to be introduced. </w:t>
      </w:r>
    </w:p>
    <w:p w14:paraId="0FC8E251"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For declarations of freedom in accordance with Pathway 3 (Unknown disease status: see Section 3.3. above), the critical aspects for maintaining freedom are that conditions remain conducive to clinical expression of the disease and that </w:t>
      </w:r>
      <w:r w:rsidRPr="00D403F5">
        <w:rPr>
          <w:i/>
          <w:iCs/>
          <w:sz w:val="18"/>
          <w:szCs w:val="18"/>
          <w:lang w:val="en"/>
        </w:rPr>
        <w:t>basic biosecurity conditions</w:t>
      </w:r>
      <w:r w:rsidRPr="00D403F5">
        <w:rPr>
          <w:sz w:val="18"/>
          <w:szCs w:val="18"/>
          <w:lang w:val="en"/>
        </w:rPr>
        <w:t xml:space="preserve"> are continuously maintained. If these requirements are met (i.e. passive surveillance would be an effective means of detection should the disease occur), </w:t>
      </w:r>
      <w:r w:rsidRPr="00D403F5">
        <w:rPr>
          <w:i/>
          <w:sz w:val="18"/>
          <w:szCs w:val="18"/>
          <w:lang w:val="en"/>
        </w:rPr>
        <w:t>targeted surveillance</w:t>
      </w:r>
      <w:r w:rsidRPr="00D403F5">
        <w:rPr>
          <w:sz w:val="18"/>
          <w:szCs w:val="18"/>
          <w:lang w:val="en"/>
        </w:rPr>
        <w:t xml:space="preserve"> may be discontinued. However, the </w:t>
      </w:r>
      <w:r w:rsidRPr="00D403F5">
        <w:rPr>
          <w:i/>
          <w:sz w:val="18"/>
          <w:szCs w:val="18"/>
          <w:lang w:val="en"/>
        </w:rPr>
        <w:t>Aquatic Code</w:t>
      </w:r>
      <w:r w:rsidRPr="00D403F5">
        <w:rPr>
          <w:sz w:val="18"/>
          <w:szCs w:val="18"/>
          <w:lang w:val="en"/>
        </w:rPr>
        <w:t xml:space="preserve"> currently provides no guidance on an efficient means to maintain freedom should passive surveillance not be sufficiently sensitive to maintain freedom for some populations (e.g. populations of wild </w:t>
      </w:r>
      <w:r w:rsidRPr="00D403F5">
        <w:rPr>
          <w:i/>
          <w:sz w:val="18"/>
          <w:szCs w:val="18"/>
          <w:lang w:val="en"/>
        </w:rPr>
        <w:t>susceptible species</w:t>
      </w:r>
      <w:r w:rsidRPr="00D403F5">
        <w:rPr>
          <w:sz w:val="18"/>
          <w:szCs w:val="18"/>
          <w:lang w:val="en"/>
        </w:rPr>
        <w:t xml:space="preserve">). </w:t>
      </w:r>
    </w:p>
    <w:p w14:paraId="289EE9A3"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For declarations of freedom in accordance with Pathway 4 (Returning to freedom: see Section 3.4. above), the </w:t>
      </w:r>
      <w:r w:rsidRPr="00D403F5">
        <w:rPr>
          <w:i/>
          <w:sz w:val="18"/>
          <w:szCs w:val="18"/>
          <w:lang w:val="en"/>
        </w:rPr>
        <w:t>Aquatic Code</w:t>
      </w:r>
      <w:r w:rsidRPr="00D403F5">
        <w:rPr>
          <w:sz w:val="18"/>
          <w:szCs w:val="18"/>
          <w:lang w:val="en"/>
        </w:rPr>
        <w:t xml:space="preserve"> currently provides no guidance on the requirements for maintaining freedom.  </w:t>
      </w:r>
    </w:p>
    <w:p w14:paraId="7375CC22" w14:textId="77777777" w:rsidR="00C7266C" w:rsidRPr="00D403F5" w:rsidRDefault="00C7266C" w:rsidP="0076436B">
      <w:pPr>
        <w:pStyle w:val="3"/>
        <w:keepNext w:val="0"/>
        <w:keepLines w:val="0"/>
        <w:widowControl w:val="0"/>
        <w:spacing w:before="0" w:after="24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Member country comments February 2019</w:t>
      </w:r>
    </w:p>
    <w:p w14:paraId="09251DDB" w14:textId="77777777" w:rsidR="00C7266C"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Most member countries believed that additional guidance on what constitutes ‘conditions conducive to clinical expression of infection’ would be useful. However, some countries believed that this was not necessary and that the definition of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and relevant information available in sections of the disease specific chapters of the Aquatic Manual were sufficient.</w:t>
      </w:r>
    </w:p>
    <w:p w14:paraId="2C2BC715" w14:textId="77777777" w:rsidR="0076436B" w:rsidRPr="00D403F5" w:rsidRDefault="0076436B" w:rsidP="0076436B">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Most Member Countries agreed that additional guidance would be appropriate on how to evaluate or test their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It was suggested that this guidance could be provided in Chapter 1.4 and would assist with consistency and transparency. </w:t>
      </w:r>
    </w:p>
    <w:p w14:paraId="2681430D" w14:textId="77777777" w:rsidR="0076436B" w:rsidRPr="00D403F5" w:rsidRDefault="0076436B" w:rsidP="0076436B">
      <w:pPr>
        <w:pStyle w:val="3"/>
        <w:keepNext w:val="0"/>
        <w:keepLines w:val="0"/>
        <w:widowControl w:val="0"/>
        <w:spacing w:before="0"/>
        <w:ind w:left="426"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Recommended approach</w:t>
      </w:r>
    </w:p>
    <w:p w14:paraId="47F61C12" w14:textId="77777777" w:rsidR="0076436B" w:rsidRPr="00D403F5" w:rsidRDefault="0076436B" w:rsidP="0076436B">
      <w:pPr>
        <w:pStyle w:val="style-standard-ouvrage"/>
        <w:spacing w:before="0" w:beforeAutospacing="0" w:after="0" w:afterAutospacing="0"/>
        <w:ind w:left="426"/>
        <w:jc w:val="both"/>
        <w:rPr>
          <w:sz w:val="18"/>
          <w:szCs w:val="18"/>
          <w:lang w:val="en"/>
        </w:rPr>
      </w:pPr>
      <w:r w:rsidRPr="00D403F5">
        <w:rPr>
          <w:sz w:val="18"/>
          <w:szCs w:val="18"/>
          <w:lang w:val="en"/>
        </w:rPr>
        <w:t xml:space="preserve">For maintenance of free status following declarations of freedom in accordance with Pathways 2, 3 and 4, Member Countries must provide evidence that </w:t>
      </w:r>
      <w:r w:rsidRPr="00D403F5">
        <w:rPr>
          <w:i/>
          <w:sz w:val="18"/>
          <w:szCs w:val="18"/>
          <w:lang w:val="en"/>
        </w:rPr>
        <w:t>basic biosecurity conditions</w:t>
      </w:r>
      <w:r w:rsidRPr="00D403F5">
        <w:rPr>
          <w:sz w:val="18"/>
          <w:szCs w:val="18"/>
          <w:lang w:val="en"/>
        </w:rPr>
        <w:t xml:space="preserve"> have been continuously maintained.</w:t>
      </w:r>
    </w:p>
    <w:p w14:paraId="6FF70471" w14:textId="77777777" w:rsidR="00C7266C" w:rsidRPr="00D403F5" w:rsidRDefault="00C7266C" w:rsidP="00D403F5">
      <w:pPr>
        <w:pStyle w:val="style-standard-ouvrage"/>
        <w:spacing w:before="0" w:beforeAutospacing="0" w:after="0" w:afterAutospacing="0"/>
        <w:ind w:left="426"/>
        <w:jc w:val="both"/>
        <w:rPr>
          <w:sz w:val="18"/>
          <w:szCs w:val="18"/>
          <w:lang w:val="en"/>
        </w:rPr>
      </w:pPr>
      <w:r w:rsidRPr="00D403F5">
        <w:rPr>
          <w:sz w:val="18"/>
          <w:szCs w:val="18"/>
          <w:lang w:val="en"/>
        </w:rPr>
        <w:br w:type="page"/>
      </w:r>
    </w:p>
    <w:p w14:paraId="7272517E" w14:textId="77777777"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01A58535"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If </w:t>
      </w:r>
      <w:r w:rsidRPr="00D403F5">
        <w:rPr>
          <w:i/>
          <w:sz w:val="18"/>
          <w:szCs w:val="18"/>
          <w:lang w:val="en"/>
        </w:rPr>
        <w:t>targeted surveillance</w:t>
      </w:r>
      <w:r w:rsidRPr="00D403F5">
        <w:rPr>
          <w:sz w:val="18"/>
          <w:szCs w:val="18"/>
          <w:lang w:val="en"/>
        </w:rPr>
        <w:t xml:space="preserve"> that was required for initial demonstration of freedom is to be discontinued for any identified population, evidence must be provided to demonstrate that conditions remain conducive to clinical expression of disease </w:t>
      </w:r>
      <w:r w:rsidRPr="00D403F5">
        <w:rPr>
          <w:sz w:val="18"/>
          <w:szCs w:val="18"/>
          <w:u w:val="single"/>
          <w:lang w:val="en"/>
        </w:rPr>
        <w:t>and</w:t>
      </w:r>
      <w:r w:rsidRPr="00D403F5">
        <w:rPr>
          <w:sz w:val="18"/>
          <w:szCs w:val="18"/>
          <w:lang w:val="en"/>
        </w:rPr>
        <w:t xml:space="preserve"> that passive surveillance, as provided by the countries </w:t>
      </w:r>
      <w:r w:rsidRPr="00D403F5">
        <w:rPr>
          <w:i/>
          <w:iCs/>
          <w:sz w:val="18"/>
          <w:szCs w:val="18"/>
          <w:lang w:val="en"/>
        </w:rPr>
        <w:t>early detection system</w:t>
      </w:r>
      <w:r w:rsidRPr="00D403F5">
        <w:rPr>
          <w:sz w:val="18"/>
          <w:szCs w:val="18"/>
          <w:lang w:val="en"/>
        </w:rPr>
        <w:t xml:space="preserve">, would rapidly detect the disease in those populations should it occur. </w:t>
      </w:r>
    </w:p>
    <w:p w14:paraId="45F3F38F" w14:textId="77777777" w:rsidR="00C7266C" w:rsidRPr="00D403F5" w:rsidRDefault="00C7266C" w:rsidP="0076436B">
      <w:pPr>
        <w:pStyle w:val="style-standard-ouvrage"/>
        <w:spacing w:before="0" w:beforeAutospacing="0" w:after="240" w:afterAutospacing="0"/>
        <w:ind w:left="426"/>
        <w:jc w:val="both"/>
        <w:rPr>
          <w:sz w:val="18"/>
          <w:szCs w:val="18"/>
          <w:lang w:val="en"/>
        </w:rPr>
      </w:pPr>
      <w:r w:rsidRPr="00D403F5">
        <w:rPr>
          <w:sz w:val="18"/>
          <w:szCs w:val="18"/>
          <w:lang w:val="en"/>
        </w:rPr>
        <w:t xml:space="preserve">Any ongoing </w:t>
      </w:r>
      <w:r w:rsidRPr="00D403F5">
        <w:rPr>
          <w:i/>
          <w:sz w:val="18"/>
          <w:szCs w:val="18"/>
          <w:lang w:val="en"/>
        </w:rPr>
        <w:t>targeted surveillance</w:t>
      </w:r>
      <w:r w:rsidRPr="00D403F5">
        <w:rPr>
          <w:sz w:val="18"/>
          <w:szCs w:val="18"/>
          <w:lang w:val="en"/>
        </w:rPr>
        <w:t xml:space="preserve"> to maintain freedom should be undertaken at a level necessary to maintain confidence of freedom and should take into account the likelihood of </w:t>
      </w:r>
      <w:hyperlink r:id="rId69" w:anchor="terme_infection" w:history="1">
        <w:r w:rsidRPr="00D403F5">
          <w:rPr>
            <w:sz w:val="18"/>
            <w:szCs w:val="18"/>
          </w:rPr>
          <w:t>infection</w:t>
        </w:r>
      </w:hyperlink>
      <w:r w:rsidRPr="00D403F5">
        <w:rPr>
          <w:sz w:val="18"/>
          <w:szCs w:val="18"/>
          <w:lang w:val="en"/>
        </w:rPr>
        <w:t>.</w:t>
      </w:r>
    </w:p>
    <w:p w14:paraId="3AD37C5C" w14:textId="77777777" w:rsidR="00C7266C" w:rsidRPr="00D403F5" w:rsidRDefault="00C7266C" w:rsidP="0076436B">
      <w:pPr>
        <w:spacing w:after="240"/>
        <w:ind w:left="426"/>
        <w:jc w:val="both"/>
        <w:rPr>
          <w:rFonts w:ascii="Times New Roman" w:hAnsi="Times New Roman" w:cs="Times New Roman"/>
          <w:sz w:val="18"/>
          <w:szCs w:val="18"/>
          <w:lang w:val="en"/>
        </w:rPr>
      </w:pPr>
      <w:r w:rsidRPr="00D403F5">
        <w:rPr>
          <w:rFonts w:ascii="Times New Roman" w:hAnsi="Times New Roman" w:cs="Times New Roman"/>
          <w:sz w:val="18"/>
          <w:szCs w:val="18"/>
        </w:rPr>
        <w:t xml:space="preserve">Additional guidance on what constitutes ‘conditions conducive to clinical expression of infection’ will be included in Chapter 1.4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as will guidance on how to evaluate or test an </w:t>
      </w:r>
      <w:r w:rsidRPr="00D403F5">
        <w:rPr>
          <w:rFonts w:ascii="Times New Roman" w:hAnsi="Times New Roman" w:cs="Times New Roman"/>
          <w:i/>
          <w:iCs/>
          <w:sz w:val="18"/>
          <w:szCs w:val="18"/>
        </w:rPr>
        <w:t>early detection system</w:t>
      </w:r>
      <w:r w:rsidRPr="00D403F5">
        <w:rPr>
          <w:rFonts w:ascii="Times New Roman" w:hAnsi="Times New Roman" w:cs="Times New Roman"/>
          <w:sz w:val="18"/>
          <w:szCs w:val="18"/>
        </w:rPr>
        <w:t xml:space="preserve">. </w:t>
      </w:r>
    </w:p>
    <w:p w14:paraId="5E569855" w14:textId="77777777" w:rsidR="00C7266C" w:rsidRPr="00D403F5" w:rsidRDefault="00C7266C" w:rsidP="0076436B">
      <w:pPr>
        <w:keepNext/>
        <w:spacing w:after="240"/>
        <w:ind w:left="425" w:hanging="425"/>
        <w:jc w:val="both"/>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5.</w:t>
      </w:r>
      <w:r w:rsidRPr="00D403F5">
        <w:rPr>
          <w:rFonts w:ascii="Times New Roman" w:hAnsi="Times New Roman" w:cs="Times New Roman"/>
          <w:b/>
          <w:caps/>
          <w:color w:val="0070C0"/>
          <w:sz w:val="18"/>
          <w:szCs w:val="18"/>
        </w:rPr>
        <w:tab/>
        <w:t>Revisions required to Chapter 1.4.</w:t>
      </w:r>
    </w:p>
    <w:p w14:paraId="3B1ED696" w14:textId="77777777" w:rsidR="00C7266C" w:rsidRPr="00D403F5" w:rsidRDefault="00C7266C" w:rsidP="0076436B">
      <w:pPr>
        <w:keepNext/>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Revisions will be required to Chapter 1.4. Surveillance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to bring effect to the recommendations proposed in this discussion paper. To avoid any conflicting guidance, the Aquatic Animals Commission considers that a revised Chapter 1.4 should to be adopted in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xml:space="preserve"> prior to revisions to the relevant articles on declaring and maintaining freedom in each disease specific chapters of the </w:t>
      </w:r>
      <w:r w:rsidRPr="00D403F5">
        <w:rPr>
          <w:rFonts w:ascii="Times New Roman" w:hAnsi="Times New Roman" w:cs="Times New Roman"/>
          <w:i/>
          <w:iCs/>
          <w:sz w:val="18"/>
          <w:szCs w:val="18"/>
        </w:rPr>
        <w:t>Aquatic Code</w:t>
      </w:r>
      <w:r w:rsidRPr="00D403F5">
        <w:rPr>
          <w:rFonts w:ascii="Times New Roman" w:hAnsi="Times New Roman" w:cs="Times New Roman"/>
          <w:sz w:val="18"/>
          <w:szCs w:val="18"/>
        </w:rPr>
        <w:t>. (i.e. X.X.4, X.X.5 and X.X.6).</w:t>
      </w:r>
    </w:p>
    <w:p w14:paraId="291B0CF0"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Some required revisions to Chapter 1.4. include:</w:t>
      </w:r>
    </w:p>
    <w:p w14:paraId="0DCC21DE"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Incorporate the proposed criteria (included in this document) relevant to setting periods in the disease-specific chapters required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and for periods of surveillance.</w:t>
      </w:r>
    </w:p>
    <w:p w14:paraId="6B3BEA7B"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Revise the proposed pathways for claiming or reclaiming freedom</w:t>
      </w:r>
    </w:p>
    <w:p w14:paraId="749F70A9"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Include provision for flexibility to use different forms of surveillance data under each pathway rather than having a rigid requirement for one data type (e.g. targeted or passive surveillance).</w:t>
      </w:r>
    </w:p>
    <w:p w14:paraId="23B1E687"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Provide guidance on acceptable mechanisms for maintaining disease freedom.</w:t>
      </w:r>
    </w:p>
    <w:p w14:paraId="7AE58881"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Include guidance on regaining freedom following eradication of a disease at the level of country, zone or </w:t>
      </w:r>
      <w:r w:rsidRPr="00D403F5">
        <w:rPr>
          <w:rFonts w:ascii="Times New Roman" w:hAnsi="Times New Roman" w:cs="Times New Roman"/>
          <w:i/>
          <w:sz w:val="18"/>
          <w:szCs w:val="18"/>
        </w:rPr>
        <w:t>compartment</w:t>
      </w:r>
      <w:r w:rsidRPr="00D403F5">
        <w:rPr>
          <w:rFonts w:ascii="Times New Roman" w:hAnsi="Times New Roman" w:cs="Times New Roman"/>
          <w:sz w:val="18"/>
          <w:szCs w:val="18"/>
        </w:rPr>
        <w:t xml:space="preserve"> (not currently included); including guidance on a risk-based approach to survey design.</w:t>
      </w:r>
    </w:p>
    <w:p w14:paraId="52B2B74C"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Provide guidance on defining the boundaries of </w:t>
      </w:r>
      <w:r w:rsidRPr="00D403F5">
        <w:rPr>
          <w:rFonts w:ascii="Times New Roman" w:hAnsi="Times New Roman" w:cs="Times New Roman"/>
          <w:i/>
          <w:sz w:val="18"/>
          <w:szCs w:val="18"/>
        </w:rPr>
        <w:t>infection</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protection zones</w:t>
      </w:r>
      <w:r w:rsidRPr="00D403F5">
        <w:rPr>
          <w:rFonts w:ascii="Times New Roman" w:hAnsi="Times New Roman" w:cs="Times New Roman"/>
          <w:sz w:val="18"/>
          <w:szCs w:val="18"/>
        </w:rPr>
        <w:t>.</w:t>
      </w:r>
    </w:p>
    <w:p w14:paraId="2D2EB0CF"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 xml:space="preserve">Include guidance on what constitutes an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and how it can be evaluated.</w:t>
      </w:r>
    </w:p>
    <w:p w14:paraId="7341B2A3"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Include guidance on what constitutes ‘conditions conducive to clinical expression of infection’.</w:t>
      </w:r>
    </w:p>
    <w:p w14:paraId="3A6F1552" w14:textId="77777777" w:rsidR="00C7266C" w:rsidRPr="00D403F5" w:rsidRDefault="00C7266C" w:rsidP="0076436B">
      <w:pPr>
        <w:pStyle w:val="a4"/>
        <w:numPr>
          <w:ilvl w:val="0"/>
          <w:numId w:val="22"/>
        </w:numPr>
        <w:spacing w:after="240" w:line="240" w:lineRule="auto"/>
        <w:ind w:left="850" w:hanging="425"/>
        <w:contextualSpacing w:val="0"/>
        <w:jc w:val="both"/>
        <w:rPr>
          <w:rFonts w:ascii="Times New Roman" w:hAnsi="Times New Roman" w:cs="Times New Roman"/>
          <w:sz w:val="18"/>
          <w:szCs w:val="18"/>
        </w:rPr>
      </w:pPr>
      <w:r w:rsidRPr="00D403F5">
        <w:rPr>
          <w:rFonts w:ascii="Times New Roman" w:hAnsi="Times New Roman" w:cs="Times New Roman"/>
          <w:sz w:val="18"/>
          <w:szCs w:val="18"/>
        </w:rPr>
        <w:t>Improved guidance on study design to demonstrate freedom.</w:t>
      </w:r>
    </w:p>
    <w:p w14:paraId="27C2ECE8" w14:textId="77777777" w:rsidR="00C7266C" w:rsidRPr="00D403F5" w:rsidRDefault="00C7266C" w:rsidP="0076436B">
      <w:pPr>
        <w:spacing w:after="240"/>
        <w:ind w:left="425" w:hanging="425"/>
        <w:jc w:val="both"/>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6.</w:t>
      </w:r>
      <w:r w:rsidRPr="00D403F5">
        <w:rPr>
          <w:rFonts w:ascii="Times New Roman" w:hAnsi="Times New Roman" w:cs="Times New Roman"/>
          <w:b/>
          <w:caps/>
          <w:color w:val="0070C0"/>
          <w:sz w:val="18"/>
          <w:szCs w:val="18"/>
        </w:rPr>
        <w:tab/>
        <w:t>Requirements for making a self-declaration of freedom</w:t>
      </w:r>
    </w:p>
    <w:p w14:paraId="7C073BEC" w14:textId="77777777" w:rsidR="00C7266C" w:rsidRPr="00D403F5" w:rsidRDefault="00C7266C" w:rsidP="0076436B">
      <w:pPr>
        <w:pStyle w:val="3"/>
        <w:keepNext w:val="0"/>
        <w:keepLines w:val="0"/>
        <w:widowControl w:val="0"/>
        <w:spacing w:before="0" w:after="240"/>
        <w:ind w:left="426" w:firstLine="0"/>
        <w:jc w:val="both"/>
        <w:rPr>
          <w:rFonts w:ascii="Times New Roman" w:eastAsia="Times New Roman" w:hAnsi="Times New Roman" w:cs="Times New Roman"/>
          <w:color w:val="auto"/>
          <w:sz w:val="18"/>
          <w:szCs w:val="18"/>
        </w:rPr>
      </w:pPr>
      <w:r w:rsidRPr="00D403F5">
        <w:rPr>
          <w:rFonts w:ascii="Times New Roman" w:hAnsi="Times New Roman" w:cs="Times New Roman"/>
          <w:b/>
          <w:bCs/>
          <w:i/>
          <w:color w:val="0070C0"/>
          <w:sz w:val="18"/>
          <w:szCs w:val="18"/>
        </w:rPr>
        <w:t>Current situation in the Aquatic Code</w:t>
      </w:r>
    </w:p>
    <w:p w14:paraId="3C92BD0D"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Self-declaration of freedom is the only mechanism through which countries can establish freedom from a disease in accordance with the standards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(as there is no official disease recognition process for aquatic animal diseases). </w:t>
      </w:r>
    </w:p>
    <w:p w14:paraId="646B8059" w14:textId="77777777" w:rsidR="00C7266C" w:rsidRPr="00D403F5" w:rsidRDefault="00C7266C" w:rsidP="0076436B">
      <w:pPr>
        <w:spacing w:after="24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There is currently no guidance within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on the structure and contents of a self-declaration of freedom; however, the OIE has developed a </w:t>
      </w:r>
      <w:r w:rsidRPr="00D403F5">
        <w:rPr>
          <w:rFonts w:ascii="Times New Roman" w:hAnsi="Times New Roman" w:cs="Times New Roman"/>
          <w:bCs/>
          <w:sz w:val="18"/>
          <w:szCs w:val="18"/>
        </w:rPr>
        <w:t>procedure for the publication by the OIE of a self-declaration of freedom</w:t>
      </w:r>
      <w:r w:rsidRPr="00D403F5">
        <w:rPr>
          <w:rStyle w:val="af6"/>
          <w:rFonts w:ascii="Times New Roman" w:eastAsia="Symbol" w:hAnsi="Times New Roman" w:cs="Times New Roman"/>
          <w:sz w:val="18"/>
          <w:szCs w:val="18"/>
        </w:rPr>
        <w:footnoteReference w:id="7"/>
      </w:r>
      <w:r w:rsidRPr="00D403F5">
        <w:rPr>
          <w:rFonts w:ascii="Times New Roman" w:hAnsi="Times New Roman" w:cs="Times New Roman"/>
          <w:sz w:val="18"/>
          <w:szCs w:val="18"/>
        </w:rPr>
        <w:t xml:space="preserve">. This document also includes information on the evidence that should be included in a self-declaration of freedom.  </w:t>
      </w:r>
    </w:p>
    <w:p w14:paraId="269EDE35" w14:textId="77777777" w:rsidR="0076436B" w:rsidRDefault="0076436B" w:rsidP="0076436B">
      <w:pPr>
        <w:pStyle w:val="3"/>
        <w:keepNext w:val="0"/>
        <w:keepLines w:val="0"/>
        <w:widowControl w:val="0"/>
        <w:spacing w:before="0" w:after="240"/>
        <w:ind w:left="426" w:firstLine="0"/>
        <w:jc w:val="both"/>
        <w:rPr>
          <w:rFonts w:ascii="Times New Roman" w:hAnsi="Times New Roman" w:cs="Times New Roman"/>
          <w:b/>
          <w:bCs/>
          <w:i/>
          <w:color w:val="0070C0"/>
          <w:sz w:val="18"/>
          <w:szCs w:val="18"/>
        </w:rPr>
      </w:pPr>
      <w:r>
        <w:rPr>
          <w:rFonts w:ascii="Times New Roman" w:hAnsi="Times New Roman" w:cs="Times New Roman"/>
          <w:b/>
          <w:bCs/>
          <w:i/>
          <w:color w:val="0070C0"/>
          <w:sz w:val="18"/>
          <w:szCs w:val="18"/>
        </w:rPr>
        <w:br w:type="page"/>
      </w:r>
    </w:p>
    <w:p w14:paraId="37BF5273" w14:textId="77777777" w:rsidR="0076436B" w:rsidRPr="00D403F5" w:rsidRDefault="0076436B"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0B27D45D" w14:textId="3BFAFBE9"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Evaluation</w:t>
      </w:r>
    </w:p>
    <w:p w14:paraId="120ABB32"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Some Member Countries have requested improved guidance on the structure and content of </w:t>
      </w:r>
      <w:r w:rsidRPr="00D403F5">
        <w:rPr>
          <w:rFonts w:ascii="Times New Roman" w:hAnsi="Times New Roman" w:cs="Times New Roman"/>
          <w:i/>
          <w:sz w:val="18"/>
          <w:szCs w:val="18"/>
        </w:rPr>
        <w:t>self-declarations of freedom</w:t>
      </w:r>
      <w:r w:rsidRPr="00D403F5">
        <w:rPr>
          <w:rFonts w:ascii="Times New Roman" w:hAnsi="Times New Roman" w:cs="Times New Roman"/>
          <w:sz w:val="18"/>
          <w:szCs w:val="18"/>
        </w:rPr>
        <w:t xml:space="preserve">.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provisions in Chapter 1.4. and in relevant disease-specific chapters, together with the relevant disease-specific chapters of the </w:t>
      </w:r>
      <w:r w:rsidRPr="00D403F5">
        <w:rPr>
          <w:rFonts w:ascii="Times New Roman" w:hAnsi="Times New Roman" w:cs="Times New Roman"/>
          <w:i/>
          <w:sz w:val="18"/>
          <w:szCs w:val="18"/>
        </w:rPr>
        <w:t>Aquatic Manual</w:t>
      </w:r>
      <w:r w:rsidRPr="00D403F5">
        <w:rPr>
          <w:rFonts w:ascii="Times New Roman" w:hAnsi="Times New Roman" w:cs="Times New Roman"/>
          <w:sz w:val="18"/>
          <w:szCs w:val="18"/>
        </w:rPr>
        <w:t xml:space="preserve">, define the key requirements that must be considered in a competent authority’s </w:t>
      </w:r>
      <w:r w:rsidRPr="00D403F5">
        <w:rPr>
          <w:rFonts w:ascii="Times New Roman" w:hAnsi="Times New Roman" w:cs="Times New Roman"/>
          <w:i/>
          <w:sz w:val="18"/>
          <w:szCs w:val="18"/>
        </w:rPr>
        <w:t xml:space="preserve">self-declaration of freedom. </w:t>
      </w:r>
    </w:p>
    <w:p w14:paraId="40BC249C" w14:textId="77777777" w:rsidR="00C7266C" w:rsidRPr="00D403F5" w:rsidRDefault="00C7266C" w:rsidP="0076436B">
      <w:pPr>
        <w:spacing w:after="240"/>
        <w:ind w:left="425"/>
        <w:jc w:val="both"/>
        <w:rPr>
          <w:rFonts w:ascii="Times New Roman" w:hAnsi="Times New Roman" w:cs="Times New Roman"/>
          <w:i/>
          <w:sz w:val="18"/>
          <w:szCs w:val="18"/>
        </w:rPr>
      </w:pPr>
      <w:r w:rsidRPr="00D403F5">
        <w:rPr>
          <w:rFonts w:ascii="Times New Roman" w:hAnsi="Times New Roman" w:cs="Times New Roman"/>
          <w:sz w:val="18"/>
          <w:szCs w:val="18"/>
        </w:rPr>
        <w:t xml:space="preserve">Guidance could be improved to ensure that sufficient and consistent standards of evidence are provided in </w:t>
      </w:r>
      <w:r w:rsidRPr="00D403F5">
        <w:rPr>
          <w:rFonts w:ascii="Times New Roman" w:hAnsi="Times New Roman" w:cs="Times New Roman"/>
          <w:i/>
          <w:sz w:val="18"/>
          <w:szCs w:val="18"/>
        </w:rPr>
        <w:t>self-declarations of freedom.</w:t>
      </w:r>
    </w:p>
    <w:p w14:paraId="0CD55E66" w14:textId="77777777" w:rsidR="00C7266C" w:rsidRPr="00D403F5" w:rsidRDefault="00C7266C" w:rsidP="0076436B">
      <w:pPr>
        <w:pStyle w:val="3"/>
        <w:keepNext w:val="0"/>
        <w:keepLines w:val="0"/>
        <w:widowControl w:val="0"/>
        <w:spacing w:before="0" w:after="240"/>
        <w:ind w:left="425" w:firstLine="0"/>
        <w:jc w:val="both"/>
        <w:rPr>
          <w:rFonts w:ascii="Times New Roman" w:hAnsi="Times New Roman" w:cs="Times New Roman"/>
          <w:b/>
          <w:bCs/>
          <w:i/>
          <w:color w:val="0070C0"/>
          <w:sz w:val="18"/>
          <w:szCs w:val="18"/>
        </w:rPr>
      </w:pPr>
      <w:r w:rsidRPr="00D403F5">
        <w:rPr>
          <w:rFonts w:ascii="Times New Roman" w:hAnsi="Times New Roman" w:cs="Times New Roman"/>
          <w:b/>
          <w:bCs/>
          <w:i/>
          <w:color w:val="0070C0"/>
          <w:sz w:val="18"/>
          <w:szCs w:val="18"/>
        </w:rPr>
        <w:t>Member country comments February 2019</w:t>
      </w:r>
    </w:p>
    <w:p w14:paraId="70932DD8"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Most Member Countries considered that the OIE procedure for the publication of a self-declaration of freedom provides sufficient guidance. However, others requested additional guidance in the form of a new chapter or other means.</w:t>
      </w:r>
    </w:p>
    <w:p w14:paraId="5952998C" w14:textId="77777777" w:rsidR="00C7266C" w:rsidRPr="00D403F5" w:rsidRDefault="00C7266C" w:rsidP="0076436B">
      <w:pPr>
        <w:pStyle w:val="3"/>
        <w:keepNext w:val="0"/>
        <w:keepLines w:val="0"/>
        <w:widowControl w:val="0"/>
        <w:spacing w:before="0" w:after="240"/>
        <w:ind w:left="425" w:firstLine="0"/>
        <w:jc w:val="both"/>
        <w:rPr>
          <w:rFonts w:ascii="Times New Roman" w:eastAsia="Times New Roman" w:hAnsi="Times New Roman" w:cs="Times New Roman"/>
          <w:color w:val="auto"/>
          <w:sz w:val="18"/>
          <w:szCs w:val="18"/>
        </w:rPr>
      </w:pPr>
      <w:r w:rsidRPr="00D403F5">
        <w:rPr>
          <w:rFonts w:ascii="Times New Roman" w:hAnsi="Times New Roman" w:cs="Times New Roman"/>
          <w:b/>
          <w:bCs/>
          <w:i/>
          <w:color w:val="0070C0"/>
          <w:sz w:val="18"/>
          <w:szCs w:val="18"/>
        </w:rPr>
        <w:t>Recommended approach</w:t>
      </w:r>
    </w:p>
    <w:p w14:paraId="50D98738" w14:textId="77777777" w:rsidR="00C7266C" w:rsidRPr="00D403F5" w:rsidRDefault="00C7266C" w:rsidP="0076436B">
      <w:pPr>
        <w:spacing w:after="240"/>
        <w:ind w:left="425"/>
        <w:jc w:val="both"/>
        <w:rPr>
          <w:rFonts w:ascii="Times New Roman" w:hAnsi="Times New Roman" w:cs="Times New Roman"/>
          <w:i/>
          <w:sz w:val="18"/>
          <w:szCs w:val="18"/>
        </w:rPr>
      </w:pPr>
      <w:r w:rsidRPr="00D403F5">
        <w:rPr>
          <w:rFonts w:ascii="Times New Roman" w:hAnsi="Times New Roman" w:cs="Times New Roman"/>
          <w:sz w:val="18"/>
          <w:szCs w:val="18"/>
        </w:rPr>
        <w:t xml:space="preserve">Chapter 1.4.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will define the key information requirements that should be included in a self-declaration of freedom. More extensive guidance documents on making a self-declaration of freedom, possibly with examples, will be considered for development following the revision of Chapter 1.4. </w:t>
      </w:r>
    </w:p>
    <w:p w14:paraId="442556BF" w14:textId="77777777" w:rsidR="00C7266C" w:rsidRPr="00D403F5" w:rsidRDefault="00C7266C" w:rsidP="0076436B">
      <w:pPr>
        <w:spacing w:after="240"/>
        <w:ind w:left="425" w:hanging="425"/>
        <w:rPr>
          <w:rFonts w:ascii="Times New Roman" w:hAnsi="Times New Roman" w:cs="Times New Roman"/>
          <w:b/>
          <w:caps/>
          <w:color w:val="0070C0"/>
          <w:sz w:val="18"/>
          <w:szCs w:val="18"/>
        </w:rPr>
      </w:pPr>
      <w:r w:rsidRPr="00D403F5">
        <w:rPr>
          <w:rFonts w:ascii="Times New Roman" w:hAnsi="Times New Roman" w:cs="Times New Roman"/>
          <w:b/>
          <w:caps/>
          <w:color w:val="0070C0"/>
          <w:sz w:val="18"/>
          <w:szCs w:val="18"/>
        </w:rPr>
        <w:t>7.</w:t>
      </w:r>
      <w:r w:rsidRPr="00D403F5">
        <w:rPr>
          <w:rFonts w:ascii="Times New Roman" w:hAnsi="Times New Roman" w:cs="Times New Roman"/>
          <w:b/>
          <w:caps/>
          <w:color w:val="0070C0"/>
          <w:sz w:val="18"/>
          <w:szCs w:val="18"/>
        </w:rPr>
        <w:tab/>
        <w:t>Discussion</w:t>
      </w:r>
    </w:p>
    <w:p w14:paraId="677DAA56" w14:textId="77777777" w:rsidR="00C7266C" w:rsidRPr="00D403F5" w:rsidRDefault="00C7266C" w:rsidP="0076436B">
      <w:pPr>
        <w:spacing w:after="24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The four existing pathways of the OIE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to demonstrate disease freedom are summarised in Table 2 below. One key change proposed in this paper is to allow Member Countries to combine evidence from targeted and passive surveillance in making the case for disease freedom. For Pathway 2 (historical freedom), this change would allow countries with aquatic animal populations that could not have their disease status established by passive surveillance to make a case for freedom through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in those defined populations. Additionally, for Pathway 3 (unknown disease status) and Pathway 4 (returning to freedom), passive surveillance data will be available through a country’s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and may provide additional evidence of freedom to that generated by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data.</w:t>
      </w:r>
    </w:p>
    <w:p w14:paraId="184F3CDC" w14:textId="77777777" w:rsidR="00C7266C" w:rsidRPr="00D403F5" w:rsidRDefault="00C7266C" w:rsidP="0076436B">
      <w:pPr>
        <w:spacing w:after="240"/>
        <w:ind w:left="425" w:right="-2"/>
        <w:jc w:val="both"/>
        <w:rPr>
          <w:rFonts w:ascii="Times New Roman" w:hAnsi="Times New Roman" w:cs="Times New Roman"/>
          <w:sz w:val="18"/>
          <w:szCs w:val="18"/>
        </w:rPr>
      </w:pPr>
      <w:r w:rsidRPr="00D403F5">
        <w:rPr>
          <w:rFonts w:ascii="Times New Roman" w:hAnsi="Times New Roman" w:cs="Times New Roman"/>
          <w:b/>
          <w:sz w:val="18"/>
          <w:szCs w:val="18"/>
        </w:rPr>
        <w:t>Table 2.</w:t>
      </w:r>
      <w:r w:rsidRPr="00D403F5">
        <w:rPr>
          <w:rFonts w:ascii="Times New Roman" w:hAnsi="Times New Roman" w:cs="Times New Roman"/>
          <w:sz w:val="18"/>
          <w:szCs w:val="18"/>
        </w:rPr>
        <w:t xml:space="preserve"> Summary of pathways to disease freedom and proposed forms of primary and secondary evidence.</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2655"/>
        <w:gridCol w:w="3195"/>
      </w:tblGrid>
      <w:tr w:rsidR="00C7266C" w:rsidRPr="00D403F5" w14:paraId="1B42EC64" w14:textId="77777777" w:rsidTr="00C7266C">
        <w:tc>
          <w:tcPr>
            <w:tcW w:w="2655" w:type="dxa"/>
            <w:shd w:val="clear" w:color="auto" w:fill="auto"/>
          </w:tcPr>
          <w:p w14:paraId="32DE8795" w14:textId="77777777" w:rsidR="00C7266C" w:rsidRPr="00D403F5" w:rsidRDefault="00C7266C" w:rsidP="00D403F5">
            <w:pPr>
              <w:spacing w:after="0" w:line="240" w:lineRule="auto"/>
              <w:jc w:val="both"/>
              <w:rPr>
                <w:rFonts w:ascii="Times New Roman" w:hAnsi="Times New Roman" w:cs="Times New Roman"/>
                <w:b/>
                <w:sz w:val="18"/>
                <w:szCs w:val="18"/>
              </w:rPr>
            </w:pPr>
            <w:r w:rsidRPr="00D403F5">
              <w:rPr>
                <w:rFonts w:ascii="Times New Roman" w:hAnsi="Times New Roman" w:cs="Times New Roman"/>
                <w:b/>
                <w:sz w:val="18"/>
                <w:szCs w:val="18"/>
              </w:rPr>
              <w:t>Initial situation</w:t>
            </w:r>
          </w:p>
        </w:tc>
        <w:tc>
          <w:tcPr>
            <w:tcW w:w="2655" w:type="dxa"/>
            <w:shd w:val="clear" w:color="auto" w:fill="auto"/>
          </w:tcPr>
          <w:p w14:paraId="1E0439CB" w14:textId="77777777" w:rsidR="00C7266C" w:rsidRPr="00D403F5" w:rsidRDefault="00C7266C" w:rsidP="00D403F5">
            <w:pPr>
              <w:spacing w:after="0" w:line="240" w:lineRule="auto"/>
              <w:jc w:val="both"/>
              <w:rPr>
                <w:rFonts w:ascii="Times New Roman" w:hAnsi="Times New Roman" w:cs="Times New Roman"/>
                <w:b/>
                <w:sz w:val="18"/>
                <w:szCs w:val="18"/>
              </w:rPr>
            </w:pPr>
            <w:r w:rsidRPr="00D403F5">
              <w:rPr>
                <w:rFonts w:ascii="Times New Roman" w:hAnsi="Times New Roman" w:cs="Times New Roman"/>
                <w:b/>
                <w:sz w:val="18"/>
                <w:szCs w:val="18"/>
              </w:rPr>
              <w:t xml:space="preserve">Primary surveillance evidence to claim disease freedom </w:t>
            </w:r>
          </w:p>
        </w:tc>
        <w:tc>
          <w:tcPr>
            <w:tcW w:w="3195" w:type="dxa"/>
            <w:shd w:val="clear" w:color="auto" w:fill="auto"/>
          </w:tcPr>
          <w:p w14:paraId="2329F258" w14:textId="77777777" w:rsidR="00C7266C" w:rsidRPr="00D403F5" w:rsidRDefault="00C7266C" w:rsidP="00D403F5">
            <w:pPr>
              <w:spacing w:after="0" w:line="240" w:lineRule="auto"/>
              <w:jc w:val="both"/>
              <w:rPr>
                <w:rFonts w:ascii="Times New Roman" w:hAnsi="Times New Roman" w:cs="Times New Roman"/>
                <w:b/>
                <w:sz w:val="18"/>
                <w:szCs w:val="18"/>
              </w:rPr>
            </w:pPr>
            <w:r w:rsidRPr="00D403F5">
              <w:rPr>
                <w:rFonts w:ascii="Times New Roman" w:hAnsi="Times New Roman" w:cs="Times New Roman"/>
                <w:b/>
                <w:sz w:val="18"/>
                <w:szCs w:val="18"/>
              </w:rPr>
              <w:t>Proposed secondary evidence to claim freedom (if required)</w:t>
            </w:r>
          </w:p>
        </w:tc>
      </w:tr>
      <w:tr w:rsidR="00C7266C" w:rsidRPr="00D403F5" w14:paraId="0B425A3E" w14:textId="77777777" w:rsidTr="00C7266C">
        <w:trPr>
          <w:trHeight w:val="728"/>
        </w:trPr>
        <w:tc>
          <w:tcPr>
            <w:tcW w:w="2655" w:type="dxa"/>
            <w:shd w:val="clear" w:color="auto" w:fill="auto"/>
          </w:tcPr>
          <w:p w14:paraId="71738AAC" w14:textId="77777777" w:rsidR="00C7266C" w:rsidRPr="00D403F5" w:rsidRDefault="00C7266C" w:rsidP="00D403F5">
            <w:pPr>
              <w:spacing w:after="0" w:line="240" w:lineRule="auto"/>
              <w:ind w:left="459" w:hanging="459"/>
              <w:jc w:val="both"/>
              <w:rPr>
                <w:rFonts w:ascii="Times New Roman" w:hAnsi="Times New Roman" w:cs="Times New Roman"/>
                <w:sz w:val="18"/>
                <w:szCs w:val="18"/>
              </w:rPr>
            </w:pPr>
            <w:r w:rsidRPr="00D403F5">
              <w:rPr>
                <w:rFonts w:ascii="Times New Roman" w:hAnsi="Times New Roman" w:cs="Times New Roman"/>
                <w:sz w:val="18"/>
                <w:szCs w:val="18"/>
              </w:rPr>
              <w:t>1.</w:t>
            </w:r>
            <w:r w:rsidRPr="00D403F5">
              <w:rPr>
                <w:rFonts w:ascii="Times New Roman" w:hAnsi="Times New Roman" w:cs="Times New Roman"/>
                <w:sz w:val="18"/>
                <w:szCs w:val="18"/>
              </w:rPr>
              <w:tab/>
              <w:t xml:space="preserve">Absence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w:t>
            </w:r>
          </w:p>
        </w:tc>
        <w:tc>
          <w:tcPr>
            <w:tcW w:w="2655" w:type="dxa"/>
            <w:shd w:val="clear" w:color="auto" w:fill="auto"/>
          </w:tcPr>
          <w:p w14:paraId="789BDA39" w14:textId="77777777" w:rsidR="00C7266C" w:rsidRPr="00D403F5" w:rsidRDefault="00C7266C" w:rsidP="00D403F5">
            <w:pPr>
              <w:spacing w:after="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Absence of </w:t>
            </w:r>
            <w:r w:rsidRPr="00D403F5">
              <w:rPr>
                <w:rFonts w:ascii="Times New Roman" w:hAnsi="Times New Roman" w:cs="Times New Roman"/>
                <w:i/>
                <w:sz w:val="18"/>
                <w:szCs w:val="18"/>
              </w:rPr>
              <w:t>susceptible species</w:t>
            </w:r>
            <w:r w:rsidRPr="00D403F5">
              <w:rPr>
                <w:rFonts w:ascii="Times New Roman" w:hAnsi="Times New Roman" w:cs="Times New Roman"/>
                <w:sz w:val="18"/>
                <w:szCs w:val="18"/>
              </w:rPr>
              <w:t xml:space="preserve"> </w:t>
            </w:r>
          </w:p>
        </w:tc>
        <w:tc>
          <w:tcPr>
            <w:tcW w:w="3195" w:type="dxa"/>
            <w:shd w:val="clear" w:color="auto" w:fill="auto"/>
          </w:tcPr>
          <w:p w14:paraId="0E0FB293" w14:textId="77777777" w:rsidR="00C7266C" w:rsidRPr="00D403F5" w:rsidRDefault="00C7266C" w:rsidP="00D403F5">
            <w:pPr>
              <w:spacing w:after="0" w:line="240" w:lineRule="auto"/>
              <w:jc w:val="both"/>
              <w:rPr>
                <w:rFonts w:ascii="Times New Roman" w:hAnsi="Times New Roman" w:cs="Times New Roman"/>
                <w:sz w:val="18"/>
                <w:szCs w:val="18"/>
              </w:rPr>
            </w:pPr>
            <w:r w:rsidRPr="00D403F5">
              <w:rPr>
                <w:rFonts w:ascii="Times New Roman" w:hAnsi="Times New Roman" w:cs="Times New Roman"/>
                <w:sz w:val="18"/>
                <w:szCs w:val="18"/>
              </w:rPr>
              <w:t>Nil</w:t>
            </w:r>
          </w:p>
        </w:tc>
      </w:tr>
      <w:tr w:rsidR="00C7266C" w:rsidRPr="00D403F5" w14:paraId="7F87BAFD" w14:textId="77777777" w:rsidTr="00C7266C">
        <w:trPr>
          <w:trHeight w:val="1084"/>
        </w:trPr>
        <w:tc>
          <w:tcPr>
            <w:tcW w:w="2655" w:type="dxa"/>
            <w:shd w:val="clear" w:color="auto" w:fill="auto"/>
          </w:tcPr>
          <w:p w14:paraId="0B8CAFC7" w14:textId="77777777" w:rsidR="00C7266C" w:rsidRPr="00D403F5" w:rsidRDefault="00C7266C" w:rsidP="00D403F5">
            <w:pPr>
              <w:spacing w:after="0" w:line="240" w:lineRule="auto"/>
              <w:ind w:left="459" w:hanging="459"/>
              <w:jc w:val="both"/>
              <w:rPr>
                <w:rFonts w:ascii="Times New Roman" w:hAnsi="Times New Roman" w:cs="Times New Roman"/>
                <w:sz w:val="18"/>
                <w:szCs w:val="18"/>
              </w:rPr>
            </w:pPr>
            <w:r w:rsidRPr="00D403F5">
              <w:rPr>
                <w:rFonts w:ascii="Times New Roman" w:hAnsi="Times New Roman" w:cs="Times New Roman"/>
                <w:sz w:val="18"/>
                <w:szCs w:val="18"/>
              </w:rPr>
              <w:t>2.</w:t>
            </w:r>
            <w:r w:rsidRPr="00D403F5">
              <w:rPr>
                <w:rFonts w:ascii="Times New Roman" w:hAnsi="Times New Roman" w:cs="Times New Roman"/>
                <w:sz w:val="18"/>
                <w:szCs w:val="18"/>
              </w:rPr>
              <w:tab/>
              <w:t>Historical freedom</w:t>
            </w:r>
          </w:p>
        </w:tc>
        <w:tc>
          <w:tcPr>
            <w:tcW w:w="2655" w:type="dxa"/>
            <w:shd w:val="clear" w:color="auto" w:fill="auto"/>
          </w:tcPr>
          <w:p w14:paraId="2F402210" w14:textId="77777777" w:rsidR="00C7266C" w:rsidRPr="00D403F5" w:rsidRDefault="00C7266C" w:rsidP="00D403F5">
            <w:pPr>
              <w:spacing w:after="0" w:line="240"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Passive surveillance </w:t>
            </w:r>
          </w:p>
        </w:tc>
        <w:tc>
          <w:tcPr>
            <w:tcW w:w="3195" w:type="dxa"/>
            <w:shd w:val="clear" w:color="auto" w:fill="auto"/>
          </w:tcPr>
          <w:p w14:paraId="4A677F34" w14:textId="77777777" w:rsidR="00C7266C" w:rsidRPr="00D403F5" w:rsidRDefault="00C7266C" w:rsidP="00D403F5">
            <w:pPr>
              <w:spacing w:after="0" w:line="240" w:lineRule="auto"/>
              <w:jc w:val="both"/>
              <w:rPr>
                <w:rFonts w:ascii="Times New Roman" w:hAnsi="Times New Roman" w:cs="Times New Roman"/>
                <w:sz w:val="18"/>
                <w:szCs w:val="18"/>
              </w:rPr>
            </w:pP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(in populations where passive surveillance is not appropriate)</w:t>
            </w:r>
          </w:p>
        </w:tc>
      </w:tr>
      <w:tr w:rsidR="00C7266C" w:rsidRPr="00D403F5" w14:paraId="559B96A3" w14:textId="77777777" w:rsidTr="00C7266C">
        <w:trPr>
          <w:trHeight w:val="806"/>
        </w:trPr>
        <w:tc>
          <w:tcPr>
            <w:tcW w:w="2655" w:type="dxa"/>
            <w:shd w:val="clear" w:color="auto" w:fill="auto"/>
          </w:tcPr>
          <w:p w14:paraId="151D7898" w14:textId="77777777" w:rsidR="00C7266C" w:rsidRPr="00D403F5" w:rsidRDefault="00C7266C" w:rsidP="00D403F5">
            <w:pPr>
              <w:spacing w:after="0" w:line="240" w:lineRule="auto"/>
              <w:ind w:left="459" w:hanging="459"/>
              <w:jc w:val="both"/>
              <w:rPr>
                <w:rFonts w:ascii="Times New Roman" w:hAnsi="Times New Roman" w:cs="Times New Roman"/>
                <w:sz w:val="18"/>
                <w:szCs w:val="18"/>
              </w:rPr>
            </w:pPr>
            <w:r w:rsidRPr="00D403F5">
              <w:rPr>
                <w:rFonts w:ascii="Times New Roman" w:hAnsi="Times New Roman" w:cs="Times New Roman"/>
                <w:sz w:val="18"/>
                <w:szCs w:val="18"/>
              </w:rPr>
              <w:t>3.</w:t>
            </w:r>
            <w:r w:rsidRPr="00D403F5">
              <w:rPr>
                <w:rFonts w:ascii="Times New Roman" w:hAnsi="Times New Roman" w:cs="Times New Roman"/>
                <w:sz w:val="18"/>
                <w:szCs w:val="18"/>
              </w:rPr>
              <w:tab/>
              <w:t>Unknown disease status</w:t>
            </w:r>
          </w:p>
        </w:tc>
        <w:tc>
          <w:tcPr>
            <w:tcW w:w="2655" w:type="dxa"/>
            <w:shd w:val="clear" w:color="auto" w:fill="auto"/>
          </w:tcPr>
          <w:p w14:paraId="26A81C4A" w14:textId="77777777" w:rsidR="00C7266C" w:rsidRPr="00D403F5" w:rsidRDefault="00C7266C" w:rsidP="00D403F5">
            <w:pPr>
              <w:spacing w:after="0" w:line="240" w:lineRule="auto"/>
              <w:jc w:val="both"/>
              <w:rPr>
                <w:rFonts w:ascii="Times New Roman" w:hAnsi="Times New Roman" w:cs="Times New Roman"/>
                <w:sz w:val="18"/>
                <w:szCs w:val="18"/>
              </w:rPr>
            </w:pPr>
            <w:r w:rsidRPr="00D403F5">
              <w:rPr>
                <w:rFonts w:ascii="Times New Roman" w:hAnsi="Times New Roman" w:cs="Times New Roman"/>
                <w:i/>
                <w:sz w:val="18"/>
                <w:szCs w:val="18"/>
              </w:rPr>
              <w:t>Targeted surveillance</w:t>
            </w:r>
          </w:p>
        </w:tc>
        <w:tc>
          <w:tcPr>
            <w:tcW w:w="3195" w:type="dxa"/>
            <w:shd w:val="clear" w:color="auto" w:fill="auto"/>
          </w:tcPr>
          <w:p w14:paraId="1A51F7C9" w14:textId="77777777" w:rsidR="00C7266C" w:rsidRPr="00D403F5" w:rsidRDefault="00C7266C" w:rsidP="00D403F5">
            <w:pPr>
              <w:spacing w:after="0" w:line="240" w:lineRule="auto"/>
              <w:jc w:val="both"/>
              <w:rPr>
                <w:rFonts w:ascii="Times New Roman" w:hAnsi="Times New Roman" w:cs="Times New Roman"/>
                <w:sz w:val="18"/>
                <w:szCs w:val="18"/>
                <w:lang w:val="fr-FR"/>
              </w:rPr>
            </w:pPr>
            <w:r w:rsidRPr="00D403F5">
              <w:rPr>
                <w:rFonts w:ascii="Times New Roman" w:hAnsi="Times New Roman" w:cs="Times New Roman"/>
                <w:sz w:val="18"/>
                <w:szCs w:val="18"/>
                <w:lang w:val="fr-FR"/>
              </w:rPr>
              <w:t>Passive surveillance (in appropriate populations)</w:t>
            </w:r>
          </w:p>
        </w:tc>
      </w:tr>
      <w:tr w:rsidR="00C7266C" w:rsidRPr="00D403F5" w14:paraId="1A478F67" w14:textId="77777777" w:rsidTr="00C7266C">
        <w:trPr>
          <w:trHeight w:val="806"/>
        </w:trPr>
        <w:tc>
          <w:tcPr>
            <w:tcW w:w="2655" w:type="dxa"/>
            <w:shd w:val="clear" w:color="auto" w:fill="auto"/>
          </w:tcPr>
          <w:p w14:paraId="4CEEC308" w14:textId="77777777" w:rsidR="00C7266C" w:rsidRPr="00D403F5" w:rsidRDefault="00C7266C" w:rsidP="00D403F5">
            <w:pPr>
              <w:spacing w:after="0" w:line="240" w:lineRule="auto"/>
              <w:ind w:left="459" w:hanging="459"/>
              <w:jc w:val="both"/>
              <w:rPr>
                <w:rFonts w:ascii="Times New Roman" w:hAnsi="Times New Roman" w:cs="Times New Roman"/>
                <w:sz w:val="18"/>
                <w:szCs w:val="18"/>
              </w:rPr>
            </w:pPr>
            <w:r w:rsidRPr="00D403F5">
              <w:rPr>
                <w:rFonts w:ascii="Times New Roman" w:hAnsi="Times New Roman" w:cs="Times New Roman"/>
                <w:sz w:val="18"/>
                <w:szCs w:val="18"/>
              </w:rPr>
              <w:t>4.</w:t>
            </w:r>
            <w:r w:rsidRPr="00D403F5">
              <w:rPr>
                <w:rFonts w:ascii="Times New Roman" w:hAnsi="Times New Roman" w:cs="Times New Roman"/>
                <w:sz w:val="18"/>
                <w:szCs w:val="18"/>
              </w:rPr>
              <w:tab/>
              <w:t>Post eradication (returning to freedom)</w:t>
            </w:r>
          </w:p>
        </w:tc>
        <w:tc>
          <w:tcPr>
            <w:tcW w:w="2655" w:type="dxa"/>
            <w:shd w:val="clear" w:color="auto" w:fill="auto"/>
          </w:tcPr>
          <w:p w14:paraId="7EBCDF3F" w14:textId="77777777" w:rsidR="00C7266C" w:rsidRPr="00D403F5" w:rsidRDefault="00C7266C" w:rsidP="00D403F5">
            <w:pPr>
              <w:spacing w:after="0" w:line="240" w:lineRule="auto"/>
              <w:jc w:val="both"/>
              <w:rPr>
                <w:rFonts w:ascii="Times New Roman" w:hAnsi="Times New Roman" w:cs="Times New Roman"/>
                <w:sz w:val="18"/>
                <w:szCs w:val="18"/>
                <w:lang w:val="en-US"/>
              </w:rPr>
            </w:pPr>
            <w:r w:rsidRPr="00D403F5">
              <w:rPr>
                <w:rFonts w:ascii="Times New Roman" w:hAnsi="Times New Roman" w:cs="Times New Roman"/>
                <w:i/>
                <w:sz w:val="18"/>
                <w:szCs w:val="18"/>
              </w:rPr>
              <w:t>Targeted surveillance</w:t>
            </w:r>
          </w:p>
        </w:tc>
        <w:tc>
          <w:tcPr>
            <w:tcW w:w="3195" w:type="dxa"/>
            <w:shd w:val="clear" w:color="auto" w:fill="auto"/>
          </w:tcPr>
          <w:p w14:paraId="2ECD6FD2" w14:textId="77777777" w:rsidR="00C7266C" w:rsidRPr="00D403F5" w:rsidRDefault="00C7266C" w:rsidP="00D403F5">
            <w:pPr>
              <w:spacing w:after="0" w:line="240" w:lineRule="auto"/>
              <w:jc w:val="both"/>
              <w:rPr>
                <w:rFonts w:ascii="Times New Roman" w:hAnsi="Times New Roman" w:cs="Times New Roman"/>
                <w:sz w:val="18"/>
                <w:szCs w:val="18"/>
                <w:lang w:val="fr-FR"/>
              </w:rPr>
            </w:pPr>
            <w:r w:rsidRPr="00D403F5">
              <w:rPr>
                <w:rFonts w:ascii="Times New Roman" w:hAnsi="Times New Roman" w:cs="Times New Roman"/>
                <w:sz w:val="18"/>
                <w:szCs w:val="18"/>
                <w:lang w:val="fr-FR"/>
              </w:rPr>
              <w:t>Passive surveillance (in appropriate populations)</w:t>
            </w:r>
          </w:p>
        </w:tc>
      </w:tr>
    </w:tbl>
    <w:p w14:paraId="432EB2BA" w14:textId="77777777" w:rsidR="0076436B" w:rsidRDefault="0076436B" w:rsidP="0076436B">
      <w:pPr>
        <w:spacing w:after="480"/>
        <w:rPr>
          <w:rFonts w:ascii="Times New Roman" w:hAnsi="Times New Roman" w:cs="Times New Roman"/>
          <w:sz w:val="18"/>
          <w:szCs w:val="18"/>
          <w:u w:val="single"/>
        </w:rPr>
      </w:pPr>
      <w:r>
        <w:rPr>
          <w:rFonts w:ascii="Times New Roman" w:hAnsi="Times New Roman" w:cs="Times New Roman"/>
          <w:sz w:val="18"/>
          <w:szCs w:val="18"/>
          <w:u w:val="single"/>
        </w:rPr>
        <w:br w:type="page"/>
      </w:r>
    </w:p>
    <w:p w14:paraId="6E2D59CA" w14:textId="69AD94B4" w:rsidR="0076436B" w:rsidRPr="00D403F5" w:rsidRDefault="0076436B" w:rsidP="0076436B">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4752964B" w14:textId="77777777" w:rsidR="0076436B" w:rsidRPr="00D403F5" w:rsidRDefault="0076436B" w:rsidP="0076436B">
      <w:pPr>
        <w:spacing w:before="240" w:after="240"/>
        <w:ind w:left="425"/>
        <w:jc w:val="both"/>
        <w:rPr>
          <w:rFonts w:ascii="Times New Roman" w:hAnsi="Times New Roman" w:cs="Times New Roman"/>
          <w:sz w:val="18"/>
          <w:szCs w:val="18"/>
        </w:rPr>
      </w:pPr>
      <w:r w:rsidRPr="00D403F5">
        <w:rPr>
          <w:rFonts w:ascii="Times New Roman" w:hAnsi="Times New Roman" w:cs="Times New Roman"/>
          <w:sz w:val="18"/>
          <w:szCs w:val="18"/>
        </w:rPr>
        <w:t xml:space="preserve">The factors which need to be considered when determining the time periods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and surveillance to demonstrate freedom have been discussed in this paper. It is proposed that these factors be used to set the default requirements specified in each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 xml:space="preserve">. Member Countries would also need to consider these factors when planning surveillance and developing self-declarations of freedom, including justifications for any deviation from the proposed requirements within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w:t>
      </w:r>
    </w:p>
    <w:p w14:paraId="49D99C7E" w14:textId="77777777" w:rsidR="00C7266C" w:rsidRPr="00D403F5" w:rsidRDefault="00C7266C" w:rsidP="0076436B">
      <w:pPr>
        <w:spacing w:before="240" w:after="240"/>
        <w:ind w:left="425"/>
        <w:jc w:val="both"/>
        <w:rPr>
          <w:rFonts w:ascii="Times New Roman" w:hAnsi="Times New Roman" w:cs="Times New Roman"/>
          <w:sz w:val="18"/>
          <w:szCs w:val="18"/>
        </w:rPr>
      </w:pPr>
      <w:r w:rsidRPr="00D403F5">
        <w:rPr>
          <w:rFonts w:ascii="Times New Roman" w:hAnsi="Times New Roman" w:cs="Times New Roman"/>
          <w:sz w:val="18"/>
          <w:szCs w:val="18"/>
        </w:rPr>
        <w:t>Statistical methods for assessing the evidence needed to demonstrate freedom, based on the sensitivity of the surveillance system, are well established. This framework has been used to set the minimum period for passive surveillance (ten years) required to build sufficient evidence for a case for freedom using the historical freedom pathway. It is recognised that Member Countries are unlikely to have quantitative data needed to justify a period of surveillance using this model. However, the case for freedom should consider qualitative factors which influence the sensitivity of passive surveillance (and thus the duration of surveillance required), which are discussed in this paper. These factors will be reflected in a revised Chapter 1.4.</w:t>
      </w:r>
    </w:p>
    <w:p w14:paraId="3C556271" w14:textId="77777777" w:rsidR="00C7266C" w:rsidRDefault="00C7266C" w:rsidP="0076436B">
      <w:pPr>
        <w:spacing w:after="0"/>
        <w:ind w:left="426"/>
        <w:jc w:val="both"/>
        <w:rPr>
          <w:rFonts w:ascii="Times New Roman" w:hAnsi="Times New Roman" w:cs="Times New Roman"/>
          <w:sz w:val="18"/>
          <w:szCs w:val="18"/>
        </w:rPr>
      </w:pPr>
      <w:r w:rsidRPr="00D403F5">
        <w:rPr>
          <w:rFonts w:ascii="Times New Roman" w:hAnsi="Times New Roman" w:cs="Times New Roman"/>
          <w:sz w:val="18"/>
          <w:szCs w:val="18"/>
        </w:rPr>
        <w:t xml:space="preserve">For all pathways, to maintain freedom,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must be maintained. The quality of the </w:t>
      </w:r>
      <w:r w:rsidRPr="00D403F5">
        <w:rPr>
          <w:rFonts w:ascii="Times New Roman" w:hAnsi="Times New Roman" w:cs="Times New Roman"/>
          <w:i/>
          <w:sz w:val="18"/>
          <w:szCs w:val="18"/>
        </w:rPr>
        <w:t xml:space="preserve">early detection system </w:t>
      </w:r>
      <w:r w:rsidRPr="00D403F5">
        <w:rPr>
          <w:rFonts w:ascii="Times New Roman" w:hAnsi="Times New Roman" w:cs="Times New Roman"/>
          <w:sz w:val="18"/>
          <w:szCs w:val="18"/>
        </w:rPr>
        <w:t xml:space="preserve">and measures to prevent introduction of the pathogenic agent are crucial for both making a robust case for disease freedom and convincing trade partners that disease free status is being maintained. To this end, Member Countries declaring disease freedom need to provide evidence that the </w:t>
      </w:r>
      <w:r w:rsidRPr="00D403F5">
        <w:rPr>
          <w:rFonts w:ascii="Times New Roman" w:hAnsi="Times New Roman" w:cs="Times New Roman"/>
          <w:i/>
          <w:sz w:val="18"/>
          <w:szCs w:val="18"/>
        </w:rPr>
        <w:t>early detection system</w:t>
      </w:r>
      <w:r w:rsidRPr="00D403F5">
        <w:rPr>
          <w:rFonts w:ascii="Times New Roman" w:hAnsi="Times New Roman" w:cs="Times New Roman"/>
          <w:sz w:val="18"/>
          <w:szCs w:val="18"/>
        </w:rPr>
        <w:t xml:space="preserve"> would identify any disease incursions, and that measures to prevent introduction are being rigorously applied.</w:t>
      </w:r>
    </w:p>
    <w:p w14:paraId="0C0E1B77" w14:textId="77777777" w:rsidR="0076436B" w:rsidRDefault="0076436B" w:rsidP="0076436B">
      <w:pPr>
        <w:spacing w:after="0"/>
        <w:ind w:left="426"/>
        <w:jc w:val="both"/>
        <w:rPr>
          <w:rFonts w:ascii="Times New Roman" w:hAnsi="Times New Roman" w:cs="Times New Roman"/>
          <w:sz w:val="18"/>
          <w:szCs w:val="18"/>
        </w:rPr>
      </w:pPr>
    </w:p>
    <w:p w14:paraId="1182F302" w14:textId="77777777" w:rsidR="0076436B" w:rsidRDefault="0076436B" w:rsidP="0076436B">
      <w:pPr>
        <w:spacing w:after="0"/>
        <w:ind w:left="426"/>
        <w:jc w:val="both"/>
        <w:rPr>
          <w:rFonts w:ascii="Times New Roman" w:hAnsi="Times New Roman" w:cs="Times New Roman"/>
          <w:sz w:val="18"/>
          <w:szCs w:val="18"/>
        </w:rPr>
      </w:pPr>
    </w:p>
    <w:p w14:paraId="1440504B" w14:textId="77777777" w:rsidR="0076436B" w:rsidRDefault="0076436B" w:rsidP="0076436B">
      <w:pPr>
        <w:spacing w:after="0"/>
        <w:ind w:left="426"/>
        <w:jc w:val="both"/>
        <w:rPr>
          <w:rFonts w:ascii="Times New Roman" w:hAnsi="Times New Roman" w:cs="Times New Roman"/>
          <w:sz w:val="18"/>
          <w:szCs w:val="18"/>
        </w:rPr>
      </w:pPr>
    </w:p>
    <w:p w14:paraId="718B74A4" w14:textId="77777777" w:rsidR="0076436B" w:rsidRDefault="0076436B" w:rsidP="0076436B">
      <w:pPr>
        <w:spacing w:after="0"/>
        <w:ind w:left="426"/>
        <w:jc w:val="both"/>
        <w:rPr>
          <w:rFonts w:ascii="Times New Roman" w:hAnsi="Times New Roman" w:cs="Times New Roman"/>
          <w:sz w:val="18"/>
          <w:szCs w:val="18"/>
        </w:rPr>
      </w:pPr>
    </w:p>
    <w:p w14:paraId="0E06A713" w14:textId="77777777" w:rsidR="0076436B" w:rsidRDefault="0076436B" w:rsidP="0076436B">
      <w:pPr>
        <w:spacing w:after="0"/>
        <w:ind w:left="426"/>
        <w:jc w:val="both"/>
        <w:rPr>
          <w:rFonts w:ascii="Times New Roman" w:hAnsi="Times New Roman" w:cs="Times New Roman"/>
          <w:sz w:val="18"/>
          <w:szCs w:val="18"/>
        </w:rPr>
      </w:pPr>
    </w:p>
    <w:p w14:paraId="3044422B" w14:textId="77777777" w:rsidR="0076436B" w:rsidRDefault="0076436B" w:rsidP="0076436B">
      <w:pPr>
        <w:spacing w:after="0"/>
        <w:ind w:left="426"/>
        <w:jc w:val="both"/>
        <w:rPr>
          <w:rFonts w:ascii="Times New Roman" w:hAnsi="Times New Roman" w:cs="Times New Roman"/>
          <w:sz w:val="18"/>
          <w:szCs w:val="18"/>
        </w:rPr>
      </w:pPr>
    </w:p>
    <w:p w14:paraId="45AB434A" w14:textId="77777777" w:rsidR="0076436B" w:rsidRDefault="0076436B" w:rsidP="0076436B">
      <w:pPr>
        <w:spacing w:after="0"/>
        <w:ind w:left="426"/>
        <w:jc w:val="both"/>
        <w:rPr>
          <w:rFonts w:ascii="Times New Roman" w:hAnsi="Times New Roman" w:cs="Times New Roman"/>
          <w:sz w:val="18"/>
          <w:szCs w:val="18"/>
        </w:rPr>
      </w:pPr>
    </w:p>
    <w:p w14:paraId="0254F93C" w14:textId="77777777" w:rsidR="0076436B" w:rsidRDefault="0076436B" w:rsidP="0076436B">
      <w:pPr>
        <w:spacing w:after="0"/>
        <w:ind w:left="426"/>
        <w:jc w:val="both"/>
        <w:rPr>
          <w:rFonts w:ascii="Times New Roman" w:hAnsi="Times New Roman" w:cs="Times New Roman"/>
          <w:sz w:val="18"/>
          <w:szCs w:val="18"/>
        </w:rPr>
      </w:pPr>
    </w:p>
    <w:p w14:paraId="10EA17D1" w14:textId="77777777" w:rsidR="0076436B" w:rsidRDefault="0076436B" w:rsidP="0076436B">
      <w:pPr>
        <w:spacing w:after="0"/>
        <w:ind w:left="426"/>
        <w:jc w:val="both"/>
        <w:rPr>
          <w:rFonts w:ascii="Times New Roman" w:hAnsi="Times New Roman" w:cs="Times New Roman"/>
          <w:sz w:val="18"/>
          <w:szCs w:val="18"/>
        </w:rPr>
      </w:pPr>
    </w:p>
    <w:p w14:paraId="7FA0560F" w14:textId="77777777" w:rsidR="0076436B" w:rsidRDefault="0076436B" w:rsidP="0076436B">
      <w:pPr>
        <w:spacing w:after="0"/>
        <w:ind w:left="426"/>
        <w:jc w:val="both"/>
        <w:rPr>
          <w:rFonts w:ascii="Times New Roman" w:hAnsi="Times New Roman" w:cs="Times New Roman"/>
          <w:sz w:val="18"/>
          <w:szCs w:val="18"/>
        </w:rPr>
      </w:pPr>
    </w:p>
    <w:p w14:paraId="451289F1" w14:textId="77777777" w:rsidR="0076436B" w:rsidRDefault="0076436B" w:rsidP="0076436B">
      <w:pPr>
        <w:spacing w:after="0"/>
        <w:ind w:left="426"/>
        <w:jc w:val="both"/>
        <w:rPr>
          <w:rFonts w:ascii="Times New Roman" w:hAnsi="Times New Roman" w:cs="Times New Roman"/>
          <w:sz w:val="18"/>
          <w:szCs w:val="18"/>
        </w:rPr>
      </w:pPr>
    </w:p>
    <w:p w14:paraId="7342AC34" w14:textId="77777777" w:rsidR="0076436B" w:rsidRDefault="0076436B" w:rsidP="0076436B">
      <w:pPr>
        <w:spacing w:after="0"/>
        <w:ind w:left="426"/>
        <w:jc w:val="both"/>
        <w:rPr>
          <w:rFonts w:ascii="Times New Roman" w:hAnsi="Times New Roman" w:cs="Times New Roman"/>
          <w:sz w:val="18"/>
          <w:szCs w:val="18"/>
        </w:rPr>
      </w:pPr>
    </w:p>
    <w:p w14:paraId="5FD535EF" w14:textId="77777777" w:rsidR="0076436B" w:rsidRPr="00D403F5" w:rsidRDefault="0076436B" w:rsidP="0076436B">
      <w:pPr>
        <w:spacing w:after="0"/>
        <w:ind w:left="426"/>
        <w:jc w:val="both"/>
        <w:rPr>
          <w:rFonts w:ascii="Times New Roman" w:hAnsi="Times New Roman" w:cs="Times New Roman"/>
          <w:sz w:val="18"/>
          <w:szCs w:val="18"/>
        </w:rPr>
      </w:pPr>
    </w:p>
    <w:p w14:paraId="32AE6CA2" w14:textId="77777777" w:rsidR="00C7266C" w:rsidRPr="00D403F5" w:rsidRDefault="00C7266C" w:rsidP="00D403F5">
      <w:pPr>
        <w:spacing w:after="0"/>
        <w:rPr>
          <w:b/>
          <w:caps/>
          <w:sz w:val="18"/>
          <w:szCs w:val="18"/>
        </w:rPr>
      </w:pPr>
      <w:bookmarkStart w:id="58" w:name="_Hlk527975108"/>
      <w:r w:rsidRPr="00D403F5">
        <w:rPr>
          <w:b/>
          <w:caps/>
          <w:sz w:val="18"/>
          <w:szCs w:val="18"/>
        </w:rPr>
        <w:br w:type="page"/>
      </w:r>
    </w:p>
    <w:p w14:paraId="688A45AF" w14:textId="77777777" w:rsidR="00C7266C" w:rsidRPr="00D403F5" w:rsidRDefault="00C7266C" w:rsidP="0076436B">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1BA04BAE" w14:textId="77777777" w:rsidR="00C7266C" w:rsidRPr="00D403F5" w:rsidRDefault="00C7266C" w:rsidP="00D403F5">
      <w:pPr>
        <w:spacing w:after="0"/>
        <w:jc w:val="right"/>
        <w:rPr>
          <w:rFonts w:ascii="Times New Roman" w:hAnsi="Times New Roman" w:cs="Times New Roman"/>
          <w:caps/>
          <w:sz w:val="18"/>
          <w:szCs w:val="18"/>
        </w:rPr>
      </w:pPr>
      <w:r w:rsidRPr="00D403F5">
        <w:rPr>
          <w:rFonts w:ascii="Times New Roman" w:hAnsi="Times New Roman" w:cs="Times New Roman"/>
          <w:b/>
          <w:caps/>
          <w:sz w:val="18"/>
          <w:szCs w:val="18"/>
        </w:rPr>
        <w:t>Appendix 1.</w:t>
      </w:r>
      <w:r w:rsidRPr="00D403F5">
        <w:rPr>
          <w:rFonts w:ascii="Times New Roman" w:hAnsi="Times New Roman" w:cs="Times New Roman"/>
          <w:caps/>
          <w:sz w:val="18"/>
          <w:szCs w:val="18"/>
        </w:rPr>
        <w:t xml:space="preserve"> </w:t>
      </w:r>
    </w:p>
    <w:p w14:paraId="36AA24CF" w14:textId="57E1471D" w:rsidR="00C7266C" w:rsidRPr="00D403F5" w:rsidRDefault="00C7266C" w:rsidP="00D403F5">
      <w:pPr>
        <w:spacing w:after="0"/>
        <w:jc w:val="center"/>
        <w:rPr>
          <w:rFonts w:ascii="Times New Roman" w:hAnsi="Times New Roman" w:cs="Times New Roman"/>
          <w:b/>
          <w:caps/>
          <w:sz w:val="18"/>
          <w:szCs w:val="18"/>
        </w:rPr>
      </w:pPr>
      <w:r w:rsidRPr="00D403F5">
        <w:rPr>
          <w:rFonts w:ascii="Times New Roman" w:hAnsi="Times New Roman" w:cs="Times New Roman"/>
          <w:b/>
          <w:caps/>
          <w:sz w:val="18"/>
          <w:szCs w:val="18"/>
        </w:rPr>
        <w:t xml:space="preserve">discussion points considered by Member Countries </w:t>
      </w:r>
      <w:r w:rsidRPr="00D403F5">
        <w:rPr>
          <w:rFonts w:ascii="Times New Roman" w:hAnsi="Times New Roman" w:cs="Times New Roman"/>
          <w:b/>
          <w:caps/>
          <w:sz w:val="18"/>
          <w:szCs w:val="18"/>
        </w:rPr>
        <w:br/>
        <w:t>on Version 1 of this document</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6"/>
      </w:tblGrid>
      <w:tr w:rsidR="00C7266C" w:rsidRPr="00D403F5" w14:paraId="60346476" w14:textId="77777777" w:rsidTr="00C7266C">
        <w:tc>
          <w:tcPr>
            <w:tcW w:w="8646" w:type="dxa"/>
            <w:shd w:val="clear" w:color="auto" w:fill="B4C6E7"/>
          </w:tcPr>
          <w:p w14:paraId="3852EBFF" w14:textId="77777777" w:rsidR="00C7266C" w:rsidRPr="00D403F5" w:rsidRDefault="00C7266C" w:rsidP="00D403F5">
            <w:pPr>
              <w:spacing w:after="0"/>
              <w:jc w:val="both"/>
              <w:rPr>
                <w:rFonts w:ascii="Times New Roman" w:hAnsi="Times New Roman" w:cs="Times New Roman"/>
                <w:sz w:val="18"/>
                <w:szCs w:val="18"/>
              </w:rPr>
            </w:pPr>
            <w:r w:rsidRPr="00D403F5">
              <w:rPr>
                <w:rFonts w:ascii="Times New Roman" w:hAnsi="Times New Roman" w:cs="Times New Roman"/>
                <w:sz w:val="18"/>
                <w:szCs w:val="18"/>
              </w:rPr>
              <w:t xml:space="preserve">Section 3.1. Pathway 1. Absence of </w:t>
            </w:r>
            <w:r w:rsidRPr="00D403F5">
              <w:rPr>
                <w:rFonts w:ascii="Times New Roman" w:hAnsi="Times New Roman" w:cs="Times New Roman"/>
                <w:i/>
                <w:sz w:val="18"/>
                <w:szCs w:val="18"/>
              </w:rPr>
              <w:t>susceptible species</w:t>
            </w:r>
          </w:p>
        </w:tc>
      </w:tr>
      <w:tr w:rsidR="00C7266C" w:rsidRPr="00D403F5" w14:paraId="50E457BC" w14:textId="77777777" w:rsidTr="00C7266C">
        <w:tc>
          <w:tcPr>
            <w:tcW w:w="8646" w:type="dxa"/>
            <w:shd w:val="clear" w:color="auto" w:fill="auto"/>
          </w:tcPr>
          <w:p w14:paraId="54FEE001" w14:textId="77777777" w:rsidR="00C7266C" w:rsidRPr="00D403F5" w:rsidRDefault="00C7266C" w:rsidP="00D403F5">
            <w:pPr>
              <w:spacing w:after="0"/>
              <w:ind w:left="432" w:hanging="432"/>
              <w:jc w:val="both"/>
              <w:rPr>
                <w:rFonts w:ascii="Times New Roman" w:hAnsi="Times New Roman" w:cs="Times New Roman"/>
                <w:sz w:val="18"/>
                <w:szCs w:val="18"/>
              </w:rPr>
            </w:pPr>
            <w:r w:rsidRPr="00D403F5">
              <w:rPr>
                <w:rFonts w:ascii="Times New Roman" w:hAnsi="Times New Roman" w:cs="Times New Roman"/>
                <w:color w:val="4472C4"/>
                <w:sz w:val="18"/>
                <w:szCs w:val="18"/>
              </w:rPr>
              <w:t>1.</w:t>
            </w:r>
            <w:r w:rsidRPr="00D403F5">
              <w:rPr>
                <w:rFonts w:ascii="Times New Roman" w:hAnsi="Times New Roman" w:cs="Times New Roman"/>
                <w:color w:val="4472C4"/>
                <w:sz w:val="18"/>
                <w:szCs w:val="18"/>
              </w:rPr>
              <w:tab/>
              <w:t>Is Pathway 1 likely to be used by Member Countries?</w:t>
            </w:r>
          </w:p>
        </w:tc>
      </w:tr>
      <w:tr w:rsidR="00C7266C" w:rsidRPr="00D403F5" w14:paraId="11E1BC0F" w14:textId="77777777" w:rsidTr="00C7266C">
        <w:tc>
          <w:tcPr>
            <w:tcW w:w="8646" w:type="dxa"/>
            <w:shd w:val="clear" w:color="auto" w:fill="auto"/>
          </w:tcPr>
          <w:p w14:paraId="6306AB2D" w14:textId="77777777" w:rsidR="00C7266C" w:rsidRPr="00D403F5" w:rsidRDefault="00C7266C" w:rsidP="00D403F5">
            <w:pPr>
              <w:spacing w:after="0"/>
              <w:ind w:left="432" w:hanging="432"/>
              <w:jc w:val="both"/>
              <w:rPr>
                <w:rFonts w:ascii="Times New Roman" w:hAnsi="Times New Roman" w:cs="Times New Roman"/>
                <w:sz w:val="18"/>
                <w:szCs w:val="18"/>
              </w:rPr>
            </w:pPr>
            <w:r w:rsidRPr="00D403F5">
              <w:rPr>
                <w:rFonts w:ascii="Times New Roman" w:hAnsi="Times New Roman" w:cs="Times New Roman"/>
                <w:color w:val="4472C4"/>
                <w:sz w:val="18"/>
                <w:szCs w:val="18"/>
              </w:rPr>
              <w:t>2.</w:t>
            </w:r>
            <w:r w:rsidRPr="00D403F5">
              <w:rPr>
                <w:rFonts w:ascii="Times New Roman" w:hAnsi="Times New Roman" w:cs="Times New Roman"/>
                <w:color w:val="4472C4"/>
                <w:sz w:val="18"/>
                <w:szCs w:val="18"/>
              </w:rPr>
              <w:tab/>
              <w:t xml:space="preserve">What is an appropriate standard of evidence that </w:t>
            </w:r>
            <w:r w:rsidRPr="00D403F5">
              <w:rPr>
                <w:rFonts w:ascii="Times New Roman" w:hAnsi="Times New Roman" w:cs="Times New Roman"/>
                <w:i/>
                <w:color w:val="4472C4"/>
                <w:sz w:val="18"/>
                <w:szCs w:val="18"/>
              </w:rPr>
              <w:t>susceptible species</w:t>
            </w:r>
            <w:r w:rsidRPr="00D403F5">
              <w:rPr>
                <w:rFonts w:ascii="Times New Roman" w:hAnsi="Times New Roman" w:cs="Times New Roman"/>
                <w:color w:val="4472C4"/>
                <w:sz w:val="18"/>
                <w:szCs w:val="18"/>
              </w:rPr>
              <w:t xml:space="preserve"> are absent from a country? </w:t>
            </w:r>
          </w:p>
        </w:tc>
      </w:tr>
      <w:tr w:rsidR="00C7266C" w:rsidRPr="00D403F5" w14:paraId="20FCB475" w14:textId="77777777" w:rsidTr="00C7266C">
        <w:tc>
          <w:tcPr>
            <w:tcW w:w="8646" w:type="dxa"/>
            <w:shd w:val="clear" w:color="auto" w:fill="B4C6E7"/>
          </w:tcPr>
          <w:p w14:paraId="1BF855B5" w14:textId="77777777" w:rsidR="00C7266C" w:rsidRPr="00D403F5" w:rsidRDefault="00C7266C" w:rsidP="00D403F5">
            <w:pPr>
              <w:spacing w:after="0"/>
              <w:jc w:val="both"/>
              <w:rPr>
                <w:rFonts w:ascii="Times New Roman" w:hAnsi="Times New Roman" w:cs="Times New Roman"/>
                <w:sz w:val="18"/>
                <w:szCs w:val="18"/>
              </w:rPr>
            </w:pPr>
            <w:r w:rsidRPr="00D403F5">
              <w:rPr>
                <w:rFonts w:ascii="Times New Roman" w:hAnsi="Times New Roman" w:cs="Times New Roman"/>
                <w:sz w:val="18"/>
                <w:szCs w:val="18"/>
              </w:rPr>
              <w:t>Section 3.2. Pathway 2. Historical freedom</w:t>
            </w:r>
          </w:p>
        </w:tc>
      </w:tr>
      <w:tr w:rsidR="00C7266C" w:rsidRPr="00D403F5" w14:paraId="3725DBDF" w14:textId="77777777" w:rsidTr="00C7266C">
        <w:tc>
          <w:tcPr>
            <w:tcW w:w="8646" w:type="dxa"/>
            <w:shd w:val="clear" w:color="auto" w:fill="auto"/>
          </w:tcPr>
          <w:p w14:paraId="19A3ACB8"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3.</w:t>
            </w:r>
            <w:r w:rsidRPr="00D403F5">
              <w:rPr>
                <w:rFonts w:ascii="Times New Roman" w:hAnsi="Times New Roman" w:cs="Times New Roman"/>
                <w:color w:val="4472C4"/>
                <w:sz w:val="18"/>
                <w:szCs w:val="18"/>
              </w:rPr>
              <w:tab/>
              <w:t xml:space="preserve">Are the proposed requirements for passive surveillance in </w:t>
            </w:r>
            <w:r w:rsidRPr="00D403F5">
              <w:rPr>
                <w:rFonts w:ascii="Times New Roman" w:hAnsi="Times New Roman" w:cs="Times New Roman"/>
                <w:color w:val="4472C4"/>
                <w:sz w:val="18"/>
                <w:szCs w:val="18"/>
                <w:u w:val="single"/>
              </w:rPr>
              <w:t>farmed</w:t>
            </w:r>
            <w:r w:rsidRPr="00D403F5">
              <w:rPr>
                <w:rFonts w:ascii="Times New Roman" w:hAnsi="Times New Roman" w:cs="Times New Roman"/>
                <w:color w:val="4472C4"/>
                <w:sz w:val="18"/>
                <w:szCs w:val="18"/>
              </w:rPr>
              <w:t xml:space="preserve"> and </w:t>
            </w:r>
            <w:r w:rsidRPr="00D403F5">
              <w:rPr>
                <w:rFonts w:ascii="Times New Roman" w:hAnsi="Times New Roman" w:cs="Times New Roman"/>
                <w:color w:val="4472C4"/>
                <w:sz w:val="18"/>
                <w:szCs w:val="18"/>
                <w:u w:val="single"/>
              </w:rPr>
              <w:t>wild</w:t>
            </w:r>
            <w:r w:rsidRPr="00D403F5">
              <w:rPr>
                <w:rFonts w:ascii="Times New Roman" w:hAnsi="Times New Roman" w:cs="Times New Roman"/>
                <w:color w:val="4472C4"/>
                <w:sz w:val="18"/>
                <w:szCs w:val="18"/>
              </w:rPr>
              <w:t xml:space="preserve"> aquatic animals appropriate?</w:t>
            </w:r>
          </w:p>
        </w:tc>
      </w:tr>
      <w:tr w:rsidR="00C7266C" w:rsidRPr="00D403F5" w14:paraId="7BE9B5F8" w14:textId="77777777" w:rsidTr="00C7266C">
        <w:tc>
          <w:tcPr>
            <w:tcW w:w="8646" w:type="dxa"/>
            <w:shd w:val="clear" w:color="auto" w:fill="auto"/>
          </w:tcPr>
          <w:p w14:paraId="4270C95C"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4.</w:t>
            </w:r>
            <w:r w:rsidRPr="00D403F5">
              <w:rPr>
                <w:rFonts w:ascii="Times New Roman" w:hAnsi="Times New Roman" w:cs="Times New Roman"/>
                <w:color w:val="4472C4"/>
                <w:sz w:val="18"/>
                <w:szCs w:val="18"/>
              </w:rPr>
              <w:tab/>
              <w:t>Should historic freedom require that the disease has never been detected (as proposed) or is a period of freedom (e.g. ten years) sufficient?</w:t>
            </w:r>
          </w:p>
        </w:tc>
      </w:tr>
      <w:tr w:rsidR="00C7266C" w:rsidRPr="00D403F5" w14:paraId="4ED5D28C" w14:textId="77777777" w:rsidTr="00C7266C">
        <w:tc>
          <w:tcPr>
            <w:tcW w:w="8646" w:type="dxa"/>
            <w:shd w:val="clear" w:color="auto" w:fill="auto"/>
          </w:tcPr>
          <w:p w14:paraId="4FF6EC58"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5.</w:t>
            </w:r>
            <w:r w:rsidRPr="00D403F5">
              <w:rPr>
                <w:rFonts w:ascii="Times New Roman" w:hAnsi="Times New Roman" w:cs="Times New Roman"/>
                <w:color w:val="4472C4"/>
                <w:sz w:val="18"/>
                <w:szCs w:val="18"/>
              </w:rPr>
              <w:tab/>
              <w:t xml:space="preserve">Are the factors for determining the required period of basic biosecurity conditions for </w:t>
            </w:r>
            <w:r w:rsidRPr="00D403F5">
              <w:rPr>
                <w:rFonts w:ascii="Times New Roman" w:hAnsi="Times New Roman" w:cs="Times New Roman"/>
                <w:i/>
                <w:color w:val="4472C4"/>
                <w:sz w:val="18"/>
                <w:szCs w:val="18"/>
              </w:rPr>
              <w:t>listed diseases</w:t>
            </w:r>
            <w:r w:rsidRPr="00D403F5">
              <w:rPr>
                <w:rFonts w:ascii="Times New Roman" w:hAnsi="Times New Roman" w:cs="Times New Roman"/>
                <w:color w:val="4472C4"/>
                <w:sz w:val="18"/>
                <w:szCs w:val="18"/>
              </w:rPr>
              <w:t xml:space="preserve"> appropriate?</w:t>
            </w:r>
          </w:p>
        </w:tc>
      </w:tr>
      <w:tr w:rsidR="00C7266C" w:rsidRPr="00D403F5" w14:paraId="69EA00D0" w14:textId="77777777" w:rsidTr="00C7266C">
        <w:tc>
          <w:tcPr>
            <w:tcW w:w="8646" w:type="dxa"/>
            <w:shd w:val="clear" w:color="auto" w:fill="B4C6E7"/>
          </w:tcPr>
          <w:p w14:paraId="7BFB11E2" w14:textId="77777777" w:rsidR="00C7266C" w:rsidRPr="00D403F5" w:rsidRDefault="00C7266C" w:rsidP="00D403F5">
            <w:pPr>
              <w:spacing w:after="0"/>
              <w:jc w:val="both"/>
              <w:rPr>
                <w:rFonts w:ascii="Times New Roman" w:hAnsi="Times New Roman" w:cs="Times New Roman"/>
                <w:sz w:val="18"/>
                <w:szCs w:val="18"/>
              </w:rPr>
            </w:pPr>
            <w:r w:rsidRPr="00D403F5">
              <w:rPr>
                <w:rFonts w:ascii="Times New Roman" w:hAnsi="Times New Roman" w:cs="Times New Roman"/>
                <w:sz w:val="18"/>
                <w:szCs w:val="18"/>
              </w:rPr>
              <w:t>Section 3.3. Pathway 3. Unknown disease status</w:t>
            </w:r>
          </w:p>
        </w:tc>
      </w:tr>
      <w:tr w:rsidR="00C7266C" w:rsidRPr="00D403F5" w14:paraId="6FA2FA4B" w14:textId="77777777" w:rsidTr="00C7266C">
        <w:tc>
          <w:tcPr>
            <w:tcW w:w="8646" w:type="dxa"/>
            <w:shd w:val="clear" w:color="auto" w:fill="auto"/>
          </w:tcPr>
          <w:p w14:paraId="512E1330"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6.</w:t>
            </w:r>
            <w:r w:rsidRPr="00D403F5">
              <w:rPr>
                <w:rFonts w:ascii="Times New Roman" w:hAnsi="Times New Roman" w:cs="Times New Roman"/>
                <w:color w:val="4472C4"/>
                <w:sz w:val="18"/>
                <w:szCs w:val="18"/>
              </w:rPr>
              <w:tab/>
              <w:t>Are the proposed criteria for determining the periods for basic biosecurity conditions for this pathway appropriate?</w:t>
            </w:r>
          </w:p>
        </w:tc>
      </w:tr>
      <w:tr w:rsidR="00C7266C" w:rsidRPr="00D403F5" w14:paraId="070A7400" w14:textId="77777777" w:rsidTr="00C7266C">
        <w:tc>
          <w:tcPr>
            <w:tcW w:w="8646" w:type="dxa"/>
            <w:shd w:val="clear" w:color="auto" w:fill="auto"/>
          </w:tcPr>
          <w:p w14:paraId="5A68F1A0" w14:textId="77777777" w:rsidR="00C7266C" w:rsidRPr="00D403F5" w:rsidRDefault="00C7266C" w:rsidP="00D403F5">
            <w:pPr>
              <w:spacing w:after="0"/>
              <w:ind w:left="424"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7.</w:t>
            </w:r>
            <w:r w:rsidRPr="00D403F5">
              <w:rPr>
                <w:rFonts w:ascii="Times New Roman" w:hAnsi="Times New Roman" w:cs="Times New Roman"/>
                <w:color w:val="4472C4"/>
                <w:sz w:val="18"/>
                <w:szCs w:val="18"/>
              </w:rPr>
              <w:tab/>
              <w:t xml:space="preserve">Is one year an appropriate </w:t>
            </w:r>
            <w:r w:rsidRPr="00D403F5">
              <w:rPr>
                <w:rFonts w:ascii="Times New Roman" w:hAnsi="Times New Roman" w:cs="Times New Roman"/>
                <w:color w:val="4472C4"/>
                <w:sz w:val="18"/>
                <w:szCs w:val="18"/>
                <w:u w:val="single"/>
              </w:rPr>
              <w:t>minimum</w:t>
            </w:r>
            <w:r w:rsidRPr="00D403F5">
              <w:rPr>
                <w:rFonts w:ascii="Times New Roman" w:hAnsi="Times New Roman" w:cs="Times New Roman"/>
                <w:color w:val="4472C4"/>
                <w:sz w:val="18"/>
                <w:szCs w:val="18"/>
              </w:rPr>
              <w:t xml:space="preserve"> period for </w:t>
            </w:r>
            <w:r w:rsidRPr="00D403F5">
              <w:rPr>
                <w:rFonts w:ascii="Times New Roman" w:hAnsi="Times New Roman" w:cs="Times New Roman"/>
                <w:i/>
                <w:color w:val="4472C4"/>
                <w:sz w:val="18"/>
                <w:szCs w:val="18"/>
              </w:rPr>
              <w:t>basic biosecurity conditions</w:t>
            </w:r>
            <w:r w:rsidRPr="00D403F5">
              <w:rPr>
                <w:rFonts w:ascii="Times New Roman" w:hAnsi="Times New Roman" w:cs="Times New Roman"/>
                <w:color w:val="4472C4"/>
                <w:sz w:val="18"/>
                <w:szCs w:val="18"/>
              </w:rPr>
              <w:t xml:space="preserve"> to be in place prior to the </w:t>
            </w:r>
            <w:r w:rsidRPr="00D403F5">
              <w:rPr>
                <w:rFonts w:ascii="Times New Roman" w:hAnsi="Times New Roman" w:cs="Times New Roman"/>
                <w:color w:val="4472C4"/>
                <w:sz w:val="18"/>
                <w:szCs w:val="18"/>
                <w:u w:val="single"/>
              </w:rPr>
              <w:t>commencement</w:t>
            </w:r>
            <w:r w:rsidRPr="00D403F5">
              <w:rPr>
                <w:rFonts w:ascii="Times New Roman" w:hAnsi="Times New Roman" w:cs="Times New Roman"/>
                <w:color w:val="4472C4"/>
                <w:sz w:val="18"/>
                <w:szCs w:val="18"/>
              </w:rPr>
              <w:t xml:space="preserve"> of active surveillance for declaring freedom for countries or zones?</w:t>
            </w:r>
          </w:p>
        </w:tc>
      </w:tr>
      <w:tr w:rsidR="00C7266C" w:rsidRPr="00D403F5" w14:paraId="1BB71A0A" w14:textId="77777777" w:rsidTr="00C7266C">
        <w:tc>
          <w:tcPr>
            <w:tcW w:w="8646" w:type="dxa"/>
            <w:shd w:val="clear" w:color="auto" w:fill="auto"/>
          </w:tcPr>
          <w:p w14:paraId="3710D48E"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8.</w:t>
            </w:r>
            <w:r w:rsidRPr="00D403F5">
              <w:rPr>
                <w:rFonts w:ascii="Times New Roman" w:hAnsi="Times New Roman" w:cs="Times New Roman"/>
                <w:color w:val="4472C4"/>
                <w:sz w:val="18"/>
                <w:szCs w:val="18"/>
              </w:rPr>
              <w:tab/>
              <w:t>Is one survey per year (at least three months apart) for two years an appropriate default requirement?</w:t>
            </w:r>
          </w:p>
        </w:tc>
      </w:tr>
      <w:tr w:rsidR="00C7266C" w:rsidRPr="00D403F5" w14:paraId="62C68913" w14:textId="77777777" w:rsidTr="00C7266C">
        <w:tc>
          <w:tcPr>
            <w:tcW w:w="8646" w:type="dxa"/>
            <w:shd w:val="clear" w:color="auto" w:fill="B4C6E7"/>
          </w:tcPr>
          <w:p w14:paraId="5A6EABED" w14:textId="77777777" w:rsidR="00C7266C" w:rsidRPr="00D403F5" w:rsidRDefault="00C7266C" w:rsidP="00D403F5">
            <w:pPr>
              <w:spacing w:after="0"/>
              <w:jc w:val="both"/>
              <w:rPr>
                <w:rFonts w:ascii="Times New Roman" w:hAnsi="Times New Roman" w:cs="Times New Roman"/>
                <w:sz w:val="18"/>
                <w:szCs w:val="18"/>
              </w:rPr>
            </w:pPr>
            <w:r w:rsidRPr="00D403F5">
              <w:rPr>
                <w:rFonts w:ascii="Times New Roman" w:hAnsi="Times New Roman" w:cs="Times New Roman"/>
                <w:sz w:val="18"/>
                <w:szCs w:val="18"/>
              </w:rPr>
              <w:t>Section 3.4. Pathway 4. Returning to freedom</w:t>
            </w:r>
          </w:p>
        </w:tc>
      </w:tr>
      <w:tr w:rsidR="00C7266C" w:rsidRPr="00D403F5" w14:paraId="1D88D79A" w14:textId="77777777" w:rsidTr="00C7266C">
        <w:tc>
          <w:tcPr>
            <w:tcW w:w="8646" w:type="dxa"/>
            <w:shd w:val="clear" w:color="auto" w:fill="auto"/>
          </w:tcPr>
          <w:p w14:paraId="75857FE8"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9.</w:t>
            </w:r>
            <w:r w:rsidRPr="00D403F5">
              <w:rPr>
                <w:rFonts w:ascii="Times New Roman" w:hAnsi="Times New Roman" w:cs="Times New Roman"/>
                <w:color w:val="4472C4"/>
                <w:sz w:val="18"/>
                <w:szCs w:val="18"/>
              </w:rPr>
              <w:tab/>
              <w:t xml:space="preserve">Should </w:t>
            </w:r>
            <w:r w:rsidRPr="00D403F5">
              <w:rPr>
                <w:rFonts w:ascii="Times New Roman" w:hAnsi="Times New Roman" w:cs="Times New Roman"/>
                <w:color w:val="4472C4"/>
                <w:sz w:val="18"/>
                <w:szCs w:val="18"/>
                <w:u w:val="single"/>
              </w:rPr>
              <w:t>countries</w:t>
            </w:r>
            <w:r w:rsidRPr="00D403F5">
              <w:rPr>
                <w:rFonts w:ascii="Times New Roman" w:hAnsi="Times New Roman" w:cs="Times New Roman"/>
                <w:color w:val="4472C4"/>
                <w:sz w:val="18"/>
                <w:szCs w:val="18"/>
              </w:rPr>
              <w:t xml:space="preserve"> and </w:t>
            </w:r>
            <w:r w:rsidRPr="00D403F5">
              <w:rPr>
                <w:rFonts w:ascii="Times New Roman" w:hAnsi="Times New Roman" w:cs="Times New Roman"/>
                <w:color w:val="4472C4"/>
                <w:sz w:val="18"/>
                <w:szCs w:val="18"/>
                <w:u w:val="single"/>
              </w:rPr>
              <w:t>zones</w:t>
            </w:r>
            <w:r w:rsidRPr="00D403F5">
              <w:rPr>
                <w:rFonts w:ascii="Times New Roman" w:hAnsi="Times New Roman" w:cs="Times New Roman"/>
                <w:color w:val="4472C4"/>
                <w:sz w:val="18"/>
                <w:szCs w:val="18"/>
              </w:rPr>
              <w:t xml:space="preserve"> be able to return to freedom more quickly following an eradication programme than in an initial </w:t>
            </w:r>
            <w:r w:rsidRPr="00D403F5">
              <w:rPr>
                <w:rFonts w:ascii="Times New Roman" w:hAnsi="Times New Roman" w:cs="Times New Roman"/>
                <w:i/>
                <w:color w:val="4472C4"/>
                <w:sz w:val="18"/>
                <w:szCs w:val="18"/>
              </w:rPr>
              <w:t>self-declaration of freedom</w:t>
            </w:r>
            <w:r w:rsidRPr="00D403F5">
              <w:rPr>
                <w:rFonts w:ascii="Times New Roman" w:hAnsi="Times New Roman" w:cs="Times New Roman"/>
                <w:color w:val="4472C4"/>
                <w:sz w:val="18"/>
                <w:szCs w:val="18"/>
              </w:rPr>
              <w:t xml:space="preserve"> for a country or zone (if appropriate criteria are met)?</w:t>
            </w:r>
          </w:p>
        </w:tc>
      </w:tr>
      <w:tr w:rsidR="00C7266C" w:rsidRPr="00D403F5" w14:paraId="68700848" w14:textId="77777777" w:rsidTr="00C7266C">
        <w:tc>
          <w:tcPr>
            <w:tcW w:w="8646" w:type="dxa"/>
            <w:shd w:val="clear" w:color="auto" w:fill="auto"/>
          </w:tcPr>
          <w:p w14:paraId="25C3ED36"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10.</w:t>
            </w:r>
            <w:r w:rsidRPr="00D403F5">
              <w:rPr>
                <w:rFonts w:ascii="Times New Roman" w:hAnsi="Times New Roman" w:cs="Times New Roman"/>
                <w:color w:val="4472C4"/>
                <w:sz w:val="18"/>
                <w:szCs w:val="18"/>
              </w:rPr>
              <w:tab/>
              <w:t xml:space="preserve">Should </w:t>
            </w:r>
            <w:r w:rsidRPr="00D403F5">
              <w:rPr>
                <w:rFonts w:ascii="Times New Roman" w:hAnsi="Times New Roman" w:cs="Times New Roman"/>
                <w:i/>
                <w:color w:val="4472C4"/>
                <w:sz w:val="18"/>
                <w:szCs w:val="18"/>
                <w:u w:val="single"/>
              </w:rPr>
              <w:t>compartments</w:t>
            </w:r>
            <w:r w:rsidRPr="00D403F5">
              <w:rPr>
                <w:rFonts w:ascii="Times New Roman" w:hAnsi="Times New Roman" w:cs="Times New Roman"/>
                <w:color w:val="4472C4"/>
                <w:sz w:val="18"/>
                <w:szCs w:val="18"/>
              </w:rPr>
              <w:t xml:space="preserve"> be able to regain freedom immediately after destocking and successful decontamination (i.e. with surveillance at the level required to maintain freedom) if </w:t>
            </w:r>
            <w:r w:rsidRPr="00D403F5">
              <w:rPr>
                <w:rFonts w:ascii="Times New Roman" w:hAnsi="Times New Roman" w:cs="Times New Roman"/>
                <w:i/>
                <w:color w:val="4472C4"/>
                <w:sz w:val="18"/>
                <w:szCs w:val="18"/>
              </w:rPr>
              <w:t>basic biosecurity conditions</w:t>
            </w:r>
            <w:r w:rsidRPr="00D403F5">
              <w:rPr>
                <w:rFonts w:ascii="Times New Roman" w:hAnsi="Times New Roman" w:cs="Times New Roman"/>
                <w:color w:val="4472C4"/>
                <w:sz w:val="18"/>
                <w:szCs w:val="18"/>
              </w:rPr>
              <w:t xml:space="preserve"> have been reviewed and modified and restocking is with disease free animals (e.g. from a free country, </w:t>
            </w:r>
            <w:r w:rsidRPr="00D403F5">
              <w:rPr>
                <w:rFonts w:ascii="Times New Roman" w:hAnsi="Times New Roman" w:cs="Times New Roman"/>
                <w:i/>
                <w:color w:val="4472C4"/>
                <w:sz w:val="18"/>
                <w:szCs w:val="18"/>
              </w:rPr>
              <w:t>zone</w:t>
            </w:r>
            <w:r w:rsidRPr="00D403F5">
              <w:rPr>
                <w:rFonts w:ascii="Times New Roman" w:hAnsi="Times New Roman" w:cs="Times New Roman"/>
                <w:color w:val="4472C4"/>
                <w:sz w:val="18"/>
                <w:szCs w:val="18"/>
              </w:rPr>
              <w:t xml:space="preserve"> or </w:t>
            </w:r>
            <w:r w:rsidRPr="00D403F5">
              <w:rPr>
                <w:rFonts w:ascii="Times New Roman" w:hAnsi="Times New Roman" w:cs="Times New Roman"/>
                <w:i/>
                <w:color w:val="4472C4"/>
                <w:sz w:val="18"/>
                <w:szCs w:val="18"/>
              </w:rPr>
              <w:t>compartment</w:t>
            </w:r>
            <w:r w:rsidRPr="00D403F5">
              <w:rPr>
                <w:rFonts w:ascii="Times New Roman" w:hAnsi="Times New Roman" w:cs="Times New Roman"/>
                <w:color w:val="4472C4"/>
                <w:sz w:val="18"/>
                <w:szCs w:val="18"/>
              </w:rPr>
              <w:t>)?</w:t>
            </w:r>
          </w:p>
        </w:tc>
      </w:tr>
      <w:tr w:rsidR="00C7266C" w:rsidRPr="00D403F5" w14:paraId="25D624E9" w14:textId="77777777" w:rsidTr="00C7266C">
        <w:tc>
          <w:tcPr>
            <w:tcW w:w="8646" w:type="dxa"/>
            <w:shd w:val="clear" w:color="auto" w:fill="auto"/>
          </w:tcPr>
          <w:p w14:paraId="2CFA9FED" w14:textId="77777777" w:rsidR="00C7266C" w:rsidRPr="00D403F5" w:rsidRDefault="00C7266C" w:rsidP="00D403F5">
            <w:pPr>
              <w:spacing w:after="0"/>
              <w:ind w:left="432" w:hanging="432"/>
              <w:jc w:val="both"/>
              <w:rPr>
                <w:rFonts w:ascii="Times New Roman" w:hAnsi="Times New Roman" w:cs="Times New Roman"/>
                <w:sz w:val="18"/>
                <w:szCs w:val="18"/>
              </w:rPr>
            </w:pPr>
            <w:r w:rsidRPr="00D403F5">
              <w:rPr>
                <w:rFonts w:ascii="Times New Roman" w:hAnsi="Times New Roman" w:cs="Times New Roman"/>
                <w:color w:val="4472C4"/>
                <w:sz w:val="18"/>
                <w:szCs w:val="18"/>
              </w:rPr>
              <w:t>11.</w:t>
            </w:r>
            <w:r w:rsidRPr="00D403F5">
              <w:rPr>
                <w:rFonts w:ascii="Times New Roman" w:hAnsi="Times New Roman" w:cs="Times New Roman"/>
                <w:color w:val="4472C4"/>
                <w:sz w:val="18"/>
                <w:szCs w:val="18"/>
              </w:rPr>
              <w:tab/>
              <w:t>When should the starting time point be for surveillance – e.g. commencement of sampling or at the conclusion of sampling for the first survey with negative results?</w:t>
            </w:r>
          </w:p>
        </w:tc>
      </w:tr>
      <w:tr w:rsidR="00C7266C" w:rsidRPr="00D403F5" w14:paraId="38E98584" w14:textId="77777777" w:rsidTr="00C7266C">
        <w:tc>
          <w:tcPr>
            <w:tcW w:w="8646" w:type="dxa"/>
            <w:shd w:val="clear" w:color="auto" w:fill="auto"/>
          </w:tcPr>
          <w:p w14:paraId="2352C202"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12.</w:t>
            </w:r>
            <w:r w:rsidRPr="00D403F5">
              <w:rPr>
                <w:rFonts w:ascii="Times New Roman" w:hAnsi="Times New Roman" w:cs="Times New Roman"/>
                <w:color w:val="4472C4"/>
                <w:sz w:val="18"/>
                <w:szCs w:val="18"/>
              </w:rPr>
              <w:tab/>
              <w:t xml:space="preserve">Should Chapter 1.4. provide clearer guidance on establishing </w:t>
            </w:r>
            <w:r w:rsidRPr="00D403F5">
              <w:rPr>
                <w:rFonts w:ascii="Times New Roman" w:hAnsi="Times New Roman" w:cs="Times New Roman"/>
                <w:i/>
                <w:color w:val="4472C4"/>
                <w:sz w:val="18"/>
                <w:szCs w:val="18"/>
              </w:rPr>
              <w:t>infected</w:t>
            </w:r>
            <w:r w:rsidRPr="00D403F5">
              <w:rPr>
                <w:rFonts w:ascii="Times New Roman" w:hAnsi="Times New Roman" w:cs="Times New Roman"/>
                <w:color w:val="4472C4"/>
                <w:sz w:val="18"/>
                <w:szCs w:val="18"/>
              </w:rPr>
              <w:t xml:space="preserve"> and </w:t>
            </w:r>
            <w:r w:rsidRPr="00D403F5">
              <w:rPr>
                <w:rFonts w:ascii="Times New Roman" w:hAnsi="Times New Roman" w:cs="Times New Roman"/>
                <w:i/>
                <w:color w:val="4472C4"/>
                <w:sz w:val="18"/>
                <w:szCs w:val="18"/>
              </w:rPr>
              <w:t>protection zones</w:t>
            </w:r>
            <w:r w:rsidRPr="00D403F5">
              <w:rPr>
                <w:rFonts w:ascii="Times New Roman" w:hAnsi="Times New Roman" w:cs="Times New Roman"/>
                <w:color w:val="4472C4"/>
                <w:sz w:val="18"/>
                <w:szCs w:val="18"/>
              </w:rPr>
              <w:t xml:space="preserve"> (perhaps in the proposed new chapter on emergency response) and sampling within them (for farmed and wild animals)? </w:t>
            </w:r>
          </w:p>
        </w:tc>
      </w:tr>
      <w:tr w:rsidR="00C7266C" w:rsidRPr="00D403F5" w14:paraId="20B25932" w14:textId="77777777" w:rsidTr="00C7266C">
        <w:tc>
          <w:tcPr>
            <w:tcW w:w="8646" w:type="dxa"/>
            <w:shd w:val="clear" w:color="auto" w:fill="B4C6E7"/>
          </w:tcPr>
          <w:p w14:paraId="71B3FB08" w14:textId="77777777" w:rsidR="00C7266C" w:rsidRPr="00D403F5" w:rsidRDefault="00C7266C" w:rsidP="00D403F5">
            <w:pPr>
              <w:spacing w:after="0"/>
              <w:jc w:val="both"/>
              <w:rPr>
                <w:rFonts w:ascii="Times New Roman" w:hAnsi="Times New Roman" w:cs="Times New Roman"/>
                <w:sz w:val="18"/>
                <w:szCs w:val="18"/>
              </w:rPr>
            </w:pPr>
            <w:r w:rsidRPr="00D403F5">
              <w:rPr>
                <w:rFonts w:ascii="Times New Roman" w:hAnsi="Times New Roman" w:cs="Times New Roman"/>
                <w:sz w:val="18"/>
                <w:szCs w:val="18"/>
              </w:rPr>
              <w:t>Section 4. Maintaining freedom</w:t>
            </w:r>
          </w:p>
        </w:tc>
      </w:tr>
      <w:tr w:rsidR="00C7266C" w:rsidRPr="00D403F5" w14:paraId="307B07DF" w14:textId="77777777" w:rsidTr="00C7266C">
        <w:tc>
          <w:tcPr>
            <w:tcW w:w="8646" w:type="dxa"/>
            <w:shd w:val="clear" w:color="auto" w:fill="auto"/>
          </w:tcPr>
          <w:p w14:paraId="75148D3B"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13.</w:t>
            </w:r>
            <w:r w:rsidRPr="00D403F5">
              <w:rPr>
                <w:rFonts w:ascii="Times New Roman" w:hAnsi="Times New Roman" w:cs="Times New Roman"/>
                <w:color w:val="4472C4"/>
                <w:sz w:val="18"/>
                <w:szCs w:val="18"/>
              </w:rPr>
              <w:tab/>
              <w:t>Do Member Countries require additional guidance on what constitute ‘conditions conducive to clinical expression’?</w:t>
            </w:r>
          </w:p>
        </w:tc>
      </w:tr>
      <w:tr w:rsidR="00C7266C" w:rsidRPr="00D403F5" w14:paraId="742B8EA5" w14:textId="77777777" w:rsidTr="00C7266C">
        <w:tc>
          <w:tcPr>
            <w:tcW w:w="8646" w:type="dxa"/>
            <w:shd w:val="clear" w:color="auto" w:fill="auto"/>
          </w:tcPr>
          <w:p w14:paraId="7AE9BE04"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14.</w:t>
            </w:r>
            <w:r w:rsidRPr="00D403F5">
              <w:rPr>
                <w:rFonts w:ascii="Times New Roman" w:hAnsi="Times New Roman" w:cs="Times New Roman"/>
                <w:color w:val="4472C4"/>
                <w:sz w:val="18"/>
                <w:szCs w:val="18"/>
              </w:rPr>
              <w:tab/>
              <w:t>Do Member Countries require additional guidance on how to evaluate or test their ‘early detection system’?</w:t>
            </w:r>
          </w:p>
        </w:tc>
      </w:tr>
      <w:tr w:rsidR="00C7266C" w:rsidRPr="00D403F5" w14:paraId="5EDC0AAC" w14:textId="77777777" w:rsidTr="00C7266C">
        <w:tc>
          <w:tcPr>
            <w:tcW w:w="8646" w:type="dxa"/>
            <w:shd w:val="clear" w:color="auto" w:fill="B4C6E7"/>
          </w:tcPr>
          <w:p w14:paraId="460C3F0F" w14:textId="77777777" w:rsidR="00C7266C" w:rsidRPr="00D403F5" w:rsidRDefault="00C7266C" w:rsidP="00D403F5">
            <w:pPr>
              <w:spacing w:after="0"/>
              <w:jc w:val="both"/>
              <w:rPr>
                <w:rFonts w:ascii="Times New Roman" w:hAnsi="Times New Roman" w:cs="Times New Roman"/>
                <w:sz w:val="18"/>
                <w:szCs w:val="18"/>
              </w:rPr>
            </w:pPr>
            <w:r w:rsidRPr="00D403F5">
              <w:rPr>
                <w:rFonts w:ascii="Times New Roman" w:hAnsi="Times New Roman" w:cs="Times New Roman"/>
                <w:sz w:val="18"/>
                <w:szCs w:val="18"/>
              </w:rPr>
              <w:t xml:space="preserve">Section 6. Requirements for making a self-declaration of freedom </w:t>
            </w:r>
          </w:p>
        </w:tc>
      </w:tr>
      <w:tr w:rsidR="00C7266C" w:rsidRPr="00D403F5" w14:paraId="1BD5AFFC" w14:textId="77777777" w:rsidTr="00C7266C">
        <w:tc>
          <w:tcPr>
            <w:tcW w:w="8646" w:type="dxa"/>
            <w:shd w:val="clear" w:color="auto" w:fill="auto"/>
          </w:tcPr>
          <w:p w14:paraId="3A925BBA" w14:textId="77777777" w:rsidR="00C7266C" w:rsidRPr="00D403F5" w:rsidRDefault="00C7266C" w:rsidP="00D403F5">
            <w:pPr>
              <w:spacing w:after="0"/>
              <w:ind w:left="432" w:hanging="432"/>
              <w:jc w:val="both"/>
              <w:rPr>
                <w:rFonts w:ascii="Times New Roman" w:hAnsi="Times New Roman" w:cs="Times New Roman"/>
                <w:color w:val="4472C4"/>
                <w:sz w:val="18"/>
                <w:szCs w:val="18"/>
              </w:rPr>
            </w:pPr>
            <w:r w:rsidRPr="00D403F5">
              <w:rPr>
                <w:rFonts w:ascii="Times New Roman" w:hAnsi="Times New Roman" w:cs="Times New Roman"/>
                <w:color w:val="4472C4"/>
                <w:sz w:val="18"/>
                <w:szCs w:val="18"/>
              </w:rPr>
              <w:t>15.</w:t>
            </w:r>
            <w:r w:rsidRPr="00D403F5">
              <w:rPr>
                <w:rFonts w:ascii="Times New Roman" w:hAnsi="Times New Roman" w:cs="Times New Roman"/>
                <w:color w:val="4472C4"/>
                <w:sz w:val="18"/>
                <w:szCs w:val="18"/>
              </w:rPr>
              <w:tab/>
              <w:t xml:space="preserve">Is the OIE procedure for the publication of a self-declaration of freedom sufficient guidance for Member Countries for making self-declarations of freedom? If not, should a separate chapter be provided within the </w:t>
            </w:r>
            <w:r w:rsidRPr="00D403F5">
              <w:rPr>
                <w:rFonts w:ascii="Times New Roman" w:hAnsi="Times New Roman" w:cs="Times New Roman"/>
                <w:i/>
                <w:color w:val="4472C4"/>
                <w:sz w:val="18"/>
                <w:szCs w:val="18"/>
              </w:rPr>
              <w:t>Aquatic Code</w:t>
            </w:r>
            <w:r w:rsidRPr="00D403F5">
              <w:rPr>
                <w:rFonts w:ascii="Times New Roman" w:hAnsi="Times New Roman" w:cs="Times New Roman"/>
                <w:color w:val="4472C4"/>
                <w:sz w:val="18"/>
                <w:szCs w:val="18"/>
              </w:rPr>
              <w:t>?</w:t>
            </w:r>
          </w:p>
        </w:tc>
      </w:tr>
      <w:bookmarkEnd w:id="58"/>
    </w:tbl>
    <w:p w14:paraId="6FCD1FF9" w14:textId="77777777" w:rsidR="00C7266C" w:rsidRPr="00D403F5" w:rsidRDefault="00C7266C" w:rsidP="00D403F5">
      <w:pPr>
        <w:spacing w:after="0"/>
        <w:jc w:val="right"/>
        <w:rPr>
          <w:sz w:val="18"/>
          <w:szCs w:val="18"/>
          <w:u w:val="single"/>
        </w:rPr>
      </w:pPr>
      <w:r w:rsidRPr="00D403F5">
        <w:rPr>
          <w:b/>
          <w:caps/>
          <w:sz w:val="18"/>
          <w:szCs w:val="18"/>
        </w:rPr>
        <w:br w:type="page"/>
      </w:r>
    </w:p>
    <w:p w14:paraId="1EA635B2" w14:textId="77777777" w:rsidR="0076436B" w:rsidRDefault="0076436B" w:rsidP="00910ED6">
      <w:pPr>
        <w:spacing w:after="480"/>
        <w:jc w:val="right"/>
        <w:rPr>
          <w:rFonts w:ascii="Times New Roman" w:hAnsi="Times New Roman" w:cs="Times New Roman"/>
          <w:sz w:val="18"/>
          <w:szCs w:val="18"/>
          <w:u w:val="single"/>
        </w:rPr>
        <w:sectPr w:rsidR="0076436B" w:rsidSect="000E0A30">
          <w:headerReference w:type="even" r:id="rId70"/>
          <w:headerReference w:type="default" r:id="rId71"/>
          <w:footerReference w:type="even" r:id="rId72"/>
          <w:footerReference w:type="default" r:id="rId73"/>
          <w:headerReference w:type="first" r:id="rId74"/>
          <w:footerReference w:type="first" r:id="rId75"/>
          <w:type w:val="oddPage"/>
          <w:pgSz w:w="11906" w:h="16838" w:code="9"/>
          <w:pgMar w:top="1418" w:right="1418" w:bottom="1418" w:left="1418" w:header="709" w:footer="709" w:gutter="0"/>
          <w:cols w:space="708"/>
          <w:vAlign w:val="both"/>
          <w:docGrid w:linePitch="360"/>
        </w:sectPr>
      </w:pPr>
    </w:p>
    <w:p w14:paraId="2B5093F6" w14:textId="5641354A" w:rsidR="00C7266C" w:rsidRPr="00D403F5" w:rsidRDefault="00C7266C" w:rsidP="00910ED6">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4D490BA0" w14:textId="77777777" w:rsidR="00C7266C" w:rsidRPr="00D403F5" w:rsidRDefault="00C7266C" w:rsidP="00910ED6">
      <w:pPr>
        <w:spacing w:after="480"/>
        <w:jc w:val="right"/>
        <w:rPr>
          <w:rFonts w:ascii="Times New Roman" w:hAnsi="Times New Roman" w:cs="Times New Roman"/>
          <w:caps/>
          <w:sz w:val="18"/>
          <w:szCs w:val="18"/>
        </w:rPr>
      </w:pPr>
      <w:r w:rsidRPr="00D403F5">
        <w:rPr>
          <w:rFonts w:ascii="Times New Roman" w:hAnsi="Times New Roman" w:cs="Times New Roman"/>
          <w:b/>
          <w:caps/>
          <w:sz w:val="18"/>
          <w:szCs w:val="18"/>
        </w:rPr>
        <w:t>Appendix 2.</w:t>
      </w:r>
      <w:r w:rsidRPr="00D403F5">
        <w:rPr>
          <w:rFonts w:ascii="Times New Roman" w:hAnsi="Times New Roman" w:cs="Times New Roman"/>
          <w:caps/>
          <w:sz w:val="18"/>
          <w:szCs w:val="18"/>
        </w:rPr>
        <w:t xml:space="preserve"> </w:t>
      </w:r>
    </w:p>
    <w:p w14:paraId="064FC901" w14:textId="77777777" w:rsidR="00C7266C" w:rsidRPr="00D403F5" w:rsidRDefault="00C7266C" w:rsidP="00D403F5">
      <w:pPr>
        <w:spacing w:after="0"/>
        <w:jc w:val="center"/>
        <w:rPr>
          <w:rFonts w:ascii="Times New Roman" w:hAnsi="Times New Roman" w:cs="Times New Roman"/>
          <w:b/>
          <w:caps/>
          <w:sz w:val="18"/>
          <w:szCs w:val="18"/>
        </w:rPr>
      </w:pPr>
      <w:r w:rsidRPr="00D403F5">
        <w:rPr>
          <w:rFonts w:ascii="Times New Roman" w:hAnsi="Times New Roman" w:cs="Times New Roman"/>
          <w:b/>
          <w:caps/>
          <w:sz w:val="18"/>
          <w:szCs w:val="18"/>
        </w:rPr>
        <w:t>Example of articles for claiming freedom</w:t>
      </w:r>
      <w:r w:rsidRPr="00D403F5">
        <w:rPr>
          <w:rFonts w:ascii="Times New Roman" w:hAnsi="Times New Roman" w:cs="Times New Roman"/>
          <w:b/>
          <w:caps/>
          <w:sz w:val="18"/>
          <w:szCs w:val="18"/>
        </w:rPr>
        <w:br/>
        <w:t xml:space="preserve">(Crayfish Plague, extracted from 2017 </w:t>
      </w:r>
      <w:r w:rsidRPr="00D403F5">
        <w:rPr>
          <w:rFonts w:ascii="Times New Roman" w:hAnsi="Times New Roman" w:cs="Times New Roman"/>
          <w:b/>
          <w:i/>
          <w:caps/>
          <w:sz w:val="18"/>
          <w:szCs w:val="18"/>
        </w:rPr>
        <w:t>Aquatic Code</w:t>
      </w:r>
      <w:r w:rsidRPr="00D403F5">
        <w:rPr>
          <w:rFonts w:ascii="Times New Roman" w:hAnsi="Times New Roman" w:cs="Times New Roman"/>
          <w:b/>
          <w:caps/>
          <w:sz w:val="18"/>
          <w:szCs w:val="18"/>
        </w:rPr>
        <w:t>)</w:t>
      </w:r>
    </w:p>
    <w:p w14:paraId="3DDED09A" w14:textId="77777777" w:rsidR="00C7266C" w:rsidRPr="00D403F5" w:rsidRDefault="00C7266C" w:rsidP="00D403F5">
      <w:pPr>
        <w:autoSpaceDE w:val="0"/>
        <w:autoSpaceDN w:val="0"/>
        <w:adjustRightInd w:val="0"/>
        <w:spacing w:after="0" w:line="240" w:lineRule="auto"/>
        <w:jc w:val="center"/>
        <w:rPr>
          <w:rFonts w:ascii="Ottawa" w:hAnsi="Ottawa"/>
          <w:sz w:val="18"/>
          <w:szCs w:val="18"/>
        </w:rPr>
      </w:pPr>
      <w:r w:rsidRPr="00D403F5">
        <w:rPr>
          <w:rFonts w:ascii="Ottawa" w:hAnsi="Ottawa"/>
          <w:sz w:val="18"/>
          <w:szCs w:val="18"/>
        </w:rPr>
        <w:t>Article 9.1.4.</w:t>
      </w:r>
    </w:p>
    <w:p w14:paraId="27F5885A" w14:textId="77777777" w:rsidR="00C7266C" w:rsidRPr="00D403F5" w:rsidRDefault="00C7266C" w:rsidP="00D403F5">
      <w:pPr>
        <w:autoSpaceDE w:val="0"/>
        <w:autoSpaceDN w:val="0"/>
        <w:adjustRightInd w:val="0"/>
        <w:spacing w:after="0" w:line="240" w:lineRule="auto"/>
        <w:jc w:val="both"/>
        <w:rPr>
          <w:rFonts w:ascii="Ottawa" w:hAnsi="Ottawa"/>
          <w:b/>
          <w:bCs/>
          <w:sz w:val="18"/>
          <w:szCs w:val="18"/>
        </w:rPr>
      </w:pPr>
      <w:r w:rsidRPr="00D403F5">
        <w:rPr>
          <w:rFonts w:ascii="Ottawa" w:hAnsi="Ottawa"/>
          <w:b/>
          <w:bCs/>
          <w:sz w:val="18"/>
          <w:szCs w:val="18"/>
        </w:rPr>
        <w:t>Country free from crayfish plague</w:t>
      </w:r>
    </w:p>
    <w:p w14:paraId="117CA776" w14:textId="77777777" w:rsidR="00C7266C" w:rsidRPr="00D403F5" w:rsidRDefault="00C7266C" w:rsidP="00D403F5">
      <w:pPr>
        <w:autoSpaceDE w:val="0"/>
        <w:autoSpaceDN w:val="0"/>
        <w:adjustRightInd w:val="0"/>
        <w:spacing w:after="0" w:line="240" w:lineRule="auto"/>
        <w:jc w:val="both"/>
        <w:rPr>
          <w:rFonts w:ascii="Arial" w:hAnsi="Arial" w:cs="Arial"/>
          <w:sz w:val="18"/>
          <w:szCs w:val="18"/>
        </w:rPr>
      </w:pPr>
      <w:r w:rsidRPr="00D403F5">
        <w:rPr>
          <w:rFonts w:ascii="Arial" w:hAnsi="Arial" w:cs="Arial"/>
          <w:sz w:val="18"/>
          <w:szCs w:val="18"/>
        </w:rPr>
        <w:t xml:space="preserve">If a country shares a </w:t>
      </w:r>
      <w:r w:rsidRPr="00D403F5">
        <w:rPr>
          <w:rFonts w:ascii="Arial" w:hAnsi="Arial" w:cs="Arial"/>
          <w:i/>
          <w:iCs/>
          <w:sz w:val="18"/>
          <w:szCs w:val="18"/>
        </w:rPr>
        <w:t xml:space="preserve">zone </w:t>
      </w:r>
      <w:r w:rsidRPr="00D403F5">
        <w:rPr>
          <w:rFonts w:ascii="Arial" w:hAnsi="Arial" w:cs="Arial"/>
          <w:sz w:val="18"/>
          <w:szCs w:val="18"/>
        </w:rPr>
        <w:t xml:space="preserve">with one or more other countries, it can only make a </w:t>
      </w:r>
      <w:r w:rsidRPr="00D403F5">
        <w:rPr>
          <w:rFonts w:ascii="Arial" w:hAnsi="Arial" w:cs="Arial"/>
          <w:i/>
          <w:iCs/>
          <w:sz w:val="18"/>
          <w:szCs w:val="18"/>
        </w:rPr>
        <w:t xml:space="preserve">self-declaration of freedom </w:t>
      </w:r>
      <w:r w:rsidRPr="00D403F5">
        <w:rPr>
          <w:rFonts w:ascii="Arial" w:hAnsi="Arial" w:cs="Arial"/>
          <w:sz w:val="18"/>
          <w:szCs w:val="18"/>
        </w:rPr>
        <w:t xml:space="preserve">from crayfish plague if all the areas covered by the shared water bodies are declared countries or </w:t>
      </w:r>
      <w:r w:rsidRPr="00D403F5">
        <w:rPr>
          <w:rFonts w:ascii="Arial" w:hAnsi="Arial" w:cs="Arial"/>
          <w:i/>
          <w:iCs/>
          <w:sz w:val="18"/>
          <w:szCs w:val="18"/>
        </w:rPr>
        <w:t xml:space="preserve">zones </w:t>
      </w:r>
      <w:r w:rsidRPr="00D403F5">
        <w:rPr>
          <w:rFonts w:ascii="Arial" w:hAnsi="Arial" w:cs="Arial"/>
          <w:sz w:val="18"/>
          <w:szCs w:val="18"/>
        </w:rPr>
        <w:t>free from crayfish plague (see Article 9.1.5.).</w:t>
      </w:r>
    </w:p>
    <w:p w14:paraId="76310745" w14:textId="77777777" w:rsidR="00C7266C" w:rsidRPr="00D403F5" w:rsidRDefault="00C7266C" w:rsidP="00D403F5">
      <w:pPr>
        <w:autoSpaceDE w:val="0"/>
        <w:autoSpaceDN w:val="0"/>
        <w:adjustRightInd w:val="0"/>
        <w:spacing w:after="0" w:line="240" w:lineRule="auto"/>
        <w:jc w:val="both"/>
        <w:rPr>
          <w:rFonts w:ascii="Arial" w:hAnsi="Arial" w:cs="Arial"/>
          <w:sz w:val="18"/>
          <w:szCs w:val="18"/>
        </w:rPr>
      </w:pPr>
      <w:r w:rsidRPr="00D403F5">
        <w:rPr>
          <w:rFonts w:ascii="Arial" w:hAnsi="Arial" w:cs="Arial"/>
          <w:sz w:val="18"/>
          <w:szCs w:val="18"/>
        </w:rPr>
        <w:t xml:space="preserve">As described in Article 1.4.6., a country may make a </w:t>
      </w:r>
      <w:r w:rsidRPr="00D403F5">
        <w:rPr>
          <w:rFonts w:ascii="Arial" w:hAnsi="Arial" w:cs="Arial"/>
          <w:i/>
          <w:iCs/>
          <w:sz w:val="18"/>
          <w:szCs w:val="18"/>
        </w:rPr>
        <w:t xml:space="preserve">self-declaration of freedom </w:t>
      </w:r>
      <w:r w:rsidRPr="00D403F5">
        <w:rPr>
          <w:rFonts w:ascii="Arial" w:hAnsi="Arial" w:cs="Arial"/>
          <w:sz w:val="18"/>
          <w:szCs w:val="18"/>
        </w:rPr>
        <w:t>from crayfish plague if:</w:t>
      </w:r>
    </w:p>
    <w:p w14:paraId="51F0E51D" w14:textId="77777777" w:rsidR="00C7266C" w:rsidRPr="00D403F5" w:rsidRDefault="00C7266C" w:rsidP="00D403F5">
      <w:pPr>
        <w:autoSpaceDE w:val="0"/>
        <w:autoSpaceDN w:val="0"/>
        <w:adjustRightInd w:val="0"/>
        <w:spacing w:after="0" w:line="240" w:lineRule="auto"/>
        <w:ind w:left="426" w:hanging="426"/>
        <w:jc w:val="both"/>
        <w:rPr>
          <w:rFonts w:ascii="Arial" w:hAnsi="Arial" w:cs="Arial"/>
          <w:sz w:val="18"/>
          <w:szCs w:val="18"/>
        </w:rPr>
      </w:pPr>
      <w:r w:rsidRPr="00D403F5">
        <w:rPr>
          <w:rFonts w:ascii="Arial" w:hAnsi="Arial" w:cs="Arial"/>
          <w:sz w:val="18"/>
          <w:szCs w:val="18"/>
        </w:rPr>
        <w:t>1)</w:t>
      </w:r>
      <w:r w:rsidRPr="00D403F5">
        <w:rPr>
          <w:rFonts w:ascii="Arial" w:hAnsi="Arial" w:cs="Arial"/>
          <w:sz w:val="18"/>
          <w:szCs w:val="18"/>
        </w:rPr>
        <w:tab/>
        <w:t xml:space="preserve">none of the </w:t>
      </w:r>
      <w:r w:rsidRPr="00D403F5">
        <w:rPr>
          <w:rFonts w:ascii="Arial" w:hAnsi="Arial" w:cs="Arial"/>
          <w:i/>
          <w:iCs/>
          <w:sz w:val="18"/>
          <w:szCs w:val="18"/>
        </w:rPr>
        <w:t xml:space="preserve">susceptible species </w:t>
      </w:r>
      <w:r w:rsidRPr="00D403F5">
        <w:rPr>
          <w:rFonts w:ascii="Arial" w:hAnsi="Arial" w:cs="Arial"/>
          <w:sz w:val="18"/>
          <w:szCs w:val="18"/>
        </w:rPr>
        <w:t xml:space="preserve">referred to in Article 9.1.2. are present and </w:t>
      </w:r>
      <w:r w:rsidRPr="00D403F5">
        <w:rPr>
          <w:rFonts w:ascii="Arial" w:hAnsi="Arial" w:cs="Arial"/>
          <w:i/>
          <w:iCs/>
          <w:sz w:val="18"/>
          <w:szCs w:val="18"/>
        </w:rPr>
        <w:t xml:space="preserve">basic biosecurity conditions </w:t>
      </w:r>
      <w:r w:rsidRPr="00D403F5">
        <w:rPr>
          <w:rFonts w:ascii="Arial" w:hAnsi="Arial" w:cs="Arial"/>
          <w:sz w:val="18"/>
          <w:szCs w:val="18"/>
        </w:rPr>
        <w:t xml:space="preserve">have been continuously met for at least the last </w:t>
      </w:r>
      <w:r w:rsidRPr="00D403F5">
        <w:rPr>
          <w:rFonts w:ascii="Arial" w:hAnsi="Arial" w:cs="Arial"/>
          <w:sz w:val="18"/>
          <w:szCs w:val="18"/>
          <w:highlight w:val="yellow"/>
        </w:rPr>
        <w:t>two years</w:t>
      </w:r>
      <w:r w:rsidRPr="00D403F5">
        <w:rPr>
          <w:rFonts w:ascii="Arial" w:hAnsi="Arial" w:cs="Arial"/>
          <w:sz w:val="18"/>
          <w:szCs w:val="18"/>
        </w:rPr>
        <w:t>;</w:t>
      </w:r>
    </w:p>
    <w:p w14:paraId="21927DE7" w14:textId="77777777" w:rsidR="00C7266C" w:rsidRPr="00D403F5" w:rsidRDefault="00C7266C" w:rsidP="00D403F5">
      <w:pPr>
        <w:autoSpaceDE w:val="0"/>
        <w:autoSpaceDN w:val="0"/>
        <w:adjustRightInd w:val="0"/>
        <w:spacing w:after="0" w:line="240" w:lineRule="auto"/>
        <w:jc w:val="both"/>
        <w:rPr>
          <w:rFonts w:ascii="Arial" w:hAnsi="Arial" w:cs="Arial"/>
          <w:sz w:val="18"/>
          <w:szCs w:val="18"/>
        </w:rPr>
      </w:pPr>
      <w:r w:rsidRPr="00D403F5">
        <w:rPr>
          <w:rFonts w:ascii="Arial" w:hAnsi="Arial" w:cs="Arial"/>
          <w:sz w:val="18"/>
          <w:szCs w:val="18"/>
        </w:rPr>
        <w:t>OR</w:t>
      </w:r>
    </w:p>
    <w:p w14:paraId="0BF4BDC5" w14:textId="77777777" w:rsidR="00C7266C" w:rsidRPr="00D403F5" w:rsidRDefault="00C7266C" w:rsidP="00D403F5">
      <w:pPr>
        <w:autoSpaceDE w:val="0"/>
        <w:autoSpaceDN w:val="0"/>
        <w:adjustRightInd w:val="0"/>
        <w:spacing w:after="0" w:line="240" w:lineRule="auto"/>
        <w:ind w:left="426" w:hanging="426"/>
        <w:jc w:val="both"/>
        <w:rPr>
          <w:rFonts w:ascii="Arial" w:hAnsi="Arial" w:cs="Arial"/>
          <w:sz w:val="18"/>
          <w:szCs w:val="18"/>
        </w:rPr>
      </w:pPr>
      <w:r w:rsidRPr="00D403F5">
        <w:rPr>
          <w:rFonts w:ascii="Arial" w:hAnsi="Arial" w:cs="Arial"/>
          <w:sz w:val="18"/>
          <w:szCs w:val="18"/>
        </w:rPr>
        <w:t>2)</w:t>
      </w:r>
      <w:r w:rsidRPr="00D403F5">
        <w:rPr>
          <w:rFonts w:ascii="Arial" w:hAnsi="Arial" w:cs="Arial"/>
          <w:sz w:val="18"/>
          <w:szCs w:val="18"/>
        </w:rPr>
        <w:tab/>
        <w:t xml:space="preserve">any of the </w:t>
      </w:r>
      <w:r w:rsidRPr="00D403F5">
        <w:rPr>
          <w:rFonts w:ascii="Arial" w:hAnsi="Arial" w:cs="Arial"/>
          <w:i/>
          <w:iCs/>
          <w:sz w:val="18"/>
          <w:szCs w:val="18"/>
        </w:rPr>
        <w:t xml:space="preserve">susceptible species </w:t>
      </w:r>
      <w:r w:rsidRPr="00D403F5">
        <w:rPr>
          <w:rFonts w:ascii="Arial" w:hAnsi="Arial" w:cs="Arial"/>
          <w:sz w:val="18"/>
          <w:szCs w:val="18"/>
        </w:rPr>
        <w:t>referred to in Article 9.1.2. are present and the following conditions have been met:</w:t>
      </w:r>
    </w:p>
    <w:p w14:paraId="4720E08B"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a)</w:t>
      </w:r>
      <w:r w:rsidRPr="00D403F5">
        <w:rPr>
          <w:rFonts w:ascii="Arial" w:hAnsi="Arial" w:cs="Arial"/>
          <w:i/>
          <w:iCs/>
          <w:sz w:val="18"/>
          <w:szCs w:val="18"/>
        </w:rPr>
        <w:tab/>
      </w:r>
      <w:r w:rsidRPr="00D403F5">
        <w:rPr>
          <w:rFonts w:ascii="Arial" w:hAnsi="Arial" w:cs="Arial"/>
          <w:sz w:val="18"/>
          <w:szCs w:val="18"/>
        </w:rPr>
        <w:t xml:space="preserve">there has been no observed occurrence of the </w:t>
      </w:r>
      <w:r w:rsidRPr="00D403F5">
        <w:rPr>
          <w:rFonts w:ascii="Arial" w:hAnsi="Arial" w:cs="Arial"/>
          <w:i/>
          <w:iCs/>
          <w:sz w:val="18"/>
          <w:szCs w:val="18"/>
        </w:rPr>
        <w:t xml:space="preserve">disease </w:t>
      </w:r>
      <w:r w:rsidRPr="00D403F5">
        <w:rPr>
          <w:rFonts w:ascii="Arial" w:hAnsi="Arial" w:cs="Arial"/>
          <w:sz w:val="18"/>
          <w:szCs w:val="18"/>
        </w:rPr>
        <w:t xml:space="preserve">for at least the last </w:t>
      </w:r>
      <w:r w:rsidRPr="00D403F5">
        <w:rPr>
          <w:rFonts w:ascii="Arial" w:hAnsi="Arial" w:cs="Arial"/>
          <w:sz w:val="18"/>
          <w:szCs w:val="18"/>
          <w:highlight w:val="yellow"/>
        </w:rPr>
        <w:t>25 years</w:t>
      </w:r>
      <w:r w:rsidRPr="00D403F5">
        <w:rPr>
          <w:rFonts w:ascii="Arial" w:hAnsi="Arial" w:cs="Arial"/>
          <w:sz w:val="18"/>
          <w:szCs w:val="18"/>
        </w:rPr>
        <w:t xml:space="preserve"> despite conditions that are conducive to its clinical expression (as described in the corresponding chapter of the </w:t>
      </w:r>
      <w:r w:rsidRPr="00D403F5">
        <w:rPr>
          <w:rFonts w:ascii="Arial" w:hAnsi="Arial" w:cs="Arial"/>
          <w:i/>
          <w:iCs/>
          <w:sz w:val="18"/>
          <w:szCs w:val="18"/>
        </w:rPr>
        <w:t>Aquatic Manual</w:t>
      </w:r>
      <w:r w:rsidRPr="00D403F5">
        <w:rPr>
          <w:rFonts w:ascii="Arial" w:hAnsi="Arial" w:cs="Arial"/>
          <w:sz w:val="18"/>
          <w:szCs w:val="18"/>
        </w:rPr>
        <w:t>); and</w:t>
      </w:r>
    </w:p>
    <w:p w14:paraId="53531441"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b)</w:t>
      </w:r>
      <w:r w:rsidRPr="00D403F5">
        <w:rPr>
          <w:rFonts w:ascii="Arial" w:hAnsi="Arial" w:cs="Arial"/>
          <w:i/>
          <w:iCs/>
          <w:sz w:val="18"/>
          <w:szCs w:val="18"/>
        </w:rPr>
        <w:tab/>
        <w:t xml:space="preserve">basic biosecurity conditions </w:t>
      </w:r>
      <w:r w:rsidRPr="00D403F5">
        <w:rPr>
          <w:rFonts w:ascii="Arial" w:hAnsi="Arial" w:cs="Arial"/>
          <w:sz w:val="18"/>
          <w:szCs w:val="18"/>
        </w:rPr>
        <w:t xml:space="preserve">have been continuously met for at least the last </w:t>
      </w:r>
      <w:r w:rsidRPr="00D403F5">
        <w:rPr>
          <w:rFonts w:ascii="Arial" w:hAnsi="Arial" w:cs="Arial"/>
          <w:sz w:val="18"/>
          <w:szCs w:val="18"/>
          <w:highlight w:val="yellow"/>
        </w:rPr>
        <w:t>10 years</w:t>
      </w:r>
      <w:r w:rsidRPr="00D403F5">
        <w:rPr>
          <w:rFonts w:ascii="Arial" w:hAnsi="Arial" w:cs="Arial"/>
          <w:sz w:val="18"/>
          <w:szCs w:val="18"/>
        </w:rPr>
        <w:t>;</w:t>
      </w:r>
    </w:p>
    <w:p w14:paraId="353CE0B3" w14:textId="77777777" w:rsidR="00C7266C" w:rsidRPr="00D403F5" w:rsidRDefault="00C7266C" w:rsidP="00D403F5">
      <w:pPr>
        <w:autoSpaceDE w:val="0"/>
        <w:autoSpaceDN w:val="0"/>
        <w:adjustRightInd w:val="0"/>
        <w:spacing w:after="0" w:line="240" w:lineRule="auto"/>
        <w:jc w:val="both"/>
        <w:rPr>
          <w:rFonts w:ascii="Arial" w:hAnsi="Arial" w:cs="Arial"/>
          <w:sz w:val="18"/>
          <w:szCs w:val="18"/>
        </w:rPr>
      </w:pPr>
      <w:r w:rsidRPr="00D403F5">
        <w:rPr>
          <w:rFonts w:ascii="Arial" w:hAnsi="Arial" w:cs="Arial"/>
          <w:sz w:val="18"/>
          <w:szCs w:val="18"/>
        </w:rPr>
        <w:t>OR</w:t>
      </w:r>
    </w:p>
    <w:p w14:paraId="7B84F9C2" w14:textId="77777777" w:rsidR="00C7266C" w:rsidRPr="00D403F5" w:rsidRDefault="00C7266C" w:rsidP="00D403F5">
      <w:pPr>
        <w:autoSpaceDE w:val="0"/>
        <w:autoSpaceDN w:val="0"/>
        <w:adjustRightInd w:val="0"/>
        <w:spacing w:after="0" w:line="240" w:lineRule="auto"/>
        <w:ind w:left="426" w:hanging="426"/>
        <w:jc w:val="both"/>
        <w:rPr>
          <w:rFonts w:ascii="Arial" w:hAnsi="Arial" w:cs="Arial"/>
          <w:sz w:val="18"/>
          <w:szCs w:val="18"/>
        </w:rPr>
      </w:pPr>
      <w:r w:rsidRPr="00D403F5">
        <w:rPr>
          <w:rFonts w:ascii="Arial" w:hAnsi="Arial" w:cs="Arial"/>
          <w:sz w:val="18"/>
          <w:szCs w:val="18"/>
        </w:rPr>
        <w:t>3)</w:t>
      </w:r>
      <w:r w:rsidRPr="00D403F5">
        <w:rPr>
          <w:rFonts w:ascii="Arial" w:hAnsi="Arial" w:cs="Arial"/>
          <w:sz w:val="18"/>
          <w:szCs w:val="18"/>
        </w:rPr>
        <w:tab/>
        <w:t xml:space="preserve">the disease status prior to </w:t>
      </w:r>
      <w:r w:rsidRPr="00D403F5">
        <w:rPr>
          <w:rFonts w:ascii="Arial" w:hAnsi="Arial" w:cs="Arial"/>
          <w:i/>
          <w:iCs/>
          <w:sz w:val="18"/>
          <w:szCs w:val="18"/>
        </w:rPr>
        <w:t xml:space="preserve">targeted surveillance </w:t>
      </w:r>
      <w:r w:rsidRPr="00D403F5">
        <w:rPr>
          <w:rFonts w:ascii="Arial" w:hAnsi="Arial" w:cs="Arial"/>
          <w:sz w:val="18"/>
          <w:szCs w:val="18"/>
        </w:rPr>
        <w:t>is unknown but the following conditions have been met:</w:t>
      </w:r>
    </w:p>
    <w:p w14:paraId="376E734D"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a)</w:t>
      </w:r>
      <w:r w:rsidRPr="00D403F5">
        <w:rPr>
          <w:rFonts w:ascii="Arial" w:hAnsi="Arial" w:cs="Arial"/>
          <w:i/>
          <w:iCs/>
          <w:sz w:val="18"/>
          <w:szCs w:val="18"/>
        </w:rPr>
        <w:tab/>
      </w:r>
      <w:bookmarkStart w:id="59" w:name="_Hlk507107297"/>
      <w:r w:rsidRPr="00D403F5">
        <w:rPr>
          <w:rFonts w:ascii="Arial" w:hAnsi="Arial" w:cs="Arial"/>
          <w:i/>
          <w:iCs/>
          <w:sz w:val="18"/>
          <w:szCs w:val="18"/>
        </w:rPr>
        <w:t xml:space="preserve">basic biosecurity conditions </w:t>
      </w:r>
      <w:r w:rsidRPr="00D403F5">
        <w:rPr>
          <w:rFonts w:ascii="Arial" w:hAnsi="Arial" w:cs="Arial"/>
          <w:sz w:val="18"/>
          <w:szCs w:val="18"/>
        </w:rPr>
        <w:t xml:space="preserve">have been continuously met for at least the last </w:t>
      </w:r>
      <w:r w:rsidRPr="00D403F5">
        <w:rPr>
          <w:rFonts w:ascii="Arial" w:hAnsi="Arial" w:cs="Arial"/>
          <w:sz w:val="18"/>
          <w:szCs w:val="18"/>
          <w:highlight w:val="yellow"/>
        </w:rPr>
        <w:t>five years</w:t>
      </w:r>
      <w:r w:rsidRPr="00D403F5">
        <w:rPr>
          <w:rFonts w:ascii="Arial" w:hAnsi="Arial" w:cs="Arial"/>
          <w:sz w:val="18"/>
          <w:szCs w:val="18"/>
        </w:rPr>
        <w:t>; and</w:t>
      </w:r>
    </w:p>
    <w:p w14:paraId="234A1323"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b)</w:t>
      </w:r>
      <w:r w:rsidRPr="00D403F5">
        <w:rPr>
          <w:rFonts w:ascii="Arial" w:hAnsi="Arial" w:cs="Arial"/>
          <w:i/>
          <w:iCs/>
          <w:sz w:val="18"/>
          <w:szCs w:val="18"/>
        </w:rPr>
        <w:tab/>
        <w:t>targeted surveillance</w:t>
      </w:r>
      <w:r w:rsidRPr="00D403F5">
        <w:rPr>
          <w:rFonts w:ascii="Arial" w:hAnsi="Arial" w:cs="Arial"/>
          <w:sz w:val="18"/>
          <w:szCs w:val="18"/>
        </w:rPr>
        <w:t xml:space="preserve">, as described in Chapter 1.4., has been in place for at least the last </w:t>
      </w:r>
      <w:r w:rsidRPr="00D403F5">
        <w:rPr>
          <w:rFonts w:ascii="Arial" w:hAnsi="Arial" w:cs="Arial"/>
          <w:sz w:val="18"/>
          <w:szCs w:val="18"/>
          <w:highlight w:val="yellow"/>
        </w:rPr>
        <w:t>five years</w:t>
      </w:r>
      <w:r w:rsidRPr="00D403F5">
        <w:rPr>
          <w:rFonts w:ascii="Arial" w:hAnsi="Arial" w:cs="Arial"/>
          <w:sz w:val="18"/>
          <w:szCs w:val="18"/>
        </w:rPr>
        <w:t xml:space="preserve"> without detection of crayfish plague;</w:t>
      </w:r>
    </w:p>
    <w:bookmarkEnd w:id="59"/>
    <w:p w14:paraId="6BCCE819" w14:textId="77777777" w:rsidR="00C7266C" w:rsidRPr="00D403F5" w:rsidRDefault="00C7266C" w:rsidP="00D403F5">
      <w:pPr>
        <w:autoSpaceDE w:val="0"/>
        <w:autoSpaceDN w:val="0"/>
        <w:adjustRightInd w:val="0"/>
        <w:spacing w:after="0" w:line="240" w:lineRule="auto"/>
        <w:jc w:val="both"/>
        <w:rPr>
          <w:rFonts w:ascii="Arial" w:hAnsi="Arial" w:cs="Arial"/>
          <w:sz w:val="18"/>
          <w:szCs w:val="18"/>
        </w:rPr>
      </w:pPr>
      <w:r w:rsidRPr="00D403F5">
        <w:rPr>
          <w:rFonts w:ascii="Arial" w:hAnsi="Arial" w:cs="Arial"/>
          <w:sz w:val="18"/>
          <w:szCs w:val="18"/>
        </w:rPr>
        <w:t>OR</w:t>
      </w:r>
    </w:p>
    <w:p w14:paraId="2EF104BD" w14:textId="77777777" w:rsidR="00C7266C" w:rsidRPr="00D403F5" w:rsidRDefault="00C7266C" w:rsidP="00D403F5">
      <w:pPr>
        <w:autoSpaceDE w:val="0"/>
        <w:autoSpaceDN w:val="0"/>
        <w:adjustRightInd w:val="0"/>
        <w:spacing w:after="0" w:line="240" w:lineRule="auto"/>
        <w:ind w:left="426" w:hanging="426"/>
        <w:jc w:val="both"/>
        <w:rPr>
          <w:rFonts w:ascii="Arial" w:hAnsi="Arial" w:cs="Arial"/>
          <w:sz w:val="18"/>
          <w:szCs w:val="18"/>
        </w:rPr>
      </w:pPr>
      <w:r w:rsidRPr="00D403F5">
        <w:rPr>
          <w:rFonts w:ascii="Arial" w:hAnsi="Arial" w:cs="Arial"/>
          <w:sz w:val="18"/>
          <w:szCs w:val="18"/>
        </w:rPr>
        <w:t>4)</w:t>
      </w:r>
      <w:r w:rsidRPr="00D403F5">
        <w:rPr>
          <w:rFonts w:ascii="Arial" w:hAnsi="Arial" w:cs="Arial"/>
          <w:sz w:val="18"/>
          <w:szCs w:val="18"/>
        </w:rPr>
        <w:tab/>
        <w:t xml:space="preserve">it previously made a </w:t>
      </w:r>
      <w:r w:rsidRPr="00D403F5">
        <w:rPr>
          <w:rFonts w:ascii="Arial" w:hAnsi="Arial" w:cs="Arial"/>
          <w:i/>
          <w:iCs/>
          <w:sz w:val="18"/>
          <w:szCs w:val="18"/>
        </w:rPr>
        <w:t xml:space="preserve">self-declaration of freedom </w:t>
      </w:r>
      <w:r w:rsidRPr="00D403F5">
        <w:rPr>
          <w:rFonts w:ascii="Arial" w:hAnsi="Arial" w:cs="Arial"/>
          <w:sz w:val="18"/>
          <w:szCs w:val="18"/>
        </w:rPr>
        <w:t xml:space="preserve">from crayfish plague and subsequently lost its </w:t>
      </w:r>
      <w:r w:rsidRPr="00D403F5">
        <w:rPr>
          <w:rFonts w:ascii="Arial" w:hAnsi="Arial" w:cs="Arial"/>
          <w:i/>
          <w:iCs/>
          <w:sz w:val="18"/>
          <w:szCs w:val="18"/>
        </w:rPr>
        <w:t xml:space="preserve">disease </w:t>
      </w:r>
      <w:r w:rsidRPr="00D403F5">
        <w:rPr>
          <w:rFonts w:ascii="Arial" w:hAnsi="Arial" w:cs="Arial"/>
          <w:sz w:val="18"/>
          <w:szCs w:val="18"/>
        </w:rPr>
        <w:t>free status due to the detection of crayfish plague but the following conditions have been met:</w:t>
      </w:r>
    </w:p>
    <w:p w14:paraId="6F4F91A9"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a)</w:t>
      </w:r>
      <w:r w:rsidRPr="00D403F5">
        <w:rPr>
          <w:rFonts w:ascii="Arial" w:hAnsi="Arial" w:cs="Arial"/>
          <w:i/>
          <w:iCs/>
          <w:sz w:val="18"/>
          <w:szCs w:val="18"/>
        </w:rPr>
        <w:tab/>
      </w:r>
      <w:r w:rsidRPr="00D403F5">
        <w:rPr>
          <w:rFonts w:ascii="Arial" w:hAnsi="Arial" w:cs="Arial"/>
          <w:sz w:val="18"/>
          <w:szCs w:val="18"/>
        </w:rPr>
        <w:t xml:space="preserve">on detection of the </w:t>
      </w:r>
      <w:r w:rsidRPr="00D403F5">
        <w:rPr>
          <w:rFonts w:ascii="Arial" w:hAnsi="Arial" w:cs="Arial"/>
          <w:i/>
          <w:iCs/>
          <w:sz w:val="18"/>
          <w:szCs w:val="18"/>
        </w:rPr>
        <w:t>disease</w:t>
      </w:r>
      <w:r w:rsidRPr="00D403F5">
        <w:rPr>
          <w:rFonts w:ascii="Arial" w:hAnsi="Arial" w:cs="Arial"/>
          <w:sz w:val="18"/>
          <w:szCs w:val="18"/>
        </w:rPr>
        <w:t xml:space="preserve">, the affected area was declared an </w:t>
      </w:r>
      <w:r w:rsidRPr="00D403F5">
        <w:rPr>
          <w:rFonts w:ascii="Arial" w:hAnsi="Arial" w:cs="Arial"/>
          <w:i/>
          <w:iCs/>
          <w:sz w:val="18"/>
          <w:szCs w:val="18"/>
        </w:rPr>
        <w:t xml:space="preserve">infected zone </w:t>
      </w:r>
      <w:r w:rsidRPr="00D403F5">
        <w:rPr>
          <w:rFonts w:ascii="Arial" w:hAnsi="Arial" w:cs="Arial"/>
          <w:sz w:val="18"/>
          <w:szCs w:val="18"/>
        </w:rPr>
        <w:t xml:space="preserve">and a </w:t>
      </w:r>
      <w:r w:rsidRPr="00D403F5">
        <w:rPr>
          <w:rFonts w:ascii="Arial" w:hAnsi="Arial" w:cs="Arial"/>
          <w:i/>
          <w:iCs/>
          <w:sz w:val="18"/>
          <w:szCs w:val="18"/>
        </w:rPr>
        <w:t xml:space="preserve">protection zone </w:t>
      </w:r>
      <w:r w:rsidRPr="00D403F5">
        <w:rPr>
          <w:rFonts w:ascii="Arial" w:hAnsi="Arial" w:cs="Arial"/>
          <w:sz w:val="18"/>
          <w:szCs w:val="18"/>
        </w:rPr>
        <w:t>was established; and</w:t>
      </w:r>
    </w:p>
    <w:p w14:paraId="5A93F9C7"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b)</w:t>
      </w:r>
      <w:r w:rsidRPr="00D403F5">
        <w:rPr>
          <w:rFonts w:ascii="Arial" w:hAnsi="Arial" w:cs="Arial"/>
          <w:i/>
          <w:iCs/>
          <w:sz w:val="18"/>
          <w:szCs w:val="18"/>
        </w:rPr>
        <w:tab/>
      </w:r>
      <w:r w:rsidRPr="00D403F5">
        <w:rPr>
          <w:rFonts w:ascii="Arial" w:hAnsi="Arial" w:cs="Arial"/>
          <w:sz w:val="18"/>
          <w:szCs w:val="18"/>
        </w:rPr>
        <w:t xml:space="preserve">infected populations have been destroyed or removed from the </w:t>
      </w:r>
      <w:r w:rsidRPr="00D403F5">
        <w:rPr>
          <w:rFonts w:ascii="Arial" w:hAnsi="Arial" w:cs="Arial"/>
          <w:i/>
          <w:iCs/>
          <w:sz w:val="18"/>
          <w:szCs w:val="18"/>
        </w:rPr>
        <w:t xml:space="preserve">infected zone </w:t>
      </w:r>
      <w:r w:rsidRPr="00D403F5">
        <w:rPr>
          <w:rFonts w:ascii="Arial" w:hAnsi="Arial" w:cs="Arial"/>
          <w:sz w:val="18"/>
          <w:szCs w:val="18"/>
        </w:rPr>
        <w:t xml:space="preserve">by means that minimise the </w:t>
      </w:r>
      <w:r w:rsidRPr="00D403F5">
        <w:rPr>
          <w:rFonts w:ascii="Arial" w:hAnsi="Arial" w:cs="Arial"/>
          <w:i/>
          <w:iCs/>
          <w:sz w:val="18"/>
          <w:szCs w:val="18"/>
        </w:rPr>
        <w:t xml:space="preserve">risk </w:t>
      </w:r>
      <w:r w:rsidRPr="00D403F5">
        <w:rPr>
          <w:rFonts w:ascii="Arial" w:hAnsi="Arial" w:cs="Arial"/>
          <w:sz w:val="18"/>
          <w:szCs w:val="18"/>
        </w:rPr>
        <w:t xml:space="preserve">of further spread of the </w:t>
      </w:r>
      <w:r w:rsidRPr="00D403F5">
        <w:rPr>
          <w:rFonts w:ascii="Arial" w:hAnsi="Arial" w:cs="Arial"/>
          <w:i/>
          <w:iCs/>
          <w:sz w:val="18"/>
          <w:szCs w:val="18"/>
        </w:rPr>
        <w:t>disease</w:t>
      </w:r>
      <w:r w:rsidRPr="00D403F5">
        <w:rPr>
          <w:rFonts w:ascii="Arial" w:hAnsi="Arial" w:cs="Arial"/>
          <w:sz w:val="18"/>
          <w:szCs w:val="18"/>
        </w:rPr>
        <w:t xml:space="preserve">, and the appropriate </w:t>
      </w:r>
      <w:r w:rsidRPr="00D403F5">
        <w:rPr>
          <w:rFonts w:ascii="Arial" w:hAnsi="Arial" w:cs="Arial"/>
          <w:i/>
          <w:iCs/>
          <w:sz w:val="18"/>
          <w:szCs w:val="18"/>
        </w:rPr>
        <w:t xml:space="preserve">disinfection </w:t>
      </w:r>
      <w:r w:rsidRPr="00D403F5">
        <w:rPr>
          <w:rFonts w:ascii="Arial" w:hAnsi="Arial" w:cs="Arial"/>
          <w:sz w:val="18"/>
          <w:szCs w:val="18"/>
        </w:rPr>
        <w:t>procedures (as described in Chapter 4.3.) have been completed; and</w:t>
      </w:r>
    </w:p>
    <w:p w14:paraId="79E22B05"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c)</w:t>
      </w:r>
      <w:r w:rsidRPr="00D403F5">
        <w:rPr>
          <w:rFonts w:ascii="Arial" w:hAnsi="Arial" w:cs="Arial"/>
          <w:i/>
          <w:iCs/>
          <w:sz w:val="18"/>
          <w:szCs w:val="18"/>
        </w:rPr>
        <w:tab/>
      </w:r>
      <w:r w:rsidRPr="00D403F5">
        <w:rPr>
          <w:rFonts w:ascii="Arial" w:hAnsi="Arial" w:cs="Arial"/>
          <w:sz w:val="18"/>
          <w:szCs w:val="18"/>
        </w:rPr>
        <w:t xml:space="preserve">previously existing </w:t>
      </w:r>
      <w:r w:rsidRPr="00D403F5">
        <w:rPr>
          <w:rFonts w:ascii="Arial" w:hAnsi="Arial" w:cs="Arial"/>
          <w:i/>
          <w:iCs/>
          <w:sz w:val="18"/>
          <w:szCs w:val="18"/>
        </w:rPr>
        <w:t xml:space="preserve">basic biosecurity conditions </w:t>
      </w:r>
      <w:r w:rsidRPr="00D403F5">
        <w:rPr>
          <w:rFonts w:ascii="Arial" w:hAnsi="Arial" w:cs="Arial"/>
          <w:sz w:val="18"/>
          <w:szCs w:val="18"/>
        </w:rPr>
        <w:t xml:space="preserve">have been reviewed and modified as necessary and have continuously been in place since eradication of the </w:t>
      </w:r>
      <w:r w:rsidRPr="00D403F5">
        <w:rPr>
          <w:rFonts w:ascii="Arial" w:hAnsi="Arial" w:cs="Arial"/>
          <w:i/>
          <w:iCs/>
          <w:sz w:val="18"/>
          <w:szCs w:val="18"/>
        </w:rPr>
        <w:t>disease</w:t>
      </w:r>
      <w:r w:rsidRPr="00D403F5">
        <w:rPr>
          <w:rFonts w:ascii="Arial" w:hAnsi="Arial" w:cs="Arial"/>
          <w:sz w:val="18"/>
          <w:szCs w:val="18"/>
        </w:rPr>
        <w:t>; and</w:t>
      </w:r>
    </w:p>
    <w:p w14:paraId="749955F3" w14:textId="77777777" w:rsidR="00C7266C" w:rsidRPr="00D403F5" w:rsidRDefault="00C7266C" w:rsidP="00D403F5">
      <w:pPr>
        <w:autoSpaceDE w:val="0"/>
        <w:autoSpaceDN w:val="0"/>
        <w:adjustRightInd w:val="0"/>
        <w:spacing w:after="0" w:line="240" w:lineRule="auto"/>
        <w:ind w:left="851" w:hanging="425"/>
        <w:jc w:val="both"/>
        <w:rPr>
          <w:rFonts w:ascii="Arial" w:hAnsi="Arial" w:cs="Arial"/>
          <w:sz w:val="18"/>
          <w:szCs w:val="18"/>
        </w:rPr>
      </w:pPr>
      <w:r w:rsidRPr="00D403F5">
        <w:rPr>
          <w:rFonts w:ascii="Arial" w:hAnsi="Arial" w:cs="Arial"/>
          <w:i/>
          <w:iCs/>
          <w:sz w:val="18"/>
          <w:szCs w:val="18"/>
        </w:rPr>
        <w:t>d)</w:t>
      </w:r>
      <w:r w:rsidRPr="00D403F5">
        <w:rPr>
          <w:rFonts w:ascii="Arial" w:hAnsi="Arial" w:cs="Arial"/>
          <w:i/>
          <w:iCs/>
          <w:sz w:val="18"/>
          <w:szCs w:val="18"/>
        </w:rPr>
        <w:tab/>
        <w:t>targeted surveillance</w:t>
      </w:r>
      <w:r w:rsidRPr="00D403F5">
        <w:rPr>
          <w:rFonts w:ascii="Arial" w:hAnsi="Arial" w:cs="Arial"/>
          <w:sz w:val="18"/>
          <w:szCs w:val="18"/>
        </w:rPr>
        <w:t xml:space="preserve">, as described in Chapter 1.4., has been in place for at least the last </w:t>
      </w:r>
      <w:r w:rsidRPr="00D403F5">
        <w:rPr>
          <w:rFonts w:ascii="Arial" w:hAnsi="Arial" w:cs="Arial"/>
          <w:sz w:val="18"/>
          <w:szCs w:val="18"/>
          <w:highlight w:val="yellow"/>
        </w:rPr>
        <w:t>five years</w:t>
      </w:r>
      <w:r w:rsidRPr="00D403F5">
        <w:rPr>
          <w:rFonts w:ascii="Arial" w:hAnsi="Arial" w:cs="Arial"/>
          <w:sz w:val="18"/>
          <w:szCs w:val="18"/>
        </w:rPr>
        <w:t xml:space="preserve"> without detection of crayfish plague.</w:t>
      </w:r>
    </w:p>
    <w:p w14:paraId="39834423" w14:textId="77777777" w:rsidR="00C7266C" w:rsidRPr="00D403F5" w:rsidRDefault="00C7266C" w:rsidP="00D403F5">
      <w:pPr>
        <w:spacing w:after="0" w:line="240" w:lineRule="auto"/>
        <w:rPr>
          <w:rFonts w:ascii="Arial" w:hAnsi="Arial" w:cs="Arial"/>
          <w:sz w:val="18"/>
          <w:szCs w:val="18"/>
        </w:rPr>
      </w:pPr>
      <w:r w:rsidRPr="00D403F5">
        <w:rPr>
          <w:rFonts w:ascii="Arial" w:hAnsi="Arial" w:cs="Arial"/>
          <w:sz w:val="18"/>
          <w:szCs w:val="18"/>
        </w:rPr>
        <w:t xml:space="preserve">In the meantime, part or all of the non-affected area may be declared a </w:t>
      </w:r>
      <w:r w:rsidRPr="00D403F5">
        <w:rPr>
          <w:rFonts w:ascii="Arial" w:hAnsi="Arial" w:cs="Arial"/>
          <w:i/>
          <w:sz w:val="18"/>
          <w:szCs w:val="18"/>
        </w:rPr>
        <w:t xml:space="preserve">free </w:t>
      </w:r>
      <w:r w:rsidRPr="00D403F5">
        <w:rPr>
          <w:rFonts w:ascii="Arial" w:hAnsi="Arial" w:cs="Arial"/>
          <w:i/>
          <w:iCs/>
          <w:sz w:val="18"/>
          <w:szCs w:val="18"/>
        </w:rPr>
        <w:t xml:space="preserve">zone </w:t>
      </w:r>
      <w:r w:rsidRPr="00D403F5">
        <w:rPr>
          <w:rFonts w:ascii="Arial" w:hAnsi="Arial" w:cs="Arial"/>
          <w:sz w:val="18"/>
          <w:szCs w:val="18"/>
        </w:rPr>
        <w:t xml:space="preserve">provided that such a part meets the conditions in point 3 of Article 9.1.5. </w:t>
      </w:r>
    </w:p>
    <w:p w14:paraId="7BD9CC1A" w14:textId="77777777" w:rsidR="00C7266C" w:rsidRPr="00D403F5" w:rsidRDefault="00C7266C" w:rsidP="00D403F5">
      <w:pPr>
        <w:autoSpaceDE w:val="0"/>
        <w:autoSpaceDN w:val="0"/>
        <w:adjustRightInd w:val="0"/>
        <w:spacing w:after="0" w:line="240" w:lineRule="auto"/>
        <w:jc w:val="center"/>
        <w:rPr>
          <w:rFonts w:ascii="Ottawa" w:hAnsi="Ottawa"/>
          <w:sz w:val="18"/>
          <w:szCs w:val="18"/>
        </w:rPr>
      </w:pPr>
      <w:r w:rsidRPr="00D403F5">
        <w:rPr>
          <w:rFonts w:ascii="Ottawa" w:hAnsi="Ottawa"/>
          <w:sz w:val="18"/>
          <w:szCs w:val="18"/>
        </w:rPr>
        <w:t>Article 9.1.5.</w:t>
      </w:r>
    </w:p>
    <w:p w14:paraId="6D77F608" w14:textId="77777777" w:rsidR="00C7266C" w:rsidRPr="00D403F5" w:rsidRDefault="00C7266C" w:rsidP="00D403F5">
      <w:pPr>
        <w:autoSpaceDE w:val="0"/>
        <w:autoSpaceDN w:val="0"/>
        <w:adjustRightInd w:val="0"/>
        <w:spacing w:after="0" w:line="240" w:lineRule="auto"/>
        <w:jc w:val="both"/>
        <w:rPr>
          <w:rFonts w:ascii="Ottawa" w:hAnsi="Ottawa"/>
          <w:b/>
          <w:bCs/>
          <w:sz w:val="18"/>
          <w:szCs w:val="18"/>
        </w:rPr>
      </w:pPr>
      <w:r w:rsidRPr="00D403F5">
        <w:rPr>
          <w:rFonts w:ascii="Ottawa" w:hAnsi="Ottawa"/>
          <w:b/>
          <w:bCs/>
          <w:i/>
          <w:sz w:val="18"/>
          <w:szCs w:val="18"/>
        </w:rPr>
        <w:t>Zone</w:t>
      </w:r>
      <w:r w:rsidRPr="00D403F5">
        <w:rPr>
          <w:rFonts w:ascii="Ottawa" w:hAnsi="Ottawa"/>
          <w:b/>
          <w:bCs/>
          <w:sz w:val="18"/>
          <w:szCs w:val="18"/>
        </w:rPr>
        <w:t xml:space="preserve"> or </w:t>
      </w:r>
      <w:r w:rsidRPr="00D403F5">
        <w:rPr>
          <w:rFonts w:ascii="Ottawa" w:hAnsi="Ottawa"/>
          <w:b/>
          <w:bCs/>
          <w:i/>
          <w:sz w:val="18"/>
          <w:szCs w:val="18"/>
        </w:rPr>
        <w:t>compartment</w:t>
      </w:r>
      <w:r w:rsidRPr="00D403F5">
        <w:rPr>
          <w:rFonts w:ascii="Ottawa" w:hAnsi="Ottawa"/>
          <w:b/>
          <w:bCs/>
          <w:sz w:val="18"/>
          <w:szCs w:val="18"/>
        </w:rPr>
        <w:t xml:space="preserve"> free from crayfish plague</w:t>
      </w:r>
    </w:p>
    <w:p w14:paraId="2E268306" w14:textId="77777777" w:rsidR="00C7266C" w:rsidRPr="00D403F5" w:rsidRDefault="00C7266C" w:rsidP="00D403F5">
      <w:pPr>
        <w:autoSpaceDE w:val="0"/>
        <w:autoSpaceDN w:val="0"/>
        <w:adjustRightInd w:val="0"/>
        <w:spacing w:after="0" w:line="240" w:lineRule="auto"/>
        <w:jc w:val="both"/>
        <w:rPr>
          <w:rFonts w:ascii="Arial" w:hAnsi="Arial" w:cs="Arial"/>
          <w:sz w:val="18"/>
          <w:szCs w:val="18"/>
        </w:rPr>
      </w:pPr>
      <w:r w:rsidRPr="00D403F5">
        <w:rPr>
          <w:rFonts w:ascii="Arial" w:hAnsi="Arial" w:cs="Arial"/>
          <w:sz w:val="18"/>
          <w:szCs w:val="18"/>
        </w:rPr>
        <w:t xml:space="preserve">If a </w:t>
      </w:r>
      <w:r w:rsidRPr="00D403F5">
        <w:rPr>
          <w:rFonts w:ascii="Arial" w:hAnsi="Arial" w:cs="Arial"/>
          <w:i/>
          <w:iCs/>
          <w:sz w:val="18"/>
          <w:szCs w:val="18"/>
        </w:rPr>
        <w:t xml:space="preserve">zone </w:t>
      </w:r>
      <w:r w:rsidRPr="00D403F5">
        <w:rPr>
          <w:rFonts w:ascii="Arial" w:hAnsi="Arial" w:cs="Arial"/>
          <w:sz w:val="18"/>
          <w:szCs w:val="18"/>
        </w:rPr>
        <w:t xml:space="preserve">or </w:t>
      </w:r>
      <w:r w:rsidRPr="00D403F5">
        <w:rPr>
          <w:rFonts w:ascii="Arial" w:hAnsi="Arial" w:cs="Arial"/>
          <w:i/>
          <w:iCs/>
          <w:sz w:val="18"/>
          <w:szCs w:val="18"/>
        </w:rPr>
        <w:t xml:space="preserve">compartment </w:t>
      </w:r>
      <w:r w:rsidRPr="00D403F5">
        <w:rPr>
          <w:rFonts w:ascii="Arial" w:hAnsi="Arial" w:cs="Arial"/>
          <w:sz w:val="18"/>
          <w:szCs w:val="18"/>
        </w:rPr>
        <w:t xml:space="preserve">extends over more than one country, it can only be declared a </w:t>
      </w:r>
      <w:r w:rsidRPr="00D403F5">
        <w:rPr>
          <w:rFonts w:ascii="Arial" w:hAnsi="Arial" w:cs="Arial"/>
          <w:i/>
          <w:iCs/>
          <w:sz w:val="18"/>
          <w:szCs w:val="18"/>
        </w:rPr>
        <w:t xml:space="preserve">zone </w:t>
      </w:r>
      <w:r w:rsidRPr="00D403F5">
        <w:rPr>
          <w:rFonts w:ascii="Arial" w:hAnsi="Arial" w:cs="Arial"/>
          <w:sz w:val="18"/>
          <w:szCs w:val="18"/>
        </w:rPr>
        <w:t xml:space="preserve">or </w:t>
      </w:r>
      <w:r w:rsidRPr="00D403F5">
        <w:rPr>
          <w:rFonts w:ascii="Arial" w:hAnsi="Arial" w:cs="Arial"/>
          <w:i/>
          <w:iCs/>
          <w:sz w:val="18"/>
          <w:szCs w:val="18"/>
        </w:rPr>
        <w:t xml:space="preserve">compartment </w:t>
      </w:r>
      <w:r w:rsidRPr="00D403F5">
        <w:rPr>
          <w:rFonts w:ascii="Arial" w:hAnsi="Arial" w:cs="Arial"/>
          <w:sz w:val="18"/>
          <w:szCs w:val="18"/>
        </w:rPr>
        <w:t xml:space="preserve">free from crayfish plague if all the relevant </w:t>
      </w:r>
      <w:r w:rsidRPr="00D403F5">
        <w:rPr>
          <w:rFonts w:ascii="Arial" w:hAnsi="Arial" w:cs="Arial"/>
          <w:i/>
          <w:iCs/>
          <w:sz w:val="18"/>
          <w:szCs w:val="18"/>
        </w:rPr>
        <w:t xml:space="preserve">Competent Authorities </w:t>
      </w:r>
      <w:r w:rsidRPr="00D403F5">
        <w:rPr>
          <w:rFonts w:ascii="Arial" w:hAnsi="Arial" w:cs="Arial"/>
          <w:sz w:val="18"/>
          <w:szCs w:val="18"/>
        </w:rPr>
        <w:t>confirm that all relevant conditions have been met.</w:t>
      </w:r>
    </w:p>
    <w:p w14:paraId="167D493C" w14:textId="77777777" w:rsidR="00C7266C" w:rsidRPr="00D403F5" w:rsidRDefault="00C7266C" w:rsidP="00D403F5">
      <w:pPr>
        <w:autoSpaceDE w:val="0"/>
        <w:autoSpaceDN w:val="0"/>
        <w:adjustRightInd w:val="0"/>
        <w:spacing w:after="0"/>
        <w:jc w:val="both"/>
        <w:rPr>
          <w:rFonts w:ascii="Arial" w:hAnsi="Arial" w:cs="Arial"/>
          <w:sz w:val="18"/>
          <w:szCs w:val="18"/>
        </w:rPr>
      </w:pPr>
      <w:r w:rsidRPr="00D403F5">
        <w:rPr>
          <w:rFonts w:ascii="Arial" w:hAnsi="Arial" w:cs="Arial"/>
          <w:sz w:val="18"/>
          <w:szCs w:val="18"/>
        </w:rPr>
        <w:t xml:space="preserve">As described in Article 1.4.6., a </w:t>
      </w:r>
      <w:r w:rsidRPr="00D403F5">
        <w:rPr>
          <w:rFonts w:ascii="Arial" w:hAnsi="Arial" w:cs="Arial"/>
          <w:i/>
          <w:iCs/>
          <w:sz w:val="18"/>
          <w:szCs w:val="18"/>
        </w:rPr>
        <w:t xml:space="preserve">zone </w:t>
      </w:r>
      <w:r w:rsidRPr="00D403F5">
        <w:rPr>
          <w:rFonts w:ascii="Arial" w:hAnsi="Arial" w:cs="Arial"/>
          <w:sz w:val="18"/>
          <w:szCs w:val="18"/>
        </w:rPr>
        <w:t xml:space="preserve">or </w:t>
      </w:r>
      <w:r w:rsidRPr="00D403F5">
        <w:rPr>
          <w:rFonts w:ascii="Arial" w:hAnsi="Arial" w:cs="Arial"/>
          <w:i/>
          <w:iCs/>
          <w:sz w:val="18"/>
          <w:szCs w:val="18"/>
        </w:rPr>
        <w:t xml:space="preserve">compartment </w:t>
      </w:r>
      <w:r w:rsidRPr="00D403F5">
        <w:rPr>
          <w:rFonts w:ascii="Arial" w:hAnsi="Arial" w:cs="Arial"/>
          <w:sz w:val="18"/>
          <w:szCs w:val="18"/>
        </w:rPr>
        <w:t xml:space="preserve">within the </w:t>
      </w:r>
      <w:r w:rsidRPr="00D403F5">
        <w:rPr>
          <w:rFonts w:ascii="Arial" w:hAnsi="Arial" w:cs="Arial"/>
          <w:i/>
          <w:iCs/>
          <w:sz w:val="18"/>
          <w:szCs w:val="18"/>
        </w:rPr>
        <w:t xml:space="preserve">territory </w:t>
      </w:r>
      <w:r w:rsidRPr="00D403F5">
        <w:rPr>
          <w:rFonts w:ascii="Arial" w:hAnsi="Arial" w:cs="Arial"/>
          <w:sz w:val="18"/>
          <w:szCs w:val="18"/>
        </w:rPr>
        <w:t xml:space="preserve">of one or more countries not declared free from crayfish plague may be declared free by the </w:t>
      </w:r>
      <w:r w:rsidRPr="00D403F5">
        <w:rPr>
          <w:rFonts w:ascii="Arial" w:hAnsi="Arial" w:cs="Arial"/>
          <w:i/>
          <w:iCs/>
          <w:sz w:val="18"/>
          <w:szCs w:val="18"/>
        </w:rPr>
        <w:t xml:space="preserve">Competent Authority(ies) </w:t>
      </w:r>
      <w:r w:rsidRPr="00D403F5">
        <w:rPr>
          <w:rFonts w:ascii="Arial" w:hAnsi="Arial" w:cs="Arial"/>
          <w:sz w:val="18"/>
          <w:szCs w:val="18"/>
        </w:rPr>
        <w:t>of the country(ies) concerned if:</w:t>
      </w:r>
    </w:p>
    <w:p w14:paraId="7F5201C5" w14:textId="77777777" w:rsidR="00C7266C" w:rsidRPr="00D403F5" w:rsidRDefault="00C7266C" w:rsidP="00D403F5">
      <w:pPr>
        <w:spacing w:after="0"/>
        <w:rPr>
          <w:rFonts w:ascii="Times New Roman" w:hAnsi="Times New Roman" w:cs="Times New Roman"/>
          <w:sz w:val="18"/>
          <w:szCs w:val="18"/>
          <w:u w:val="single"/>
        </w:rPr>
      </w:pPr>
      <w:r w:rsidRPr="00D403F5">
        <w:rPr>
          <w:rFonts w:ascii="Times New Roman" w:hAnsi="Times New Roman" w:cs="Times New Roman"/>
          <w:sz w:val="18"/>
          <w:szCs w:val="18"/>
          <w:u w:val="single"/>
        </w:rPr>
        <w:br w:type="page"/>
      </w:r>
    </w:p>
    <w:p w14:paraId="5F6F4448" w14:textId="3E2DD505" w:rsidR="00C7266C" w:rsidRPr="00D403F5" w:rsidRDefault="00C7266C" w:rsidP="00910ED6">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4A9B74EB" w14:textId="77777777" w:rsidR="00C7266C" w:rsidRPr="00D403F5" w:rsidRDefault="00C7266C" w:rsidP="0076436B">
      <w:pPr>
        <w:spacing w:after="0"/>
        <w:rPr>
          <w:rFonts w:ascii="Times New Roman" w:hAnsi="Times New Roman" w:cs="Times New Roman"/>
          <w:caps/>
          <w:sz w:val="18"/>
          <w:szCs w:val="18"/>
        </w:rPr>
      </w:pPr>
      <w:r w:rsidRPr="00D403F5">
        <w:rPr>
          <w:rFonts w:ascii="Times New Roman" w:hAnsi="Times New Roman" w:cs="Times New Roman"/>
          <w:b/>
          <w:caps/>
          <w:sz w:val="18"/>
          <w:szCs w:val="18"/>
        </w:rPr>
        <w:t>Appendix 2.</w:t>
      </w:r>
      <w:r w:rsidRPr="00D403F5">
        <w:rPr>
          <w:rFonts w:ascii="Times New Roman" w:hAnsi="Times New Roman" w:cs="Times New Roman"/>
          <w:caps/>
          <w:sz w:val="18"/>
          <w:szCs w:val="18"/>
        </w:rPr>
        <w:t xml:space="preserve"> </w:t>
      </w:r>
    </w:p>
    <w:p w14:paraId="48E13163" w14:textId="77777777" w:rsidR="00C7266C" w:rsidRPr="00D403F5" w:rsidRDefault="00C7266C" w:rsidP="00D403F5">
      <w:pPr>
        <w:autoSpaceDE w:val="0"/>
        <w:autoSpaceDN w:val="0"/>
        <w:adjustRightInd w:val="0"/>
        <w:spacing w:after="0"/>
        <w:ind w:left="426" w:hanging="426"/>
        <w:jc w:val="both"/>
        <w:rPr>
          <w:rFonts w:ascii="Arial" w:hAnsi="Arial" w:cs="Arial"/>
          <w:sz w:val="18"/>
          <w:szCs w:val="18"/>
        </w:rPr>
      </w:pPr>
      <w:r w:rsidRPr="00D403F5">
        <w:rPr>
          <w:rFonts w:ascii="Arial" w:hAnsi="Arial" w:cs="Arial"/>
          <w:sz w:val="18"/>
          <w:szCs w:val="18"/>
        </w:rPr>
        <w:t>1)</w:t>
      </w:r>
      <w:r w:rsidRPr="00D403F5">
        <w:rPr>
          <w:rFonts w:ascii="Arial" w:hAnsi="Arial" w:cs="Arial"/>
          <w:sz w:val="18"/>
          <w:szCs w:val="18"/>
        </w:rPr>
        <w:tab/>
        <w:t xml:space="preserve">none of the </w:t>
      </w:r>
      <w:r w:rsidRPr="00D403F5">
        <w:rPr>
          <w:rFonts w:ascii="Arial" w:hAnsi="Arial" w:cs="Arial"/>
          <w:i/>
          <w:iCs/>
          <w:sz w:val="18"/>
          <w:szCs w:val="18"/>
        </w:rPr>
        <w:t xml:space="preserve">susceptible species </w:t>
      </w:r>
      <w:r w:rsidRPr="00D403F5">
        <w:rPr>
          <w:rFonts w:ascii="Arial" w:hAnsi="Arial" w:cs="Arial"/>
          <w:sz w:val="18"/>
          <w:szCs w:val="18"/>
        </w:rPr>
        <w:t xml:space="preserve">referred to in Article 9.1.2. are present in the </w:t>
      </w:r>
      <w:r w:rsidRPr="00D403F5">
        <w:rPr>
          <w:rFonts w:ascii="Arial" w:hAnsi="Arial" w:cs="Arial"/>
          <w:i/>
          <w:iCs/>
          <w:sz w:val="18"/>
          <w:szCs w:val="18"/>
        </w:rPr>
        <w:t xml:space="preserve">zone </w:t>
      </w:r>
      <w:r w:rsidRPr="00D403F5">
        <w:rPr>
          <w:rFonts w:ascii="Arial" w:hAnsi="Arial" w:cs="Arial"/>
          <w:sz w:val="18"/>
          <w:szCs w:val="18"/>
        </w:rPr>
        <w:t xml:space="preserve">or </w:t>
      </w:r>
      <w:r w:rsidRPr="00D403F5">
        <w:rPr>
          <w:rFonts w:ascii="Arial" w:hAnsi="Arial" w:cs="Arial"/>
          <w:i/>
          <w:iCs/>
          <w:sz w:val="18"/>
          <w:szCs w:val="18"/>
        </w:rPr>
        <w:t xml:space="preserve">compartment </w:t>
      </w:r>
      <w:r w:rsidRPr="00D403F5">
        <w:rPr>
          <w:rFonts w:ascii="Arial" w:hAnsi="Arial" w:cs="Arial"/>
          <w:sz w:val="18"/>
          <w:szCs w:val="18"/>
        </w:rPr>
        <w:t xml:space="preserve">and </w:t>
      </w:r>
      <w:r w:rsidRPr="00D403F5">
        <w:rPr>
          <w:rFonts w:ascii="Arial" w:hAnsi="Arial" w:cs="Arial"/>
          <w:i/>
          <w:iCs/>
          <w:sz w:val="18"/>
          <w:szCs w:val="18"/>
        </w:rPr>
        <w:t xml:space="preserve">basic biosecurity conditions </w:t>
      </w:r>
      <w:r w:rsidRPr="00D403F5">
        <w:rPr>
          <w:rFonts w:ascii="Arial" w:hAnsi="Arial" w:cs="Arial"/>
          <w:sz w:val="18"/>
          <w:szCs w:val="18"/>
        </w:rPr>
        <w:t xml:space="preserve">have been continuously met for at least the last </w:t>
      </w:r>
      <w:r w:rsidRPr="00D403F5">
        <w:rPr>
          <w:rFonts w:ascii="Arial" w:hAnsi="Arial" w:cs="Arial"/>
          <w:sz w:val="18"/>
          <w:szCs w:val="18"/>
          <w:highlight w:val="yellow"/>
        </w:rPr>
        <w:t>two years</w:t>
      </w:r>
      <w:r w:rsidRPr="00D403F5">
        <w:rPr>
          <w:rFonts w:ascii="Arial" w:hAnsi="Arial" w:cs="Arial"/>
          <w:sz w:val="18"/>
          <w:szCs w:val="18"/>
        </w:rPr>
        <w:t>;</w:t>
      </w:r>
    </w:p>
    <w:p w14:paraId="023090E4" w14:textId="77777777" w:rsidR="00C7266C" w:rsidRPr="00D403F5" w:rsidRDefault="00C7266C" w:rsidP="00D403F5">
      <w:pPr>
        <w:autoSpaceDE w:val="0"/>
        <w:autoSpaceDN w:val="0"/>
        <w:adjustRightInd w:val="0"/>
        <w:spacing w:after="0"/>
        <w:jc w:val="both"/>
        <w:rPr>
          <w:rFonts w:ascii="Arial" w:hAnsi="Arial" w:cs="Arial"/>
          <w:sz w:val="18"/>
          <w:szCs w:val="18"/>
        </w:rPr>
      </w:pPr>
      <w:r w:rsidRPr="00D403F5">
        <w:rPr>
          <w:rFonts w:ascii="Arial" w:hAnsi="Arial" w:cs="Arial"/>
          <w:sz w:val="18"/>
          <w:szCs w:val="18"/>
        </w:rPr>
        <w:t>OR</w:t>
      </w:r>
    </w:p>
    <w:p w14:paraId="1C3319DA" w14:textId="77777777" w:rsidR="00C7266C" w:rsidRPr="00D403F5" w:rsidRDefault="00C7266C" w:rsidP="00D403F5">
      <w:pPr>
        <w:autoSpaceDE w:val="0"/>
        <w:autoSpaceDN w:val="0"/>
        <w:adjustRightInd w:val="0"/>
        <w:spacing w:after="0"/>
        <w:ind w:left="426" w:hanging="426"/>
        <w:jc w:val="both"/>
        <w:rPr>
          <w:rFonts w:ascii="Arial" w:hAnsi="Arial" w:cs="Arial"/>
          <w:sz w:val="18"/>
          <w:szCs w:val="18"/>
        </w:rPr>
      </w:pPr>
      <w:r w:rsidRPr="00D403F5">
        <w:rPr>
          <w:rFonts w:ascii="Arial" w:hAnsi="Arial" w:cs="Arial"/>
          <w:sz w:val="18"/>
          <w:szCs w:val="18"/>
        </w:rPr>
        <w:t>2)</w:t>
      </w:r>
      <w:r w:rsidRPr="00D403F5">
        <w:rPr>
          <w:rFonts w:ascii="Arial" w:hAnsi="Arial" w:cs="Arial"/>
          <w:sz w:val="18"/>
          <w:szCs w:val="18"/>
        </w:rPr>
        <w:tab/>
        <w:t xml:space="preserve">any of the </w:t>
      </w:r>
      <w:r w:rsidRPr="00D403F5">
        <w:rPr>
          <w:rFonts w:ascii="Arial" w:hAnsi="Arial" w:cs="Arial"/>
          <w:i/>
          <w:iCs/>
          <w:sz w:val="18"/>
          <w:szCs w:val="18"/>
        </w:rPr>
        <w:t xml:space="preserve">susceptible species </w:t>
      </w:r>
      <w:r w:rsidRPr="00D403F5">
        <w:rPr>
          <w:rFonts w:ascii="Arial" w:hAnsi="Arial" w:cs="Arial"/>
          <w:sz w:val="18"/>
          <w:szCs w:val="18"/>
        </w:rPr>
        <w:t xml:space="preserve">referred to in Article 9.1.2. are present in the </w:t>
      </w:r>
      <w:r w:rsidRPr="00D403F5">
        <w:rPr>
          <w:rFonts w:ascii="Arial" w:hAnsi="Arial" w:cs="Arial"/>
          <w:i/>
          <w:iCs/>
          <w:sz w:val="18"/>
          <w:szCs w:val="18"/>
        </w:rPr>
        <w:t xml:space="preserve">zone </w:t>
      </w:r>
      <w:r w:rsidRPr="00D403F5">
        <w:rPr>
          <w:rFonts w:ascii="Arial" w:hAnsi="Arial" w:cs="Arial"/>
          <w:sz w:val="18"/>
          <w:szCs w:val="18"/>
        </w:rPr>
        <w:t xml:space="preserve">or </w:t>
      </w:r>
      <w:r w:rsidRPr="00D403F5">
        <w:rPr>
          <w:rFonts w:ascii="Arial" w:hAnsi="Arial" w:cs="Arial"/>
          <w:i/>
          <w:iCs/>
          <w:sz w:val="18"/>
          <w:szCs w:val="18"/>
        </w:rPr>
        <w:t xml:space="preserve">compartment </w:t>
      </w:r>
      <w:r w:rsidRPr="00D403F5">
        <w:rPr>
          <w:rFonts w:ascii="Arial" w:hAnsi="Arial" w:cs="Arial"/>
          <w:sz w:val="18"/>
          <w:szCs w:val="18"/>
        </w:rPr>
        <w:t>and the following conditions have been met:</w:t>
      </w:r>
    </w:p>
    <w:p w14:paraId="6F737B50" w14:textId="77777777" w:rsidR="00C7266C" w:rsidRPr="00D403F5" w:rsidRDefault="00C7266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iCs/>
          <w:sz w:val="18"/>
          <w:szCs w:val="18"/>
        </w:rPr>
        <w:t>a)</w:t>
      </w:r>
      <w:r w:rsidRPr="00D403F5">
        <w:rPr>
          <w:rFonts w:ascii="Arial" w:hAnsi="Arial" w:cs="Arial"/>
          <w:i/>
          <w:iCs/>
          <w:sz w:val="18"/>
          <w:szCs w:val="18"/>
        </w:rPr>
        <w:tab/>
      </w:r>
      <w:r w:rsidRPr="00D403F5">
        <w:rPr>
          <w:rFonts w:ascii="Arial" w:hAnsi="Arial" w:cs="Arial"/>
          <w:sz w:val="18"/>
          <w:szCs w:val="18"/>
        </w:rPr>
        <w:t xml:space="preserve">there has not been any observed occurrence of the </w:t>
      </w:r>
      <w:r w:rsidRPr="00D403F5">
        <w:rPr>
          <w:rFonts w:ascii="Arial" w:hAnsi="Arial" w:cs="Arial"/>
          <w:i/>
          <w:iCs/>
          <w:sz w:val="18"/>
          <w:szCs w:val="18"/>
        </w:rPr>
        <w:t xml:space="preserve">disease </w:t>
      </w:r>
      <w:r w:rsidRPr="00D403F5">
        <w:rPr>
          <w:rFonts w:ascii="Arial" w:hAnsi="Arial" w:cs="Arial"/>
          <w:sz w:val="18"/>
          <w:szCs w:val="18"/>
        </w:rPr>
        <w:t xml:space="preserve">for at least the last </w:t>
      </w:r>
      <w:r w:rsidRPr="00D403F5">
        <w:rPr>
          <w:rFonts w:ascii="Arial" w:hAnsi="Arial" w:cs="Arial"/>
          <w:sz w:val="18"/>
          <w:szCs w:val="18"/>
          <w:highlight w:val="yellow"/>
        </w:rPr>
        <w:t xml:space="preserve">25 years </w:t>
      </w:r>
      <w:r w:rsidRPr="00D403F5">
        <w:rPr>
          <w:rFonts w:ascii="Arial" w:hAnsi="Arial" w:cs="Arial"/>
          <w:sz w:val="18"/>
          <w:szCs w:val="18"/>
        </w:rPr>
        <w:t xml:space="preserve">despite conditions that are conducive to its clinical expression (as described in the corresponding chapter of the </w:t>
      </w:r>
      <w:r w:rsidRPr="00D403F5">
        <w:rPr>
          <w:rFonts w:ascii="Arial" w:hAnsi="Arial" w:cs="Arial"/>
          <w:i/>
          <w:iCs/>
          <w:sz w:val="18"/>
          <w:szCs w:val="18"/>
        </w:rPr>
        <w:t>Aquatic Manual</w:t>
      </w:r>
      <w:r w:rsidRPr="00D403F5">
        <w:rPr>
          <w:rFonts w:ascii="Arial" w:hAnsi="Arial" w:cs="Arial"/>
          <w:sz w:val="18"/>
          <w:szCs w:val="18"/>
        </w:rPr>
        <w:t>); and</w:t>
      </w:r>
    </w:p>
    <w:p w14:paraId="3C4EA8F8" w14:textId="77777777" w:rsidR="00C7266C" w:rsidRPr="00D403F5" w:rsidRDefault="00C7266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iCs/>
          <w:sz w:val="18"/>
          <w:szCs w:val="18"/>
        </w:rPr>
        <w:t>b)</w:t>
      </w:r>
      <w:r w:rsidRPr="00D403F5">
        <w:rPr>
          <w:rFonts w:ascii="Arial" w:hAnsi="Arial" w:cs="Arial"/>
          <w:i/>
          <w:iCs/>
          <w:sz w:val="18"/>
          <w:szCs w:val="18"/>
        </w:rPr>
        <w:tab/>
        <w:t xml:space="preserve">basic biosecurity conditions </w:t>
      </w:r>
      <w:r w:rsidRPr="00D403F5">
        <w:rPr>
          <w:rFonts w:ascii="Arial" w:hAnsi="Arial" w:cs="Arial"/>
          <w:sz w:val="18"/>
          <w:szCs w:val="18"/>
        </w:rPr>
        <w:t xml:space="preserve">have been continuously met for at least the last </w:t>
      </w:r>
      <w:r w:rsidRPr="00D403F5">
        <w:rPr>
          <w:rFonts w:ascii="Arial" w:hAnsi="Arial" w:cs="Arial"/>
          <w:sz w:val="18"/>
          <w:szCs w:val="18"/>
          <w:highlight w:val="yellow"/>
        </w:rPr>
        <w:t>10 years</w:t>
      </w:r>
      <w:r w:rsidRPr="00D403F5">
        <w:rPr>
          <w:rFonts w:ascii="Arial" w:hAnsi="Arial" w:cs="Arial"/>
          <w:sz w:val="18"/>
          <w:szCs w:val="18"/>
        </w:rPr>
        <w:t>;</w:t>
      </w:r>
    </w:p>
    <w:p w14:paraId="30B50424" w14:textId="77777777" w:rsidR="00C7266C" w:rsidRPr="00D403F5" w:rsidRDefault="00C7266C" w:rsidP="00D403F5">
      <w:pPr>
        <w:autoSpaceDE w:val="0"/>
        <w:autoSpaceDN w:val="0"/>
        <w:adjustRightInd w:val="0"/>
        <w:spacing w:after="0"/>
        <w:jc w:val="both"/>
        <w:rPr>
          <w:rFonts w:ascii="Arial" w:hAnsi="Arial" w:cs="Arial"/>
          <w:sz w:val="18"/>
          <w:szCs w:val="18"/>
        </w:rPr>
      </w:pPr>
      <w:r w:rsidRPr="00D403F5">
        <w:rPr>
          <w:rFonts w:ascii="Arial" w:hAnsi="Arial" w:cs="Arial"/>
          <w:sz w:val="18"/>
          <w:szCs w:val="18"/>
        </w:rPr>
        <w:t>OR</w:t>
      </w:r>
    </w:p>
    <w:p w14:paraId="2B6CAEF3" w14:textId="77777777" w:rsidR="00C7266C" w:rsidRPr="00D403F5" w:rsidRDefault="00C7266C" w:rsidP="00D403F5">
      <w:pPr>
        <w:autoSpaceDE w:val="0"/>
        <w:autoSpaceDN w:val="0"/>
        <w:adjustRightInd w:val="0"/>
        <w:spacing w:after="0"/>
        <w:ind w:left="426" w:hanging="426"/>
        <w:jc w:val="both"/>
        <w:rPr>
          <w:rFonts w:ascii="Arial" w:hAnsi="Arial" w:cs="Arial"/>
          <w:sz w:val="18"/>
          <w:szCs w:val="18"/>
        </w:rPr>
      </w:pPr>
      <w:r w:rsidRPr="00D403F5">
        <w:rPr>
          <w:rFonts w:ascii="Arial" w:hAnsi="Arial" w:cs="Arial"/>
          <w:sz w:val="18"/>
          <w:szCs w:val="18"/>
        </w:rPr>
        <w:t>3)</w:t>
      </w:r>
      <w:r w:rsidRPr="00D403F5">
        <w:rPr>
          <w:rFonts w:ascii="Arial" w:hAnsi="Arial" w:cs="Arial"/>
          <w:sz w:val="18"/>
          <w:szCs w:val="18"/>
        </w:rPr>
        <w:tab/>
        <w:t xml:space="preserve">the disease status prior to </w:t>
      </w:r>
      <w:r w:rsidRPr="00D403F5">
        <w:rPr>
          <w:rFonts w:ascii="Arial" w:hAnsi="Arial" w:cs="Arial"/>
          <w:i/>
          <w:iCs/>
          <w:sz w:val="18"/>
          <w:szCs w:val="18"/>
        </w:rPr>
        <w:t xml:space="preserve">targeted surveillance </w:t>
      </w:r>
      <w:r w:rsidRPr="00D403F5">
        <w:rPr>
          <w:rFonts w:ascii="Arial" w:hAnsi="Arial" w:cs="Arial"/>
          <w:sz w:val="18"/>
          <w:szCs w:val="18"/>
        </w:rPr>
        <w:t>is unknown but the following conditions have been met:</w:t>
      </w:r>
    </w:p>
    <w:p w14:paraId="038059E7" w14:textId="77777777" w:rsidR="00C7266C" w:rsidRPr="00D403F5" w:rsidRDefault="00C7266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iCs/>
          <w:sz w:val="18"/>
          <w:szCs w:val="18"/>
        </w:rPr>
        <w:t>a)</w:t>
      </w:r>
      <w:r w:rsidRPr="00D403F5">
        <w:rPr>
          <w:rFonts w:ascii="Arial" w:hAnsi="Arial" w:cs="Arial"/>
          <w:i/>
          <w:iCs/>
          <w:sz w:val="18"/>
          <w:szCs w:val="18"/>
        </w:rPr>
        <w:tab/>
        <w:t xml:space="preserve">basic biosecurity conditions </w:t>
      </w:r>
      <w:r w:rsidRPr="00D403F5">
        <w:rPr>
          <w:rFonts w:ascii="Arial" w:hAnsi="Arial" w:cs="Arial"/>
          <w:sz w:val="18"/>
          <w:szCs w:val="18"/>
        </w:rPr>
        <w:t>have been continuously met for at least the last five years; and</w:t>
      </w:r>
    </w:p>
    <w:p w14:paraId="6E059A2E" w14:textId="77777777" w:rsidR="00C7266C" w:rsidRPr="00D403F5" w:rsidRDefault="00C7266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iCs/>
          <w:sz w:val="18"/>
          <w:szCs w:val="18"/>
        </w:rPr>
        <w:t>b)</w:t>
      </w:r>
      <w:r w:rsidRPr="00D403F5">
        <w:rPr>
          <w:rFonts w:ascii="Arial" w:hAnsi="Arial" w:cs="Arial"/>
          <w:i/>
          <w:iCs/>
          <w:sz w:val="18"/>
          <w:szCs w:val="18"/>
        </w:rPr>
        <w:tab/>
        <w:t>targeted surveillance</w:t>
      </w:r>
      <w:r w:rsidRPr="00D403F5">
        <w:rPr>
          <w:rFonts w:ascii="Arial" w:hAnsi="Arial" w:cs="Arial"/>
          <w:sz w:val="18"/>
          <w:szCs w:val="18"/>
        </w:rPr>
        <w:t xml:space="preserve">, as described in Chapter 1.4., has been in place, in the </w:t>
      </w:r>
      <w:r w:rsidRPr="00D403F5">
        <w:rPr>
          <w:rFonts w:ascii="Arial" w:hAnsi="Arial" w:cs="Arial"/>
          <w:i/>
          <w:iCs/>
          <w:sz w:val="18"/>
          <w:szCs w:val="18"/>
        </w:rPr>
        <w:t xml:space="preserve">zone </w:t>
      </w:r>
      <w:r w:rsidRPr="00D403F5">
        <w:rPr>
          <w:rFonts w:ascii="Arial" w:hAnsi="Arial" w:cs="Arial"/>
          <w:sz w:val="18"/>
          <w:szCs w:val="18"/>
        </w:rPr>
        <w:t xml:space="preserve">or </w:t>
      </w:r>
      <w:r w:rsidRPr="00D403F5">
        <w:rPr>
          <w:rFonts w:ascii="Arial" w:hAnsi="Arial" w:cs="Arial"/>
          <w:i/>
          <w:iCs/>
          <w:sz w:val="18"/>
          <w:szCs w:val="18"/>
        </w:rPr>
        <w:t>compartment</w:t>
      </w:r>
      <w:r w:rsidRPr="00D403F5">
        <w:rPr>
          <w:rFonts w:ascii="Arial" w:hAnsi="Arial" w:cs="Arial"/>
          <w:sz w:val="18"/>
          <w:szCs w:val="18"/>
        </w:rPr>
        <w:t xml:space="preserve">, for at least the last </w:t>
      </w:r>
      <w:r w:rsidRPr="00D403F5">
        <w:rPr>
          <w:rFonts w:ascii="Arial" w:hAnsi="Arial" w:cs="Arial"/>
          <w:sz w:val="18"/>
          <w:szCs w:val="18"/>
          <w:highlight w:val="yellow"/>
        </w:rPr>
        <w:t>five years</w:t>
      </w:r>
      <w:r w:rsidRPr="00D403F5">
        <w:rPr>
          <w:rFonts w:ascii="Arial" w:hAnsi="Arial" w:cs="Arial"/>
          <w:sz w:val="18"/>
          <w:szCs w:val="18"/>
          <w:highlight w:val="lightGray"/>
        </w:rPr>
        <w:t xml:space="preserve"> </w:t>
      </w:r>
      <w:r w:rsidRPr="00D403F5">
        <w:rPr>
          <w:rFonts w:ascii="Arial" w:hAnsi="Arial" w:cs="Arial"/>
          <w:sz w:val="18"/>
          <w:szCs w:val="18"/>
        </w:rPr>
        <w:t>without detection of crayfish plague;</w:t>
      </w:r>
    </w:p>
    <w:p w14:paraId="67F8B771" w14:textId="77777777" w:rsidR="00C7266C" w:rsidRPr="00D403F5" w:rsidRDefault="00C7266C" w:rsidP="00D403F5">
      <w:pPr>
        <w:autoSpaceDE w:val="0"/>
        <w:autoSpaceDN w:val="0"/>
        <w:adjustRightInd w:val="0"/>
        <w:spacing w:after="0"/>
        <w:jc w:val="both"/>
        <w:rPr>
          <w:rFonts w:ascii="Arial" w:hAnsi="Arial" w:cs="Arial"/>
          <w:sz w:val="18"/>
          <w:szCs w:val="18"/>
        </w:rPr>
      </w:pPr>
      <w:r w:rsidRPr="00D403F5">
        <w:rPr>
          <w:rFonts w:ascii="Arial" w:hAnsi="Arial" w:cs="Arial"/>
          <w:sz w:val="18"/>
          <w:szCs w:val="18"/>
        </w:rPr>
        <w:t>OR</w:t>
      </w:r>
    </w:p>
    <w:p w14:paraId="4BA25712" w14:textId="77777777" w:rsidR="00C7266C" w:rsidRPr="00D403F5" w:rsidRDefault="00C7266C" w:rsidP="00D403F5">
      <w:pPr>
        <w:autoSpaceDE w:val="0"/>
        <w:autoSpaceDN w:val="0"/>
        <w:adjustRightInd w:val="0"/>
        <w:spacing w:after="0"/>
        <w:ind w:left="426" w:hanging="426"/>
        <w:jc w:val="both"/>
        <w:rPr>
          <w:rFonts w:ascii="Arial" w:hAnsi="Arial" w:cs="Arial"/>
          <w:sz w:val="18"/>
          <w:szCs w:val="18"/>
        </w:rPr>
      </w:pPr>
      <w:r w:rsidRPr="00D403F5">
        <w:rPr>
          <w:rFonts w:ascii="Arial" w:hAnsi="Arial" w:cs="Arial"/>
          <w:sz w:val="18"/>
          <w:szCs w:val="18"/>
        </w:rPr>
        <w:t>4)</w:t>
      </w:r>
      <w:r w:rsidRPr="00D403F5">
        <w:rPr>
          <w:rFonts w:ascii="Arial" w:hAnsi="Arial" w:cs="Arial"/>
          <w:sz w:val="18"/>
          <w:szCs w:val="18"/>
        </w:rPr>
        <w:tab/>
        <w:t xml:space="preserve">it previously made a </w:t>
      </w:r>
      <w:r w:rsidRPr="00D403F5">
        <w:rPr>
          <w:rFonts w:ascii="Arial" w:hAnsi="Arial" w:cs="Arial"/>
          <w:i/>
          <w:iCs/>
          <w:sz w:val="18"/>
          <w:szCs w:val="18"/>
        </w:rPr>
        <w:t xml:space="preserve">self-declaration of freedom </w:t>
      </w:r>
      <w:r w:rsidRPr="00D403F5">
        <w:rPr>
          <w:rFonts w:ascii="Arial" w:hAnsi="Arial" w:cs="Arial"/>
          <w:sz w:val="18"/>
          <w:szCs w:val="18"/>
        </w:rPr>
        <w:t xml:space="preserve">for a </w:t>
      </w:r>
      <w:r w:rsidRPr="00D403F5">
        <w:rPr>
          <w:rFonts w:ascii="Arial" w:hAnsi="Arial" w:cs="Arial"/>
          <w:i/>
          <w:iCs/>
          <w:sz w:val="18"/>
          <w:szCs w:val="18"/>
        </w:rPr>
        <w:t xml:space="preserve">zone </w:t>
      </w:r>
      <w:r w:rsidRPr="00D403F5">
        <w:rPr>
          <w:rFonts w:ascii="Arial" w:hAnsi="Arial" w:cs="Arial"/>
          <w:sz w:val="18"/>
          <w:szCs w:val="18"/>
        </w:rPr>
        <w:t xml:space="preserve">from crayfish plague and subsequently lost its </w:t>
      </w:r>
      <w:r w:rsidRPr="00D403F5">
        <w:rPr>
          <w:rFonts w:ascii="Arial" w:hAnsi="Arial" w:cs="Arial"/>
          <w:i/>
          <w:iCs/>
          <w:sz w:val="18"/>
          <w:szCs w:val="18"/>
        </w:rPr>
        <w:t xml:space="preserve">disease </w:t>
      </w:r>
      <w:r w:rsidRPr="00D403F5">
        <w:rPr>
          <w:rFonts w:ascii="Arial" w:hAnsi="Arial" w:cs="Arial"/>
          <w:sz w:val="18"/>
          <w:szCs w:val="18"/>
        </w:rPr>
        <w:t xml:space="preserve">free status due to the detection of crayfish plague in the </w:t>
      </w:r>
      <w:r w:rsidRPr="00D403F5">
        <w:rPr>
          <w:rFonts w:ascii="Arial" w:hAnsi="Arial" w:cs="Arial"/>
          <w:i/>
          <w:iCs/>
          <w:sz w:val="18"/>
          <w:szCs w:val="18"/>
        </w:rPr>
        <w:t xml:space="preserve">zone </w:t>
      </w:r>
      <w:r w:rsidRPr="00D403F5">
        <w:rPr>
          <w:rFonts w:ascii="Arial" w:hAnsi="Arial" w:cs="Arial"/>
          <w:sz w:val="18"/>
          <w:szCs w:val="18"/>
        </w:rPr>
        <w:t>but the following conditions have been met:</w:t>
      </w:r>
    </w:p>
    <w:p w14:paraId="2DF33265" w14:textId="77777777" w:rsidR="00C7266C" w:rsidRPr="00D403F5" w:rsidRDefault="00C7266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iCs/>
          <w:sz w:val="18"/>
          <w:szCs w:val="18"/>
        </w:rPr>
        <w:t>a)</w:t>
      </w:r>
      <w:r w:rsidRPr="00D403F5">
        <w:rPr>
          <w:rFonts w:ascii="Arial" w:hAnsi="Arial" w:cs="Arial"/>
          <w:i/>
          <w:iCs/>
          <w:sz w:val="18"/>
          <w:szCs w:val="18"/>
        </w:rPr>
        <w:tab/>
      </w:r>
      <w:r w:rsidRPr="00D403F5">
        <w:rPr>
          <w:rFonts w:ascii="Arial" w:hAnsi="Arial" w:cs="Arial"/>
          <w:sz w:val="18"/>
          <w:szCs w:val="18"/>
        </w:rPr>
        <w:t xml:space="preserve">on detection of the </w:t>
      </w:r>
      <w:r w:rsidRPr="00D403F5">
        <w:rPr>
          <w:rFonts w:ascii="Arial" w:hAnsi="Arial" w:cs="Arial"/>
          <w:i/>
          <w:iCs/>
          <w:sz w:val="18"/>
          <w:szCs w:val="18"/>
        </w:rPr>
        <w:t>disease</w:t>
      </w:r>
      <w:r w:rsidRPr="00D403F5">
        <w:rPr>
          <w:rFonts w:ascii="Arial" w:hAnsi="Arial" w:cs="Arial"/>
          <w:sz w:val="18"/>
          <w:szCs w:val="18"/>
        </w:rPr>
        <w:t xml:space="preserve">, the affected area was declared an </w:t>
      </w:r>
      <w:r w:rsidRPr="00D403F5">
        <w:rPr>
          <w:rFonts w:ascii="Arial" w:hAnsi="Arial" w:cs="Arial"/>
          <w:i/>
          <w:iCs/>
          <w:sz w:val="18"/>
          <w:szCs w:val="18"/>
        </w:rPr>
        <w:t xml:space="preserve">infected zone </w:t>
      </w:r>
      <w:r w:rsidRPr="00D403F5">
        <w:rPr>
          <w:rFonts w:ascii="Arial" w:hAnsi="Arial" w:cs="Arial"/>
          <w:sz w:val="18"/>
          <w:szCs w:val="18"/>
        </w:rPr>
        <w:t xml:space="preserve">and a </w:t>
      </w:r>
      <w:r w:rsidRPr="00D403F5">
        <w:rPr>
          <w:rFonts w:ascii="Arial" w:hAnsi="Arial" w:cs="Arial"/>
          <w:i/>
          <w:iCs/>
          <w:sz w:val="18"/>
          <w:szCs w:val="18"/>
        </w:rPr>
        <w:t xml:space="preserve">protection zone </w:t>
      </w:r>
      <w:r w:rsidRPr="00D403F5">
        <w:rPr>
          <w:rFonts w:ascii="Arial" w:hAnsi="Arial" w:cs="Arial"/>
          <w:sz w:val="18"/>
          <w:szCs w:val="18"/>
        </w:rPr>
        <w:t>was established; and</w:t>
      </w:r>
    </w:p>
    <w:p w14:paraId="65E112E6" w14:textId="77777777" w:rsidR="00C7266C" w:rsidRPr="00D403F5" w:rsidRDefault="00C7266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iCs/>
          <w:sz w:val="18"/>
          <w:szCs w:val="18"/>
        </w:rPr>
        <w:t>b)</w:t>
      </w:r>
      <w:r w:rsidRPr="00D403F5">
        <w:rPr>
          <w:rFonts w:ascii="Arial" w:hAnsi="Arial" w:cs="Arial"/>
          <w:i/>
          <w:iCs/>
          <w:sz w:val="18"/>
          <w:szCs w:val="18"/>
        </w:rPr>
        <w:tab/>
      </w:r>
      <w:r w:rsidRPr="00D403F5">
        <w:rPr>
          <w:rFonts w:ascii="Arial" w:hAnsi="Arial" w:cs="Arial"/>
          <w:sz w:val="18"/>
          <w:szCs w:val="18"/>
        </w:rPr>
        <w:t xml:space="preserve">infected populations have been destroyed or removed from the </w:t>
      </w:r>
      <w:r w:rsidRPr="00D403F5">
        <w:rPr>
          <w:rFonts w:ascii="Arial" w:hAnsi="Arial" w:cs="Arial"/>
          <w:i/>
          <w:iCs/>
          <w:sz w:val="18"/>
          <w:szCs w:val="18"/>
        </w:rPr>
        <w:t xml:space="preserve">infected zone </w:t>
      </w:r>
      <w:r w:rsidRPr="00D403F5">
        <w:rPr>
          <w:rFonts w:ascii="Arial" w:hAnsi="Arial" w:cs="Arial"/>
          <w:sz w:val="18"/>
          <w:szCs w:val="18"/>
        </w:rPr>
        <w:t xml:space="preserve">by means that minimise the </w:t>
      </w:r>
      <w:r w:rsidRPr="00D403F5">
        <w:rPr>
          <w:rFonts w:ascii="Arial" w:hAnsi="Arial" w:cs="Arial"/>
          <w:i/>
          <w:iCs/>
          <w:sz w:val="18"/>
          <w:szCs w:val="18"/>
        </w:rPr>
        <w:t xml:space="preserve">risk </w:t>
      </w:r>
      <w:r w:rsidRPr="00D403F5">
        <w:rPr>
          <w:rFonts w:ascii="Arial" w:hAnsi="Arial" w:cs="Arial"/>
          <w:sz w:val="18"/>
          <w:szCs w:val="18"/>
        </w:rPr>
        <w:t xml:space="preserve">of further spread of the </w:t>
      </w:r>
      <w:r w:rsidRPr="00D403F5">
        <w:rPr>
          <w:rFonts w:ascii="Arial" w:hAnsi="Arial" w:cs="Arial"/>
          <w:i/>
          <w:iCs/>
          <w:sz w:val="18"/>
          <w:szCs w:val="18"/>
        </w:rPr>
        <w:t>disease</w:t>
      </w:r>
      <w:r w:rsidRPr="00D403F5">
        <w:rPr>
          <w:rFonts w:ascii="Arial" w:hAnsi="Arial" w:cs="Arial"/>
          <w:sz w:val="18"/>
          <w:szCs w:val="18"/>
        </w:rPr>
        <w:t xml:space="preserve">, and the appropriate </w:t>
      </w:r>
      <w:r w:rsidRPr="00D403F5">
        <w:rPr>
          <w:rFonts w:ascii="Arial" w:hAnsi="Arial" w:cs="Arial"/>
          <w:i/>
          <w:iCs/>
          <w:sz w:val="18"/>
          <w:szCs w:val="18"/>
        </w:rPr>
        <w:t xml:space="preserve">disinfection </w:t>
      </w:r>
      <w:r w:rsidRPr="00D403F5">
        <w:rPr>
          <w:rFonts w:ascii="Arial" w:hAnsi="Arial" w:cs="Arial"/>
          <w:sz w:val="18"/>
          <w:szCs w:val="18"/>
        </w:rPr>
        <w:t>procedures (as described in Chapter 4.3.) have been completed; and</w:t>
      </w:r>
    </w:p>
    <w:p w14:paraId="069EE2F7" w14:textId="77777777" w:rsidR="00C7266C" w:rsidRPr="00D403F5" w:rsidRDefault="00C7266C" w:rsidP="00D403F5">
      <w:pPr>
        <w:autoSpaceDE w:val="0"/>
        <w:autoSpaceDN w:val="0"/>
        <w:adjustRightInd w:val="0"/>
        <w:spacing w:after="0"/>
        <w:ind w:left="851" w:hanging="425"/>
        <w:jc w:val="both"/>
        <w:rPr>
          <w:rFonts w:ascii="Arial" w:hAnsi="Arial" w:cs="Arial"/>
          <w:sz w:val="18"/>
          <w:szCs w:val="18"/>
        </w:rPr>
      </w:pPr>
      <w:r w:rsidRPr="00D403F5">
        <w:rPr>
          <w:rFonts w:ascii="Arial" w:hAnsi="Arial" w:cs="Arial"/>
          <w:i/>
          <w:iCs/>
          <w:sz w:val="18"/>
          <w:szCs w:val="18"/>
        </w:rPr>
        <w:t>c)</w:t>
      </w:r>
      <w:r w:rsidRPr="00D403F5">
        <w:rPr>
          <w:rFonts w:ascii="Arial" w:hAnsi="Arial" w:cs="Arial"/>
          <w:i/>
          <w:iCs/>
          <w:sz w:val="18"/>
          <w:szCs w:val="18"/>
        </w:rPr>
        <w:tab/>
      </w:r>
      <w:r w:rsidRPr="00D403F5">
        <w:rPr>
          <w:rFonts w:ascii="Arial" w:hAnsi="Arial" w:cs="Arial"/>
          <w:sz w:val="18"/>
          <w:szCs w:val="18"/>
        </w:rPr>
        <w:t xml:space="preserve">previously existing </w:t>
      </w:r>
      <w:r w:rsidRPr="00D403F5">
        <w:rPr>
          <w:rFonts w:ascii="Arial" w:hAnsi="Arial" w:cs="Arial"/>
          <w:i/>
          <w:iCs/>
          <w:sz w:val="18"/>
          <w:szCs w:val="18"/>
        </w:rPr>
        <w:t xml:space="preserve">basic biosecurity conditions </w:t>
      </w:r>
      <w:r w:rsidRPr="00D403F5">
        <w:rPr>
          <w:rFonts w:ascii="Arial" w:hAnsi="Arial" w:cs="Arial"/>
          <w:sz w:val="18"/>
          <w:szCs w:val="18"/>
        </w:rPr>
        <w:t xml:space="preserve">have been reviewed and modified as necessary and have continuously been in place since eradication of the </w:t>
      </w:r>
      <w:r w:rsidRPr="00D403F5">
        <w:rPr>
          <w:rFonts w:ascii="Arial" w:hAnsi="Arial" w:cs="Arial"/>
          <w:i/>
          <w:iCs/>
          <w:sz w:val="18"/>
          <w:szCs w:val="18"/>
        </w:rPr>
        <w:t>disease</w:t>
      </w:r>
      <w:r w:rsidRPr="00D403F5">
        <w:rPr>
          <w:rFonts w:ascii="Arial" w:hAnsi="Arial" w:cs="Arial"/>
          <w:sz w:val="18"/>
          <w:szCs w:val="18"/>
        </w:rPr>
        <w:t>; and</w:t>
      </w:r>
    </w:p>
    <w:p w14:paraId="1875D64E" w14:textId="77777777" w:rsidR="00C7266C" w:rsidRPr="00D403F5" w:rsidRDefault="00C7266C" w:rsidP="00D403F5">
      <w:pPr>
        <w:autoSpaceDE w:val="0"/>
        <w:autoSpaceDN w:val="0"/>
        <w:adjustRightInd w:val="0"/>
        <w:spacing w:after="0"/>
        <w:ind w:left="851" w:hanging="425"/>
        <w:jc w:val="both"/>
        <w:rPr>
          <w:rFonts w:ascii="Arial" w:hAnsi="Arial" w:cs="Arial"/>
          <w:b/>
          <w:sz w:val="18"/>
          <w:szCs w:val="18"/>
        </w:rPr>
      </w:pPr>
      <w:r w:rsidRPr="00D403F5">
        <w:rPr>
          <w:rFonts w:ascii="Arial" w:hAnsi="Arial" w:cs="Arial"/>
          <w:i/>
          <w:iCs/>
          <w:sz w:val="18"/>
          <w:szCs w:val="18"/>
        </w:rPr>
        <w:t>d)</w:t>
      </w:r>
      <w:r w:rsidRPr="00D403F5">
        <w:rPr>
          <w:rFonts w:ascii="Arial" w:hAnsi="Arial" w:cs="Arial"/>
          <w:i/>
          <w:iCs/>
          <w:sz w:val="18"/>
          <w:szCs w:val="18"/>
        </w:rPr>
        <w:tab/>
        <w:t>targeted surveillance</w:t>
      </w:r>
      <w:r w:rsidRPr="00D403F5">
        <w:rPr>
          <w:rFonts w:ascii="Arial" w:hAnsi="Arial" w:cs="Arial"/>
          <w:sz w:val="18"/>
          <w:szCs w:val="18"/>
        </w:rPr>
        <w:t xml:space="preserve">, as described in Chapter 1.4., has been in place for at least the last </w:t>
      </w:r>
      <w:r w:rsidRPr="00D403F5">
        <w:rPr>
          <w:rFonts w:ascii="Arial" w:hAnsi="Arial" w:cs="Arial"/>
          <w:sz w:val="18"/>
          <w:szCs w:val="18"/>
          <w:highlight w:val="yellow"/>
        </w:rPr>
        <w:t>five years</w:t>
      </w:r>
      <w:r w:rsidRPr="00D403F5">
        <w:rPr>
          <w:rFonts w:ascii="Arial" w:hAnsi="Arial" w:cs="Arial"/>
          <w:sz w:val="18"/>
          <w:szCs w:val="18"/>
        </w:rPr>
        <w:t xml:space="preserve"> without detection of crayfish plague.</w:t>
      </w:r>
      <w:r w:rsidRPr="00D403F5">
        <w:rPr>
          <w:rFonts w:ascii="Arial" w:hAnsi="Arial" w:cs="Arial"/>
          <w:b/>
          <w:sz w:val="18"/>
          <w:szCs w:val="18"/>
        </w:rPr>
        <w:t xml:space="preserve"> </w:t>
      </w:r>
    </w:p>
    <w:p w14:paraId="7BAB2721" w14:textId="77777777" w:rsidR="00C7266C" w:rsidRPr="00D403F5" w:rsidRDefault="00C7266C" w:rsidP="00D403F5">
      <w:pPr>
        <w:autoSpaceDE w:val="0"/>
        <w:autoSpaceDN w:val="0"/>
        <w:adjustRightInd w:val="0"/>
        <w:spacing w:after="0"/>
        <w:jc w:val="center"/>
        <w:rPr>
          <w:rFonts w:ascii="Ottawa" w:hAnsi="Ottawa"/>
          <w:sz w:val="18"/>
          <w:szCs w:val="18"/>
        </w:rPr>
      </w:pPr>
      <w:r w:rsidRPr="00D403F5">
        <w:rPr>
          <w:rFonts w:ascii="Ottawa" w:hAnsi="Ottawa"/>
          <w:sz w:val="18"/>
          <w:szCs w:val="18"/>
        </w:rPr>
        <w:t>Article 9.2.6.</w:t>
      </w:r>
    </w:p>
    <w:p w14:paraId="7009110D" w14:textId="77777777" w:rsidR="00C7266C" w:rsidRPr="00D403F5" w:rsidRDefault="00C7266C" w:rsidP="00D403F5">
      <w:pPr>
        <w:autoSpaceDE w:val="0"/>
        <w:autoSpaceDN w:val="0"/>
        <w:adjustRightInd w:val="0"/>
        <w:spacing w:after="0"/>
        <w:rPr>
          <w:rFonts w:ascii="Ottawa" w:hAnsi="Ottawa"/>
          <w:b/>
          <w:bCs/>
          <w:sz w:val="18"/>
          <w:szCs w:val="18"/>
        </w:rPr>
      </w:pPr>
      <w:r w:rsidRPr="00D403F5">
        <w:rPr>
          <w:rFonts w:ascii="Ottawa" w:hAnsi="Ottawa"/>
          <w:b/>
          <w:bCs/>
          <w:sz w:val="18"/>
          <w:szCs w:val="18"/>
        </w:rPr>
        <w:t>Maintenance of free status</w:t>
      </w:r>
    </w:p>
    <w:p w14:paraId="26E00780" w14:textId="77777777" w:rsidR="00C7266C" w:rsidRPr="00D403F5" w:rsidRDefault="00C7266C" w:rsidP="00D403F5">
      <w:pPr>
        <w:autoSpaceDE w:val="0"/>
        <w:autoSpaceDN w:val="0"/>
        <w:adjustRightInd w:val="0"/>
        <w:spacing w:after="0"/>
        <w:jc w:val="both"/>
        <w:rPr>
          <w:rFonts w:ascii="Arial" w:hAnsi="Arial" w:cs="Arial"/>
          <w:bCs/>
          <w:sz w:val="18"/>
          <w:szCs w:val="18"/>
          <w:lang w:val="en-US"/>
        </w:rPr>
      </w:pPr>
      <w:r w:rsidRPr="00D403F5">
        <w:rPr>
          <w:rFonts w:ascii="Arial" w:hAnsi="Arial" w:cs="Arial"/>
          <w:bCs/>
          <w:sz w:val="18"/>
          <w:szCs w:val="18"/>
          <w:lang w:val="en-US"/>
        </w:rPr>
        <w:t xml:space="preserve">A country, </w:t>
      </w:r>
      <w:r w:rsidRPr="00D403F5">
        <w:rPr>
          <w:rFonts w:ascii="Arial" w:hAnsi="Arial" w:cs="Arial"/>
          <w:bCs/>
          <w:i/>
          <w:iCs/>
          <w:sz w:val="18"/>
          <w:szCs w:val="18"/>
          <w:lang w:val="en-US"/>
        </w:rPr>
        <w:t>zone</w:t>
      </w:r>
      <w:r w:rsidRPr="00D403F5">
        <w:rPr>
          <w:rFonts w:ascii="Arial" w:hAnsi="Arial" w:cs="Arial"/>
          <w:bCs/>
          <w:sz w:val="18"/>
          <w:szCs w:val="18"/>
          <w:lang w:val="en-US"/>
        </w:rPr>
        <w:t xml:space="preserve"> or </w:t>
      </w:r>
      <w:r w:rsidRPr="00D403F5">
        <w:rPr>
          <w:rFonts w:ascii="Arial" w:hAnsi="Arial" w:cs="Arial"/>
          <w:bCs/>
          <w:i/>
          <w:iCs/>
          <w:sz w:val="18"/>
          <w:szCs w:val="18"/>
          <w:lang w:val="en-US"/>
        </w:rPr>
        <w:t>compartment</w:t>
      </w:r>
      <w:r w:rsidRPr="00D403F5">
        <w:rPr>
          <w:rFonts w:ascii="Arial" w:hAnsi="Arial" w:cs="Arial"/>
          <w:bCs/>
          <w:sz w:val="18"/>
          <w:szCs w:val="18"/>
          <w:lang w:val="en-US"/>
        </w:rPr>
        <w:t xml:space="preserve"> that is declared free from </w:t>
      </w:r>
      <w:r w:rsidRPr="00D403F5">
        <w:rPr>
          <w:rFonts w:ascii="Arial" w:hAnsi="Arial" w:cs="Arial"/>
          <w:bCs/>
          <w:i/>
          <w:iCs/>
          <w:sz w:val="18"/>
          <w:szCs w:val="18"/>
          <w:lang w:val="en-US"/>
        </w:rPr>
        <w:t>infection</w:t>
      </w:r>
      <w:r w:rsidRPr="00D403F5">
        <w:rPr>
          <w:rFonts w:ascii="Arial" w:hAnsi="Arial" w:cs="Arial"/>
          <w:bCs/>
          <w:sz w:val="18"/>
          <w:szCs w:val="18"/>
          <w:lang w:val="en-US"/>
        </w:rPr>
        <w:t xml:space="preserve"> with </w:t>
      </w:r>
      <w:r w:rsidRPr="00D403F5">
        <w:rPr>
          <w:rFonts w:ascii="Arial" w:hAnsi="Arial" w:cs="Arial"/>
          <w:bCs/>
          <w:i/>
          <w:iCs/>
          <w:sz w:val="18"/>
          <w:szCs w:val="18"/>
          <w:lang w:val="en-US"/>
        </w:rPr>
        <w:t>A. astaci</w:t>
      </w:r>
      <w:r w:rsidRPr="00D403F5">
        <w:rPr>
          <w:rFonts w:ascii="Arial" w:hAnsi="Arial" w:cs="Arial"/>
          <w:bCs/>
          <w:sz w:val="18"/>
          <w:szCs w:val="18"/>
          <w:lang w:val="en-US"/>
        </w:rPr>
        <w:t xml:space="preserve"> following the provisions of points 1 or 2 of Articles 9.2.4. or 9.2.5. (as relevant) may maintain its status as free from infection with </w:t>
      </w:r>
      <w:r w:rsidRPr="00D403F5">
        <w:rPr>
          <w:rFonts w:ascii="Arial" w:hAnsi="Arial" w:cs="Arial"/>
          <w:bCs/>
          <w:i/>
          <w:iCs/>
          <w:sz w:val="18"/>
          <w:szCs w:val="18"/>
          <w:lang w:val="en-US"/>
        </w:rPr>
        <w:t>A. astaci</w:t>
      </w:r>
      <w:r w:rsidRPr="00D403F5">
        <w:rPr>
          <w:rFonts w:ascii="Arial" w:hAnsi="Arial" w:cs="Arial"/>
          <w:bCs/>
          <w:sz w:val="18"/>
          <w:szCs w:val="18"/>
          <w:lang w:val="en-US"/>
        </w:rPr>
        <w:t xml:space="preserve"> provided that </w:t>
      </w:r>
      <w:r w:rsidRPr="00D403F5">
        <w:rPr>
          <w:rFonts w:ascii="Arial" w:hAnsi="Arial" w:cs="Arial"/>
          <w:bCs/>
          <w:i/>
          <w:iCs/>
          <w:sz w:val="18"/>
          <w:szCs w:val="18"/>
          <w:lang w:val="en-US"/>
        </w:rPr>
        <w:t>basic biosecurity conditions</w:t>
      </w:r>
      <w:r w:rsidRPr="00D403F5">
        <w:rPr>
          <w:rFonts w:ascii="Arial" w:hAnsi="Arial" w:cs="Arial"/>
          <w:bCs/>
          <w:sz w:val="18"/>
          <w:szCs w:val="18"/>
          <w:lang w:val="en-US"/>
        </w:rPr>
        <w:t xml:space="preserve"> are continuously maintained.</w:t>
      </w:r>
    </w:p>
    <w:p w14:paraId="7B8C8300" w14:textId="77777777" w:rsidR="00C7266C" w:rsidRPr="00D403F5" w:rsidRDefault="00C7266C" w:rsidP="00D403F5">
      <w:pPr>
        <w:autoSpaceDE w:val="0"/>
        <w:autoSpaceDN w:val="0"/>
        <w:adjustRightInd w:val="0"/>
        <w:spacing w:after="0"/>
        <w:jc w:val="both"/>
        <w:rPr>
          <w:rFonts w:ascii="Arial" w:hAnsi="Arial" w:cs="Arial"/>
          <w:bCs/>
          <w:sz w:val="18"/>
          <w:szCs w:val="18"/>
          <w:lang w:val="en-US"/>
        </w:rPr>
      </w:pPr>
      <w:r w:rsidRPr="00D403F5">
        <w:rPr>
          <w:rFonts w:ascii="Arial" w:hAnsi="Arial" w:cs="Arial"/>
          <w:bCs/>
          <w:sz w:val="18"/>
          <w:szCs w:val="18"/>
          <w:lang w:val="en-US"/>
        </w:rPr>
        <w:t xml:space="preserve">A country, zone or compartment that is declared free from infection with </w:t>
      </w:r>
      <w:r w:rsidRPr="00D403F5">
        <w:rPr>
          <w:rFonts w:ascii="Arial" w:hAnsi="Arial" w:cs="Arial"/>
          <w:bCs/>
          <w:i/>
          <w:iCs/>
          <w:sz w:val="18"/>
          <w:szCs w:val="18"/>
          <w:lang w:val="en-US"/>
        </w:rPr>
        <w:t>A. astaci</w:t>
      </w:r>
      <w:r w:rsidRPr="00D403F5">
        <w:rPr>
          <w:rFonts w:ascii="Arial" w:hAnsi="Arial" w:cs="Arial"/>
          <w:bCs/>
          <w:sz w:val="18"/>
          <w:szCs w:val="18"/>
          <w:lang w:val="en-US"/>
        </w:rPr>
        <w:t xml:space="preserve"> following the provisions of point 3 of Articles 9.2.4. or 9.2.5. (as relevant) may discontinue </w:t>
      </w:r>
      <w:r w:rsidRPr="00D403F5">
        <w:rPr>
          <w:rFonts w:ascii="Arial" w:hAnsi="Arial" w:cs="Arial"/>
          <w:bCs/>
          <w:i/>
          <w:iCs/>
          <w:sz w:val="18"/>
          <w:szCs w:val="18"/>
          <w:lang w:val="en-US"/>
        </w:rPr>
        <w:t>targeted surveillance</w:t>
      </w:r>
      <w:r w:rsidRPr="00D403F5">
        <w:rPr>
          <w:rFonts w:ascii="Arial" w:hAnsi="Arial" w:cs="Arial"/>
          <w:bCs/>
          <w:sz w:val="18"/>
          <w:szCs w:val="18"/>
          <w:lang w:val="en-US"/>
        </w:rPr>
        <w:t xml:space="preserve"> and maintain its free status provided that conditions that are conducive to clinical expression of infection with </w:t>
      </w:r>
      <w:r w:rsidRPr="00D403F5">
        <w:rPr>
          <w:rFonts w:ascii="Arial" w:hAnsi="Arial" w:cs="Arial"/>
          <w:bCs/>
          <w:i/>
          <w:iCs/>
          <w:sz w:val="18"/>
          <w:szCs w:val="18"/>
          <w:lang w:val="en-US"/>
        </w:rPr>
        <w:t>A. astaci</w:t>
      </w:r>
      <w:r w:rsidRPr="00D403F5">
        <w:rPr>
          <w:rFonts w:ascii="Arial" w:hAnsi="Arial" w:cs="Arial"/>
          <w:bCs/>
          <w:sz w:val="18"/>
          <w:szCs w:val="18"/>
          <w:lang w:val="en-US"/>
        </w:rPr>
        <w:t xml:space="preserve">, as described in the corresponding chapter of the </w:t>
      </w:r>
      <w:r w:rsidRPr="00D403F5">
        <w:rPr>
          <w:rFonts w:ascii="Arial" w:hAnsi="Arial" w:cs="Arial"/>
          <w:bCs/>
          <w:i/>
          <w:iCs/>
          <w:sz w:val="18"/>
          <w:szCs w:val="18"/>
          <w:lang w:val="en-US"/>
        </w:rPr>
        <w:t>Aquatic Manual</w:t>
      </w:r>
      <w:r w:rsidRPr="00D403F5">
        <w:rPr>
          <w:rFonts w:ascii="Arial" w:hAnsi="Arial" w:cs="Arial"/>
          <w:bCs/>
          <w:sz w:val="18"/>
          <w:szCs w:val="18"/>
          <w:lang w:val="en-US"/>
        </w:rPr>
        <w:t xml:space="preserve">, and </w:t>
      </w:r>
      <w:r w:rsidRPr="00D403F5">
        <w:rPr>
          <w:rFonts w:ascii="Arial" w:hAnsi="Arial" w:cs="Arial"/>
          <w:bCs/>
          <w:i/>
          <w:iCs/>
          <w:sz w:val="18"/>
          <w:szCs w:val="18"/>
          <w:lang w:val="en-US"/>
        </w:rPr>
        <w:t>basic biosecurity conditions</w:t>
      </w:r>
      <w:r w:rsidRPr="00D403F5">
        <w:rPr>
          <w:rFonts w:ascii="Arial" w:hAnsi="Arial" w:cs="Arial"/>
          <w:bCs/>
          <w:sz w:val="18"/>
          <w:szCs w:val="18"/>
          <w:lang w:val="en-US"/>
        </w:rPr>
        <w:t xml:space="preserve"> are continuously maintained.</w:t>
      </w:r>
    </w:p>
    <w:p w14:paraId="588A9E78" w14:textId="77777777" w:rsidR="00C7266C" w:rsidRPr="00D403F5" w:rsidRDefault="00C7266C" w:rsidP="00D403F5">
      <w:pPr>
        <w:autoSpaceDE w:val="0"/>
        <w:autoSpaceDN w:val="0"/>
        <w:adjustRightInd w:val="0"/>
        <w:spacing w:after="0"/>
        <w:jc w:val="both"/>
        <w:rPr>
          <w:rFonts w:ascii="Arial" w:hAnsi="Arial" w:cs="Arial"/>
          <w:bCs/>
          <w:sz w:val="18"/>
          <w:szCs w:val="18"/>
          <w:lang w:val="en-US"/>
        </w:rPr>
      </w:pPr>
      <w:r w:rsidRPr="00D403F5">
        <w:rPr>
          <w:rFonts w:ascii="Arial" w:hAnsi="Arial" w:cs="Arial"/>
          <w:bCs/>
          <w:sz w:val="18"/>
          <w:szCs w:val="18"/>
          <w:lang w:val="en-US"/>
        </w:rPr>
        <w:t xml:space="preserve">However, for declared </w:t>
      </w:r>
      <w:r w:rsidRPr="00D403F5">
        <w:rPr>
          <w:rFonts w:ascii="Arial" w:hAnsi="Arial" w:cs="Arial"/>
          <w:bCs/>
          <w:i/>
          <w:sz w:val="18"/>
          <w:szCs w:val="18"/>
          <w:lang w:val="en-US"/>
        </w:rPr>
        <w:t xml:space="preserve">free </w:t>
      </w:r>
      <w:r w:rsidRPr="00D403F5">
        <w:rPr>
          <w:rFonts w:ascii="Arial" w:hAnsi="Arial" w:cs="Arial"/>
          <w:bCs/>
          <w:i/>
          <w:iCs/>
          <w:sz w:val="18"/>
          <w:szCs w:val="18"/>
          <w:lang w:val="en-US"/>
        </w:rPr>
        <w:t>zones</w:t>
      </w:r>
      <w:r w:rsidRPr="00D403F5">
        <w:rPr>
          <w:rFonts w:ascii="Arial" w:hAnsi="Arial" w:cs="Arial"/>
          <w:bCs/>
          <w:sz w:val="18"/>
          <w:szCs w:val="18"/>
          <w:lang w:val="en-US"/>
        </w:rPr>
        <w:t xml:space="preserve"> or </w:t>
      </w:r>
      <w:r w:rsidRPr="00D403F5">
        <w:rPr>
          <w:rFonts w:ascii="Arial" w:hAnsi="Arial" w:cs="Arial"/>
          <w:bCs/>
          <w:i/>
          <w:iCs/>
          <w:sz w:val="18"/>
          <w:szCs w:val="18"/>
          <w:lang w:val="en-US"/>
        </w:rPr>
        <w:t>compartments</w:t>
      </w:r>
      <w:r w:rsidRPr="00D403F5">
        <w:rPr>
          <w:rFonts w:ascii="Arial" w:hAnsi="Arial" w:cs="Arial"/>
          <w:bCs/>
          <w:sz w:val="18"/>
          <w:szCs w:val="18"/>
          <w:lang w:val="en-US"/>
        </w:rPr>
        <w:t xml:space="preserve"> in infected countries and in all cases where conditions are not conducive to clinical expression of infection with </w:t>
      </w:r>
      <w:r w:rsidRPr="00D403F5">
        <w:rPr>
          <w:rFonts w:ascii="Arial" w:hAnsi="Arial" w:cs="Arial"/>
          <w:bCs/>
          <w:i/>
          <w:iCs/>
          <w:sz w:val="18"/>
          <w:szCs w:val="18"/>
          <w:lang w:val="en-US"/>
        </w:rPr>
        <w:t>A. astaci</w:t>
      </w:r>
      <w:r w:rsidRPr="00D403F5">
        <w:rPr>
          <w:rFonts w:ascii="Arial" w:hAnsi="Arial" w:cs="Arial"/>
          <w:bCs/>
          <w:sz w:val="18"/>
          <w:szCs w:val="18"/>
          <w:lang w:val="en-US"/>
        </w:rPr>
        <w:t xml:space="preserve">, </w:t>
      </w:r>
      <w:r w:rsidRPr="00D403F5">
        <w:rPr>
          <w:rFonts w:ascii="Arial" w:hAnsi="Arial" w:cs="Arial"/>
          <w:bCs/>
          <w:i/>
          <w:iCs/>
          <w:sz w:val="18"/>
          <w:szCs w:val="18"/>
          <w:lang w:val="en-US"/>
        </w:rPr>
        <w:t>targeted surveillance</w:t>
      </w:r>
      <w:r w:rsidRPr="00D403F5">
        <w:rPr>
          <w:rFonts w:ascii="Arial" w:hAnsi="Arial" w:cs="Arial"/>
          <w:bCs/>
          <w:sz w:val="18"/>
          <w:szCs w:val="18"/>
          <w:lang w:val="en-US"/>
        </w:rPr>
        <w:t xml:space="preserve"> should be continued at a level determined by the </w:t>
      </w:r>
      <w:r w:rsidRPr="00D403F5">
        <w:rPr>
          <w:rFonts w:ascii="Arial" w:hAnsi="Arial" w:cs="Arial"/>
          <w:bCs/>
          <w:i/>
          <w:iCs/>
          <w:sz w:val="18"/>
          <w:szCs w:val="18"/>
          <w:lang w:val="en-US"/>
        </w:rPr>
        <w:t>Aquatic Animal Health Service</w:t>
      </w:r>
      <w:r w:rsidRPr="00D403F5">
        <w:rPr>
          <w:rFonts w:ascii="Arial" w:hAnsi="Arial" w:cs="Arial"/>
          <w:bCs/>
          <w:sz w:val="18"/>
          <w:szCs w:val="18"/>
          <w:lang w:val="en-US"/>
        </w:rPr>
        <w:t xml:space="preserve"> on the basis of the likelihood of infection.</w:t>
      </w:r>
    </w:p>
    <w:p w14:paraId="4F2DB083" w14:textId="77777777" w:rsidR="000E0A30" w:rsidRPr="00D403F5" w:rsidRDefault="000E0A30" w:rsidP="00D403F5">
      <w:pPr>
        <w:autoSpaceDE w:val="0"/>
        <w:autoSpaceDN w:val="0"/>
        <w:adjustRightInd w:val="0"/>
        <w:spacing w:after="0"/>
        <w:jc w:val="both"/>
        <w:rPr>
          <w:rFonts w:ascii="Arial" w:hAnsi="Arial" w:cs="Arial"/>
          <w:bCs/>
          <w:sz w:val="18"/>
          <w:szCs w:val="18"/>
          <w:lang w:val="en-US"/>
        </w:rPr>
      </w:pPr>
    </w:p>
    <w:p w14:paraId="58EE4B04" w14:textId="77777777" w:rsidR="00C7266C" w:rsidRPr="00D403F5" w:rsidRDefault="00C7266C" w:rsidP="00D403F5">
      <w:pPr>
        <w:autoSpaceDE w:val="0"/>
        <w:autoSpaceDN w:val="0"/>
        <w:adjustRightInd w:val="0"/>
        <w:spacing w:after="0"/>
        <w:ind w:left="851" w:hanging="425"/>
        <w:jc w:val="both"/>
        <w:rPr>
          <w:rFonts w:ascii="Arial" w:hAnsi="Arial" w:cs="Arial"/>
          <w:b/>
          <w:sz w:val="18"/>
          <w:szCs w:val="18"/>
        </w:rPr>
      </w:pPr>
    </w:p>
    <w:p w14:paraId="48C0C819" w14:textId="77777777" w:rsidR="00C7266C" w:rsidRPr="00D403F5" w:rsidRDefault="00C7266C" w:rsidP="00D403F5">
      <w:pPr>
        <w:spacing w:after="0"/>
        <w:jc w:val="both"/>
        <w:rPr>
          <w:rFonts w:ascii="Arial" w:hAnsi="Arial" w:cs="Arial"/>
          <w:b/>
          <w:sz w:val="18"/>
          <w:szCs w:val="18"/>
        </w:rPr>
        <w:sectPr w:rsidR="00C7266C" w:rsidRPr="00D403F5" w:rsidSect="000E0A30">
          <w:type w:val="oddPage"/>
          <w:pgSz w:w="11906" w:h="16838" w:code="9"/>
          <w:pgMar w:top="1418" w:right="1418" w:bottom="1418" w:left="1418" w:header="709" w:footer="709" w:gutter="0"/>
          <w:cols w:space="708"/>
          <w:vAlign w:val="both"/>
          <w:docGrid w:linePitch="360"/>
        </w:sectPr>
      </w:pPr>
    </w:p>
    <w:p w14:paraId="4C2E7BA3" w14:textId="77777777" w:rsidR="00983DC1" w:rsidRPr="00D403F5" w:rsidRDefault="00983DC1" w:rsidP="0076436B">
      <w:pPr>
        <w:spacing w:after="240"/>
        <w:jc w:val="right"/>
        <w:rPr>
          <w:rFonts w:ascii="Times New Roman" w:hAnsi="Times New Roman" w:cs="Times New Roman"/>
          <w:sz w:val="18"/>
          <w:szCs w:val="18"/>
        </w:rPr>
      </w:pPr>
      <w:r w:rsidRPr="00D403F5">
        <w:rPr>
          <w:rFonts w:ascii="Times New Roman" w:hAnsi="Times New Roman" w:cs="Times New Roman"/>
          <w:sz w:val="18"/>
          <w:szCs w:val="18"/>
          <w:u w:val="single"/>
        </w:rPr>
        <w:t>Annex 8</w:t>
      </w:r>
      <w:r w:rsidRPr="00D403F5">
        <w:rPr>
          <w:rFonts w:ascii="Times New Roman" w:hAnsi="Times New Roman" w:cs="Times New Roman"/>
          <w:sz w:val="18"/>
          <w:szCs w:val="18"/>
        </w:rPr>
        <w:t xml:space="preserve"> (contd)</w:t>
      </w:r>
    </w:p>
    <w:p w14:paraId="26C93349" w14:textId="77777777" w:rsidR="00C7266C" w:rsidRPr="00D403F5" w:rsidRDefault="00C7266C" w:rsidP="0076436B">
      <w:pPr>
        <w:spacing w:after="240"/>
        <w:jc w:val="both"/>
        <w:rPr>
          <w:rFonts w:ascii="Times New Roman" w:hAnsi="Times New Roman" w:cs="Times New Roman"/>
          <w:b/>
          <w:sz w:val="18"/>
          <w:szCs w:val="18"/>
        </w:rPr>
      </w:pPr>
      <w:r w:rsidRPr="00D403F5">
        <w:rPr>
          <w:rFonts w:ascii="Times New Roman" w:hAnsi="Times New Roman" w:cs="Times New Roman"/>
          <w:b/>
          <w:caps/>
          <w:sz w:val="18"/>
          <w:szCs w:val="18"/>
        </w:rPr>
        <w:t>Appendix 3.</w:t>
      </w:r>
      <w:r w:rsidRPr="00D403F5">
        <w:rPr>
          <w:rFonts w:ascii="Times New Roman" w:hAnsi="Times New Roman" w:cs="Times New Roman"/>
          <w:b/>
          <w:sz w:val="18"/>
          <w:szCs w:val="18"/>
        </w:rPr>
        <w:t xml:space="preserve"> </w:t>
      </w:r>
      <w:r w:rsidRPr="00D403F5">
        <w:rPr>
          <w:rFonts w:ascii="Times New Roman" w:hAnsi="Times New Roman" w:cs="Times New Roman"/>
          <w:sz w:val="18"/>
          <w:szCs w:val="18"/>
        </w:rPr>
        <w:t xml:space="preserve">Summary of the periods required for </w:t>
      </w:r>
      <w:r w:rsidRPr="00D403F5">
        <w:rPr>
          <w:rFonts w:ascii="Times New Roman" w:hAnsi="Times New Roman" w:cs="Times New Roman"/>
          <w:i/>
          <w:sz w:val="18"/>
          <w:szCs w:val="18"/>
        </w:rPr>
        <w:t>basic biosecurity conditions</w:t>
      </w:r>
      <w:r w:rsidRPr="00D403F5">
        <w:rPr>
          <w:rFonts w:ascii="Times New Roman" w:hAnsi="Times New Roman" w:cs="Times New Roman"/>
          <w:sz w:val="18"/>
          <w:szCs w:val="18"/>
        </w:rPr>
        <w:t xml:space="preserve"> and </w:t>
      </w:r>
      <w:r w:rsidRPr="00D403F5">
        <w:rPr>
          <w:rFonts w:ascii="Times New Roman" w:hAnsi="Times New Roman" w:cs="Times New Roman"/>
          <w:i/>
          <w:sz w:val="18"/>
          <w:szCs w:val="18"/>
        </w:rPr>
        <w:t>targeted surveillance</w:t>
      </w:r>
      <w:r w:rsidRPr="00D403F5">
        <w:rPr>
          <w:rFonts w:ascii="Times New Roman" w:hAnsi="Times New Roman" w:cs="Times New Roman"/>
          <w:sz w:val="18"/>
          <w:szCs w:val="18"/>
        </w:rPr>
        <w:t xml:space="preserve"> in Article X.X.4. in each disease-specific chapter of the </w:t>
      </w:r>
      <w:r w:rsidRPr="00D403F5">
        <w:rPr>
          <w:rFonts w:ascii="Times New Roman" w:hAnsi="Times New Roman" w:cs="Times New Roman"/>
          <w:i/>
          <w:sz w:val="18"/>
          <w:szCs w:val="18"/>
        </w:rPr>
        <w:t>Aquatic Code</w:t>
      </w:r>
      <w:r w:rsidRPr="00D403F5">
        <w:rPr>
          <w:rFonts w:ascii="Times New Roman" w:hAnsi="Times New Roman" w:cs="Times New Roman"/>
          <w:sz w:val="18"/>
          <w:szCs w:val="18"/>
        </w:rPr>
        <w:t>.</w:t>
      </w:r>
    </w:p>
    <w:tbl>
      <w:tblPr>
        <w:tblW w:w="14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3059"/>
        <w:gridCol w:w="360"/>
        <w:gridCol w:w="362"/>
        <w:gridCol w:w="361"/>
        <w:gridCol w:w="361"/>
        <w:gridCol w:w="363"/>
        <w:gridCol w:w="362"/>
        <w:gridCol w:w="361"/>
        <w:gridCol w:w="362"/>
        <w:gridCol w:w="362"/>
        <w:gridCol w:w="361"/>
        <w:gridCol w:w="363"/>
        <w:gridCol w:w="362"/>
        <w:gridCol w:w="361"/>
        <w:gridCol w:w="362"/>
        <w:gridCol w:w="362"/>
        <w:gridCol w:w="361"/>
        <w:gridCol w:w="363"/>
        <w:gridCol w:w="362"/>
        <w:gridCol w:w="361"/>
        <w:gridCol w:w="362"/>
        <w:gridCol w:w="362"/>
        <w:gridCol w:w="361"/>
        <w:gridCol w:w="362"/>
        <w:gridCol w:w="362"/>
        <w:gridCol w:w="361"/>
        <w:gridCol w:w="362"/>
        <w:gridCol w:w="362"/>
        <w:gridCol w:w="361"/>
        <w:gridCol w:w="461"/>
        <w:gridCol w:w="362"/>
      </w:tblGrid>
      <w:tr w:rsidR="00C7266C" w:rsidRPr="00D403F5" w14:paraId="64B430A3" w14:textId="77777777" w:rsidTr="00C7266C">
        <w:trPr>
          <w:cantSplit/>
          <w:trHeight w:val="3355"/>
        </w:trPr>
        <w:tc>
          <w:tcPr>
            <w:tcW w:w="3099" w:type="dxa"/>
            <w:shd w:val="clear" w:color="auto" w:fill="auto"/>
            <w:textDirection w:val="btLr"/>
            <w:vAlign w:val="bottom"/>
          </w:tcPr>
          <w:p w14:paraId="0FC146F2" w14:textId="77777777" w:rsidR="00C7266C" w:rsidRPr="00D403F5" w:rsidRDefault="00C7266C" w:rsidP="00D403F5">
            <w:pPr>
              <w:spacing w:after="0"/>
              <w:ind w:left="113" w:right="113"/>
              <w:jc w:val="both"/>
              <w:rPr>
                <w:rFonts w:ascii="Garamond" w:hAnsi="Garamond" w:cs="Arial"/>
                <w:color w:val="000000"/>
                <w:sz w:val="18"/>
                <w:szCs w:val="18"/>
                <w:lang w:eastAsia="en-AU"/>
              </w:rPr>
            </w:pPr>
          </w:p>
        </w:tc>
        <w:tc>
          <w:tcPr>
            <w:tcW w:w="363" w:type="dxa"/>
            <w:shd w:val="clear" w:color="auto" w:fill="auto"/>
            <w:tcMar>
              <w:top w:w="28" w:type="dxa"/>
              <w:left w:w="28" w:type="dxa"/>
              <w:bottom w:w="28" w:type="dxa"/>
              <w:right w:w="28" w:type="dxa"/>
            </w:tcMar>
            <w:textDirection w:val="btLr"/>
            <w:vAlign w:val="center"/>
          </w:tcPr>
          <w:p w14:paraId="04CB7A13"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Epizootic haematopoietic necrosis disease</w:t>
            </w:r>
          </w:p>
        </w:tc>
        <w:tc>
          <w:tcPr>
            <w:tcW w:w="364" w:type="dxa"/>
            <w:shd w:val="clear" w:color="auto" w:fill="auto"/>
            <w:tcMar>
              <w:top w:w="28" w:type="dxa"/>
              <w:left w:w="28" w:type="dxa"/>
              <w:bottom w:w="28" w:type="dxa"/>
              <w:right w:w="28" w:type="dxa"/>
            </w:tcMar>
            <w:textDirection w:val="btLr"/>
            <w:vAlign w:val="center"/>
          </w:tcPr>
          <w:p w14:paraId="0D16DB4F"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Epizootic ulcerative syndrome</w:t>
            </w:r>
          </w:p>
        </w:tc>
        <w:tc>
          <w:tcPr>
            <w:tcW w:w="364" w:type="dxa"/>
            <w:shd w:val="clear" w:color="auto" w:fill="auto"/>
            <w:tcMar>
              <w:top w:w="28" w:type="dxa"/>
              <w:left w:w="28" w:type="dxa"/>
              <w:bottom w:w="28" w:type="dxa"/>
              <w:right w:w="28" w:type="dxa"/>
            </w:tcMar>
            <w:textDirection w:val="btLr"/>
            <w:vAlign w:val="center"/>
          </w:tcPr>
          <w:p w14:paraId="40E82636" w14:textId="77777777" w:rsidR="00C7266C" w:rsidRPr="00D403F5" w:rsidRDefault="00C7266C" w:rsidP="00D403F5">
            <w:pPr>
              <w:shd w:val="clear" w:color="auto" w:fill="FAF9F8"/>
              <w:spacing w:after="0"/>
              <w:rPr>
                <w:rFonts w:ascii="Garamond" w:hAnsi="Garamond" w:cs="Arial"/>
                <w:sz w:val="18"/>
                <w:szCs w:val="18"/>
              </w:rPr>
            </w:pPr>
            <w:r w:rsidRPr="00D403F5">
              <w:rPr>
                <w:rFonts w:ascii="Garamond" w:hAnsi="Garamond" w:cs="Arial"/>
                <w:color w:val="000000"/>
                <w:sz w:val="18"/>
                <w:szCs w:val="18"/>
                <w:lang w:eastAsia="en-AU"/>
              </w:rPr>
              <w:t>Infection with </w:t>
            </w:r>
            <w:r w:rsidRPr="00D403F5">
              <w:rPr>
                <w:rFonts w:ascii="Garamond" w:hAnsi="Garamond" w:cs="Arial"/>
                <w:i/>
                <w:iCs/>
                <w:color w:val="000000"/>
                <w:sz w:val="18"/>
                <w:szCs w:val="18"/>
                <w:lang w:eastAsia="en-AU"/>
              </w:rPr>
              <w:t>Gyrodactylus salaris</w:t>
            </w:r>
          </w:p>
        </w:tc>
        <w:tc>
          <w:tcPr>
            <w:tcW w:w="363" w:type="dxa"/>
            <w:shd w:val="clear" w:color="auto" w:fill="auto"/>
            <w:tcMar>
              <w:top w:w="28" w:type="dxa"/>
              <w:left w:w="28" w:type="dxa"/>
              <w:bottom w:w="28" w:type="dxa"/>
              <w:right w:w="28" w:type="dxa"/>
            </w:tcMar>
            <w:textDirection w:val="btLr"/>
            <w:vAlign w:val="center"/>
          </w:tcPr>
          <w:p w14:paraId="250ECE85"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 xml:space="preserve">ISA virus HPR0 and HPR deleted </w:t>
            </w:r>
          </w:p>
        </w:tc>
        <w:tc>
          <w:tcPr>
            <w:tcW w:w="364" w:type="dxa"/>
            <w:shd w:val="clear" w:color="auto" w:fill="auto"/>
            <w:tcMar>
              <w:top w:w="28" w:type="dxa"/>
              <w:left w:w="28" w:type="dxa"/>
              <w:bottom w:w="28" w:type="dxa"/>
              <w:right w:w="28" w:type="dxa"/>
            </w:tcMar>
            <w:textDirection w:val="btLr"/>
            <w:vAlign w:val="center"/>
          </w:tcPr>
          <w:p w14:paraId="4415832E" w14:textId="77777777" w:rsidR="00C7266C" w:rsidRPr="00D403F5" w:rsidRDefault="00C7266C" w:rsidP="00D403F5">
            <w:pPr>
              <w:shd w:val="clear" w:color="auto" w:fill="FAF9F8"/>
              <w:spacing w:after="0"/>
              <w:rPr>
                <w:rFonts w:ascii="Garamond" w:hAnsi="Garamond" w:cs="Arial"/>
                <w:color w:val="000000"/>
                <w:sz w:val="18"/>
                <w:szCs w:val="18"/>
                <w:lang w:eastAsia="en-AU"/>
              </w:rPr>
            </w:pPr>
            <w:r w:rsidRPr="00D403F5">
              <w:rPr>
                <w:rFonts w:ascii="Garamond" w:hAnsi="Garamond" w:cs="Arial"/>
                <w:color w:val="000000"/>
                <w:sz w:val="18"/>
                <w:szCs w:val="18"/>
                <w:lang w:eastAsia="en-AU"/>
              </w:rPr>
              <w:t xml:space="preserve">ISA virus HPR deleted </w:t>
            </w:r>
          </w:p>
        </w:tc>
        <w:tc>
          <w:tcPr>
            <w:tcW w:w="364" w:type="dxa"/>
            <w:shd w:val="clear" w:color="auto" w:fill="auto"/>
            <w:tcMar>
              <w:top w:w="28" w:type="dxa"/>
              <w:left w:w="28" w:type="dxa"/>
              <w:bottom w:w="28" w:type="dxa"/>
              <w:right w:w="28" w:type="dxa"/>
            </w:tcMar>
            <w:textDirection w:val="btLr"/>
            <w:vAlign w:val="center"/>
          </w:tcPr>
          <w:p w14:paraId="085664C4" w14:textId="77777777" w:rsidR="00C7266C" w:rsidRPr="00D403F5" w:rsidRDefault="00C7266C" w:rsidP="00D403F5">
            <w:pPr>
              <w:shd w:val="clear" w:color="auto" w:fill="FAF9F8"/>
              <w:spacing w:after="0"/>
              <w:rPr>
                <w:rFonts w:ascii="Garamond" w:hAnsi="Garamond" w:cs="Arial"/>
                <w:sz w:val="18"/>
                <w:szCs w:val="18"/>
              </w:rPr>
            </w:pPr>
            <w:r w:rsidRPr="00D403F5">
              <w:rPr>
                <w:rFonts w:ascii="Garamond" w:hAnsi="Garamond" w:cs="Arial"/>
                <w:color w:val="000000"/>
                <w:sz w:val="18"/>
                <w:szCs w:val="18"/>
                <w:lang w:eastAsia="en-AU"/>
              </w:rPr>
              <w:t>Infection with salmonid alphavirus</w:t>
            </w:r>
          </w:p>
        </w:tc>
        <w:tc>
          <w:tcPr>
            <w:tcW w:w="363" w:type="dxa"/>
            <w:shd w:val="clear" w:color="auto" w:fill="auto"/>
            <w:tcMar>
              <w:top w:w="28" w:type="dxa"/>
              <w:left w:w="28" w:type="dxa"/>
              <w:bottom w:w="28" w:type="dxa"/>
              <w:right w:w="28" w:type="dxa"/>
            </w:tcMar>
            <w:textDirection w:val="btLr"/>
            <w:vAlign w:val="center"/>
          </w:tcPr>
          <w:p w14:paraId="756459A3" w14:textId="77777777" w:rsidR="00C7266C" w:rsidRPr="00D403F5" w:rsidRDefault="00C7266C" w:rsidP="00D403F5">
            <w:pPr>
              <w:shd w:val="clear" w:color="auto" w:fill="FAF9F8"/>
              <w:spacing w:after="0"/>
              <w:rPr>
                <w:rFonts w:ascii="Garamond" w:hAnsi="Garamond" w:cs="Arial"/>
                <w:sz w:val="18"/>
                <w:szCs w:val="18"/>
              </w:rPr>
            </w:pPr>
            <w:r w:rsidRPr="00D403F5">
              <w:rPr>
                <w:rFonts w:ascii="Garamond" w:hAnsi="Garamond" w:cs="Arial"/>
                <w:color w:val="000000"/>
                <w:sz w:val="18"/>
                <w:szCs w:val="18"/>
                <w:lang w:eastAsia="en-AU"/>
              </w:rPr>
              <w:t>Infectious haematopoietic necrosis</w:t>
            </w:r>
          </w:p>
        </w:tc>
        <w:tc>
          <w:tcPr>
            <w:tcW w:w="364" w:type="dxa"/>
            <w:shd w:val="clear" w:color="auto" w:fill="auto"/>
            <w:tcMar>
              <w:top w:w="28" w:type="dxa"/>
              <w:left w:w="28" w:type="dxa"/>
              <w:bottom w:w="28" w:type="dxa"/>
              <w:right w:w="28" w:type="dxa"/>
            </w:tcMar>
            <w:textDirection w:val="btLr"/>
            <w:vAlign w:val="center"/>
          </w:tcPr>
          <w:p w14:paraId="25CFC963" w14:textId="77777777" w:rsidR="00C7266C" w:rsidRPr="00D403F5" w:rsidRDefault="00C7266C" w:rsidP="00D403F5">
            <w:pPr>
              <w:shd w:val="clear" w:color="auto" w:fill="FAF9F8"/>
              <w:spacing w:after="0"/>
              <w:rPr>
                <w:rFonts w:ascii="Garamond" w:hAnsi="Garamond" w:cs="Arial"/>
                <w:sz w:val="18"/>
                <w:szCs w:val="18"/>
              </w:rPr>
            </w:pPr>
            <w:r w:rsidRPr="00D403F5">
              <w:rPr>
                <w:rFonts w:ascii="Garamond" w:hAnsi="Garamond" w:cs="Arial"/>
                <w:color w:val="000000"/>
                <w:sz w:val="18"/>
                <w:szCs w:val="18"/>
                <w:lang w:eastAsia="en-AU"/>
              </w:rPr>
              <w:t>Koi herpesvirus disease</w:t>
            </w:r>
          </w:p>
        </w:tc>
        <w:tc>
          <w:tcPr>
            <w:tcW w:w="364" w:type="dxa"/>
            <w:shd w:val="clear" w:color="auto" w:fill="auto"/>
            <w:tcMar>
              <w:top w:w="28" w:type="dxa"/>
              <w:left w:w="28" w:type="dxa"/>
              <w:bottom w:w="28" w:type="dxa"/>
              <w:right w:w="28" w:type="dxa"/>
            </w:tcMar>
            <w:textDirection w:val="btLr"/>
            <w:vAlign w:val="center"/>
          </w:tcPr>
          <w:p w14:paraId="2F6DA884" w14:textId="77777777" w:rsidR="00C7266C" w:rsidRPr="00D403F5" w:rsidRDefault="00C7266C" w:rsidP="00D403F5">
            <w:pPr>
              <w:shd w:val="clear" w:color="auto" w:fill="FAF9F8"/>
              <w:spacing w:after="0"/>
              <w:rPr>
                <w:rFonts w:ascii="Garamond" w:hAnsi="Garamond" w:cs="Arial"/>
                <w:sz w:val="18"/>
                <w:szCs w:val="18"/>
              </w:rPr>
            </w:pPr>
            <w:r w:rsidRPr="00D403F5">
              <w:rPr>
                <w:rFonts w:ascii="Garamond" w:hAnsi="Garamond" w:cs="Arial"/>
                <w:color w:val="000000"/>
                <w:sz w:val="18"/>
                <w:szCs w:val="18"/>
                <w:lang w:eastAsia="en-AU"/>
              </w:rPr>
              <w:t>Red sea bream iridoviral disease</w:t>
            </w:r>
          </w:p>
        </w:tc>
        <w:tc>
          <w:tcPr>
            <w:tcW w:w="363" w:type="dxa"/>
            <w:shd w:val="clear" w:color="auto" w:fill="auto"/>
            <w:tcMar>
              <w:top w:w="28" w:type="dxa"/>
              <w:left w:w="28" w:type="dxa"/>
              <w:bottom w:w="28" w:type="dxa"/>
              <w:right w:w="28" w:type="dxa"/>
            </w:tcMar>
            <w:textDirection w:val="btLr"/>
            <w:vAlign w:val="center"/>
          </w:tcPr>
          <w:p w14:paraId="1CE6A9B8" w14:textId="77777777" w:rsidR="00C7266C" w:rsidRPr="00D403F5" w:rsidRDefault="00C7266C" w:rsidP="00D403F5">
            <w:pPr>
              <w:shd w:val="clear" w:color="auto" w:fill="FAF9F8"/>
              <w:spacing w:after="0"/>
              <w:rPr>
                <w:rFonts w:ascii="Garamond" w:hAnsi="Garamond" w:cs="Arial"/>
                <w:sz w:val="18"/>
                <w:szCs w:val="18"/>
              </w:rPr>
            </w:pPr>
            <w:r w:rsidRPr="00D403F5">
              <w:rPr>
                <w:rFonts w:ascii="Garamond" w:hAnsi="Garamond" w:cs="Arial"/>
                <w:color w:val="000000"/>
                <w:sz w:val="18"/>
                <w:szCs w:val="18"/>
                <w:lang w:eastAsia="en-AU"/>
              </w:rPr>
              <w:t>Spring viraemia of carp</w:t>
            </w:r>
          </w:p>
        </w:tc>
        <w:tc>
          <w:tcPr>
            <w:tcW w:w="364" w:type="dxa"/>
            <w:shd w:val="clear" w:color="auto" w:fill="auto"/>
            <w:tcMar>
              <w:top w:w="28" w:type="dxa"/>
              <w:left w:w="28" w:type="dxa"/>
              <w:bottom w:w="28" w:type="dxa"/>
              <w:right w:w="28" w:type="dxa"/>
            </w:tcMar>
            <w:textDirection w:val="btLr"/>
            <w:vAlign w:val="center"/>
          </w:tcPr>
          <w:p w14:paraId="5809C28C"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Viral haemorrhagic septicaemia</w:t>
            </w:r>
          </w:p>
        </w:tc>
        <w:tc>
          <w:tcPr>
            <w:tcW w:w="364" w:type="dxa"/>
            <w:shd w:val="clear" w:color="auto" w:fill="auto"/>
            <w:tcMar>
              <w:top w:w="28" w:type="dxa"/>
              <w:left w:w="28" w:type="dxa"/>
              <w:bottom w:w="28" w:type="dxa"/>
              <w:right w:w="28" w:type="dxa"/>
            </w:tcMar>
            <w:textDirection w:val="btLr"/>
            <w:vAlign w:val="center"/>
          </w:tcPr>
          <w:p w14:paraId="09795260"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abalone herpesvirus</w:t>
            </w:r>
          </w:p>
        </w:tc>
        <w:tc>
          <w:tcPr>
            <w:tcW w:w="363" w:type="dxa"/>
            <w:shd w:val="clear" w:color="auto" w:fill="auto"/>
            <w:tcMar>
              <w:top w:w="28" w:type="dxa"/>
              <w:left w:w="28" w:type="dxa"/>
              <w:bottom w:w="28" w:type="dxa"/>
              <w:right w:w="28" w:type="dxa"/>
            </w:tcMar>
            <w:textDirection w:val="btLr"/>
            <w:vAlign w:val="center"/>
          </w:tcPr>
          <w:p w14:paraId="0E59D45E"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w:t>
            </w:r>
            <w:r w:rsidRPr="00D403F5">
              <w:rPr>
                <w:rFonts w:ascii="Garamond" w:hAnsi="Garamond" w:cs="Arial"/>
                <w:i/>
                <w:iCs/>
                <w:color w:val="000000"/>
                <w:sz w:val="18"/>
                <w:szCs w:val="18"/>
                <w:lang w:eastAsia="en-AU"/>
              </w:rPr>
              <w:t>Bonamia ostreae</w:t>
            </w:r>
          </w:p>
        </w:tc>
        <w:tc>
          <w:tcPr>
            <w:tcW w:w="364" w:type="dxa"/>
            <w:shd w:val="clear" w:color="auto" w:fill="auto"/>
            <w:tcMar>
              <w:top w:w="28" w:type="dxa"/>
              <w:left w:w="28" w:type="dxa"/>
              <w:bottom w:w="28" w:type="dxa"/>
              <w:right w:w="28" w:type="dxa"/>
            </w:tcMar>
            <w:textDirection w:val="btLr"/>
            <w:vAlign w:val="center"/>
          </w:tcPr>
          <w:p w14:paraId="2734C310"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w:t>
            </w:r>
            <w:r w:rsidRPr="00D403F5">
              <w:rPr>
                <w:rFonts w:ascii="Garamond" w:hAnsi="Garamond" w:cs="Arial"/>
                <w:i/>
                <w:iCs/>
                <w:color w:val="000000"/>
                <w:sz w:val="18"/>
                <w:szCs w:val="18"/>
                <w:lang w:eastAsia="en-AU"/>
              </w:rPr>
              <w:t> Bonamia exitiosa</w:t>
            </w:r>
          </w:p>
        </w:tc>
        <w:tc>
          <w:tcPr>
            <w:tcW w:w="364" w:type="dxa"/>
            <w:shd w:val="clear" w:color="auto" w:fill="auto"/>
            <w:tcMar>
              <w:top w:w="28" w:type="dxa"/>
              <w:left w:w="28" w:type="dxa"/>
              <w:bottom w:w="28" w:type="dxa"/>
              <w:right w:w="28" w:type="dxa"/>
            </w:tcMar>
            <w:textDirection w:val="btLr"/>
            <w:vAlign w:val="center"/>
          </w:tcPr>
          <w:p w14:paraId="2E2BF708"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w:t>
            </w:r>
            <w:r w:rsidRPr="00D403F5">
              <w:rPr>
                <w:rFonts w:ascii="Garamond" w:hAnsi="Garamond" w:cs="Arial"/>
                <w:i/>
                <w:iCs/>
                <w:color w:val="000000"/>
                <w:sz w:val="18"/>
                <w:szCs w:val="18"/>
                <w:lang w:eastAsia="en-AU"/>
              </w:rPr>
              <w:t>Marteilia refringens</w:t>
            </w:r>
          </w:p>
        </w:tc>
        <w:tc>
          <w:tcPr>
            <w:tcW w:w="363" w:type="dxa"/>
            <w:shd w:val="clear" w:color="auto" w:fill="auto"/>
            <w:tcMar>
              <w:top w:w="28" w:type="dxa"/>
              <w:left w:w="28" w:type="dxa"/>
              <w:bottom w:w="28" w:type="dxa"/>
              <w:right w:w="28" w:type="dxa"/>
            </w:tcMar>
            <w:textDirection w:val="btLr"/>
            <w:vAlign w:val="center"/>
          </w:tcPr>
          <w:p w14:paraId="67B0CCEA"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w:t>
            </w:r>
            <w:r w:rsidRPr="00D403F5">
              <w:rPr>
                <w:rFonts w:ascii="Garamond" w:hAnsi="Garamond" w:cs="Arial"/>
                <w:i/>
                <w:iCs/>
                <w:color w:val="000000"/>
                <w:sz w:val="18"/>
                <w:szCs w:val="18"/>
                <w:lang w:eastAsia="en-AU"/>
              </w:rPr>
              <w:t>Perkinsus marinus</w:t>
            </w:r>
          </w:p>
        </w:tc>
        <w:tc>
          <w:tcPr>
            <w:tcW w:w="364" w:type="dxa"/>
            <w:shd w:val="clear" w:color="auto" w:fill="auto"/>
            <w:tcMar>
              <w:top w:w="28" w:type="dxa"/>
              <w:left w:w="28" w:type="dxa"/>
              <w:bottom w:w="28" w:type="dxa"/>
              <w:right w:w="28" w:type="dxa"/>
            </w:tcMar>
            <w:textDirection w:val="btLr"/>
            <w:vAlign w:val="center"/>
          </w:tcPr>
          <w:p w14:paraId="04B21324"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w:t>
            </w:r>
            <w:r w:rsidRPr="00D403F5">
              <w:rPr>
                <w:rFonts w:ascii="Garamond" w:hAnsi="Garamond" w:cs="Arial"/>
                <w:i/>
                <w:iCs/>
                <w:color w:val="000000"/>
                <w:sz w:val="18"/>
                <w:szCs w:val="18"/>
                <w:lang w:eastAsia="en-AU"/>
              </w:rPr>
              <w:t>Perkinsus olseni</w:t>
            </w:r>
          </w:p>
        </w:tc>
        <w:tc>
          <w:tcPr>
            <w:tcW w:w="364" w:type="dxa"/>
            <w:shd w:val="clear" w:color="auto" w:fill="auto"/>
            <w:tcMar>
              <w:top w:w="28" w:type="dxa"/>
              <w:left w:w="28" w:type="dxa"/>
              <w:bottom w:w="28" w:type="dxa"/>
              <w:right w:w="28" w:type="dxa"/>
            </w:tcMar>
            <w:textDirection w:val="btLr"/>
            <w:vAlign w:val="center"/>
          </w:tcPr>
          <w:p w14:paraId="3E94EF4B"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w:t>
            </w:r>
            <w:r w:rsidRPr="00D403F5">
              <w:rPr>
                <w:rFonts w:ascii="Garamond" w:hAnsi="Garamond" w:cs="Arial"/>
                <w:i/>
                <w:iCs/>
                <w:color w:val="000000"/>
                <w:sz w:val="18"/>
                <w:szCs w:val="18"/>
                <w:lang w:eastAsia="en-AU"/>
              </w:rPr>
              <w:t> Xenohaliotis californiensis</w:t>
            </w:r>
          </w:p>
        </w:tc>
        <w:tc>
          <w:tcPr>
            <w:tcW w:w="363" w:type="dxa"/>
            <w:shd w:val="clear" w:color="auto" w:fill="auto"/>
            <w:tcMar>
              <w:top w:w="28" w:type="dxa"/>
              <w:left w:w="28" w:type="dxa"/>
              <w:bottom w:w="28" w:type="dxa"/>
              <w:right w:w="28" w:type="dxa"/>
            </w:tcMar>
            <w:textDirection w:val="btLr"/>
            <w:vAlign w:val="center"/>
          </w:tcPr>
          <w:p w14:paraId="72ACF852"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Acute hepatopancreatic necrosis disease</w:t>
            </w:r>
          </w:p>
        </w:tc>
        <w:tc>
          <w:tcPr>
            <w:tcW w:w="364" w:type="dxa"/>
            <w:shd w:val="clear" w:color="auto" w:fill="auto"/>
            <w:tcMar>
              <w:top w:w="28" w:type="dxa"/>
              <w:left w:w="28" w:type="dxa"/>
              <w:bottom w:w="28" w:type="dxa"/>
              <w:right w:w="28" w:type="dxa"/>
            </w:tcMar>
            <w:textDirection w:val="btLr"/>
            <w:vAlign w:val="center"/>
          </w:tcPr>
          <w:p w14:paraId="70BF4717"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 xml:space="preserve">Crayfish plague </w:t>
            </w:r>
            <w:r w:rsidRPr="00D403F5">
              <w:rPr>
                <w:rFonts w:ascii="Garamond" w:hAnsi="Garamond" w:cs="Arial"/>
                <w:i/>
                <w:color w:val="000000"/>
                <w:sz w:val="18"/>
                <w:szCs w:val="18"/>
                <w:lang w:eastAsia="en-AU"/>
              </w:rPr>
              <w:t>(</w:t>
            </w:r>
            <w:r w:rsidRPr="00D403F5">
              <w:rPr>
                <w:rFonts w:ascii="Garamond" w:hAnsi="Garamond" w:cs="Arial"/>
                <w:i/>
                <w:iCs/>
                <w:color w:val="000000"/>
                <w:sz w:val="18"/>
                <w:szCs w:val="18"/>
                <w:lang w:eastAsia="en-AU"/>
              </w:rPr>
              <w:t>Aphanomyces astaci</w:t>
            </w:r>
            <w:r w:rsidRPr="00D403F5">
              <w:rPr>
                <w:rFonts w:ascii="Garamond" w:hAnsi="Garamond" w:cs="Arial"/>
                <w:i/>
                <w:color w:val="000000"/>
                <w:sz w:val="18"/>
                <w:szCs w:val="18"/>
                <w:lang w:eastAsia="en-AU"/>
              </w:rPr>
              <w:t>)</w:t>
            </w:r>
          </w:p>
        </w:tc>
        <w:tc>
          <w:tcPr>
            <w:tcW w:w="364" w:type="dxa"/>
            <w:shd w:val="clear" w:color="auto" w:fill="auto"/>
            <w:tcMar>
              <w:top w:w="28" w:type="dxa"/>
              <w:left w:w="28" w:type="dxa"/>
              <w:bottom w:w="28" w:type="dxa"/>
              <w:right w:w="28" w:type="dxa"/>
            </w:tcMar>
            <w:textDirection w:val="btLr"/>
            <w:vAlign w:val="center"/>
          </w:tcPr>
          <w:p w14:paraId="75172D5F"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yellow head virus</w:t>
            </w:r>
          </w:p>
        </w:tc>
        <w:tc>
          <w:tcPr>
            <w:tcW w:w="363" w:type="dxa"/>
            <w:shd w:val="clear" w:color="auto" w:fill="auto"/>
            <w:tcMar>
              <w:top w:w="28" w:type="dxa"/>
              <w:left w:w="28" w:type="dxa"/>
              <w:bottom w:w="28" w:type="dxa"/>
              <w:right w:w="28" w:type="dxa"/>
            </w:tcMar>
            <w:textDirection w:val="btLr"/>
            <w:vAlign w:val="center"/>
          </w:tcPr>
          <w:p w14:paraId="153484A2"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Infectious hypodermal and haematopoietic necrosis</w:t>
            </w:r>
          </w:p>
        </w:tc>
        <w:tc>
          <w:tcPr>
            <w:tcW w:w="364" w:type="dxa"/>
            <w:shd w:val="clear" w:color="auto" w:fill="auto"/>
            <w:tcMar>
              <w:top w:w="28" w:type="dxa"/>
              <w:left w:w="28" w:type="dxa"/>
              <w:bottom w:w="28" w:type="dxa"/>
              <w:right w:w="28" w:type="dxa"/>
            </w:tcMar>
            <w:textDirection w:val="btLr"/>
            <w:vAlign w:val="center"/>
          </w:tcPr>
          <w:p w14:paraId="1AD0FCB7"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Infectious myonecrosis</w:t>
            </w:r>
          </w:p>
        </w:tc>
        <w:tc>
          <w:tcPr>
            <w:tcW w:w="364" w:type="dxa"/>
            <w:shd w:val="clear" w:color="auto" w:fill="auto"/>
            <w:tcMar>
              <w:top w:w="28" w:type="dxa"/>
              <w:left w:w="28" w:type="dxa"/>
              <w:bottom w:w="28" w:type="dxa"/>
              <w:right w:w="28" w:type="dxa"/>
            </w:tcMar>
            <w:textDirection w:val="btLr"/>
            <w:vAlign w:val="center"/>
          </w:tcPr>
          <w:p w14:paraId="5E7BC55B"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Necrotising hepatopancreatitis</w:t>
            </w:r>
          </w:p>
        </w:tc>
        <w:tc>
          <w:tcPr>
            <w:tcW w:w="363" w:type="dxa"/>
            <w:shd w:val="clear" w:color="auto" w:fill="auto"/>
            <w:tcMar>
              <w:top w:w="28" w:type="dxa"/>
              <w:left w:w="28" w:type="dxa"/>
              <w:bottom w:w="28" w:type="dxa"/>
              <w:right w:w="28" w:type="dxa"/>
            </w:tcMar>
            <w:textDirection w:val="btLr"/>
            <w:vAlign w:val="center"/>
          </w:tcPr>
          <w:p w14:paraId="4D4F1BD5"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Taura syndrome</w:t>
            </w:r>
          </w:p>
        </w:tc>
        <w:tc>
          <w:tcPr>
            <w:tcW w:w="364" w:type="dxa"/>
            <w:shd w:val="clear" w:color="auto" w:fill="auto"/>
            <w:tcMar>
              <w:top w:w="28" w:type="dxa"/>
              <w:left w:w="28" w:type="dxa"/>
              <w:bottom w:w="28" w:type="dxa"/>
              <w:right w:w="28" w:type="dxa"/>
            </w:tcMar>
            <w:textDirection w:val="btLr"/>
            <w:vAlign w:val="center"/>
          </w:tcPr>
          <w:p w14:paraId="6EEBAA2B"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White spot disease</w:t>
            </w:r>
          </w:p>
        </w:tc>
        <w:tc>
          <w:tcPr>
            <w:tcW w:w="364" w:type="dxa"/>
            <w:shd w:val="clear" w:color="auto" w:fill="auto"/>
            <w:tcMar>
              <w:top w:w="28" w:type="dxa"/>
              <w:left w:w="28" w:type="dxa"/>
              <w:bottom w:w="28" w:type="dxa"/>
              <w:right w:w="28" w:type="dxa"/>
            </w:tcMar>
            <w:textDirection w:val="btLr"/>
            <w:vAlign w:val="center"/>
          </w:tcPr>
          <w:p w14:paraId="61EC341F"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White tail disease</w:t>
            </w:r>
          </w:p>
        </w:tc>
        <w:tc>
          <w:tcPr>
            <w:tcW w:w="363" w:type="dxa"/>
            <w:shd w:val="clear" w:color="auto" w:fill="auto"/>
            <w:tcMar>
              <w:top w:w="28" w:type="dxa"/>
              <w:left w:w="28" w:type="dxa"/>
              <w:bottom w:w="28" w:type="dxa"/>
              <w:right w:w="28" w:type="dxa"/>
            </w:tcMar>
            <w:textDirection w:val="btLr"/>
            <w:vAlign w:val="center"/>
          </w:tcPr>
          <w:p w14:paraId="3D9876E2"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w:t>
            </w:r>
            <w:r w:rsidRPr="00D403F5">
              <w:rPr>
                <w:rFonts w:ascii="Garamond" w:hAnsi="Garamond" w:cs="Arial"/>
                <w:i/>
                <w:iCs/>
                <w:color w:val="000000"/>
                <w:sz w:val="18"/>
                <w:szCs w:val="18"/>
                <w:lang w:eastAsia="en-AU"/>
              </w:rPr>
              <w:t>B. dendrobatidis</w:t>
            </w:r>
          </w:p>
        </w:tc>
        <w:tc>
          <w:tcPr>
            <w:tcW w:w="364" w:type="dxa"/>
            <w:shd w:val="clear" w:color="auto" w:fill="auto"/>
            <w:textDirection w:val="btLr"/>
            <w:vAlign w:val="center"/>
          </w:tcPr>
          <w:p w14:paraId="1D158BFA" w14:textId="77777777" w:rsidR="00C7266C" w:rsidRPr="00D403F5" w:rsidRDefault="00C7266C" w:rsidP="00D403F5">
            <w:pPr>
              <w:spacing w:after="0"/>
              <w:rPr>
                <w:rFonts w:ascii="Garamond" w:hAnsi="Garamond" w:cs="Arial"/>
                <w:color w:val="000000"/>
                <w:sz w:val="18"/>
                <w:szCs w:val="18"/>
                <w:lang w:eastAsia="en-AU"/>
              </w:rPr>
            </w:pPr>
            <w:r w:rsidRPr="00D403F5">
              <w:rPr>
                <w:rFonts w:ascii="Garamond" w:hAnsi="Garamond" w:cs="Arial"/>
                <w:color w:val="000000"/>
                <w:sz w:val="18"/>
                <w:szCs w:val="18"/>
                <w:lang w:eastAsia="en-AU"/>
              </w:rPr>
              <w:t>Infection with </w:t>
            </w:r>
            <w:r w:rsidRPr="00D403F5">
              <w:rPr>
                <w:rFonts w:ascii="Garamond" w:hAnsi="Garamond" w:cs="Arial"/>
                <w:i/>
                <w:iCs/>
                <w:color w:val="000000"/>
                <w:sz w:val="18"/>
                <w:szCs w:val="18"/>
                <w:lang w:eastAsia="en-AU"/>
              </w:rPr>
              <w:t>B. salamandrivorans</w:t>
            </w:r>
          </w:p>
        </w:tc>
        <w:tc>
          <w:tcPr>
            <w:tcW w:w="364" w:type="dxa"/>
            <w:shd w:val="clear" w:color="auto" w:fill="auto"/>
            <w:tcMar>
              <w:top w:w="28" w:type="dxa"/>
              <w:left w:w="28" w:type="dxa"/>
              <w:bottom w:w="28" w:type="dxa"/>
              <w:right w:w="28" w:type="dxa"/>
            </w:tcMar>
            <w:textDirection w:val="btLr"/>
            <w:vAlign w:val="center"/>
          </w:tcPr>
          <w:p w14:paraId="5EA7C16C" w14:textId="77777777" w:rsidR="00C7266C" w:rsidRPr="00D403F5" w:rsidRDefault="00C7266C" w:rsidP="00D403F5">
            <w:pPr>
              <w:spacing w:after="0"/>
              <w:rPr>
                <w:rFonts w:ascii="Garamond" w:hAnsi="Garamond" w:cs="Arial"/>
                <w:sz w:val="18"/>
                <w:szCs w:val="18"/>
              </w:rPr>
            </w:pPr>
            <w:r w:rsidRPr="00D403F5">
              <w:rPr>
                <w:rFonts w:ascii="Garamond" w:hAnsi="Garamond" w:cs="Arial"/>
                <w:color w:val="000000"/>
                <w:sz w:val="18"/>
                <w:szCs w:val="18"/>
                <w:lang w:eastAsia="en-AU"/>
              </w:rPr>
              <w:t>Infection with ranavirus</w:t>
            </w:r>
          </w:p>
        </w:tc>
      </w:tr>
      <w:tr w:rsidR="00C7266C" w:rsidRPr="00D403F5" w14:paraId="2227342D" w14:textId="77777777" w:rsidTr="00C7266C">
        <w:trPr>
          <w:trHeight w:val="465"/>
        </w:trPr>
        <w:tc>
          <w:tcPr>
            <w:tcW w:w="3099" w:type="dxa"/>
            <w:shd w:val="clear" w:color="auto" w:fill="auto"/>
            <w:vAlign w:val="center"/>
          </w:tcPr>
          <w:p w14:paraId="6FBAC656" w14:textId="77777777" w:rsidR="00C7266C" w:rsidRPr="00D403F5" w:rsidRDefault="00C7266C" w:rsidP="00D403F5">
            <w:pPr>
              <w:spacing w:after="0"/>
              <w:ind w:left="284" w:hanging="284"/>
              <w:rPr>
                <w:rFonts w:ascii="Garamond" w:hAnsi="Garamond" w:cs="Arial"/>
                <w:b/>
                <w:sz w:val="18"/>
                <w:szCs w:val="18"/>
              </w:rPr>
            </w:pPr>
            <w:r w:rsidRPr="00D403F5">
              <w:rPr>
                <w:rFonts w:ascii="Garamond" w:hAnsi="Garamond" w:cs="Arial"/>
                <w:b/>
                <w:sz w:val="18"/>
                <w:szCs w:val="18"/>
              </w:rPr>
              <w:t>1.</w:t>
            </w:r>
            <w:r w:rsidRPr="00D403F5">
              <w:rPr>
                <w:rFonts w:ascii="Garamond" w:hAnsi="Garamond" w:cs="Arial"/>
                <w:b/>
                <w:sz w:val="18"/>
                <w:szCs w:val="18"/>
              </w:rPr>
              <w:tab/>
              <w:t xml:space="preserve">Absence of </w:t>
            </w:r>
            <w:r w:rsidRPr="00D403F5">
              <w:rPr>
                <w:rFonts w:ascii="Garamond" w:hAnsi="Garamond" w:cs="Arial"/>
                <w:b/>
                <w:i/>
                <w:sz w:val="18"/>
                <w:szCs w:val="18"/>
              </w:rPr>
              <w:t>susceptible species</w:t>
            </w:r>
          </w:p>
        </w:tc>
        <w:tc>
          <w:tcPr>
            <w:tcW w:w="363" w:type="dxa"/>
            <w:shd w:val="clear" w:color="auto" w:fill="auto"/>
            <w:tcMar>
              <w:top w:w="28" w:type="dxa"/>
              <w:left w:w="28" w:type="dxa"/>
              <w:bottom w:w="28" w:type="dxa"/>
              <w:right w:w="28" w:type="dxa"/>
            </w:tcMar>
            <w:vAlign w:val="center"/>
          </w:tcPr>
          <w:p w14:paraId="6B57CB5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221FE9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NA</w:t>
            </w:r>
          </w:p>
        </w:tc>
        <w:tc>
          <w:tcPr>
            <w:tcW w:w="364" w:type="dxa"/>
            <w:shd w:val="clear" w:color="auto" w:fill="auto"/>
            <w:tcMar>
              <w:top w:w="28" w:type="dxa"/>
              <w:left w:w="28" w:type="dxa"/>
              <w:bottom w:w="28" w:type="dxa"/>
              <w:right w:w="28" w:type="dxa"/>
            </w:tcMar>
            <w:vAlign w:val="center"/>
          </w:tcPr>
          <w:p w14:paraId="0D2FA85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7858E24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04ED6FC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NA</w:t>
            </w:r>
          </w:p>
        </w:tc>
        <w:tc>
          <w:tcPr>
            <w:tcW w:w="364" w:type="dxa"/>
            <w:shd w:val="clear" w:color="auto" w:fill="auto"/>
            <w:tcMar>
              <w:top w:w="28" w:type="dxa"/>
              <w:left w:w="28" w:type="dxa"/>
              <w:bottom w:w="28" w:type="dxa"/>
              <w:right w:w="28" w:type="dxa"/>
            </w:tcMar>
            <w:vAlign w:val="center"/>
          </w:tcPr>
          <w:p w14:paraId="23E5B867"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3EE0071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337D7FC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09C07D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2CE61B2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2AB67E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NA</w:t>
            </w:r>
          </w:p>
        </w:tc>
        <w:tc>
          <w:tcPr>
            <w:tcW w:w="364" w:type="dxa"/>
            <w:shd w:val="clear" w:color="auto" w:fill="auto"/>
            <w:tcMar>
              <w:top w:w="28" w:type="dxa"/>
              <w:left w:w="28" w:type="dxa"/>
              <w:bottom w:w="28" w:type="dxa"/>
              <w:right w:w="28" w:type="dxa"/>
            </w:tcMar>
            <w:vAlign w:val="center"/>
          </w:tcPr>
          <w:p w14:paraId="54BCE0A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6D025BA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0E83D7D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2FCEED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6C6442E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5D66FDE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NA</w:t>
            </w:r>
          </w:p>
        </w:tc>
        <w:tc>
          <w:tcPr>
            <w:tcW w:w="364" w:type="dxa"/>
            <w:shd w:val="clear" w:color="auto" w:fill="auto"/>
            <w:tcMar>
              <w:top w:w="28" w:type="dxa"/>
              <w:left w:w="28" w:type="dxa"/>
              <w:bottom w:w="28" w:type="dxa"/>
              <w:right w:w="28" w:type="dxa"/>
            </w:tcMar>
            <w:vAlign w:val="center"/>
          </w:tcPr>
          <w:p w14:paraId="5327F92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3F8E7D1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86214C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45C4EBD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2E97879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063A984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0F1D55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2892E8E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6FE1F3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E006262"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6FCB4EE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vAlign w:val="center"/>
          </w:tcPr>
          <w:p w14:paraId="659EACC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357962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r>
      <w:tr w:rsidR="00C7266C" w:rsidRPr="00D403F5" w14:paraId="7923E453" w14:textId="77777777" w:rsidTr="00C7266C">
        <w:trPr>
          <w:trHeight w:val="473"/>
        </w:trPr>
        <w:tc>
          <w:tcPr>
            <w:tcW w:w="3099" w:type="dxa"/>
            <w:shd w:val="clear" w:color="auto" w:fill="auto"/>
            <w:vAlign w:val="center"/>
          </w:tcPr>
          <w:p w14:paraId="55096110" w14:textId="77777777" w:rsidR="00C7266C" w:rsidRPr="00D403F5" w:rsidRDefault="00C7266C" w:rsidP="00D403F5">
            <w:pPr>
              <w:spacing w:after="0"/>
              <w:ind w:left="284" w:hanging="284"/>
              <w:rPr>
                <w:rFonts w:ascii="Garamond" w:hAnsi="Garamond" w:cs="Arial"/>
                <w:b/>
                <w:sz w:val="18"/>
                <w:szCs w:val="18"/>
              </w:rPr>
            </w:pPr>
            <w:r w:rsidRPr="00D403F5">
              <w:rPr>
                <w:rFonts w:ascii="Garamond" w:hAnsi="Garamond" w:cs="Arial"/>
                <w:b/>
                <w:sz w:val="18"/>
                <w:szCs w:val="18"/>
              </w:rPr>
              <w:t>2.</w:t>
            </w:r>
            <w:r w:rsidRPr="00D403F5">
              <w:rPr>
                <w:rFonts w:ascii="Garamond" w:hAnsi="Garamond" w:cs="Arial"/>
                <w:b/>
                <w:sz w:val="18"/>
                <w:szCs w:val="18"/>
              </w:rPr>
              <w:tab/>
              <w:t>Historical freedom</w:t>
            </w:r>
          </w:p>
        </w:tc>
        <w:tc>
          <w:tcPr>
            <w:tcW w:w="363" w:type="dxa"/>
            <w:shd w:val="clear" w:color="auto" w:fill="D9D9D9"/>
            <w:tcMar>
              <w:top w:w="28" w:type="dxa"/>
              <w:left w:w="28" w:type="dxa"/>
              <w:bottom w:w="28" w:type="dxa"/>
              <w:right w:w="28" w:type="dxa"/>
            </w:tcMar>
            <w:vAlign w:val="center"/>
          </w:tcPr>
          <w:p w14:paraId="63DD7DEC"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334C224"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5A08BF23"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1C997650"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65C914F"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683F7104"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64DFA72E"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731D6BCC"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ABD5404"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5C4CEE4D"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0E5ED971"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67C872E1"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0FEC0FBC"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6E246BA5"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06429CAB"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44810C09"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25B78CCA"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0DA0DADB"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6EF8C33F"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586730DC"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09CA5432"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320CC7B3"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2F55E715"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0D8EEE4B"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3F5868AC"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3DB45584"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A418A49"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4F62EA7C"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vAlign w:val="center"/>
          </w:tcPr>
          <w:p w14:paraId="20CA7A54"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12C3B5D8" w14:textId="77777777" w:rsidR="00C7266C" w:rsidRPr="00D403F5" w:rsidRDefault="00C7266C" w:rsidP="00D403F5">
            <w:pPr>
              <w:spacing w:after="0"/>
              <w:jc w:val="center"/>
              <w:rPr>
                <w:rFonts w:ascii="Garamond" w:hAnsi="Garamond" w:cs="Arial"/>
                <w:sz w:val="18"/>
                <w:szCs w:val="18"/>
              </w:rPr>
            </w:pPr>
          </w:p>
        </w:tc>
      </w:tr>
      <w:tr w:rsidR="00C7266C" w:rsidRPr="00D403F5" w14:paraId="24B3ED27" w14:textId="77777777" w:rsidTr="00C7266C">
        <w:trPr>
          <w:trHeight w:val="515"/>
        </w:trPr>
        <w:tc>
          <w:tcPr>
            <w:tcW w:w="3099" w:type="dxa"/>
            <w:shd w:val="clear" w:color="auto" w:fill="auto"/>
            <w:vAlign w:val="center"/>
          </w:tcPr>
          <w:p w14:paraId="70FB4194" w14:textId="77777777" w:rsidR="00C7266C" w:rsidRPr="00D403F5" w:rsidRDefault="00C7266C" w:rsidP="00D403F5">
            <w:pPr>
              <w:pStyle w:val="a4"/>
              <w:numPr>
                <w:ilvl w:val="0"/>
                <w:numId w:val="23"/>
              </w:numPr>
              <w:spacing w:after="0" w:line="240" w:lineRule="auto"/>
              <w:ind w:left="568" w:hanging="284"/>
              <w:contextualSpacing w:val="0"/>
              <w:rPr>
                <w:rFonts w:ascii="Garamond" w:hAnsi="Garamond" w:cs="Arial"/>
                <w:sz w:val="18"/>
                <w:szCs w:val="18"/>
              </w:rPr>
            </w:pPr>
            <w:r w:rsidRPr="00D403F5">
              <w:rPr>
                <w:rFonts w:ascii="Garamond" w:hAnsi="Garamond" w:cs="Arial"/>
                <w:sz w:val="18"/>
                <w:szCs w:val="18"/>
              </w:rPr>
              <w:t>Not observed</w:t>
            </w:r>
          </w:p>
        </w:tc>
        <w:tc>
          <w:tcPr>
            <w:tcW w:w="363" w:type="dxa"/>
            <w:shd w:val="clear" w:color="auto" w:fill="auto"/>
            <w:tcMar>
              <w:top w:w="28" w:type="dxa"/>
              <w:left w:w="28" w:type="dxa"/>
              <w:bottom w:w="28" w:type="dxa"/>
              <w:right w:w="28" w:type="dxa"/>
            </w:tcMar>
            <w:vAlign w:val="center"/>
          </w:tcPr>
          <w:p w14:paraId="720FCD8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634C197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7978F1D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2FE1E31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NA</w:t>
            </w:r>
          </w:p>
        </w:tc>
        <w:tc>
          <w:tcPr>
            <w:tcW w:w="364" w:type="dxa"/>
            <w:shd w:val="clear" w:color="auto" w:fill="auto"/>
            <w:tcMar>
              <w:top w:w="28" w:type="dxa"/>
              <w:left w:w="28" w:type="dxa"/>
              <w:bottom w:w="28" w:type="dxa"/>
              <w:right w:w="28" w:type="dxa"/>
            </w:tcMar>
            <w:vAlign w:val="center"/>
          </w:tcPr>
          <w:p w14:paraId="07D21FC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231B06F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5EE7F9F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046E563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17ED9C9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119D6AA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5F11770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3C108377"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609034F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174D8FB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158E8BF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189B3BB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164EF144"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6D8A74F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73B75CC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5C6F787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25</w:t>
            </w:r>
          </w:p>
        </w:tc>
        <w:tc>
          <w:tcPr>
            <w:tcW w:w="364" w:type="dxa"/>
            <w:shd w:val="clear" w:color="auto" w:fill="auto"/>
            <w:tcMar>
              <w:top w:w="28" w:type="dxa"/>
              <w:left w:w="28" w:type="dxa"/>
              <w:bottom w:w="28" w:type="dxa"/>
              <w:right w:w="28" w:type="dxa"/>
            </w:tcMar>
            <w:vAlign w:val="center"/>
          </w:tcPr>
          <w:p w14:paraId="3B6E3BC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0EF868D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6ADA92E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5E42E52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475F358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2A958D1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4653117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7BD1AEB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vAlign w:val="center"/>
          </w:tcPr>
          <w:p w14:paraId="36295E74"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6C19613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r>
      <w:tr w:rsidR="00C7266C" w:rsidRPr="00D403F5" w14:paraId="2140954D" w14:textId="77777777" w:rsidTr="00C7266C">
        <w:trPr>
          <w:trHeight w:val="523"/>
        </w:trPr>
        <w:tc>
          <w:tcPr>
            <w:tcW w:w="3099" w:type="dxa"/>
            <w:shd w:val="clear" w:color="auto" w:fill="auto"/>
            <w:vAlign w:val="center"/>
          </w:tcPr>
          <w:p w14:paraId="259DA70B" w14:textId="77777777" w:rsidR="00C7266C" w:rsidRPr="00D403F5" w:rsidRDefault="00C7266C" w:rsidP="00D403F5">
            <w:pPr>
              <w:pStyle w:val="a4"/>
              <w:numPr>
                <w:ilvl w:val="0"/>
                <w:numId w:val="23"/>
              </w:numPr>
              <w:spacing w:after="0" w:line="240" w:lineRule="auto"/>
              <w:ind w:left="568" w:hanging="284"/>
              <w:contextualSpacing w:val="0"/>
              <w:rPr>
                <w:rFonts w:ascii="Garamond" w:hAnsi="Garamond" w:cs="Arial"/>
                <w:sz w:val="18"/>
                <w:szCs w:val="18"/>
              </w:rPr>
            </w:pPr>
            <w:r w:rsidRPr="00D403F5">
              <w:rPr>
                <w:rFonts w:ascii="Garamond" w:hAnsi="Garamond" w:cs="Arial"/>
                <w:sz w:val="18"/>
                <w:szCs w:val="18"/>
              </w:rPr>
              <w:t>Basic biosecurity conditions</w:t>
            </w:r>
          </w:p>
        </w:tc>
        <w:tc>
          <w:tcPr>
            <w:tcW w:w="363" w:type="dxa"/>
            <w:shd w:val="clear" w:color="auto" w:fill="auto"/>
            <w:tcMar>
              <w:top w:w="28" w:type="dxa"/>
              <w:left w:w="28" w:type="dxa"/>
              <w:bottom w:w="28" w:type="dxa"/>
              <w:right w:w="28" w:type="dxa"/>
            </w:tcMar>
            <w:vAlign w:val="center"/>
          </w:tcPr>
          <w:p w14:paraId="2C1E1B7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1A10DFE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146B615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7681083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NA</w:t>
            </w:r>
          </w:p>
        </w:tc>
        <w:tc>
          <w:tcPr>
            <w:tcW w:w="364" w:type="dxa"/>
            <w:shd w:val="clear" w:color="auto" w:fill="auto"/>
            <w:tcMar>
              <w:top w:w="28" w:type="dxa"/>
              <w:left w:w="28" w:type="dxa"/>
              <w:bottom w:w="28" w:type="dxa"/>
              <w:right w:w="28" w:type="dxa"/>
            </w:tcMar>
            <w:vAlign w:val="center"/>
          </w:tcPr>
          <w:p w14:paraId="4F24EAC4"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564F314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3723377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5D1441B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6D2A4074"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3" w:type="dxa"/>
            <w:shd w:val="clear" w:color="auto" w:fill="auto"/>
            <w:tcMar>
              <w:top w:w="28" w:type="dxa"/>
              <w:left w:w="28" w:type="dxa"/>
              <w:bottom w:w="28" w:type="dxa"/>
              <w:right w:w="28" w:type="dxa"/>
            </w:tcMar>
            <w:vAlign w:val="center"/>
          </w:tcPr>
          <w:p w14:paraId="08F791B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1C9DB86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69B9081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7A79043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0FA2CCD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398B29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4409037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28D671D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45DA839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6AF66DE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0AE3060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426BA6A4"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36E4C8D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01F9526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4DABD5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669D90F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45D00C1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96D4B9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50FA9DC7"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vAlign w:val="center"/>
          </w:tcPr>
          <w:p w14:paraId="3983A9A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c>
          <w:tcPr>
            <w:tcW w:w="364" w:type="dxa"/>
            <w:shd w:val="clear" w:color="auto" w:fill="auto"/>
            <w:tcMar>
              <w:top w:w="28" w:type="dxa"/>
              <w:left w:w="28" w:type="dxa"/>
              <w:bottom w:w="28" w:type="dxa"/>
              <w:right w:w="28" w:type="dxa"/>
            </w:tcMar>
            <w:vAlign w:val="center"/>
          </w:tcPr>
          <w:p w14:paraId="0B10DED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10</w:t>
            </w:r>
          </w:p>
        </w:tc>
      </w:tr>
      <w:tr w:rsidR="00C7266C" w:rsidRPr="00D403F5" w14:paraId="179124D0" w14:textId="77777777" w:rsidTr="00C7266C">
        <w:trPr>
          <w:trHeight w:val="465"/>
        </w:trPr>
        <w:tc>
          <w:tcPr>
            <w:tcW w:w="3099" w:type="dxa"/>
            <w:shd w:val="clear" w:color="auto" w:fill="auto"/>
            <w:vAlign w:val="center"/>
          </w:tcPr>
          <w:p w14:paraId="45AC663E" w14:textId="77777777" w:rsidR="00C7266C" w:rsidRPr="00D403F5" w:rsidRDefault="00C7266C" w:rsidP="00D403F5">
            <w:pPr>
              <w:spacing w:after="0"/>
              <w:ind w:left="284" w:hanging="284"/>
              <w:rPr>
                <w:rFonts w:ascii="Garamond" w:hAnsi="Garamond" w:cs="Arial"/>
                <w:b/>
                <w:sz w:val="18"/>
                <w:szCs w:val="18"/>
              </w:rPr>
            </w:pPr>
            <w:r w:rsidRPr="00D403F5">
              <w:rPr>
                <w:rFonts w:ascii="Garamond" w:hAnsi="Garamond" w:cs="Arial"/>
                <w:b/>
                <w:sz w:val="18"/>
                <w:szCs w:val="18"/>
              </w:rPr>
              <w:t>3.</w:t>
            </w:r>
            <w:r w:rsidRPr="00D403F5">
              <w:rPr>
                <w:rFonts w:ascii="Garamond" w:hAnsi="Garamond" w:cs="Arial"/>
                <w:b/>
                <w:sz w:val="18"/>
                <w:szCs w:val="18"/>
              </w:rPr>
              <w:tab/>
              <w:t>Targeted surveillance</w:t>
            </w:r>
          </w:p>
        </w:tc>
        <w:tc>
          <w:tcPr>
            <w:tcW w:w="363" w:type="dxa"/>
            <w:shd w:val="clear" w:color="auto" w:fill="D9D9D9"/>
            <w:tcMar>
              <w:top w:w="28" w:type="dxa"/>
              <w:left w:w="28" w:type="dxa"/>
              <w:bottom w:w="28" w:type="dxa"/>
              <w:right w:w="28" w:type="dxa"/>
            </w:tcMar>
            <w:vAlign w:val="center"/>
          </w:tcPr>
          <w:p w14:paraId="01DB2601"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F4DA0CC"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701E80EF"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5D4544F6"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5738009"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7B03BDF8"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599BD817"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ABDD414"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6F7DE86B"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4C4A32F4"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55918BA3"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4BA6D39E"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5A112159"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5E394213"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55A8BE93"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45A3E7EA"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3C04E608"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22F99B92"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5CD201A2"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7F959CA2"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29A6EB90"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03A7BEC5"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554E3BAB"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3554007D"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72A38E6E"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079BF5B2"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052D5827" w14:textId="77777777" w:rsidR="00C7266C" w:rsidRPr="00D403F5" w:rsidRDefault="00C7266C" w:rsidP="00D403F5">
            <w:pPr>
              <w:spacing w:after="0"/>
              <w:jc w:val="center"/>
              <w:rPr>
                <w:rFonts w:ascii="Garamond" w:hAnsi="Garamond" w:cs="Arial"/>
                <w:sz w:val="18"/>
                <w:szCs w:val="18"/>
              </w:rPr>
            </w:pPr>
          </w:p>
        </w:tc>
        <w:tc>
          <w:tcPr>
            <w:tcW w:w="363" w:type="dxa"/>
            <w:shd w:val="clear" w:color="auto" w:fill="D9D9D9"/>
            <w:tcMar>
              <w:top w:w="28" w:type="dxa"/>
              <w:left w:w="28" w:type="dxa"/>
              <w:bottom w:w="28" w:type="dxa"/>
              <w:right w:w="28" w:type="dxa"/>
            </w:tcMar>
            <w:vAlign w:val="center"/>
          </w:tcPr>
          <w:p w14:paraId="379B8345"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vAlign w:val="center"/>
          </w:tcPr>
          <w:p w14:paraId="6407C342" w14:textId="77777777" w:rsidR="00C7266C" w:rsidRPr="00D403F5" w:rsidRDefault="00C7266C" w:rsidP="00D403F5">
            <w:pPr>
              <w:spacing w:after="0"/>
              <w:jc w:val="center"/>
              <w:rPr>
                <w:rFonts w:ascii="Garamond" w:hAnsi="Garamond" w:cs="Arial"/>
                <w:sz w:val="18"/>
                <w:szCs w:val="18"/>
              </w:rPr>
            </w:pPr>
          </w:p>
        </w:tc>
        <w:tc>
          <w:tcPr>
            <w:tcW w:w="364" w:type="dxa"/>
            <w:shd w:val="clear" w:color="auto" w:fill="D9D9D9"/>
            <w:tcMar>
              <w:top w:w="28" w:type="dxa"/>
              <w:left w:w="28" w:type="dxa"/>
              <w:bottom w:w="28" w:type="dxa"/>
              <w:right w:w="28" w:type="dxa"/>
            </w:tcMar>
            <w:vAlign w:val="center"/>
          </w:tcPr>
          <w:p w14:paraId="18DAA8F9" w14:textId="77777777" w:rsidR="00C7266C" w:rsidRPr="00D403F5" w:rsidRDefault="00C7266C" w:rsidP="00D403F5">
            <w:pPr>
              <w:spacing w:after="0"/>
              <w:jc w:val="center"/>
              <w:rPr>
                <w:rFonts w:ascii="Garamond" w:hAnsi="Garamond" w:cs="Arial"/>
                <w:sz w:val="18"/>
                <w:szCs w:val="18"/>
              </w:rPr>
            </w:pPr>
          </w:p>
        </w:tc>
      </w:tr>
      <w:tr w:rsidR="00C7266C" w:rsidRPr="00D403F5" w14:paraId="728C7C66" w14:textId="77777777" w:rsidTr="00C7266C">
        <w:trPr>
          <w:trHeight w:val="465"/>
        </w:trPr>
        <w:tc>
          <w:tcPr>
            <w:tcW w:w="3099" w:type="dxa"/>
            <w:shd w:val="clear" w:color="auto" w:fill="auto"/>
            <w:vAlign w:val="center"/>
          </w:tcPr>
          <w:p w14:paraId="363DF690" w14:textId="77777777" w:rsidR="00C7266C" w:rsidRPr="00D403F5" w:rsidRDefault="00C7266C" w:rsidP="00D403F5">
            <w:pPr>
              <w:pStyle w:val="a4"/>
              <w:numPr>
                <w:ilvl w:val="0"/>
                <w:numId w:val="23"/>
              </w:numPr>
              <w:spacing w:after="0" w:line="240" w:lineRule="auto"/>
              <w:ind w:left="568" w:hanging="284"/>
              <w:contextualSpacing w:val="0"/>
              <w:rPr>
                <w:rFonts w:ascii="Garamond" w:hAnsi="Garamond" w:cs="Arial"/>
                <w:sz w:val="18"/>
                <w:szCs w:val="18"/>
              </w:rPr>
            </w:pPr>
            <w:r w:rsidRPr="00D403F5">
              <w:rPr>
                <w:rFonts w:ascii="Garamond" w:hAnsi="Garamond" w:cs="Arial"/>
                <w:sz w:val="18"/>
                <w:szCs w:val="18"/>
              </w:rPr>
              <w:t>Basic biosecurity conditions</w:t>
            </w:r>
          </w:p>
        </w:tc>
        <w:tc>
          <w:tcPr>
            <w:tcW w:w="363" w:type="dxa"/>
            <w:shd w:val="clear" w:color="auto" w:fill="auto"/>
            <w:tcMar>
              <w:top w:w="28" w:type="dxa"/>
              <w:left w:w="28" w:type="dxa"/>
              <w:bottom w:w="28" w:type="dxa"/>
              <w:right w:w="28" w:type="dxa"/>
            </w:tcMar>
            <w:vAlign w:val="center"/>
          </w:tcPr>
          <w:p w14:paraId="0228B23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E4A329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F838454"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5</w:t>
            </w:r>
          </w:p>
        </w:tc>
        <w:tc>
          <w:tcPr>
            <w:tcW w:w="363" w:type="dxa"/>
            <w:shd w:val="clear" w:color="auto" w:fill="auto"/>
            <w:tcMar>
              <w:top w:w="28" w:type="dxa"/>
              <w:left w:w="28" w:type="dxa"/>
              <w:bottom w:w="28" w:type="dxa"/>
              <w:right w:w="28" w:type="dxa"/>
            </w:tcMar>
            <w:vAlign w:val="center"/>
          </w:tcPr>
          <w:p w14:paraId="6378613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C360E2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0CA27E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466A20D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07B847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4D96B72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29FE3EA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9B61F1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AD3F62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3096D12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4E23AE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5FA8E2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482D418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0B3757B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652DF85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2F9D76D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46E5611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5</w:t>
            </w:r>
          </w:p>
        </w:tc>
        <w:tc>
          <w:tcPr>
            <w:tcW w:w="364" w:type="dxa"/>
            <w:shd w:val="clear" w:color="auto" w:fill="auto"/>
            <w:tcMar>
              <w:top w:w="28" w:type="dxa"/>
              <w:left w:w="28" w:type="dxa"/>
              <w:bottom w:w="28" w:type="dxa"/>
              <w:right w:w="28" w:type="dxa"/>
            </w:tcMar>
            <w:vAlign w:val="center"/>
          </w:tcPr>
          <w:p w14:paraId="68CA654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379D32C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4B20D82"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DBCE87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332E74C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842801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4A39842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1B8F4E5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vAlign w:val="center"/>
          </w:tcPr>
          <w:p w14:paraId="63BD43B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EDB6A5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r>
      <w:tr w:rsidR="00C7266C" w:rsidRPr="00D403F5" w14:paraId="3A8DEB36" w14:textId="77777777" w:rsidTr="00C7266C">
        <w:trPr>
          <w:trHeight w:val="473"/>
        </w:trPr>
        <w:tc>
          <w:tcPr>
            <w:tcW w:w="3099" w:type="dxa"/>
            <w:shd w:val="clear" w:color="auto" w:fill="auto"/>
            <w:vAlign w:val="center"/>
          </w:tcPr>
          <w:p w14:paraId="128D569C" w14:textId="77777777" w:rsidR="00C7266C" w:rsidRPr="00D403F5" w:rsidRDefault="00C7266C" w:rsidP="00D403F5">
            <w:pPr>
              <w:pStyle w:val="a4"/>
              <w:numPr>
                <w:ilvl w:val="0"/>
                <w:numId w:val="23"/>
              </w:numPr>
              <w:spacing w:after="0" w:line="240" w:lineRule="auto"/>
              <w:ind w:left="568" w:hanging="284"/>
              <w:contextualSpacing w:val="0"/>
              <w:rPr>
                <w:rFonts w:ascii="Garamond" w:hAnsi="Garamond" w:cs="Arial"/>
                <w:sz w:val="18"/>
                <w:szCs w:val="18"/>
              </w:rPr>
            </w:pPr>
            <w:r w:rsidRPr="00D403F5">
              <w:rPr>
                <w:rFonts w:ascii="Garamond" w:hAnsi="Garamond" w:cs="Arial"/>
                <w:sz w:val="18"/>
                <w:szCs w:val="18"/>
              </w:rPr>
              <w:t>Targeted surveillance</w:t>
            </w:r>
          </w:p>
        </w:tc>
        <w:tc>
          <w:tcPr>
            <w:tcW w:w="363" w:type="dxa"/>
            <w:shd w:val="clear" w:color="auto" w:fill="auto"/>
            <w:tcMar>
              <w:top w:w="28" w:type="dxa"/>
              <w:left w:w="28" w:type="dxa"/>
              <w:bottom w:w="28" w:type="dxa"/>
              <w:right w:w="28" w:type="dxa"/>
            </w:tcMar>
            <w:vAlign w:val="center"/>
          </w:tcPr>
          <w:p w14:paraId="5340546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5F2899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495836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5</w:t>
            </w:r>
          </w:p>
        </w:tc>
        <w:tc>
          <w:tcPr>
            <w:tcW w:w="363" w:type="dxa"/>
            <w:shd w:val="clear" w:color="auto" w:fill="auto"/>
            <w:tcMar>
              <w:top w:w="28" w:type="dxa"/>
              <w:left w:w="28" w:type="dxa"/>
              <w:bottom w:w="28" w:type="dxa"/>
              <w:right w:w="28" w:type="dxa"/>
            </w:tcMar>
            <w:vAlign w:val="center"/>
          </w:tcPr>
          <w:p w14:paraId="16DFEC6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77DE6C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240BC16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7206729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C66E83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2E76C4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5330F79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8965C7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B66964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099EFE9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339A1C42"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3A3AE04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7FBBB90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5FB5E6D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60664AE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4F557177"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BEEB66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5</w:t>
            </w:r>
          </w:p>
        </w:tc>
        <w:tc>
          <w:tcPr>
            <w:tcW w:w="364" w:type="dxa"/>
            <w:shd w:val="clear" w:color="auto" w:fill="auto"/>
            <w:tcMar>
              <w:top w:w="28" w:type="dxa"/>
              <w:left w:w="28" w:type="dxa"/>
              <w:bottom w:w="28" w:type="dxa"/>
              <w:right w:w="28" w:type="dxa"/>
            </w:tcMar>
            <w:vAlign w:val="center"/>
          </w:tcPr>
          <w:p w14:paraId="2FD75A0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73A6115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44F3288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3F67275A"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735D6CC7"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222FA4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2E7D2C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428EE2F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vAlign w:val="center"/>
          </w:tcPr>
          <w:p w14:paraId="7EA68F39"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6D167F4"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r>
      <w:tr w:rsidR="00C7266C" w:rsidRPr="00D403F5" w14:paraId="4D471A4B" w14:textId="77777777" w:rsidTr="00C7266C">
        <w:trPr>
          <w:trHeight w:val="457"/>
        </w:trPr>
        <w:tc>
          <w:tcPr>
            <w:tcW w:w="3099" w:type="dxa"/>
            <w:shd w:val="clear" w:color="auto" w:fill="auto"/>
            <w:vAlign w:val="center"/>
          </w:tcPr>
          <w:p w14:paraId="71853BD9" w14:textId="77777777" w:rsidR="00C7266C" w:rsidRPr="00D403F5" w:rsidRDefault="00C7266C" w:rsidP="00D403F5">
            <w:pPr>
              <w:spacing w:after="0"/>
              <w:ind w:left="284" w:hanging="284"/>
              <w:rPr>
                <w:rFonts w:ascii="Garamond" w:hAnsi="Garamond" w:cs="Arial"/>
                <w:b/>
                <w:sz w:val="18"/>
                <w:szCs w:val="18"/>
              </w:rPr>
            </w:pPr>
            <w:r w:rsidRPr="00D403F5">
              <w:rPr>
                <w:rFonts w:ascii="Garamond" w:hAnsi="Garamond" w:cs="Arial"/>
                <w:b/>
                <w:sz w:val="18"/>
                <w:szCs w:val="18"/>
              </w:rPr>
              <w:t>4.</w:t>
            </w:r>
            <w:r w:rsidRPr="00D403F5">
              <w:rPr>
                <w:rFonts w:ascii="Garamond" w:hAnsi="Garamond" w:cs="Arial"/>
                <w:b/>
                <w:sz w:val="18"/>
                <w:szCs w:val="18"/>
              </w:rPr>
              <w:tab/>
              <w:t>Return to freedom</w:t>
            </w:r>
          </w:p>
        </w:tc>
        <w:tc>
          <w:tcPr>
            <w:tcW w:w="363" w:type="dxa"/>
            <w:shd w:val="clear" w:color="auto" w:fill="auto"/>
            <w:tcMar>
              <w:top w:w="28" w:type="dxa"/>
              <w:left w:w="28" w:type="dxa"/>
              <w:bottom w:w="28" w:type="dxa"/>
              <w:right w:w="28" w:type="dxa"/>
            </w:tcMar>
            <w:vAlign w:val="center"/>
          </w:tcPr>
          <w:p w14:paraId="1F55EDB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3E8E59E1"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61AEDF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5</w:t>
            </w:r>
          </w:p>
        </w:tc>
        <w:tc>
          <w:tcPr>
            <w:tcW w:w="363" w:type="dxa"/>
            <w:shd w:val="clear" w:color="auto" w:fill="auto"/>
            <w:tcMar>
              <w:top w:w="28" w:type="dxa"/>
              <w:left w:w="28" w:type="dxa"/>
              <w:bottom w:w="28" w:type="dxa"/>
              <w:right w:w="28" w:type="dxa"/>
            </w:tcMar>
            <w:vAlign w:val="center"/>
          </w:tcPr>
          <w:p w14:paraId="022920A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ED5CE5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B59406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5A09E3E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4877E47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3A8465C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04412DC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38604C2"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7715BA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32D69D1E"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E56543F"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00EAF89D"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3" w:type="dxa"/>
            <w:shd w:val="clear" w:color="auto" w:fill="auto"/>
            <w:tcMar>
              <w:top w:w="28" w:type="dxa"/>
              <w:left w:w="28" w:type="dxa"/>
              <w:bottom w:w="28" w:type="dxa"/>
              <w:right w:w="28" w:type="dxa"/>
            </w:tcMar>
            <w:vAlign w:val="center"/>
          </w:tcPr>
          <w:p w14:paraId="51505EF3"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135767C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3</w:t>
            </w:r>
          </w:p>
        </w:tc>
        <w:tc>
          <w:tcPr>
            <w:tcW w:w="364" w:type="dxa"/>
            <w:shd w:val="clear" w:color="auto" w:fill="auto"/>
            <w:tcMar>
              <w:top w:w="28" w:type="dxa"/>
              <w:left w:w="28" w:type="dxa"/>
              <w:bottom w:w="28" w:type="dxa"/>
              <w:right w:w="28" w:type="dxa"/>
            </w:tcMar>
            <w:vAlign w:val="center"/>
          </w:tcPr>
          <w:p w14:paraId="1B35C20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7861FE07"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25B512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5</w:t>
            </w:r>
          </w:p>
        </w:tc>
        <w:tc>
          <w:tcPr>
            <w:tcW w:w="364" w:type="dxa"/>
            <w:shd w:val="clear" w:color="auto" w:fill="auto"/>
            <w:tcMar>
              <w:top w:w="28" w:type="dxa"/>
              <w:left w:w="28" w:type="dxa"/>
              <w:bottom w:w="28" w:type="dxa"/>
              <w:right w:w="28" w:type="dxa"/>
            </w:tcMar>
            <w:vAlign w:val="center"/>
          </w:tcPr>
          <w:p w14:paraId="6445DDC6"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6759D822"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7CC57D12"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3F5C0AE2"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491A56C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128089A8"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682DB8B0"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3" w:type="dxa"/>
            <w:shd w:val="clear" w:color="auto" w:fill="auto"/>
            <w:tcMar>
              <w:top w:w="28" w:type="dxa"/>
              <w:left w:w="28" w:type="dxa"/>
              <w:bottom w:w="28" w:type="dxa"/>
              <w:right w:w="28" w:type="dxa"/>
            </w:tcMar>
            <w:vAlign w:val="center"/>
          </w:tcPr>
          <w:p w14:paraId="3D131CCB"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vAlign w:val="center"/>
          </w:tcPr>
          <w:p w14:paraId="21445DF5"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c>
          <w:tcPr>
            <w:tcW w:w="364" w:type="dxa"/>
            <w:shd w:val="clear" w:color="auto" w:fill="auto"/>
            <w:tcMar>
              <w:top w:w="28" w:type="dxa"/>
              <w:left w:w="28" w:type="dxa"/>
              <w:bottom w:w="28" w:type="dxa"/>
              <w:right w:w="28" w:type="dxa"/>
            </w:tcMar>
            <w:vAlign w:val="center"/>
          </w:tcPr>
          <w:p w14:paraId="56D53B0C" w14:textId="77777777" w:rsidR="00C7266C" w:rsidRPr="00D403F5" w:rsidRDefault="00C7266C" w:rsidP="00D403F5">
            <w:pPr>
              <w:spacing w:after="0"/>
              <w:jc w:val="center"/>
              <w:rPr>
                <w:rFonts w:ascii="Garamond" w:hAnsi="Garamond" w:cs="Arial"/>
                <w:sz w:val="18"/>
                <w:szCs w:val="18"/>
              </w:rPr>
            </w:pPr>
            <w:r w:rsidRPr="00D403F5">
              <w:rPr>
                <w:rFonts w:ascii="Garamond" w:hAnsi="Garamond" w:cs="Arial"/>
                <w:sz w:val="18"/>
                <w:szCs w:val="18"/>
              </w:rPr>
              <w:t>2</w:t>
            </w:r>
          </w:p>
        </w:tc>
      </w:tr>
    </w:tbl>
    <w:p w14:paraId="3BC88E68" w14:textId="77777777" w:rsidR="00C7266C" w:rsidRPr="00D403F5" w:rsidRDefault="00C7266C" w:rsidP="00D403F5">
      <w:pPr>
        <w:spacing w:after="0"/>
        <w:rPr>
          <w:sz w:val="18"/>
          <w:szCs w:val="18"/>
        </w:rPr>
      </w:pPr>
    </w:p>
    <w:p w14:paraId="5315295F" w14:textId="77777777" w:rsidR="00C7266C" w:rsidRPr="00D403F5" w:rsidRDefault="00C7266C" w:rsidP="00D403F5">
      <w:pPr>
        <w:spacing w:after="0"/>
        <w:ind w:left="107"/>
        <w:jc w:val="both"/>
        <w:rPr>
          <w:rFonts w:ascii="Arial" w:hAnsi="Arial" w:cs="Arial"/>
          <w:sz w:val="18"/>
          <w:szCs w:val="18"/>
        </w:rPr>
        <w:sectPr w:rsidR="00C7266C" w:rsidRPr="00D403F5" w:rsidSect="00C7266C">
          <w:pgSz w:w="15840" w:h="12240" w:orient="landscape"/>
          <w:pgMar w:top="1440" w:right="1440" w:bottom="1440" w:left="1440" w:header="720" w:footer="720" w:gutter="0"/>
          <w:cols w:space="720"/>
          <w:docGrid w:linePitch="360"/>
        </w:sectPr>
      </w:pPr>
    </w:p>
    <w:p w14:paraId="74F011D8" w14:textId="77777777" w:rsidR="00C7266C" w:rsidRPr="00D403F5" w:rsidRDefault="00C7266C" w:rsidP="0076436B">
      <w:pPr>
        <w:pStyle w:val="2"/>
        <w:spacing w:after="480"/>
        <w:ind w:left="0"/>
        <w:jc w:val="right"/>
        <w:rPr>
          <w:rFonts w:ascii="Times New Roman" w:hAnsi="Times New Roman"/>
          <w:b w:val="0"/>
          <w:sz w:val="18"/>
          <w:szCs w:val="18"/>
          <w:u w:val="single"/>
        </w:rPr>
      </w:pPr>
      <w:r w:rsidRPr="00D403F5">
        <w:rPr>
          <w:rFonts w:ascii="Times New Roman" w:hAnsi="Times New Roman"/>
          <w:b w:val="0"/>
          <w:sz w:val="18"/>
          <w:szCs w:val="18"/>
          <w:u w:val="single"/>
        </w:rPr>
        <w:t>Annex 9</w:t>
      </w:r>
    </w:p>
    <w:p w14:paraId="38E97BB6" w14:textId="77777777" w:rsidR="00C7266C" w:rsidRPr="0076436B" w:rsidRDefault="00C7266C" w:rsidP="0076436B">
      <w:pPr>
        <w:spacing w:after="480" w:line="240" w:lineRule="auto"/>
        <w:ind w:left="476" w:right="488"/>
        <w:jc w:val="center"/>
        <w:rPr>
          <w:rFonts w:ascii="Ottawa" w:hAnsi="Ottawa"/>
          <w:b/>
          <w:spacing w:val="57"/>
          <w:sz w:val="28"/>
          <w:szCs w:val="28"/>
        </w:rPr>
      </w:pPr>
      <w:r w:rsidRPr="0076436B">
        <w:rPr>
          <w:rFonts w:ascii="Ottawa" w:hAnsi="Ottawa"/>
          <w:b/>
          <w:spacing w:val="57"/>
          <w:sz w:val="28"/>
          <w:szCs w:val="28"/>
        </w:rPr>
        <w:t xml:space="preserve">GLOSSARY </w:t>
      </w:r>
    </w:p>
    <w:p w14:paraId="703BD2B3" w14:textId="77777777" w:rsidR="00C7266C" w:rsidRPr="00D403F5" w:rsidRDefault="00C7266C" w:rsidP="0076436B">
      <w:pPr>
        <w:spacing w:after="240"/>
        <w:jc w:val="both"/>
        <w:rPr>
          <w:rFonts w:ascii="Arial" w:hAnsi="Arial" w:cs="Arial"/>
          <w:sz w:val="18"/>
          <w:szCs w:val="18"/>
        </w:rPr>
      </w:pPr>
      <w:r w:rsidRPr="00D403F5">
        <w:rPr>
          <w:rFonts w:ascii="Arial" w:hAnsi="Arial" w:cs="Arial"/>
          <w:sz w:val="18"/>
          <w:szCs w:val="18"/>
        </w:rPr>
        <w:t xml:space="preserve">For the purpose of the </w:t>
      </w:r>
      <w:hyperlink w:anchor="_bookmark17" w:history="1">
        <w:r w:rsidRPr="00D403F5">
          <w:rPr>
            <w:rFonts w:ascii="Arial" w:hAnsi="Arial" w:cs="Arial"/>
            <w:i/>
            <w:sz w:val="18"/>
            <w:szCs w:val="18"/>
          </w:rPr>
          <w:t>Aquatic Code</w:t>
        </w:r>
      </w:hyperlink>
      <w:r w:rsidRPr="00D403F5">
        <w:rPr>
          <w:rFonts w:ascii="Arial" w:hAnsi="Arial" w:cs="Arial"/>
          <w:sz w:val="18"/>
          <w:szCs w:val="18"/>
        </w:rPr>
        <w:t>:</w:t>
      </w:r>
    </w:p>
    <w:p w14:paraId="420F1836" w14:textId="77777777" w:rsidR="00C7266C" w:rsidRPr="00D403F5" w:rsidRDefault="00C7266C" w:rsidP="0076436B">
      <w:pPr>
        <w:spacing w:after="240"/>
        <w:ind w:left="107"/>
        <w:jc w:val="both"/>
        <w:rPr>
          <w:rFonts w:ascii="Arial" w:hAnsi="Arial" w:cs="Arial"/>
          <w:b/>
          <w:i/>
          <w:smallCaps/>
          <w:sz w:val="18"/>
          <w:szCs w:val="18"/>
          <w:highlight w:val="yellow"/>
          <w:u w:val="double"/>
        </w:rPr>
      </w:pPr>
      <w:bookmarkStart w:id="60" w:name="_bookmark3"/>
      <w:bookmarkEnd w:id="60"/>
      <w:r w:rsidRPr="00D403F5">
        <w:rPr>
          <w:rFonts w:ascii="Arial" w:hAnsi="Arial" w:cs="Arial"/>
          <w:b/>
          <w:i/>
          <w:smallCaps/>
          <w:sz w:val="18"/>
          <w:szCs w:val="18"/>
          <w:highlight w:val="yellow"/>
          <w:u w:val="double"/>
        </w:rPr>
        <w:t>aquatic animal waste</w:t>
      </w:r>
    </w:p>
    <w:p w14:paraId="58209AC5" w14:textId="77777777" w:rsidR="00C7266C" w:rsidRPr="00D403F5" w:rsidRDefault="00C7266C" w:rsidP="0076436B">
      <w:pPr>
        <w:pStyle w:val="aff0"/>
        <w:spacing w:after="240"/>
        <w:ind w:left="450"/>
        <w:jc w:val="both"/>
        <w:rPr>
          <w:u w:val="double"/>
        </w:rPr>
      </w:pPr>
      <w:r w:rsidRPr="00D403F5">
        <w:rPr>
          <w:highlight w:val="yellow"/>
          <w:u w:val="double"/>
        </w:rPr>
        <w:t xml:space="preserve">means the entire carcass of </w:t>
      </w:r>
      <w:r w:rsidRPr="00D403F5">
        <w:rPr>
          <w:i/>
          <w:iCs/>
          <w:highlight w:val="yellow"/>
          <w:u w:val="double"/>
        </w:rPr>
        <w:t xml:space="preserve">aquatic animals, </w:t>
      </w:r>
      <w:r w:rsidRPr="00D403F5">
        <w:rPr>
          <w:iCs/>
          <w:highlight w:val="yellow"/>
          <w:u w:val="double"/>
        </w:rPr>
        <w:t>their parts,</w:t>
      </w:r>
      <w:r w:rsidRPr="00D403F5">
        <w:rPr>
          <w:highlight w:val="yellow"/>
          <w:u w:val="double"/>
        </w:rPr>
        <w:t xml:space="preserve"> or associated liquids which are intended for disposal</w:t>
      </w:r>
      <w:r w:rsidRPr="00D403F5">
        <w:rPr>
          <w:u w:val="double"/>
        </w:rPr>
        <w:t xml:space="preserve"> or other purposes than for human consumption</w:t>
      </w:r>
      <w:r w:rsidRPr="00D403F5">
        <w:rPr>
          <w:highlight w:val="yellow"/>
          <w:u w:val="double"/>
        </w:rPr>
        <w:t xml:space="preserve">. </w:t>
      </w:r>
    </w:p>
    <w:p w14:paraId="0BFA0E83" w14:textId="77777777" w:rsidR="000E0A30" w:rsidRPr="00D403F5" w:rsidRDefault="000E0A30"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4E436EAF" w14:textId="77777777" w:rsidR="000E0A30" w:rsidRPr="00D403F5" w:rsidRDefault="000E0A30" w:rsidP="00D403F5">
      <w:pPr>
        <w:pStyle w:val="aff0"/>
        <w:ind w:left="450"/>
        <w:jc w:val="both"/>
        <w:rPr>
          <w:u w:val="double"/>
        </w:rPr>
      </w:pPr>
    </w:p>
    <w:p w14:paraId="75DE5885" w14:textId="77777777" w:rsidR="00C7266C" w:rsidRPr="00D403F5" w:rsidRDefault="00C7266C" w:rsidP="00D403F5">
      <w:pPr>
        <w:pStyle w:val="aff0"/>
        <w:ind w:left="450"/>
        <w:jc w:val="both"/>
        <w:rPr>
          <w:u w:val="double"/>
        </w:rPr>
      </w:pPr>
    </w:p>
    <w:p w14:paraId="60CD6D19" w14:textId="77777777" w:rsidR="00C7266C" w:rsidRPr="00D403F5" w:rsidRDefault="00C7266C" w:rsidP="00D403F5">
      <w:pPr>
        <w:spacing w:after="0"/>
        <w:ind w:left="107"/>
        <w:jc w:val="both"/>
        <w:rPr>
          <w:rFonts w:ascii="Arial" w:hAnsi="Arial" w:cs="Arial"/>
          <w:sz w:val="18"/>
          <w:szCs w:val="18"/>
          <w:lang w:val="en-US"/>
        </w:rPr>
        <w:sectPr w:rsidR="00C7266C" w:rsidRPr="00D403F5" w:rsidSect="00C7266C">
          <w:headerReference w:type="even" r:id="rId76"/>
          <w:headerReference w:type="default" r:id="rId77"/>
          <w:footerReference w:type="even" r:id="rId78"/>
          <w:footerReference w:type="default" r:id="rId79"/>
          <w:headerReference w:type="first" r:id="rId80"/>
          <w:footerReference w:type="first" r:id="rId81"/>
          <w:type w:val="oddPage"/>
          <w:pgSz w:w="11900" w:h="16840"/>
          <w:pgMar w:top="1418" w:right="1418" w:bottom="1418" w:left="1418" w:header="692" w:footer="658" w:gutter="0"/>
          <w:cols w:space="720"/>
        </w:sectPr>
      </w:pPr>
    </w:p>
    <w:p w14:paraId="69217734" w14:textId="77777777" w:rsidR="00C7266C" w:rsidRPr="00D403F5" w:rsidRDefault="00C7266C" w:rsidP="0076436B">
      <w:pPr>
        <w:spacing w:after="480"/>
        <w:jc w:val="right"/>
        <w:rPr>
          <w:rFonts w:ascii="Times New Roman" w:hAnsi="Times New Roman" w:cs="Times New Roman"/>
          <w:sz w:val="18"/>
          <w:szCs w:val="18"/>
        </w:rPr>
      </w:pPr>
      <w:bookmarkStart w:id="61" w:name="_Hlk15374808"/>
      <w:r w:rsidRPr="00D403F5">
        <w:rPr>
          <w:rFonts w:ascii="Times New Roman" w:hAnsi="Times New Roman" w:cs="Times New Roman"/>
          <w:noProof/>
          <w:sz w:val="18"/>
          <w:szCs w:val="18"/>
          <w:u w:val="single"/>
          <w:lang w:val="en-US"/>
        </w:rPr>
        <w:t>Annex 10</w:t>
      </w:r>
    </w:p>
    <w:p w14:paraId="43E6EE44" w14:textId="77777777" w:rsidR="00C7266C" w:rsidRPr="00D403F5" w:rsidRDefault="00C7266C" w:rsidP="00D403F5">
      <w:pPr>
        <w:spacing w:after="0"/>
        <w:jc w:val="both"/>
        <w:rPr>
          <w:sz w:val="18"/>
          <w:szCs w:val="18"/>
          <w:lang w:val="en-IE" w:bidi="en-US"/>
        </w:rPr>
      </w:pPr>
      <w:r w:rsidRPr="00D403F5">
        <w:rPr>
          <w:b/>
          <w:bCs/>
          <w:sz w:val="18"/>
          <w:szCs w:val="18"/>
          <w:lang w:val="en-IE" w:bidi="en-US"/>
        </w:rPr>
        <w:t>Note to Members:</w:t>
      </w:r>
      <w:r w:rsidRPr="00D403F5">
        <w:rPr>
          <w:sz w:val="18"/>
          <w:szCs w:val="18"/>
          <w:lang w:val="en-IE" w:bidi="en-US"/>
        </w:rPr>
        <w:t xml:space="preserve"> Marked edits are indicated against the initial revision of the revised chapter rather than the currently adopted text.</w:t>
      </w:r>
    </w:p>
    <w:p w14:paraId="0D4F8185" w14:textId="77777777" w:rsidR="00C7266C" w:rsidRPr="0076436B" w:rsidRDefault="00C7266C" w:rsidP="00D403F5">
      <w:pPr>
        <w:pBdr>
          <w:bottom w:val="single" w:sz="6" w:space="6" w:color="auto"/>
        </w:pBdr>
        <w:spacing w:after="0"/>
        <w:jc w:val="center"/>
        <w:rPr>
          <w:rFonts w:ascii="Ottawa" w:hAnsi="Ottawa" w:cs="Arial"/>
          <w:b/>
          <w:bCs/>
          <w:iCs/>
          <w:caps/>
          <w:spacing w:val="40"/>
          <w:sz w:val="28"/>
          <w:szCs w:val="28"/>
          <w:lang w:val="en-IE" w:bidi="en-US"/>
        </w:rPr>
      </w:pPr>
      <w:r w:rsidRPr="0076436B">
        <w:rPr>
          <w:rFonts w:ascii="Ottawa" w:hAnsi="Ottawa" w:cs="Arial"/>
          <w:bCs/>
          <w:iCs/>
          <w:caps/>
          <w:spacing w:val="40"/>
          <w:sz w:val="24"/>
          <w:szCs w:val="24"/>
          <w:lang w:val="en-IE" w:bidi="en-US"/>
        </w:rPr>
        <w:t>CHAPTER 2.3.9.</w:t>
      </w:r>
      <w:r w:rsidRPr="0076436B">
        <w:rPr>
          <w:rFonts w:ascii="Ottawa" w:hAnsi="Ottawa" w:cs="Arial"/>
          <w:bCs/>
          <w:iCs/>
          <w:caps/>
          <w:spacing w:val="40"/>
          <w:sz w:val="24"/>
          <w:szCs w:val="24"/>
          <w:lang w:val="en-IE" w:bidi="en-US"/>
        </w:rPr>
        <w:br/>
      </w:r>
      <w:r w:rsidRPr="00D403F5">
        <w:rPr>
          <w:rFonts w:ascii="Ottawa" w:hAnsi="Ottawa" w:cs="Arial"/>
          <w:bCs/>
          <w:iCs/>
          <w:caps/>
          <w:spacing w:val="40"/>
          <w:sz w:val="18"/>
          <w:szCs w:val="18"/>
          <w:lang w:val="en-IE" w:bidi="en-US"/>
        </w:rPr>
        <w:br/>
      </w:r>
      <w:r w:rsidRPr="0076436B">
        <w:rPr>
          <w:rFonts w:ascii="Ottawa" w:hAnsi="Ottawa" w:cs="Arial"/>
          <w:b/>
          <w:bCs/>
          <w:iCs/>
          <w:caps/>
          <w:spacing w:val="40"/>
          <w:sz w:val="28"/>
          <w:szCs w:val="28"/>
          <w:lang w:val="en-IE" w:bidi="en-US"/>
        </w:rPr>
        <w:t xml:space="preserve">infection with spring </w:t>
      </w:r>
      <w:r w:rsidRPr="0076436B">
        <w:rPr>
          <w:rFonts w:ascii="Ottawa" w:hAnsi="Ottawa" w:cs="Arial"/>
          <w:b/>
          <w:bCs/>
          <w:iCs/>
          <w:caps/>
          <w:spacing w:val="40"/>
          <w:sz w:val="28"/>
          <w:szCs w:val="28"/>
          <w:lang w:val="en-IE" w:bidi="en-US"/>
        </w:rPr>
        <w:br/>
        <w:t>viraemia of carp virus</w:t>
      </w:r>
    </w:p>
    <w:p w14:paraId="3E28847D" w14:textId="77777777" w:rsidR="00C7266C" w:rsidRPr="00D403F5" w:rsidRDefault="00C7266C" w:rsidP="00D403F5">
      <w:pPr>
        <w:spacing w:after="0"/>
        <w:ind w:left="284" w:hanging="284"/>
        <w:jc w:val="both"/>
        <w:rPr>
          <w:rFonts w:ascii="Ottawa" w:eastAsia="MS Mincho" w:hAnsi="Ottawa" w:cs="Arial"/>
          <w:b/>
          <w:bCs/>
          <w:sz w:val="18"/>
          <w:szCs w:val="18"/>
          <w:lang w:eastAsia="fr-FR"/>
        </w:rPr>
      </w:pPr>
      <w:r w:rsidRPr="00D403F5">
        <w:rPr>
          <w:rFonts w:ascii="Ottawa" w:eastAsia="MS Mincho" w:hAnsi="Ottawa" w:cs="Arial"/>
          <w:b/>
          <w:bCs/>
          <w:sz w:val="18"/>
          <w:szCs w:val="18"/>
          <w:lang w:eastAsia="fr-FR"/>
        </w:rPr>
        <w:t>1.</w:t>
      </w:r>
      <w:r w:rsidRPr="00D403F5">
        <w:rPr>
          <w:rFonts w:ascii="Ottawa" w:eastAsia="MS Mincho" w:hAnsi="Ottawa" w:cs="Arial"/>
          <w:b/>
          <w:bCs/>
          <w:sz w:val="18"/>
          <w:szCs w:val="18"/>
          <w:lang w:eastAsia="fr-FR"/>
        </w:rPr>
        <w:tab/>
        <w:t>Scope</w:t>
      </w:r>
    </w:p>
    <w:p w14:paraId="336F7997" w14:textId="77777777" w:rsidR="00C7266C" w:rsidRPr="00D403F5" w:rsidRDefault="00C7266C" w:rsidP="00D403F5">
      <w:pPr>
        <w:spacing w:after="0"/>
        <w:jc w:val="both"/>
        <w:rPr>
          <w:rFonts w:ascii="Arial" w:hAnsi="Arial" w:cs="Arial"/>
          <w:sz w:val="18"/>
          <w:szCs w:val="18"/>
          <w:lang w:val="en-IE" w:bidi="en-US"/>
        </w:rPr>
      </w:pPr>
      <w:r w:rsidRPr="00D403F5">
        <w:rPr>
          <w:rFonts w:ascii="Arial" w:hAnsi="Arial" w:cs="Arial"/>
          <w:sz w:val="18"/>
          <w:szCs w:val="18"/>
          <w:lang w:val="en-IE" w:bidi="en-US"/>
        </w:rPr>
        <w:t xml:space="preserve">Infection with spring viraemia of carp virus means infection with the pathogenic agent </w:t>
      </w:r>
      <w:r w:rsidRPr="00D403F5">
        <w:rPr>
          <w:rFonts w:ascii="Arial" w:eastAsia="MS Mincho" w:hAnsi="Arial" w:cs="Arial"/>
          <w:bCs/>
          <w:i/>
          <w:iCs/>
          <w:sz w:val="18"/>
          <w:szCs w:val="18"/>
          <w:lang w:val="en-IE" w:bidi="en-US"/>
        </w:rPr>
        <w:t xml:space="preserve">Carp </w:t>
      </w:r>
      <w:r w:rsidRPr="00D403F5">
        <w:rPr>
          <w:rFonts w:ascii="Arial" w:eastAsia="MS Mincho" w:hAnsi="Arial" w:cs="Arial"/>
          <w:i/>
          <w:iCs/>
          <w:sz w:val="18"/>
          <w:szCs w:val="18"/>
          <w:lang w:val="en-IE" w:bidi="en-US"/>
        </w:rPr>
        <w:t xml:space="preserve">sprivivirus </w:t>
      </w:r>
      <w:r w:rsidRPr="00D403F5">
        <w:rPr>
          <w:rFonts w:ascii="Arial" w:hAnsi="Arial" w:cs="Arial"/>
          <w:sz w:val="18"/>
          <w:szCs w:val="18"/>
          <w:lang w:val="en-IE" w:bidi="en-US"/>
        </w:rPr>
        <w:t>(common</w:t>
      </w:r>
      <w:r w:rsidRPr="00D403F5">
        <w:rPr>
          <w:rFonts w:ascii="Arial" w:hAnsi="Arial" w:cs="Arial"/>
          <w:sz w:val="18"/>
          <w:szCs w:val="18"/>
          <w:u w:val="double"/>
          <w:lang w:val="en-IE" w:bidi="en-US"/>
        </w:rPr>
        <w:t>ly</w:t>
      </w:r>
      <w:r w:rsidRPr="00D403F5">
        <w:rPr>
          <w:rFonts w:ascii="Arial" w:hAnsi="Arial" w:cs="Arial"/>
          <w:sz w:val="18"/>
          <w:szCs w:val="18"/>
          <w:lang w:val="en-IE" w:bidi="en-US"/>
        </w:rPr>
        <w:t xml:space="preserve"> known as spring viraemia of carp virus [SVCV]), of the Genus </w:t>
      </w:r>
      <w:r w:rsidRPr="00D403F5">
        <w:rPr>
          <w:rFonts w:ascii="Arial" w:hAnsi="Arial" w:cs="Arial"/>
          <w:i/>
          <w:sz w:val="18"/>
          <w:szCs w:val="18"/>
          <w:lang w:val="en-IE" w:bidi="en-US"/>
        </w:rPr>
        <w:t>Sprivivirus</w:t>
      </w:r>
      <w:r w:rsidRPr="00D403F5">
        <w:rPr>
          <w:rFonts w:ascii="Arial" w:hAnsi="Arial" w:cs="Arial"/>
          <w:sz w:val="18"/>
          <w:szCs w:val="18"/>
          <w:lang w:val="en-IE" w:bidi="en-US"/>
        </w:rPr>
        <w:t xml:space="preserve"> and the Family </w:t>
      </w:r>
      <w:r w:rsidRPr="00D403F5">
        <w:rPr>
          <w:rFonts w:ascii="Arial" w:hAnsi="Arial" w:cs="Arial"/>
          <w:i/>
          <w:sz w:val="18"/>
          <w:szCs w:val="18"/>
          <w:lang w:val="en-IE" w:bidi="en-US"/>
        </w:rPr>
        <w:t>Rhabdoviridae.</w:t>
      </w:r>
      <w:r w:rsidRPr="00D403F5">
        <w:rPr>
          <w:rFonts w:ascii="Arial" w:hAnsi="Arial" w:cs="Arial"/>
          <w:sz w:val="18"/>
          <w:szCs w:val="18"/>
          <w:lang w:val="en-IE" w:bidi="en-US"/>
        </w:rPr>
        <w:t xml:space="preserve"> </w:t>
      </w:r>
    </w:p>
    <w:p w14:paraId="569868F3" w14:textId="77777777" w:rsidR="00C7266C" w:rsidRPr="00D403F5" w:rsidRDefault="00C7266C" w:rsidP="00D403F5">
      <w:pPr>
        <w:spacing w:after="0"/>
        <w:ind w:left="284" w:hanging="284"/>
        <w:jc w:val="both"/>
        <w:rPr>
          <w:rFonts w:ascii="Ottawa" w:eastAsia="MS Mincho" w:hAnsi="Ottawa" w:cs="Arial"/>
          <w:b/>
          <w:bCs/>
          <w:sz w:val="18"/>
          <w:szCs w:val="18"/>
          <w:lang w:eastAsia="fr-FR"/>
        </w:rPr>
      </w:pPr>
      <w:r w:rsidRPr="00D403F5">
        <w:rPr>
          <w:rFonts w:ascii="Ottawa" w:eastAsia="MS Mincho" w:hAnsi="Ottawa" w:cs="Arial"/>
          <w:b/>
          <w:bCs/>
          <w:sz w:val="18"/>
          <w:szCs w:val="18"/>
          <w:lang w:eastAsia="fr-FR"/>
        </w:rPr>
        <w:t>2.</w:t>
      </w:r>
      <w:r w:rsidRPr="00D403F5">
        <w:rPr>
          <w:rFonts w:ascii="Ottawa" w:eastAsia="MS Mincho" w:hAnsi="Ottawa" w:cs="Arial"/>
          <w:b/>
          <w:bCs/>
          <w:sz w:val="18"/>
          <w:szCs w:val="18"/>
          <w:lang w:eastAsia="fr-FR"/>
        </w:rPr>
        <w:tab/>
        <w:t>Disease information</w:t>
      </w:r>
    </w:p>
    <w:p w14:paraId="2FFF1CFA" w14:textId="77777777" w:rsidR="00C7266C" w:rsidRPr="00D403F5" w:rsidRDefault="00C7266C" w:rsidP="00D403F5">
      <w:pPr>
        <w:tabs>
          <w:tab w:val="left" w:pos="1418"/>
        </w:tabs>
        <w:spacing w:after="0" w:line="240" w:lineRule="auto"/>
        <w:ind w:left="425" w:hanging="425"/>
        <w:jc w:val="both"/>
        <w:rPr>
          <w:rFonts w:ascii="Ottawa" w:eastAsia="MS Mincho" w:hAnsi="Ottawa"/>
          <w:b/>
          <w:sz w:val="18"/>
          <w:szCs w:val="18"/>
          <w:lang w:val="da-DK" w:eastAsia="da-DK"/>
        </w:rPr>
      </w:pPr>
      <w:r w:rsidRPr="00D403F5">
        <w:rPr>
          <w:rFonts w:ascii="Ottawa" w:eastAsia="MS Mincho" w:hAnsi="Ottawa"/>
          <w:b/>
          <w:sz w:val="18"/>
          <w:szCs w:val="18"/>
          <w:lang w:val="da-DK" w:eastAsia="da-DK"/>
        </w:rPr>
        <w:t>2.1.</w:t>
      </w:r>
      <w:r w:rsidRPr="00D403F5">
        <w:rPr>
          <w:rFonts w:ascii="Ottawa" w:eastAsia="MS Mincho" w:hAnsi="Ottawa"/>
          <w:b/>
          <w:sz w:val="18"/>
          <w:szCs w:val="18"/>
          <w:lang w:val="da-DK" w:eastAsia="da-DK"/>
        </w:rPr>
        <w:tab/>
        <w:t>Agent factors</w:t>
      </w:r>
    </w:p>
    <w:p w14:paraId="69076F78"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2.1.1.</w:t>
      </w:r>
      <w:r w:rsidRPr="00D403F5">
        <w:rPr>
          <w:rFonts w:ascii="Ottawa" w:hAnsi="Ottawa"/>
          <w:b/>
          <w:bCs/>
          <w:sz w:val="18"/>
          <w:szCs w:val="18"/>
          <w:lang w:val="en-IE" w:eastAsia="fr-FR"/>
        </w:rPr>
        <w:tab/>
        <w:t>Aetiological agent</w:t>
      </w:r>
    </w:p>
    <w:p w14:paraId="5D4C47D4" w14:textId="77777777" w:rsidR="00C7266C" w:rsidRPr="00D403F5" w:rsidRDefault="00C7266C" w:rsidP="00D403F5">
      <w:pPr>
        <w:spacing w:after="0"/>
        <w:ind w:left="851"/>
        <w:jc w:val="both"/>
        <w:rPr>
          <w:rFonts w:ascii="Arial" w:hAnsi="Arial" w:cs="Arial"/>
          <w:bCs/>
          <w:sz w:val="18"/>
          <w:szCs w:val="18"/>
          <w:lang w:val="en-IE"/>
        </w:rPr>
      </w:pPr>
      <w:r w:rsidRPr="00D403F5">
        <w:rPr>
          <w:rFonts w:ascii="Arial" w:hAnsi="Arial" w:cs="Arial"/>
          <w:bCs/>
          <w:sz w:val="18"/>
          <w:szCs w:val="18"/>
          <w:lang w:val="en-IE"/>
        </w:rPr>
        <w:t xml:space="preserve">The virus genome is a non-segmented, negative-sense, single strand of RNA. The genome contains 11,019 nucleotides encoding five proteins in the following order: a nucleoprotein (N), a phosphoprotein (P), a matrix protein (M), a glycoprotein (G) and an RNA-dependent, RNA polymerase (L). The genome does not contain a non-virion (NV) gene between the G and L genes as is found in fish rhabdoviruses of the genus </w:t>
      </w:r>
      <w:r w:rsidRPr="00D403F5">
        <w:rPr>
          <w:rFonts w:ascii="Arial" w:hAnsi="Arial" w:cs="Arial"/>
          <w:bCs/>
          <w:i/>
          <w:sz w:val="18"/>
          <w:szCs w:val="18"/>
          <w:lang w:val="en-IE"/>
        </w:rPr>
        <w:t xml:space="preserve">Novirhabdovirus </w:t>
      </w:r>
      <w:r w:rsidRPr="00D403F5">
        <w:rPr>
          <w:rFonts w:ascii="Arial" w:hAnsi="Arial" w:cs="Arial"/>
          <w:bCs/>
          <w:sz w:val="18"/>
          <w:szCs w:val="18"/>
          <w:lang w:val="en-IE"/>
        </w:rPr>
        <w:t xml:space="preserve">(Ahne </w:t>
      </w:r>
      <w:r w:rsidRPr="00D403F5">
        <w:rPr>
          <w:rFonts w:ascii="Arial" w:hAnsi="Arial" w:cs="Arial"/>
          <w:bCs/>
          <w:i/>
          <w:sz w:val="18"/>
          <w:szCs w:val="18"/>
          <w:lang w:val="en-IE"/>
        </w:rPr>
        <w:t>et al.,</w:t>
      </w:r>
      <w:r w:rsidRPr="00D403F5">
        <w:rPr>
          <w:rFonts w:ascii="Arial" w:hAnsi="Arial" w:cs="Arial"/>
          <w:bCs/>
          <w:sz w:val="18"/>
          <w:szCs w:val="18"/>
          <w:lang w:val="en-IE"/>
        </w:rPr>
        <w:t xml:space="preserve"> 2002). The type strain of SVCV is available from the American Type Culture Collection (ATCC VR-1390). Two complete genome sequences of the type strain have been submitted to Genbank (Genbank accession U18101 by Bjorklund </w:t>
      </w:r>
      <w:r w:rsidRPr="00D403F5">
        <w:rPr>
          <w:rFonts w:ascii="Arial" w:hAnsi="Arial" w:cs="Arial"/>
          <w:bCs/>
          <w:i/>
          <w:sz w:val="18"/>
          <w:szCs w:val="18"/>
          <w:lang w:val="en-IE"/>
        </w:rPr>
        <w:t>et al.</w:t>
      </w:r>
      <w:r w:rsidRPr="00D403F5">
        <w:rPr>
          <w:rFonts w:ascii="Arial" w:hAnsi="Arial" w:cs="Arial"/>
          <w:bCs/>
          <w:sz w:val="18"/>
          <w:szCs w:val="18"/>
          <w:lang w:val="en-IE"/>
        </w:rPr>
        <w:t xml:space="preserve"> [1996] and Genbank accession AJ318079 by Hoffmann </w:t>
      </w:r>
      <w:r w:rsidRPr="00D403F5">
        <w:rPr>
          <w:rFonts w:ascii="Arial" w:hAnsi="Arial" w:cs="Arial"/>
          <w:bCs/>
          <w:i/>
          <w:sz w:val="18"/>
          <w:szCs w:val="18"/>
          <w:lang w:val="en-IE"/>
        </w:rPr>
        <w:t>et al.</w:t>
      </w:r>
      <w:r w:rsidRPr="00D403F5">
        <w:rPr>
          <w:rFonts w:ascii="Arial" w:hAnsi="Arial" w:cs="Arial"/>
          <w:bCs/>
          <w:sz w:val="18"/>
          <w:szCs w:val="18"/>
          <w:lang w:val="en-IE"/>
        </w:rPr>
        <w:t xml:space="preserve"> [2002]). The complete genome sequence of isolates from China (People’s Rep. of) has also been deposited in Genbank (Genbank accession DQ097384 by Teng </w:t>
      </w:r>
      <w:r w:rsidRPr="00D403F5">
        <w:rPr>
          <w:rFonts w:ascii="Arial" w:hAnsi="Arial" w:cs="Arial"/>
          <w:bCs/>
          <w:i/>
          <w:sz w:val="18"/>
          <w:szCs w:val="18"/>
          <w:lang w:val="en-IE"/>
        </w:rPr>
        <w:t>et al.</w:t>
      </w:r>
      <w:r w:rsidRPr="00D403F5">
        <w:rPr>
          <w:rFonts w:ascii="Arial" w:hAnsi="Arial" w:cs="Arial"/>
          <w:bCs/>
          <w:sz w:val="18"/>
          <w:szCs w:val="18"/>
          <w:lang w:val="en-IE"/>
        </w:rPr>
        <w:t xml:space="preserve"> [2007] and Genbank accession EU177782 by Zhang </w:t>
      </w:r>
      <w:r w:rsidRPr="00D403F5">
        <w:rPr>
          <w:rFonts w:ascii="Arial" w:hAnsi="Arial" w:cs="Arial"/>
          <w:bCs/>
          <w:i/>
          <w:sz w:val="18"/>
          <w:szCs w:val="18"/>
          <w:lang w:val="en-IE"/>
        </w:rPr>
        <w:t>et al.</w:t>
      </w:r>
      <w:r w:rsidRPr="00D403F5">
        <w:rPr>
          <w:rFonts w:ascii="Arial" w:hAnsi="Arial" w:cs="Arial"/>
          <w:bCs/>
          <w:sz w:val="18"/>
          <w:szCs w:val="18"/>
          <w:lang w:val="en-IE"/>
        </w:rPr>
        <w:t xml:space="preserve"> [2009]).</w:t>
      </w:r>
    </w:p>
    <w:p w14:paraId="526C65CF" w14:textId="77777777" w:rsidR="00C7266C" w:rsidRPr="00D403F5" w:rsidRDefault="00C7266C" w:rsidP="00D403F5">
      <w:pPr>
        <w:spacing w:after="0"/>
        <w:ind w:left="851"/>
        <w:jc w:val="both"/>
        <w:rPr>
          <w:rFonts w:ascii="Arial" w:hAnsi="Arial" w:cs="Arial"/>
          <w:bCs/>
          <w:sz w:val="18"/>
          <w:szCs w:val="18"/>
          <w:lang w:val="en-IE" w:bidi="en-US"/>
        </w:rPr>
      </w:pPr>
      <w:r w:rsidRPr="00D403F5">
        <w:rPr>
          <w:rFonts w:ascii="Arial" w:hAnsi="Arial" w:cs="Arial"/>
          <w:bCs/>
          <w:sz w:val="18"/>
          <w:szCs w:val="18"/>
          <w:lang w:val="en-IE" w:bidi="en-US"/>
        </w:rPr>
        <w:t xml:space="preserve">Stone </w:t>
      </w:r>
      <w:r w:rsidRPr="00D403F5">
        <w:rPr>
          <w:rFonts w:ascii="Arial" w:hAnsi="Arial" w:cs="Arial"/>
          <w:bCs/>
          <w:i/>
          <w:sz w:val="18"/>
          <w:szCs w:val="18"/>
          <w:lang w:val="en-IE" w:bidi="en-US"/>
        </w:rPr>
        <w:t>et al.</w:t>
      </w:r>
      <w:r w:rsidRPr="00D403F5">
        <w:rPr>
          <w:rFonts w:ascii="Arial" w:hAnsi="Arial" w:cs="Arial"/>
          <w:bCs/>
          <w:sz w:val="18"/>
          <w:szCs w:val="18"/>
          <w:lang w:val="en-IE" w:bidi="en-US"/>
        </w:rPr>
        <w:t xml:space="preserve"> (2003) used sequence analysis of a 550 nucleotide region of the G-gene to compare 36 isolates from different fish species and geographical locations </w:t>
      </w:r>
      <w:r w:rsidRPr="00D403F5">
        <w:rPr>
          <w:rFonts w:ascii="Arial" w:hAnsi="Arial" w:cs="Arial"/>
          <w:bCs/>
          <w:sz w:val="18"/>
          <w:szCs w:val="18"/>
          <w:u w:val="double"/>
          <w:lang w:val="en-IE" w:bidi="en-US"/>
        </w:rPr>
        <w:t>that were</w:t>
      </w:r>
      <w:r w:rsidRPr="00D403F5">
        <w:rPr>
          <w:rFonts w:ascii="Arial" w:hAnsi="Arial" w:cs="Arial"/>
          <w:bCs/>
          <w:sz w:val="18"/>
          <w:szCs w:val="18"/>
          <w:lang w:val="en-IE" w:bidi="en-US"/>
        </w:rPr>
        <w:t xml:space="preserve"> previously identified </w:t>
      </w:r>
      <w:r w:rsidRPr="00D403F5">
        <w:rPr>
          <w:rFonts w:ascii="Arial" w:hAnsi="Arial" w:cs="Arial"/>
          <w:bCs/>
          <w:sz w:val="18"/>
          <w:szCs w:val="18"/>
          <w:u w:val="double"/>
          <w:lang w:val="en-IE" w:bidi="en-US"/>
        </w:rPr>
        <w:t>by serology</w:t>
      </w:r>
      <w:r w:rsidRPr="00D403F5">
        <w:rPr>
          <w:rFonts w:ascii="Arial" w:hAnsi="Arial" w:cs="Arial"/>
          <w:bCs/>
          <w:sz w:val="18"/>
          <w:szCs w:val="18"/>
          <w:lang w:val="en-IE" w:bidi="en-US"/>
        </w:rPr>
        <w:t xml:space="preserve"> as SVCV or pike fry rhabdovirus (PFRV)</w:t>
      </w:r>
      <w:r w:rsidRPr="00D403F5">
        <w:rPr>
          <w:rFonts w:ascii="Arial" w:hAnsi="Arial" w:cs="Arial"/>
          <w:bCs/>
          <w:strike/>
          <w:sz w:val="18"/>
          <w:szCs w:val="18"/>
          <w:lang w:val="en-IE" w:bidi="en-US"/>
        </w:rPr>
        <w:t xml:space="preserve"> by serology</w:t>
      </w:r>
      <w:r w:rsidRPr="00D403F5">
        <w:rPr>
          <w:rFonts w:ascii="Arial" w:hAnsi="Arial" w:cs="Arial"/>
          <w:bCs/>
          <w:sz w:val="18"/>
          <w:szCs w:val="18"/>
          <w:lang w:val="en-IE" w:bidi="en-US"/>
        </w:rPr>
        <w:t xml:space="preserve">. The analysis showed that the isolates could be separated into four distinct genogroups and that all of the SVCV isolates could be assigned to genogroup I, sharing &lt;61% nucleotide identity with viruses in the other three genogroups. Re-analysis of the sequence data generated for viruses assigned to Genogroup I identified four subgroups (Ia–d). Those viruses originating in Asia were assigned to Subgroup Ia, those from Moldova, the Ukraine and Russia to Subgroups Ib and Ic, and those from the UK to Subgroup Id. </w:t>
      </w:r>
    </w:p>
    <w:p w14:paraId="238A8F37"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2.1.2.</w:t>
      </w:r>
      <w:r w:rsidRPr="00D403F5">
        <w:rPr>
          <w:rFonts w:ascii="Ottawa" w:hAnsi="Ottawa"/>
          <w:b/>
          <w:bCs/>
          <w:sz w:val="18"/>
          <w:szCs w:val="18"/>
          <w:lang w:val="en-IE" w:eastAsia="fr-FR"/>
        </w:rPr>
        <w:tab/>
        <w:t xml:space="preserve">Survival and stability in processed or stored samples </w:t>
      </w:r>
    </w:p>
    <w:p w14:paraId="15A502BB" w14:textId="77777777" w:rsidR="00C7266C" w:rsidRPr="00D403F5" w:rsidRDefault="00C7266C" w:rsidP="00D403F5">
      <w:pPr>
        <w:spacing w:after="0"/>
        <w:ind w:left="851"/>
        <w:jc w:val="both"/>
        <w:rPr>
          <w:rFonts w:ascii="Arial" w:hAnsi="Arial" w:cs="Arial"/>
          <w:bCs/>
          <w:sz w:val="18"/>
          <w:szCs w:val="18"/>
          <w:lang w:val="en-IE" w:bidi="en-US"/>
        </w:rPr>
      </w:pPr>
      <w:r w:rsidRPr="00D403F5">
        <w:rPr>
          <w:rFonts w:ascii="Arial" w:hAnsi="Arial" w:cs="Arial"/>
          <w:bCs/>
          <w:sz w:val="18"/>
          <w:szCs w:val="18"/>
          <w:lang w:val="en-IE"/>
        </w:rPr>
        <w:t xml:space="preserve">There are limited published data on the stability of the pathogen in host tissues. There is also limited information on the stability of the virus in the tissues after death of a diseased animal. Detection </w:t>
      </w:r>
      <w:r w:rsidRPr="00D403F5">
        <w:rPr>
          <w:rFonts w:ascii="Arial" w:hAnsi="Arial" w:cs="Arial"/>
          <w:bCs/>
          <w:sz w:val="18"/>
          <w:szCs w:val="18"/>
          <w:u w:val="double"/>
          <w:lang w:val="en-IE"/>
        </w:rPr>
        <w:t>of SVCV</w:t>
      </w:r>
      <w:r w:rsidRPr="00D403F5">
        <w:rPr>
          <w:rFonts w:ascii="Arial" w:hAnsi="Arial" w:cs="Arial"/>
          <w:bCs/>
          <w:sz w:val="18"/>
          <w:szCs w:val="18"/>
          <w:lang w:val="en-IE"/>
        </w:rPr>
        <w:t xml:space="preserve"> in the tissues of recently dead animals by </w:t>
      </w:r>
      <w:r w:rsidRPr="00D403F5">
        <w:rPr>
          <w:rFonts w:ascii="Arial" w:hAnsi="Arial" w:cs="Arial"/>
          <w:bCs/>
          <w:sz w:val="18"/>
          <w:szCs w:val="18"/>
          <w:u w:val="double"/>
          <w:lang w:val="en-IE"/>
        </w:rPr>
        <w:t>either</w:t>
      </w:r>
      <w:r w:rsidRPr="00D403F5">
        <w:rPr>
          <w:rFonts w:ascii="Arial" w:hAnsi="Arial" w:cs="Arial"/>
          <w:bCs/>
          <w:sz w:val="18"/>
          <w:szCs w:val="18"/>
          <w:lang w:val="en-IE"/>
        </w:rPr>
        <w:t xml:space="preserve"> </w:t>
      </w:r>
      <w:r w:rsidRPr="00D403F5">
        <w:rPr>
          <w:rFonts w:ascii="Arial" w:hAnsi="Arial" w:cs="Arial"/>
          <w:bCs/>
          <w:strike/>
          <w:sz w:val="18"/>
          <w:szCs w:val="18"/>
          <w:lang w:val="en-IE"/>
        </w:rPr>
        <w:t xml:space="preserve">both </w:t>
      </w:r>
      <w:r w:rsidRPr="00D403F5">
        <w:rPr>
          <w:rFonts w:ascii="Arial" w:hAnsi="Arial"/>
          <w:bCs/>
          <w:sz w:val="18"/>
          <w:szCs w:val="18"/>
          <w:lang w:eastAsia="fr-FR"/>
        </w:rPr>
        <w:t xml:space="preserve">reverse-transcription polymerase chain reaction (RT-PCR) </w:t>
      </w:r>
      <w:r w:rsidRPr="00D403F5">
        <w:rPr>
          <w:rFonts w:ascii="Arial" w:hAnsi="Arial" w:cs="Arial"/>
          <w:bCs/>
          <w:sz w:val="18"/>
          <w:szCs w:val="18"/>
          <w:u w:val="double"/>
          <w:lang w:val="en-IE"/>
        </w:rPr>
        <w:t>or</w:t>
      </w:r>
      <w:r w:rsidRPr="00D403F5">
        <w:rPr>
          <w:rFonts w:ascii="Arial" w:hAnsi="Arial" w:cs="Arial"/>
          <w:bCs/>
          <w:sz w:val="18"/>
          <w:szCs w:val="18"/>
          <w:lang w:val="en-IE"/>
        </w:rPr>
        <w:t xml:space="preserve"> </w:t>
      </w:r>
      <w:r w:rsidRPr="00D403F5">
        <w:rPr>
          <w:rFonts w:ascii="Arial" w:hAnsi="Arial" w:cs="Arial"/>
          <w:bCs/>
          <w:strike/>
          <w:sz w:val="18"/>
          <w:szCs w:val="18"/>
          <w:lang w:val="en-IE"/>
        </w:rPr>
        <w:t xml:space="preserve">and </w:t>
      </w:r>
      <w:r w:rsidRPr="00D403F5">
        <w:rPr>
          <w:rFonts w:ascii="Arial" w:hAnsi="Arial" w:cs="Arial"/>
          <w:bCs/>
          <w:sz w:val="18"/>
          <w:szCs w:val="18"/>
          <w:lang w:val="en-IE"/>
        </w:rPr>
        <w:t xml:space="preserve">culture </w:t>
      </w:r>
      <w:r w:rsidRPr="00D403F5">
        <w:rPr>
          <w:rFonts w:ascii="Arial" w:hAnsi="Arial" w:cs="Arial"/>
          <w:bCs/>
          <w:sz w:val="18"/>
          <w:szCs w:val="18"/>
          <w:u w:val="double"/>
          <w:lang w:val="en-IE"/>
        </w:rPr>
        <w:t>may be possible</w:t>
      </w:r>
      <w:r w:rsidRPr="00D403F5">
        <w:rPr>
          <w:rFonts w:ascii="Arial" w:hAnsi="Arial" w:cs="Arial"/>
          <w:bCs/>
          <w:strike/>
          <w:sz w:val="18"/>
          <w:szCs w:val="18"/>
          <w:lang w:val="en-IE"/>
        </w:rPr>
        <w:t xml:space="preserve"> should not be ruled out</w:t>
      </w:r>
      <w:r w:rsidRPr="00D403F5">
        <w:rPr>
          <w:rFonts w:ascii="Arial" w:hAnsi="Arial" w:cs="Arial"/>
          <w:bCs/>
          <w:sz w:val="18"/>
          <w:szCs w:val="18"/>
          <w:lang w:val="en-IE"/>
        </w:rPr>
        <w:t xml:space="preserve">, and therefore, dead fish </w:t>
      </w:r>
      <w:r w:rsidRPr="00D403F5">
        <w:rPr>
          <w:rFonts w:ascii="Arial" w:hAnsi="Arial" w:cs="Arial"/>
          <w:bCs/>
          <w:strike/>
          <w:sz w:val="18"/>
          <w:szCs w:val="18"/>
          <w:lang w:val="en-IE"/>
        </w:rPr>
        <w:t xml:space="preserve">as well as moribund should </w:t>
      </w:r>
      <w:r w:rsidRPr="00D403F5">
        <w:rPr>
          <w:rFonts w:ascii="Arial" w:hAnsi="Arial" w:cs="Arial"/>
          <w:bCs/>
          <w:sz w:val="18"/>
          <w:szCs w:val="18"/>
          <w:u w:val="double"/>
          <w:lang w:val="en-IE"/>
        </w:rPr>
        <w:t>may</w:t>
      </w:r>
      <w:r w:rsidRPr="00D403F5">
        <w:rPr>
          <w:rFonts w:ascii="Arial" w:hAnsi="Arial" w:cs="Arial"/>
          <w:bCs/>
          <w:sz w:val="18"/>
          <w:szCs w:val="18"/>
          <w:lang w:val="en-IE"/>
        </w:rPr>
        <w:t xml:space="preserve"> be taken for analysis </w:t>
      </w:r>
      <w:r w:rsidRPr="00D403F5">
        <w:rPr>
          <w:rFonts w:ascii="Arial" w:hAnsi="Arial" w:cs="Arial"/>
          <w:bCs/>
          <w:sz w:val="18"/>
          <w:szCs w:val="18"/>
          <w:u w:val="double"/>
          <w:lang w:val="en-IE"/>
        </w:rPr>
        <w:t>if moribund fish are not available</w:t>
      </w:r>
      <w:r w:rsidRPr="00D403F5">
        <w:rPr>
          <w:rFonts w:ascii="Arial" w:hAnsi="Arial" w:cs="Arial"/>
          <w:bCs/>
          <w:sz w:val="18"/>
          <w:szCs w:val="18"/>
          <w:lang w:val="en-IE"/>
        </w:rPr>
        <w:t xml:space="preserve">. </w:t>
      </w:r>
    </w:p>
    <w:p w14:paraId="766679ED" w14:textId="77777777" w:rsidR="00C7266C" w:rsidRPr="00D403F5" w:rsidRDefault="00C7266C" w:rsidP="00D403F5">
      <w:pPr>
        <w:spacing w:after="0"/>
        <w:ind w:left="851"/>
        <w:jc w:val="both"/>
        <w:rPr>
          <w:rFonts w:ascii="Arial" w:hAnsi="Arial" w:cs="Arial"/>
          <w:bCs/>
          <w:sz w:val="18"/>
          <w:szCs w:val="18"/>
          <w:lang w:val="en-IE"/>
        </w:rPr>
      </w:pPr>
      <w:r w:rsidRPr="00D403F5">
        <w:rPr>
          <w:rFonts w:ascii="Arial" w:hAnsi="Arial" w:cs="Arial"/>
          <w:bCs/>
          <w:sz w:val="18"/>
          <w:szCs w:val="18"/>
          <w:lang w:val="en-IE" w:bidi="en-US"/>
        </w:rPr>
        <w:t xml:space="preserve">The virus can be stored for several months when frozen in medium containing 2‒5% serum. The virus is most stable at lower temperatures, with little loss of titre </w:t>
      </w:r>
      <w:r w:rsidRPr="00D403F5">
        <w:rPr>
          <w:rFonts w:ascii="Arial" w:hAnsi="Arial" w:cs="Arial"/>
          <w:bCs/>
          <w:strike/>
          <w:sz w:val="18"/>
          <w:szCs w:val="18"/>
          <w:lang w:val="en-IE" w:bidi="en-US"/>
        </w:rPr>
        <w:t xml:space="preserve">for </w:t>
      </w:r>
      <w:r w:rsidRPr="00D403F5">
        <w:rPr>
          <w:rFonts w:ascii="Arial" w:hAnsi="Arial" w:cs="Arial"/>
          <w:bCs/>
          <w:sz w:val="18"/>
          <w:szCs w:val="18"/>
          <w:lang w:val="en-IE" w:bidi="en-US"/>
        </w:rPr>
        <w:t>when stored for 1 month at ‒20°C, or for 6 months at ‒30 or ‒74°C (</w:t>
      </w:r>
      <w:hyperlink r:id="rId82" w:anchor="chapitre_svc.biblio-1" w:history="1">
        <w:r w:rsidRPr="00D403F5">
          <w:rPr>
            <w:rFonts w:ascii="Arial" w:hAnsi="Arial"/>
            <w:bCs/>
            <w:sz w:val="18"/>
            <w:szCs w:val="18"/>
            <w:lang w:val="en-IE" w:bidi="en-US"/>
          </w:rPr>
          <w:t>Ahne, 1976</w:t>
        </w:r>
      </w:hyperlink>
      <w:r w:rsidRPr="00D403F5">
        <w:rPr>
          <w:rFonts w:ascii="Arial" w:hAnsi="Arial" w:cs="Arial"/>
          <w:bCs/>
          <w:sz w:val="18"/>
          <w:szCs w:val="18"/>
          <w:lang w:val="en-IE" w:bidi="en-US"/>
        </w:rPr>
        <w:t xml:space="preserve">; </w:t>
      </w:r>
      <w:hyperlink r:id="rId83" w:anchor="chapitre_svc.biblio-25" w:history="1">
        <w:r w:rsidRPr="00D403F5">
          <w:rPr>
            <w:rFonts w:ascii="Arial" w:hAnsi="Arial"/>
            <w:bCs/>
            <w:sz w:val="18"/>
            <w:szCs w:val="18"/>
            <w:lang w:val="en-IE" w:bidi="en-US"/>
          </w:rPr>
          <w:t>Kinkelin &amp; Le Berre, 1974</w:t>
        </w:r>
      </w:hyperlink>
      <w:r w:rsidRPr="00D403F5">
        <w:rPr>
          <w:rFonts w:ascii="Arial" w:hAnsi="Arial" w:cs="Arial"/>
          <w:bCs/>
          <w:sz w:val="18"/>
          <w:szCs w:val="18"/>
          <w:lang w:val="en-IE" w:bidi="en-US"/>
        </w:rPr>
        <w:t>). The virus is stable over four freeze (‒30°C)‒thaw cycles in medium containing 2% serum (</w:t>
      </w:r>
      <w:hyperlink r:id="rId84" w:anchor="chapitre_svc.biblio-25" w:history="1">
        <w:r w:rsidRPr="00D403F5">
          <w:rPr>
            <w:rFonts w:ascii="Arial" w:hAnsi="Arial"/>
            <w:bCs/>
            <w:sz w:val="18"/>
            <w:szCs w:val="18"/>
            <w:lang w:val="en-IE" w:bidi="en-US"/>
          </w:rPr>
          <w:t>Kinkelin &amp; Le Berre, 1974</w:t>
        </w:r>
      </w:hyperlink>
      <w:r w:rsidRPr="00D403F5">
        <w:rPr>
          <w:rFonts w:ascii="Arial" w:hAnsi="Arial" w:cs="Arial"/>
          <w:bCs/>
          <w:sz w:val="18"/>
          <w:szCs w:val="18"/>
          <w:lang w:val="en-IE" w:bidi="en-US"/>
        </w:rPr>
        <w:t>).</w:t>
      </w:r>
    </w:p>
    <w:p w14:paraId="54606990"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2.1.3.</w:t>
      </w:r>
      <w:r w:rsidRPr="00D403F5">
        <w:rPr>
          <w:rFonts w:ascii="Ottawa" w:hAnsi="Ottawa"/>
          <w:b/>
          <w:bCs/>
          <w:sz w:val="18"/>
          <w:szCs w:val="18"/>
          <w:lang w:val="en-IE" w:eastAsia="fr-FR"/>
        </w:rPr>
        <w:tab/>
        <w:t xml:space="preserve">Survival and stability outside the host </w:t>
      </w:r>
    </w:p>
    <w:p w14:paraId="11BEABE2" w14:textId="77777777" w:rsidR="00C7266C" w:rsidRPr="00D403F5" w:rsidRDefault="00C7266C" w:rsidP="00D403F5">
      <w:pPr>
        <w:spacing w:after="0"/>
        <w:ind w:left="851"/>
        <w:jc w:val="both"/>
        <w:rPr>
          <w:rFonts w:ascii="Arial" w:hAnsi="Arial" w:cs="Arial"/>
          <w:bCs/>
          <w:sz w:val="18"/>
          <w:szCs w:val="18"/>
          <w:lang w:val="en-IE"/>
        </w:rPr>
      </w:pPr>
      <w:r w:rsidRPr="00D403F5">
        <w:rPr>
          <w:rFonts w:ascii="Arial" w:hAnsi="Arial" w:cs="Arial"/>
          <w:bCs/>
          <w:sz w:val="18"/>
          <w:szCs w:val="18"/>
          <w:lang w:val="en-IE"/>
        </w:rPr>
        <w:t xml:space="preserve">The virus has been shown to remain viable outside the host for 5 weeks in river water at </w:t>
      </w:r>
      <w:smartTag w:uri="urn:schemas-microsoft-com:office:smarttags" w:element="metricconverter">
        <w:smartTagPr>
          <w:attr w:name="ProductID" w:val="10ﾰC"/>
        </w:smartTagPr>
        <w:r w:rsidRPr="00D403F5">
          <w:rPr>
            <w:rFonts w:ascii="Arial" w:hAnsi="Arial" w:cs="Arial"/>
            <w:bCs/>
            <w:sz w:val="18"/>
            <w:szCs w:val="18"/>
            <w:lang w:val="en-IE"/>
          </w:rPr>
          <w:t>10°C</w:t>
        </w:r>
      </w:smartTag>
      <w:r w:rsidRPr="00D403F5">
        <w:rPr>
          <w:rFonts w:ascii="Arial" w:hAnsi="Arial" w:cs="Arial"/>
          <w:bCs/>
          <w:sz w:val="18"/>
          <w:szCs w:val="18"/>
          <w:lang w:val="en-IE"/>
        </w:rPr>
        <w:t xml:space="preserve">, for more than 6 weeks in pond mud at </w:t>
      </w:r>
      <w:smartTag w:uri="urn:schemas-microsoft-com:office:smarttags" w:element="metricconverter">
        <w:smartTagPr>
          <w:attr w:name="ProductID" w:val="4ﾰC"/>
        </w:smartTagPr>
        <w:r w:rsidRPr="00D403F5">
          <w:rPr>
            <w:rFonts w:ascii="Arial" w:hAnsi="Arial" w:cs="Arial"/>
            <w:bCs/>
            <w:sz w:val="18"/>
            <w:szCs w:val="18"/>
            <w:lang w:val="en-IE"/>
          </w:rPr>
          <w:t>4°C</w:t>
        </w:r>
      </w:smartTag>
      <w:r w:rsidRPr="00D403F5">
        <w:rPr>
          <w:rFonts w:ascii="Arial" w:hAnsi="Arial" w:cs="Arial"/>
          <w:bCs/>
          <w:sz w:val="18"/>
          <w:szCs w:val="18"/>
          <w:lang w:val="en-IE"/>
        </w:rPr>
        <w:t xml:space="preserve">, reducing to 4 days in pond mud at </w:t>
      </w:r>
      <w:smartTag w:uri="urn:schemas-microsoft-com:office:smarttags" w:element="metricconverter">
        <w:smartTagPr>
          <w:attr w:name="ProductID" w:val="10ﾰC"/>
        </w:smartTagPr>
        <w:r w:rsidRPr="00D403F5">
          <w:rPr>
            <w:rFonts w:ascii="Arial" w:hAnsi="Arial" w:cs="Arial"/>
            <w:bCs/>
            <w:sz w:val="18"/>
            <w:szCs w:val="18"/>
            <w:lang w:val="en-IE"/>
          </w:rPr>
          <w:t>10°C</w:t>
        </w:r>
      </w:smartTag>
      <w:r w:rsidRPr="00D403F5">
        <w:rPr>
          <w:rFonts w:ascii="Arial" w:hAnsi="Arial" w:cs="Arial"/>
          <w:bCs/>
          <w:sz w:val="18"/>
          <w:szCs w:val="18"/>
          <w:lang w:val="en-IE"/>
        </w:rPr>
        <w:t xml:space="preserve"> (Ahne, 1976).  </w:t>
      </w:r>
    </w:p>
    <w:p w14:paraId="5AD4A629" w14:textId="77777777" w:rsidR="00C7266C" w:rsidRPr="00D403F5" w:rsidRDefault="00C7266C" w:rsidP="00D403F5">
      <w:pPr>
        <w:spacing w:after="0"/>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br w:type="page"/>
      </w:r>
    </w:p>
    <w:p w14:paraId="2AF7616A" w14:textId="77777777"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6F60F646" w14:textId="77777777" w:rsidR="00C7266C" w:rsidRPr="00D403F5" w:rsidRDefault="00C7266C" w:rsidP="00D403F5">
      <w:pPr>
        <w:spacing w:after="0" w:line="240" w:lineRule="auto"/>
        <w:ind w:left="851"/>
        <w:jc w:val="both"/>
        <w:rPr>
          <w:rFonts w:ascii="Arial" w:hAnsi="Arial" w:cs="Arial"/>
          <w:bCs/>
          <w:sz w:val="18"/>
          <w:szCs w:val="18"/>
          <w:lang w:val="en-IE"/>
        </w:rPr>
      </w:pPr>
      <w:r w:rsidRPr="00D403F5">
        <w:rPr>
          <w:rFonts w:ascii="Arial" w:hAnsi="Arial" w:cs="Arial"/>
          <w:bCs/>
          <w:sz w:val="18"/>
          <w:szCs w:val="18"/>
          <w:lang w:val="en-IE"/>
        </w:rPr>
        <w:t>For inactivation methods, see Section 2.4.5.</w:t>
      </w:r>
    </w:p>
    <w:p w14:paraId="75D4C24E" w14:textId="77777777" w:rsidR="00C7266C" w:rsidRPr="00D403F5" w:rsidRDefault="00C7266C" w:rsidP="00D403F5">
      <w:pPr>
        <w:spacing w:after="0" w:line="240" w:lineRule="auto"/>
        <w:ind w:left="426" w:hanging="426"/>
        <w:jc w:val="both"/>
        <w:rPr>
          <w:rFonts w:ascii="Ottawa" w:eastAsia="MS Mincho" w:hAnsi="Ottawa"/>
          <w:b/>
          <w:sz w:val="18"/>
          <w:szCs w:val="18"/>
          <w:lang w:val="da-DK" w:eastAsia="da-DK"/>
        </w:rPr>
      </w:pPr>
      <w:r w:rsidRPr="00D403F5">
        <w:rPr>
          <w:rFonts w:ascii="Ottawa" w:eastAsia="MS Mincho" w:hAnsi="Ottawa"/>
          <w:b/>
          <w:sz w:val="18"/>
          <w:szCs w:val="18"/>
          <w:lang w:val="da-DK" w:eastAsia="da-DK"/>
        </w:rPr>
        <w:t>2.2.</w:t>
      </w:r>
      <w:r w:rsidRPr="00D403F5">
        <w:rPr>
          <w:rFonts w:ascii="Ottawa" w:eastAsia="MS Mincho" w:hAnsi="Ottawa"/>
          <w:b/>
          <w:sz w:val="18"/>
          <w:szCs w:val="18"/>
          <w:lang w:val="da-DK" w:eastAsia="da-DK"/>
        </w:rPr>
        <w:tab/>
        <w:t>Host factors</w:t>
      </w:r>
    </w:p>
    <w:p w14:paraId="7E2F134F" w14:textId="77777777" w:rsidR="00C7266C" w:rsidRPr="00D403F5" w:rsidRDefault="00C7266C" w:rsidP="00D403F5">
      <w:pPr>
        <w:spacing w:after="0" w:line="240" w:lineRule="auto"/>
        <w:ind w:left="851" w:hanging="567"/>
        <w:jc w:val="both"/>
        <w:rPr>
          <w:rFonts w:ascii="Ottawa" w:hAnsi="Ottawa"/>
          <w:b/>
          <w:bCs/>
          <w:sz w:val="18"/>
          <w:szCs w:val="18"/>
          <w:lang w:val="en-IE" w:eastAsia="fr-FR"/>
        </w:rPr>
      </w:pPr>
      <w:r w:rsidRPr="00D403F5">
        <w:rPr>
          <w:rFonts w:ascii="Ottawa" w:hAnsi="Ottawa"/>
          <w:b/>
          <w:bCs/>
          <w:sz w:val="18"/>
          <w:szCs w:val="18"/>
          <w:lang w:val="en-IE" w:eastAsia="fr-FR"/>
        </w:rPr>
        <w:t>2.2.1.</w:t>
      </w:r>
      <w:r w:rsidRPr="00D403F5">
        <w:rPr>
          <w:rFonts w:ascii="Ottawa" w:hAnsi="Ottawa"/>
          <w:b/>
          <w:bCs/>
          <w:sz w:val="18"/>
          <w:szCs w:val="18"/>
          <w:lang w:val="en-IE" w:eastAsia="fr-FR"/>
        </w:rPr>
        <w:tab/>
      </w:r>
      <w:bookmarkStart w:id="62" w:name="_Hlk20819181"/>
      <w:r w:rsidRPr="00D403F5">
        <w:rPr>
          <w:rFonts w:ascii="Ottawa" w:hAnsi="Ottawa"/>
          <w:b/>
          <w:bCs/>
          <w:sz w:val="18"/>
          <w:szCs w:val="18"/>
          <w:lang w:val="en-IE" w:eastAsia="fr-FR"/>
        </w:rPr>
        <w:t xml:space="preserve">Susceptible host species </w:t>
      </w:r>
      <w:bookmarkEnd w:id="62"/>
    </w:p>
    <w:p w14:paraId="6F04A9F8" w14:textId="77777777" w:rsidR="00C7266C" w:rsidRPr="00D403F5" w:rsidRDefault="00C7266C" w:rsidP="00D403F5">
      <w:pPr>
        <w:spacing w:after="0" w:line="240" w:lineRule="auto"/>
        <w:ind w:left="851"/>
        <w:jc w:val="both"/>
        <w:rPr>
          <w:rFonts w:ascii="Arial" w:eastAsia="Calibri" w:hAnsi="Arial" w:cs="Arial"/>
          <w:bCs/>
          <w:iCs/>
          <w:sz w:val="18"/>
          <w:szCs w:val="18"/>
        </w:rPr>
      </w:pPr>
      <w:bookmarkStart w:id="63" w:name="_Hlk4166077"/>
      <w:r w:rsidRPr="00D403F5">
        <w:rPr>
          <w:rFonts w:ascii="Arial" w:hAnsi="Arial" w:cs="Arial"/>
          <w:bCs/>
          <w:sz w:val="18"/>
          <w:szCs w:val="18"/>
          <w:lang w:val="en-IE"/>
        </w:rPr>
        <w:t xml:space="preserve">Species that fulfil the criteria for </w:t>
      </w:r>
      <w:r w:rsidRPr="00D403F5">
        <w:rPr>
          <w:rFonts w:ascii="Arial" w:hAnsi="Arial" w:cs="Arial"/>
          <w:bCs/>
          <w:sz w:val="18"/>
          <w:szCs w:val="18"/>
        </w:rPr>
        <w:t xml:space="preserve">listing as susceptible to infection with SVCV according to Chapter 1.5. of the </w:t>
      </w:r>
      <w:r w:rsidRPr="00D403F5">
        <w:rPr>
          <w:rFonts w:ascii="Arial" w:hAnsi="Arial" w:cs="Arial"/>
          <w:bCs/>
          <w:i/>
          <w:iCs/>
          <w:sz w:val="18"/>
          <w:szCs w:val="18"/>
        </w:rPr>
        <w:t>Aquatic Animal Health Code</w:t>
      </w:r>
      <w:r w:rsidRPr="00D403F5">
        <w:rPr>
          <w:rFonts w:ascii="Arial" w:hAnsi="Arial" w:cs="Arial"/>
          <w:bCs/>
          <w:sz w:val="18"/>
          <w:szCs w:val="18"/>
          <w:lang w:val="en-IE"/>
        </w:rPr>
        <w:t xml:space="preserve"> (</w:t>
      </w:r>
      <w:r w:rsidRPr="00D403F5">
        <w:rPr>
          <w:rFonts w:ascii="Arial" w:hAnsi="Arial" w:cs="Arial"/>
          <w:bCs/>
          <w:i/>
          <w:iCs/>
          <w:sz w:val="18"/>
          <w:szCs w:val="18"/>
        </w:rPr>
        <w:t>Aquatic Code</w:t>
      </w:r>
      <w:r w:rsidRPr="00D403F5">
        <w:rPr>
          <w:rFonts w:ascii="Arial" w:hAnsi="Arial" w:cs="Arial"/>
          <w:bCs/>
          <w:sz w:val="18"/>
          <w:szCs w:val="18"/>
          <w:lang w:val="en-IE"/>
        </w:rPr>
        <w:t xml:space="preserve">) are: </w:t>
      </w:r>
      <w:r w:rsidRPr="00D403F5">
        <w:rPr>
          <w:rFonts w:ascii="Arial" w:hAnsi="Arial" w:cs="Arial"/>
          <w:bCs/>
          <w:strike/>
          <w:sz w:val="18"/>
          <w:szCs w:val="18"/>
          <w:lang w:val="en-IE"/>
        </w:rPr>
        <w:t>all varieties and subspecies of common carp (</w:t>
      </w:r>
      <w:r w:rsidRPr="00D403F5">
        <w:rPr>
          <w:rFonts w:ascii="Arial" w:eastAsia="Calibri" w:hAnsi="Arial" w:cs="Arial"/>
          <w:bCs/>
          <w:i/>
          <w:strike/>
          <w:sz w:val="18"/>
          <w:szCs w:val="18"/>
        </w:rPr>
        <w:t>Cyprinus carpio</w:t>
      </w:r>
      <w:r w:rsidRPr="00D403F5">
        <w:rPr>
          <w:rFonts w:ascii="Arial" w:hAnsi="Arial" w:cs="Arial"/>
          <w:bCs/>
          <w:strike/>
          <w:sz w:val="18"/>
          <w:szCs w:val="18"/>
          <w:lang w:val="en-IE"/>
        </w:rPr>
        <w:t xml:space="preserve">), </w:t>
      </w:r>
      <w:r w:rsidRPr="00D403F5">
        <w:rPr>
          <w:rFonts w:ascii="Arial" w:eastAsia="Calibri" w:hAnsi="Arial" w:cs="Arial"/>
          <w:bCs/>
          <w:strike/>
          <w:sz w:val="18"/>
          <w:szCs w:val="18"/>
        </w:rPr>
        <w:t>bighead carp</w:t>
      </w:r>
      <w:r w:rsidRPr="00D403F5">
        <w:rPr>
          <w:rFonts w:ascii="Arial" w:eastAsia="Calibri" w:hAnsi="Arial" w:cs="Arial"/>
          <w:bCs/>
          <w:i/>
          <w:strike/>
          <w:sz w:val="18"/>
          <w:szCs w:val="18"/>
        </w:rPr>
        <w:t xml:space="preserve"> (Aristichthys nobilis</w:t>
      </w:r>
      <w:r w:rsidRPr="00D403F5">
        <w:rPr>
          <w:rFonts w:ascii="Arial" w:eastAsia="Calibri" w:hAnsi="Arial" w:cs="Arial"/>
          <w:bCs/>
          <w:strike/>
          <w:sz w:val="18"/>
          <w:szCs w:val="18"/>
        </w:rPr>
        <w:t xml:space="preserve">), </w:t>
      </w:r>
      <w:r w:rsidRPr="00D403F5">
        <w:rPr>
          <w:rFonts w:ascii="Arial" w:eastAsia="Calibri" w:hAnsi="Arial" w:cs="Arial"/>
          <w:bCs/>
          <w:iCs/>
          <w:strike/>
          <w:color w:val="000000"/>
          <w:sz w:val="18"/>
          <w:szCs w:val="18"/>
        </w:rPr>
        <w:t>bream</w:t>
      </w:r>
      <w:r w:rsidRPr="00D403F5">
        <w:rPr>
          <w:rFonts w:ascii="Arial" w:eastAsia="Calibri" w:hAnsi="Arial" w:cs="Arial"/>
          <w:bCs/>
          <w:i/>
          <w:iCs/>
          <w:strike/>
          <w:color w:val="000000"/>
          <w:sz w:val="18"/>
          <w:szCs w:val="18"/>
        </w:rPr>
        <w:t xml:space="preserve"> </w:t>
      </w:r>
      <w:r w:rsidRPr="00D403F5">
        <w:rPr>
          <w:rFonts w:ascii="Arial" w:eastAsia="Calibri" w:hAnsi="Arial" w:cs="Arial"/>
          <w:bCs/>
          <w:iCs/>
          <w:strike/>
          <w:color w:val="000000"/>
          <w:sz w:val="18"/>
          <w:szCs w:val="18"/>
        </w:rPr>
        <w:t>(</w:t>
      </w:r>
      <w:r w:rsidRPr="00D403F5">
        <w:rPr>
          <w:rFonts w:ascii="Arial" w:eastAsia="Calibri" w:hAnsi="Arial" w:cs="Arial"/>
          <w:bCs/>
          <w:i/>
          <w:iCs/>
          <w:strike/>
          <w:color w:val="000000"/>
          <w:sz w:val="18"/>
          <w:szCs w:val="18"/>
        </w:rPr>
        <w:t>Abramis brama</w:t>
      </w:r>
      <w:r w:rsidRPr="00D403F5">
        <w:rPr>
          <w:rFonts w:ascii="Arial" w:eastAsia="Calibri" w:hAnsi="Arial" w:cs="Arial"/>
          <w:bCs/>
          <w:iCs/>
          <w:strike/>
          <w:color w:val="000000"/>
          <w:sz w:val="18"/>
          <w:szCs w:val="18"/>
        </w:rPr>
        <w:t xml:space="preserve">), </w:t>
      </w:r>
      <w:r w:rsidRPr="00D403F5">
        <w:rPr>
          <w:rFonts w:ascii="Arial" w:eastAsia="Calibri" w:hAnsi="Arial" w:cs="Arial"/>
          <w:bCs/>
          <w:strike/>
          <w:sz w:val="18"/>
          <w:szCs w:val="18"/>
        </w:rPr>
        <w:t>Caspian white fish</w:t>
      </w:r>
      <w:r w:rsidRPr="00D403F5">
        <w:rPr>
          <w:rFonts w:ascii="Arial" w:eastAsia="Calibri" w:hAnsi="Arial" w:cs="Arial"/>
          <w:bCs/>
          <w:iCs/>
          <w:strike/>
          <w:color w:val="000000"/>
          <w:sz w:val="18"/>
          <w:szCs w:val="18"/>
        </w:rPr>
        <w:t xml:space="preserve"> (</w:t>
      </w:r>
      <w:r w:rsidRPr="00D403F5">
        <w:rPr>
          <w:rFonts w:ascii="Arial" w:eastAsia="Calibri" w:hAnsi="Arial" w:cs="Arial"/>
          <w:bCs/>
          <w:i/>
          <w:strike/>
          <w:sz w:val="18"/>
          <w:szCs w:val="18"/>
        </w:rPr>
        <w:t>Rutilus kutum</w:t>
      </w:r>
      <w:r w:rsidRPr="00D403F5">
        <w:rPr>
          <w:rFonts w:ascii="Arial" w:eastAsia="Calibri" w:hAnsi="Arial" w:cs="Arial"/>
          <w:bCs/>
          <w:strike/>
          <w:sz w:val="18"/>
          <w:szCs w:val="18"/>
        </w:rPr>
        <w:t>)</w:t>
      </w:r>
      <w:r w:rsidRPr="00D403F5">
        <w:rPr>
          <w:rFonts w:ascii="Arial" w:eastAsia="Calibri" w:hAnsi="Arial" w:cs="Arial"/>
          <w:bCs/>
          <w:i/>
          <w:iCs/>
          <w:strike/>
          <w:color w:val="000000"/>
          <w:sz w:val="18"/>
          <w:szCs w:val="18"/>
        </w:rPr>
        <w:t xml:space="preserve">, </w:t>
      </w:r>
      <w:r w:rsidRPr="00D403F5">
        <w:rPr>
          <w:rFonts w:ascii="Arial" w:eastAsia="Calibri" w:hAnsi="Arial" w:cs="Arial"/>
          <w:bCs/>
          <w:iCs/>
          <w:strike/>
          <w:sz w:val="18"/>
          <w:szCs w:val="18"/>
        </w:rPr>
        <w:t>fathead minnow</w:t>
      </w:r>
      <w:r w:rsidRPr="00D403F5">
        <w:rPr>
          <w:rFonts w:ascii="Arial" w:eastAsia="Calibri" w:hAnsi="Arial" w:cs="Arial"/>
          <w:bCs/>
          <w:strike/>
          <w:sz w:val="18"/>
          <w:szCs w:val="18"/>
          <w:lang w:val="en-US"/>
        </w:rPr>
        <w:t xml:space="preserve"> (</w:t>
      </w:r>
      <w:r w:rsidRPr="00D403F5">
        <w:rPr>
          <w:rFonts w:ascii="Arial" w:eastAsia="Calibri" w:hAnsi="Arial" w:cs="Arial"/>
          <w:bCs/>
          <w:i/>
          <w:strike/>
          <w:sz w:val="18"/>
          <w:szCs w:val="18"/>
        </w:rPr>
        <w:t>Pimephales promelas</w:t>
      </w:r>
      <w:r w:rsidRPr="00D403F5">
        <w:rPr>
          <w:rFonts w:ascii="Arial" w:eastAsia="Calibri" w:hAnsi="Arial" w:cs="Arial"/>
          <w:bCs/>
          <w:strike/>
          <w:sz w:val="18"/>
          <w:szCs w:val="18"/>
          <w:lang w:val="en-US"/>
        </w:rPr>
        <w:t>), golden shiner</w:t>
      </w:r>
      <w:r w:rsidRPr="00D403F5">
        <w:rPr>
          <w:rFonts w:ascii="Arial" w:eastAsia="Calibri" w:hAnsi="Arial" w:cs="Arial"/>
          <w:bCs/>
          <w:i/>
          <w:strike/>
          <w:sz w:val="18"/>
          <w:szCs w:val="18"/>
          <w:lang w:val="en-US"/>
        </w:rPr>
        <w:t xml:space="preserve"> </w:t>
      </w:r>
      <w:r w:rsidRPr="00D403F5">
        <w:rPr>
          <w:rFonts w:ascii="Arial" w:eastAsia="Calibri" w:hAnsi="Arial" w:cs="Arial"/>
          <w:bCs/>
          <w:strike/>
          <w:sz w:val="18"/>
          <w:szCs w:val="18"/>
          <w:lang w:val="en-US"/>
        </w:rPr>
        <w:t>(</w:t>
      </w:r>
      <w:r w:rsidRPr="00D403F5">
        <w:rPr>
          <w:rFonts w:ascii="Arial" w:eastAsia="Calibri" w:hAnsi="Arial" w:cs="Arial"/>
          <w:bCs/>
          <w:i/>
          <w:strike/>
          <w:sz w:val="18"/>
          <w:szCs w:val="18"/>
          <w:lang w:val="en-US"/>
        </w:rPr>
        <w:t>Notemigonus crysoleucas</w:t>
      </w:r>
      <w:r w:rsidRPr="00D403F5">
        <w:rPr>
          <w:rFonts w:ascii="Arial" w:eastAsia="Calibri" w:hAnsi="Arial" w:cs="Arial"/>
          <w:bCs/>
          <w:strike/>
          <w:sz w:val="18"/>
          <w:szCs w:val="18"/>
          <w:lang w:val="en-US"/>
        </w:rPr>
        <w:t xml:space="preserve">), </w:t>
      </w:r>
      <w:r w:rsidRPr="00D403F5">
        <w:rPr>
          <w:rFonts w:ascii="Arial" w:eastAsia="Calibri" w:hAnsi="Arial" w:cs="Arial"/>
          <w:bCs/>
          <w:strike/>
          <w:sz w:val="18"/>
          <w:szCs w:val="18"/>
        </w:rPr>
        <w:t>goldfish (</w:t>
      </w:r>
      <w:r w:rsidRPr="00D403F5">
        <w:rPr>
          <w:rFonts w:ascii="Arial" w:eastAsia="Calibri" w:hAnsi="Arial" w:cs="Arial"/>
          <w:bCs/>
          <w:i/>
          <w:strike/>
          <w:sz w:val="18"/>
          <w:szCs w:val="18"/>
        </w:rPr>
        <w:t>Carassius auratus</w:t>
      </w:r>
      <w:r w:rsidRPr="00D403F5">
        <w:rPr>
          <w:rFonts w:ascii="Arial" w:eastAsia="Calibri" w:hAnsi="Arial" w:cs="Arial"/>
          <w:bCs/>
          <w:strike/>
          <w:sz w:val="18"/>
          <w:szCs w:val="18"/>
        </w:rPr>
        <w:t>),</w:t>
      </w:r>
      <w:r w:rsidRPr="00D403F5">
        <w:rPr>
          <w:rFonts w:ascii="Arial" w:eastAsia="Calibri" w:hAnsi="Arial" w:cs="Arial"/>
          <w:bCs/>
          <w:i/>
          <w:strike/>
          <w:sz w:val="18"/>
          <w:szCs w:val="18"/>
        </w:rPr>
        <w:t xml:space="preserve"> </w:t>
      </w:r>
      <w:r w:rsidRPr="00D403F5">
        <w:rPr>
          <w:rFonts w:ascii="Arial" w:eastAsia="Calibri" w:hAnsi="Arial" w:cs="Arial"/>
          <w:bCs/>
          <w:strike/>
          <w:sz w:val="18"/>
          <w:szCs w:val="18"/>
          <w:lang w:val="en-US"/>
        </w:rPr>
        <w:t>grass carp</w:t>
      </w:r>
      <w:r w:rsidRPr="00D403F5">
        <w:rPr>
          <w:rFonts w:ascii="Arial" w:eastAsia="Calibri" w:hAnsi="Arial" w:cs="Arial"/>
          <w:bCs/>
          <w:i/>
          <w:strike/>
          <w:sz w:val="18"/>
          <w:szCs w:val="18"/>
        </w:rPr>
        <w:t xml:space="preserve"> </w:t>
      </w:r>
      <w:r w:rsidRPr="00D403F5">
        <w:rPr>
          <w:rFonts w:ascii="Arial" w:eastAsia="Calibri" w:hAnsi="Arial" w:cs="Arial"/>
          <w:bCs/>
          <w:strike/>
          <w:sz w:val="18"/>
          <w:szCs w:val="18"/>
        </w:rPr>
        <w:t>(</w:t>
      </w:r>
      <w:r w:rsidRPr="00D403F5">
        <w:rPr>
          <w:rFonts w:ascii="Arial" w:eastAsia="Calibri" w:hAnsi="Arial" w:cs="Arial"/>
          <w:bCs/>
          <w:i/>
          <w:strike/>
          <w:sz w:val="18"/>
          <w:szCs w:val="18"/>
          <w:lang w:val="en-US"/>
        </w:rPr>
        <w:t>Ctenopharyngodon Idella</w:t>
      </w:r>
      <w:r w:rsidRPr="00D403F5">
        <w:rPr>
          <w:rFonts w:ascii="Arial" w:eastAsia="Calibri" w:hAnsi="Arial" w:cs="Arial"/>
          <w:bCs/>
          <w:strike/>
          <w:sz w:val="18"/>
          <w:szCs w:val="18"/>
          <w:lang w:val="en-US"/>
        </w:rPr>
        <w:t>)</w:t>
      </w:r>
      <w:r w:rsidRPr="00D403F5">
        <w:rPr>
          <w:rFonts w:ascii="Arial" w:eastAsia="Calibri" w:hAnsi="Arial" w:cs="Arial"/>
          <w:bCs/>
          <w:i/>
          <w:strike/>
          <w:sz w:val="18"/>
          <w:szCs w:val="18"/>
          <w:lang w:val="en-US"/>
        </w:rPr>
        <w:t xml:space="preserve">, </w:t>
      </w:r>
      <w:r w:rsidRPr="00D403F5">
        <w:rPr>
          <w:rFonts w:ascii="Arial" w:eastAsia="Calibri" w:hAnsi="Arial" w:cs="Arial"/>
          <w:bCs/>
          <w:strike/>
          <w:sz w:val="18"/>
          <w:szCs w:val="18"/>
          <w:lang w:val="en-US"/>
        </w:rPr>
        <w:t>roach</w:t>
      </w:r>
      <w:r w:rsidRPr="00D403F5">
        <w:rPr>
          <w:rFonts w:ascii="Arial" w:eastAsia="Arial" w:hAnsi="Arial" w:cs="Arial"/>
          <w:bCs/>
          <w:strike/>
          <w:sz w:val="18"/>
          <w:szCs w:val="18"/>
          <w:lang w:val="en-IE"/>
        </w:rPr>
        <w:t xml:space="preserve"> (</w:t>
      </w:r>
      <w:r w:rsidRPr="00D403F5">
        <w:rPr>
          <w:rFonts w:ascii="Arial" w:eastAsia="Calibri" w:hAnsi="Arial" w:cs="Arial"/>
          <w:bCs/>
          <w:i/>
          <w:strike/>
          <w:sz w:val="18"/>
          <w:szCs w:val="18"/>
          <w:lang w:val="en-US"/>
        </w:rPr>
        <w:t>Rutilus rutilus</w:t>
      </w:r>
      <w:r w:rsidRPr="00D403F5">
        <w:rPr>
          <w:rFonts w:ascii="Arial" w:eastAsia="Calibri" w:hAnsi="Arial" w:cs="Arial"/>
          <w:bCs/>
          <w:strike/>
          <w:sz w:val="18"/>
          <w:szCs w:val="18"/>
          <w:lang w:val="en-US"/>
        </w:rPr>
        <w:t xml:space="preserve">) and </w:t>
      </w:r>
      <w:r w:rsidRPr="00D403F5">
        <w:rPr>
          <w:rFonts w:ascii="Arial" w:eastAsia="Arial" w:hAnsi="Arial" w:cs="Arial"/>
          <w:bCs/>
          <w:strike/>
          <w:sz w:val="18"/>
          <w:szCs w:val="18"/>
          <w:lang w:val="en-IE"/>
        </w:rPr>
        <w:t>sheatfish (also known as European or wels catfish) (</w:t>
      </w:r>
      <w:r w:rsidRPr="00D403F5">
        <w:rPr>
          <w:rFonts w:ascii="Arial" w:eastAsia="Arial" w:hAnsi="Arial" w:cs="Arial"/>
          <w:bCs/>
          <w:i/>
          <w:strike/>
          <w:sz w:val="18"/>
          <w:szCs w:val="18"/>
          <w:lang w:val="en-IE"/>
        </w:rPr>
        <w:t>Silurus glanis</w:t>
      </w:r>
      <w:r w:rsidRPr="00D403F5">
        <w:rPr>
          <w:rFonts w:ascii="Arial" w:eastAsia="Arial" w:hAnsi="Arial" w:cs="Arial"/>
          <w:bCs/>
          <w:strike/>
          <w:sz w:val="18"/>
          <w:szCs w:val="18"/>
          <w:lang w:val="en-IE"/>
        </w:rPr>
        <w:t>)</w:t>
      </w:r>
      <w:r w:rsidRPr="00D403F5">
        <w:rPr>
          <w:rFonts w:ascii="Arial" w:eastAsia="Calibri" w:hAnsi="Arial" w:cs="Arial"/>
          <w:bCs/>
          <w:iCs/>
          <w:strike/>
          <w:sz w:val="18"/>
          <w:szCs w:val="18"/>
        </w:rPr>
        <w:t>.</w:t>
      </w:r>
    </w:p>
    <w:tbl>
      <w:tblPr>
        <w:tblW w:w="7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3"/>
        <w:gridCol w:w="2156"/>
        <w:gridCol w:w="4137"/>
      </w:tblGrid>
      <w:tr w:rsidR="00C7266C" w:rsidRPr="00D403F5" w14:paraId="126E3B3B" w14:textId="77777777" w:rsidTr="00C7266C">
        <w:trPr>
          <w:tblHeader/>
          <w:jc w:val="center"/>
        </w:trPr>
        <w:tc>
          <w:tcPr>
            <w:tcW w:w="1503" w:type="dxa"/>
            <w:tcBorders>
              <w:top w:val="single" w:sz="4" w:space="0" w:color="auto"/>
              <w:bottom w:val="single" w:sz="4" w:space="0" w:color="auto"/>
            </w:tcBorders>
            <w:vAlign w:val="center"/>
          </w:tcPr>
          <w:p w14:paraId="20F97B11"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Family</w:t>
            </w:r>
          </w:p>
        </w:tc>
        <w:tc>
          <w:tcPr>
            <w:tcW w:w="2156" w:type="dxa"/>
            <w:tcBorders>
              <w:top w:val="single" w:sz="4" w:space="0" w:color="auto"/>
              <w:bottom w:val="single" w:sz="4" w:space="0" w:color="auto"/>
            </w:tcBorders>
            <w:shd w:val="clear" w:color="auto" w:fill="auto"/>
            <w:vAlign w:val="center"/>
          </w:tcPr>
          <w:p w14:paraId="1DF30B47"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Scientific name</w:t>
            </w:r>
          </w:p>
        </w:tc>
        <w:tc>
          <w:tcPr>
            <w:tcW w:w="4137" w:type="dxa"/>
            <w:tcBorders>
              <w:top w:val="single" w:sz="4" w:space="0" w:color="auto"/>
              <w:bottom w:val="single" w:sz="4" w:space="0" w:color="auto"/>
            </w:tcBorders>
            <w:vAlign w:val="center"/>
          </w:tcPr>
          <w:p w14:paraId="10045CF1"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Common name</w:t>
            </w:r>
          </w:p>
        </w:tc>
      </w:tr>
      <w:tr w:rsidR="00C7266C" w:rsidRPr="00D403F5" w14:paraId="342DC18F" w14:textId="77777777" w:rsidTr="00C7266C">
        <w:trPr>
          <w:jc w:val="center"/>
        </w:trPr>
        <w:tc>
          <w:tcPr>
            <w:tcW w:w="1503" w:type="dxa"/>
            <w:vMerge w:val="restart"/>
            <w:tcBorders>
              <w:top w:val="single" w:sz="4" w:space="0" w:color="auto"/>
            </w:tcBorders>
            <w:vAlign w:val="center"/>
          </w:tcPr>
          <w:p w14:paraId="29E30A52" w14:textId="77777777" w:rsidR="00C7266C" w:rsidRPr="00D403F5" w:rsidRDefault="000667F3" w:rsidP="00D403F5">
            <w:pPr>
              <w:spacing w:after="0"/>
              <w:jc w:val="center"/>
              <w:rPr>
                <w:rFonts w:ascii="Arial" w:hAnsi="Arial" w:cs="Arial"/>
                <w:color w:val="000000"/>
                <w:sz w:val="18"/>
                <w:szCs w:val="18"/>
                <w:u w:val="double"/>
              </w:rPr>
            </w:pPr>
            <w:hyperlink r:id="rId85" w:history="1">
              <w:r w:rsidR="00C7266C" w:rsidRPr="00D403F5">
                <w:rPr>
                  <w:rFonts w:ascii="Arial" w:eastAsia="Times New Roman" w:hAnsi="Arial" w:cs="Arial"/>
                  <w:sz w:val="18"/>
                  <w:szCs w:val="18"/>
                  <w:u w:val="double"/>
                </w:rPr>
                <w:t>Cyprinidae</w:t>
              </w:r>
            </w:hyperlink>
          </w:p>
        </w:tc>
        <w:tc>
          <w:tcPr>
            <w:tcW w:w="2156" w:type="dxa"/>
            <w:tcBorders>
              <w:top w:val="single" w:sz="4" w:space="0" w:color="auto"/>
            </w:tcBorders>
            <w:shd w:val="clear" w:color="auto" w:fill="auto"/>
            <w:vAlign w:val="center"/>
          </w:tcPr>
          <w:p w14:paraId="060FB4FF" w14:textId="77777777" w:rsidR="00C7266C" w:rsidRPr="00D403F5" w:rsidRDefault="00C7266C" w:rsidP="00D403F5">
            <w:pPr>
              <w:pStyle w:val="Tabletext"/>
              <w:spacing w:before="0" w:after="0"/>
              <w:rPr>
                <w:i/>
                <w:iCs/>
                <w:color w:val="000000"/>
                <w:szCs w:val="18"/>
                <w:u w:val="double"/>
              </w:rPr>
            </w:pPr>
            <w:r w:rsidRPr="00D403F5">
              <w:rPr>
                <w:i/>
                <w:szCs w:val="18"/>
                <w:u w:val="double"/>
              </w:rPr>
              <w:t>Abramis brama</w:t>
            </w:r>
          </w:p>
        </w:tc>
        <w:tc>
          <w:tcPr>
            <w:tcW w:w="4137" w:type="dxa"/>
            <w:tcBorders>
              <w:top w:val="single" w:sz="4" w:space="0" w:color="auto"/>
            </w:tcBorders>
            <w:vAlign w:val="center"/>
          </w:tcPr>
          <w:p w14:paraId="239F5FDF" w14:textId="77777777" w:rsidR="00C7266C" w:rsidRPr="00D403F5" w:rsidRDefault="00C7266C" w:rsidP="00D403F5">
            <w:pPr>
              <w:pStyle w:val="Tabletext"/>
              <w:spacing w:before="0" w:after="0"/>
              <w:rPr>
                <w:color w:val="000000"/>
                <w:szCs w:val="18"/>
                <w:u w:val="double"/>
              </w:rPr>
            </w:pPr>
            <w:r w:rsidRPr="00D403F5">
              <w:rPr>
                <w:szCs w:val="18"/>
                <w:u w:val="double"/>
              </w:rPr>
              <w:t>Bream</w:t>
            </w:r>
          </w:p>
        </w:tc>
      </w:tr>
      <w:tr w:rsidR="00C7266C" w:rsidRPr="00D403F5" w14:paraId="509682AE" w14:textId="77777777" w:rsidTr="00C7266C">
        <w:trPr>
          <w:jc w:val="center"/>
        </w:trPr>
        <w:tc>
          <w:tcPr>
            <w:tcW w:w="1503" w:type="dxa"/>
            <w:vMerge/>
            <w:vAlign w:val="center"/>
          </w:tcPr>
          <w:p w14:paraId="5A6752BB" w14:textId="77777777" w:rsidR="00C7266C" w:rsidRPr="00D403F5" w:rsidRDefault="00C7266C" w:rsidP="00D403F5">
            <w:pPr>
              <w:spacing w:after="0"/>
              <w:jc w:val="center"/>
              <w:rPr>
                <w:color w:val="000000"/>
                <w:sz w:val="18"/>
                <w:szCs w:val="18"/>
                <w:u w:val="double"/>
              </w:rPr>
            </w:pPr>
          </w:p>
        </w:tc>
        <w:tc>
          <w:tcPr>
            <w:tcW w:w="2156" w:type="dxa"/>
            <w:tcBorders>
              <w:top w:val="single" w:sz="4" w:space="0" w:color="auto"/>
            </w:tcBorders>
            <w:shd w:val="clear" w:color="auto" w:fill="auto"/>
            <w:vAlign w:val="center"/>
          </w:tcPr>
          <w:p w14:paraId="48DDAA39" w14:textId="77777777" w:rsidR="00C7266C" w:rsidRPr="00D403F5" w:rsidRDefault="00C7266C" w:rsidP="00D403F5">
            <w:pPr>
              <w:pStyle w:val="Tabletext"/>
              <w:spacing w:before="0" w:after="0"/>
              <w:rPr>
                <w:i/>
                <w:szCs w:val="18"/>
                <w:u w:val="double"/>
              </w:rPr>
            </w:pPr>
            <w:r w:rsidRPr="00D403F5">
              <w:rPr>
                <w:i/>
                <w:szCs w:val="18"/>
                <w:u w:val="double"/>
              </w:rPr>
              <w:t>Aristichthys nobilis</w:t>
            </w:r>
          </w:p>
        </w:tc>
        <w:tc>
          <w:tcPr>
            <w:tcW w:w="4137" w:type="dxa"/>
            <w:tcBorders>
              <w:top w:val="single" w:sz="4" w:space="0" w:color="auto"/>
            </w:tcBorders>
            <w:vAlign w:val="center"/>
          </w:tcPr>
          <w:p w14:paraId="7AD821D3" w14:textId="77777777" w:rsidR="00C7266C" w:rsidRPr="00D403F5" w:rsidRDefault="00C7266C" w:rsidP="00D403F5">
            <w:pPr>
              <w:pStyle w:val="Tabletext"/>
              <w:spacing w:before="0" w:after="0"/>
              <w:rPr>
                <w:szCs w:val="18"/>
                <w:u w:val="double"/>
              </w:rPr>
            </w:pPr>
            <w:r w:rsidRPr="00D403F5">
              <w:rPr>
                <w:szCs w:val="18"/>
                <w:u w:val="double"/>
              </w:rPr>
              <w:t>Bighead</w:t>
            </w:r>
            <w:r w:rsidRPr="00D403F5">
              <w:rPr>
                <w:spacing w:val="-13"/>
                <w:szCs w:val="18"/>
                <w:u w:val="double"/>
              </w:rPr>
              <w:t xml:space="preserve"> </w:t>
            </w:r>
            <w:r w:rsidRPr="00D403F5">
              <w:rPr>
                <w:szCs w:val="18"/>
                <w:u w:val="double"/>
              </w:rPr>
              <w:t>carp</w:t>
            </w:r>
          </w:p>
        </w:tc>
      </w:tr>
      <w:tr w:rsidR="00C7266C" w:rsidRPr="00D403F5" w14:paraId="45104DB6" w14:textId="77777777" w:rsidTr="00C7266C">
        <w:trPr>
          <w:jc w:val="center"/>
        </w:trPr>
        <w:tc>
          <w:tcPr>
            <w:tcW w:w="1503" w:type="dxa"/>
            <w:vMerge/>
            <w:vAlign w:val="center"/>
          </w:tcPr>
          <w:p w14:paraId="39201DC2" w14:textId="77777777" w:rsidR="00C7266C" w:rsidRPr="00D403F5" w:rsidRDefault="00C7266C" w:rsidP="00D403F5">
            <w:pPr>
              <w:spacing w:after="0"/>
              <w:jc w:val="center"/>
              <w:rPr>
                <w:color w:val="000000"/>
                <w:sz w:val="18"/>
                <w:szCs w:val="18"/>
                <w:u w:val="double"/>
              </w:rPr>
            </w:pPr>
          </w:p>
        </w:tc>
        <w:tc>
          <w:tcPr>
            <w:tcW w:w="2156" w:type="dxa"/>
            <w:tcBorders>
              <w:top w:val="single" w:sz="4" w:space="0" w:color="auto"/>
            </w:tcBorders>
            <w:shd w:val="clear" w:color="auto" w:fill="auto"/>
            <w:vAlign w:val="center"/>
          </w:tcPr>
          <w:p w14:paraId="20227F6F" w14:textId="77777777" w:rsidR="00C7266C" w:rsidRPr="00D403F5" w:rsidRDefault="00C7266C" w:rsidP="00D403F5">
            <w:pPr>
              <w:pStyle w:val="Tabletext"/>
              <w:spacing w:before="0" w:after="0"/>
              <w:rPr>
                <w:i/>
                <w:iCs/>
                <w:color w:val="000000"/>
                <w:szCs w:val="18"/>
                <w:u w:val="double"/>
              </w:rPr>
            </w:pPr>
            <w:r w:rsidRPr="00D403F5">
              <w:rPr>
                <w:i/>
                <w:szCs w:val="18"/>
                <w:u w:val="double"/>
              </w:rPr>
              <w:t>Carassius auratus</w:t>
            </w:r>
          </w:p>
        </w:tc>
        <w:tc>
          <w:tcPr>
            <w:tcW w:w="4137" w:type="dxa"/>
            <w:tcBorders>
              <w:top w:val="single" w:sz="4" w:space="0" w:color="auto"/>
            </w:tcBorders>
            <w:vAlign w:val="center"/>
          </w:tcPr>
          <w:p w14:paraId="667F84A3" w14:textId="77777777" w:rsidR="00C7266C" w:rsidRPr="00D403F5" w:rsidRDefault="00C7266C" w:rsidP="00D403F5">
            <w:pPr>
              <w:pStyle w:val="Tabletext"/>
              <w:spacing w:before="0" w:after="0"/>
              <w:rPr>
                <w:color w:val="000000"/>
                <w:szCs w:val="18"/>
                <w:u w:val="double"/>
              </w:rPr>
            </w:pPr>
            <w:r w:rsidRPr="00D403F5">
              <w:rPr>
                <w:szCs w:val="18"/>
                <w:u w:val="double"/>
              </w:rPr>
              <w:t>Goldfish</w:t>
            </w:r>
          </w:p>
        </w:tc>
      </w:tr>
      <w:tr w:rsidR="00C7266C" w:rsidRPr="00D403F5" w14:paraId="3588A202" w14:textId="77777777" w:rsidTr="00C7266C">
        <w:trPr>
          <w:jc w:val="center"/>
        </w:trPr>
        <w:tc>
          <w:tcPr>
            <w:tcW w:w="1503" w:type="dxa"/>
            <w:vMerge/>
            <w:vAlign w:val="center"/>
          </w:tcPr>
          <w:p w14:paraId="1D82198F" w14:textId="77777777" w:rsidR="00C7266C" w:rsidRPr="00D403F5" w:rsidRDefault="00C7266C" w:rsidP="00D403F5">
            <w:pPr>
              <w:spacing w:after="0"/>
              <w:jc w:val="center"/>
              <w:rPr>
                <w:color w:val="000000"/>
                <w:sz w:val="18"/>
                <w:szCs w:val="18"/>
                <w:u w:val="double"/>
              </w:rPr>
            </w:pPr>
          </w:p>
        </w:tc>
        <w:tc>
          <w:tcPr>
            <w:tcW w:w="2156" w:type="dxa"/>
            <w:tcBorders>
              <w:top w:val="single" w:sz="4" w:space="0" w:color="auto"/>
            </w:tcBorders>
            <w:shd w:val="clear" w:color="auto" w:fill="auto"/>
            <w:vAlign w:val="center"/>
          </w:tcPr>
          <w:p w14:paraId="231B3FA5" w14:textId="77777777" w:rsidR="00C7266C" w:rsidRPr="00D403F5" w:rsidRDefault="00C7266C" w:rsidP="00D403F5">
            <w:pPr>
              <w:pStyle w:val="Tabletext"/>
              <w:spacing w:before="0" w:after="0"/>
              <w:rPr>
                <w:i/>
                <w:iCs/>
                <w:color w:val="000000"/>
                <w:szCs w:val="18"/>
                <w:u w:val="double"/>
              </w:rPr>
            </w:pPr>
            <w:r w:rsidRPr="00D403F5">
              <w:rPr>
                <w:i/>
                <w:szCs w:val="18"/>
                <w:u w:val="double"/>
              </w:rPr>
              <w:t>Ctenopharyngodon idella</w:t>
            </w:r>
          </w:p>
        </w:tc>
        <w:tc>
          <w:tcPr>
            <w:tcW w:w="4137" w:type="dxa"/>
            <w:tcBorders>
              <w:top w:val="single" w:sz="4" w:space="0" w:color="auto"/>
            </w:tcBorders>
            <w:vAlign w:val="center"/>
          </w:tcPr>
          <w:p w14:paraId="6765555C" w14:textId="77777777" w:rsidR="00C7266C" w:rsidRPr="00D403F5" w:rsidRDefault="00C7266C" w:rsidP="00D403F5">
            <w:pPr>
              <w:pStyle w:val="Tabletext"/>
              <w:spacing w:before="0" w:after="0"/>
              <w:rPr>
                <w:color w:val="000000"/>
                <w:szCs w:val="18"/>
                <w:u w:val="double"/>
              </w:rPr>
            </w:pPr>
            <w:r w:rsidRPr="00D403F5">
              <w:rPr>
                <w:szCs w:val="18"/>
                <w:u w:val="double"/>
              </w:rPr>
              <w:t>Grass carp</w:t>
            </w:r>
          </w:p>
        </w:tc>
      </w:tr>
      <w:tr w:rsidR="00C7266C" w:rsidRPr="00D403F5" w14:paraId="7B4D3BE3" w14:textId="77777777" w:rsidTr="00C7266C">
        <w:trPr>
          <w:jc w:val="center"/>
        </w:trPr>
        <w:tc>
          <w:tcPr>
            <w:tcW w:w="1503" w:type="dxa"/>
            <w:vMerge/>
            <w:vAlign w:val="center"/>
          </w:tcPr>
          <w:p w14:paraId="55BBFCAB" w14:textId="77777777" w:rsidR="00C7266C" w:rsidRPr="00D403F5" w:rsidRDefault="00C7266C" w:rsidP="00D403F5">
            <w:pPr>
              <w:spacing w:after="0"/>
              <w:jc w:val="center"/>
              <w:rPr>
                <w:color w:val="000000"/>
                <w:sz w:val="18"/>
                <w:szCs w:val="18"/>
                <w:u w:val="double"/>
              </w:rPr>
            </w:pPr>
          </w:p>
        </w:tc>
        <w:tc>
          <w:tcPr>
            <w:tcW w:w="2156" w:type="dxa"/>
            <w:tcBorders>
              <w:top w:val="single" w:sz="4" w:space="0" w:color="auto"/>
            </w:tcBorders>
            <w:shd w:val="clear" w:color="auto" w:fill="auto"/>
            <w:vAlign w:val="center"/>
          </w:tcPr>
          <w:p w14:paraId="27D91313" w14:textId="77777777" w:rsidR="00C7266C" w:rsidRPr="00D403F5" w:rsidRDefault="00C7266C" w:rsidP="00D403F5">
            <w:pPr>
              <w:pStyle w:val="Tabletext"/>
              <w:spacing w:before="0" w:after="0"/>
              <w:rPr>
                <w:i/>
                <w:iCs/>
                <w:color w:val="000000"/>
                <w:szCs w:val="18"/>
                <w:u w:val="double"/>
              </w:rPr>
            </w:pPr>
            <w:r w:rsidRPr="00D403F5">
              <w:rPr>
                <w:i/>
                <w:szCs w:val="18"/>
                <w:u w:val="double"/>
              </w:rPr>
              <w:t>Cyprinus</w:t>
            </w:r>
            <w:r w:rsidRPr="00D403F5">
              <w:rPr>
                <w:i/>
                <w:spacing w:val="-13"/>
                <w:szCs w:val="18"/>
                <w:u w:val="double"/>
              </w:rPr>
              <w:t xml:space="preserve"> </w:t>
            </w:r>
            <w:r w:rsidRPr="00D403F5">
              <w:rPr>
                <w:i/>
                <w:szCs w:val="18"/>
                <w:u w:val="double"/>
              </w:rPr>
              <w:t>carpio</w:t>
            </w:r>
          </w:p>
        </w:tc>
        <w:tc>
          <w:tcPr>
            <w:tcW w:w="4137" w:type="dxa"/>
            <w:tcBorders>
              <w:top w:val="single" w:sz="4" w:space="0" w:color="auto"/>
            </w:tcBorders>
            <w:vAlign w:val="center"/>
          </w:tcPr>
          <w:p w14:paraId="4DBD8968" w14:textId="77777777" w:rsidR="00C7266C" w:rsidRPr="00D403F5" w:rsidRDefault="00C7266C" w:rsidP="00D403F5">
            <w:pPr>
              <w:pStyle w:val="Tabletext"/>
              <w:spacing w:before="0" w:after="0"/>
              <w:rPr>
                <w:color w:val="000000"/>
                <w:szCs w:val="18"/>
                <w:u w:val="double"/>
              </w:rPr>
            </w:pPr>
            <w:r w:rsidRPr="00D403F5">
              <w:rPr>
                <w:szCs w:val="18"/>
                <w:u w:val="double"/>
              </w:rPr>
              <w:t>Common</w:t>
            </w:r>
            <w:r w:rsidRPr="00D403F5">
              <w:rPr>
                <w:spacing w:val="-13"/>
                <w:szCs w:val="18"/>
                <w:u w:val="double"/>
              </w:rPr>
              <w:t xml:space="preserve"> </w:t>
            </w:r>
            <w:r w:rsidRPr="00D403F5">
              <w:rPr>
                <w:szCs w:val="18"/>
                <w:u w:val="double"/>
              </w:rPr>
              <w:t>carp (all</w:t>
            </w:r>
            <w:r w:rsidRPr="00D403F5">
              <w:rPr>
                <w:spacing w:val="-13"/>
                <w:szCs w:val="18"/>
                <w:u w:val="double"/>
              </w:rPr>
              <w:t xml:space="preserve"> </w:t>
            </w:r>
            <w:r w:rsidRPr="00D403F5">
              <w:rPr>
                <w:szCs w:val="18"/>
                <w:u w:val="double"/>
              </w:rPr>
              <w:t>varieties</w:t>
            </w:r>
            <w:r w:rsidRPr="00D403F5">
              <w:rPr>
                <w:spacing w:val="-13"/>
                <w:szCs w:val="18"/>
                <w:u w:val="double"/>
              </w:rPr>
              <w:t xml:space="preserve"> </w:t>
            </w:r>
            <w:r w:rsidRPr="00D403F5">
              <w:rPr>
                <w:szCs w:val="18"/>
                <w:u w:val="double"/>
              </w:rPr>
              <w:t>and</w:t>
            </w:r>
            <w:r w:rsidRPr="00D403F5">
              <w:rPr>
                <w:spacing w:val="-13"/>
                <w:szCs w:val="18"/>
                <w:u w:val="double"/>
              </w:rPr>
              <w:t xml:space="preserve"> </w:t>
            </w:r>
            <w:r w:rsidRPr="00D403F5">
              <w:rPr>
                <w:szCs w:val="18"/>
                <w:u w:val="double"/>
              </w:rPr>
              <w:t>subspecies</w:t>
            </w:r>
            <w:r w:rsidRPr="00D403F5">
              <w:rPr>
                <w:spacing w:val="-13"/>
                <w:szCs w:val="18"/>
                <w:u w:val="double"/>
              </w:rPr>
              <w:t xml:space="preserve">) </w:t>
            </w:r>
          </w:p>
        </w:tc>
      </w:tr>
      <w:tr w:rsidR="00C7266C" w:rsidRPr="00D403F5" w14:paraId="17204231" w14:textId="77777777" w:rsidTr="00C7266C">
        <w:trPr>
          <w:jc w:val="center"/>
        </w:trPr>
        <w:tc>
          <w:tcPr>
            <w:tcW w:w="1503" w:type="dxa"/>
            <w:vMerge/>
            <w:vAlign w:val="center"/>
          </w:tcPr>
          <w:p w14:paraId="5CFF5CE3" w14:textId="77777777" w:rsidR="00C7266C" w:rsidRPr="00D403F5" w:rsidRDefault="00C7266C" w:rsidP="00D403F5">
            <w:pPr>
              <w:spacing w:after="0"/>
              <w:jc w:val="center"/>
              <w:rPr>
                <w:color w:val="000000"/>
                <w:sz w:val="18"/>
                <w:szCs w:val="18"/>
                <w:u w:val="double"/>
              </w:rPr>
            </w:pPr>
          </w:p>
        </w:tc>
        <w:tc>
          <w:tcPr>
            <w:tcW w:w="2156" w:type="dxa"/>
            <w:tcBorders>
              <w:top w:val="single" w:sz="4" w:space="0" w:color="auto"/>
            </w:tcBorders>
            <w:shd w:val="clear" w:color="auto" w:fill="auto"/>
            <w:vAlign w:val="center"/>
          </w:tcPr>
          <w:p w14:paraId="4B9B602F" w14:textId="77777777" w:rsidR="00C7266C" w:rsidRPr="00D403F5" w:rsidRDefault="00C7266C" w:rsidP="00D403F5">
            <w:pPr>
              <w:pStyle w:val="Tabletext"/>
              <w:spacing w:before="0" w:after="0"/>
              <w:rPr>
                <w:i/>
                <w:iCs/>
                <w:color w:val="000000"/>
                <w:szCs w:val="18"/>
                <w:u w:val="double"/>
              </w:rPr>
            </w:pPr>
            <w:r w:rsidRPr="00D403F5">
              <w:rPr>
                <w:i/>
                <w:szCs w:val="18"/>
                <w:u w:val="double"/>
              </w:rPr>
              <w:t>Danio rerio</w:t>
            </w:r>
          </w:p>
        </w:tc>
        <w:tc>
          <w:tcPr>
            <w:tcW w:w="4137" w:type="dxa"/>
            <w:tcBorders>
              <w:top w:val="single" w:sz="4" w:space="0" w:color="auto"/>
            </w:tcBorders>
            <w:vAlign w:val="center"/>
          </w:tcPr>
          <w:p w14:paraId="22C5BE3F" w14:textId="77777777" w:rsidR="00C7266C" w:rsidRPr="00D403F5" w:rsidRDefault="00C7266C" w:rsidP="00D403F5">
            <w:pPr>
              <w:pStyle w:val="Tabletext"/>
              <w:spacing w:before="0" w:after="0"/>
              <w:rPr>
                <w:color w:val="000000"/>
                <w:szCs w:val="18"/>
                <w:u w:val="double"/>
              </w:rPr>
            </w:pPr>
            <w:r w:rsidRPr="00D403F5">
              <w:rPr>
                <w:iCs/>
                <w:szCs w:val="18"/>
                <w:u w:val="double"/>
              </w:rPr>
              <w:t>Zebrafish</w:t>
            </w:r>
          </w:p>
        </w:tc>
      </w:tr>
      <w:tr w:rsidR="00C7266C" w:rsidRPr="00D403F5" w14:paraId="608DD6F6" w14:textId="77777777" w:rsidTr="00C7266C">
        <w:trPr>
          <w:jc w:val="center"/>
        </w:trPr>
        <w:tc>
          <w:tcPr>
            <w:tcW w:w="1503" w:type="dxa"/>
            <w:vMerge/>
            <w:vAlign w:val="center"/>
          </w:tcPr>
          <w:p w14:paraId="4B981A55" w14:textId="77777777" w:rsidR="00C7266C" w:rsidRPr="00D403F5" w:rsidRDefault="00C7266C" w:rsidP="00D403F5">
            <w:pPr>
              <w:spacing w:after="0"/>
              <w:jc w:val="center"/>
              <w:rPr>
                <w:color w:val="000000"/>
                <w:sz w:val="18"/>
                <w:szCs w:val="18"/>
                <w:u w:val="double"/>
              </w:rPr>
            </w:pPr>
          </w:p>
        </w:tc>
        <w:tc>
          <w:tcPr>
            <w:tcW w:w="2156" w:type="dxa"/>
            <w:tcBorders>
              <w:top w:val="single" w:sz="4" w:space="0" w:color="auto"/>
            </w:tcBorders>
            <w:shd w:val="clear" w:color="auto" w:fill="auto"/>
            <w:vAlign w:val="center"/>
          </w:tcPr>
          <w:p w14:paraId="25370220" w14:textId="77777777" w:rsidR="00C7266C" w:rsidRPr="00D403F5" w:rsidRDefault="00C7266C" w:rsidP="00D403F5">
            <w:pPr>
              <w:pStyle w:val="Tabletext"/>
              <w:spacing w:before="0" w:after="0"/>
              <w:rPr>
                <w:i/>
                <w:iCs/>
                <w:color w:val="000000"/>
                <w:szCs w:val="18"/>
                <w:u w:val="double"/>
              </w:rPr>
            </w:pPr>
            <w:r w:rsidRPr="00D403F5">
              <w:rPr>
                <w:i/>
                <w:szCs w:val="18"/>
                <w:u w:val="double"/>
              </w:rPr>
              <w:t>Notemigonus crysoleucas</w:t>
            </w:r>
          </w:p>
        </w:tc>
        <w:tc>
          <w:tcPr>
            <w:tcW w:w="4137" w:type="dxa"/>
            <w:tcBorders>
              <w:top w:val="single" w:sz="4" w:space="0" w:color="auto"/>
            </w:tcBorders>
            <w:vAlign w:val="center"/>
          </w:tcPr>
          <w:p w14:paraId="4A5957E5" w14:textId="77777777" w:rsidR="00C7266C" w:rsidRPr="00D403F5" w:rsidRDefault="00C7266C" w:rsidP="00D403F5">
            <w:pPr>
              <w:pStyle w:val="Tabletext"/>
              <w:spacing w:before="0" w:after="0"/>
              <w:rPr>
                <w:color w:val="000000"/>
                <w:szCs w:val="18"/>
                <w:u w:val="double"/>
              </w:rPr>
            </w:pPr>
            <w:r w:rsidRPr="00D403F5">
              <w:rPr>
                <w:szCs w:val="18"/>
                <w:u w:val="double"/>
              </w:rPr>
              <w:t>Golden shiner</w:t>
            </w:r>
          </w:p>
        </w:tc>
      </w:tr>
      <w:tr w:rsidR="00C7266C" w:rsidRPr="00D403F5" w14:paraId="5DBE549F" w14:textId="77777777" w:rsidTr="00C7266C">
        <w:trPr>
          <w:jc w:val="center"/>
        </w:trPr>
        <w:tc>
          <w:tcPr>
            <w:tcW w:w="1503" w:type="dxa"/>
            <w:vMerge/>
            <w:vAlign w:val="center"/>
          </w:tcPr>
          <w:p w14:paraId="3C7C955A" w14:textId="77777777" w:rsidR="00C7266C" w:rsidRPr="00D403F5" w:rsidRDefault="00C7266C" w:rsidP="00D403F5">
            <w:pPr>
              <w:spacing w:after="0"/>
              <w:jc w:val="center"/>
              <w:rPr>
                <w:color w:val="000000"/>
                <w:sz w:val="18"/>
                <w:szCs w:val="18"/>
                <w:u w:val="double"/>
              </w:rPr>
            </w:pPr>
          </w:p>
        </w:tc>
        <w:tc>
          <w:tcPr>
            <w:tcW w:w="2156" w:type="dxa"/>
            <w:tcBorders>
              <w:top w:val="single" w:sz="4" w:space="0" w:color="auto"/>
            </w:tcBorders>
            <w:shd w:val="clear" w:color="auto" w:fill="auto"/>
            <w:vAlign w:val="center"/>
          </w:tcPr>
          <w:p w14:paraId="127A6C73" w14:textId="77777777" w:rsidR="00C7266C" w:rsidRPr="00D403F5" w:rsidRDefault="00C7266C" w:rsidP="00D403F5">
            <w:pPr>
              <w:pStyle w:val="Tabletext"/>
              <w:spacing w:before="0" w:after="0"/>
              <w:rPr>
                <w:i/>
                <w:iCs/>
                <w:color w:val="000000"/>
                <w:szCs w:val="18"/>
                <w:u w:val="double"/>
              </w:rPr>
            </w:pPr>
            <w:r w:rsidRPr="00D403F5">
              <w:rPr>
                <w:i/>
                <w:szCs w:val="18"/>
                <w:u w:val="double"/>
              </w:rPr>
              <w:t>Pimephales promelas</w:t>
            </w:r>
          </w:p>
        </w:tc>
        <w:tc>
          <w:tcPr>
            <w:tcW w:w="4137" w:type="dxa"/>
            <w:tcBorders>
              <w:top w:val="single" w:sz="4" w:space="0" w:color="auto"/>
            </w:tcBorders>
            <w:vAlign w:val="center"/>
          </w:tcPr>
          <w:p w14:paraId="7D9F2794" w14:textId="77777777" w:rsidR="00C7266C" w:rsidRPr="00D403F5" w:rsidRDefault="00C7266C" w:rsidP="00D403F5">
            <w:pPr>
              <w:pStyle w:val="Tabletext"/>
              <w:spacing w:before="0" w:after="0"/>
              <w:rPr>
                <w:color w:val="000000"/>
                <w:szCs w:val="18"/>
                <w:u w:val="double"/>
              </w:rPr>
            </w:pPr>
            <w:r w:rsidRPr="00D403F5">
              <w:rPr>
                <w:szCs w:val="18"/>
                <w:u w:val="double"/>
              </w:rPr>
              <w:t>Fathead minnow</w:t>
            </w:r>
          </w:p>
        </w:tc>
      </w:tr>
      <w:tr w:rsidR="00C7266C" w:rsidRPr="00D403F5" w14:paraId="1C623DF8" w14:textId="77777777" w:rsidTr="00C7266C">
        <w:trPr>
          <w:jc w:val="center"/>
        </w:trPr>
        <w:tc>
          <w:tcPr>
            <w:tcW w:w="1503" w:type="dxa"/>
            <w:vMerge/>
            <w:vAlign w:val="center"/>
          </w:tcPr>
          <w:p w14:paraId="69C13B57" w14:textId="77777777" w:rsidR="00C7266C" w:rsidRPr="00D403F5" w:rsidRDefault="00C7266C" w:rsidP="00D403F5">
            <w:pPr>
              <w:spacing w:after="0"/>
              <w:jc w:val="center"/>
              <w:rPr>
                <w:sz w:val="18"/>
                <w:szCs w:val="18"/>
                <w:u w:val="double"/>
              </w:rPr>
            </w:pPr>
          </w:p>
        </w:tc>
        <w:tc>
          <w:tcPr>
            <w:tcW w:w="2156" w:type="dxa"/>
            <w:tcBorders>
              <w:top w:val="single" w:sz="4" w:space="0" w:color="auto"/>
            </w:tcBorders>
            <w:shd w:val="clear" w:color="auto" w:fill="auto"/>
            <w:vAlign w:val="center"/>
          </w:tcPr>
          <w:p w14:paraId="350E61CE" w14:textId="77777777" w:rsidR="00C7266C" w:rsidRPr="00D403F5" w:rsidRDefault="00C7266C" w:rsidP="00D403F5">
            <w:pPr>
              <w:pStyle w:val="Tabletext"/>
              <w:spacing w:before="0" w:after="0"/>
              <w:rPr>
                <w:i/>
                <w:szCs w:val="18"/>
                <w:u w:val="double"/>
                <w:lang w:val="en-GB"/>
              </w:rPr>
            </w:pPr>
            <w:r w:rsidRPr="00D403F5">
              <w:rPr>
                <w:i/>
                <w:szCs w:val="18"/>
                <w:u w:val="double"/>
              </w:rPr>
              <w:t>Rutilus kutum</w:t>
            </w:r>
          </w:p>
        </w:tc>
        <w:tc>
          <w:tcPr>
            <w:tcW w:w="4137" w:type="dxa"/>
            <w:tcBorders>
              <w:top w:val="single" w:sz="4" w:space="0" w:color="auto"/>
            </w:tcBorders>
            <w:vAlign w:val="center"/>
          </w:tcPr>
          <w:p w14:paraId="03CAF694" w14:textId="77777777" w:rsidR="00C7266C" w:rsidRPr="00D403F5" w:rsidRDefault="00C7266C" w:rsidP="00D403F5">
            <w:pPr>
              <w:pStyle w:val="Tabletext"/>
              <w:spacing w:before="0" w:after="0"/>
              <w:rPr>
                <w:iCs/>
                <w:szCs w:val="18"/>
                <w:u w:val="double"/>
                <w:lang w:val="en-GB"/>
              </w:rPr>
            </w:pPr>
            <w:r w:rsidRPr="00D403F5">
              <w:rPr>
                <w:szCs w:val="18"/>
                <w:u w:val="double"/>
              </w:rPr>
              <w:t>Caspian white fish</w:t>
            </w:r>
          </w:p>
        </w:tc>
      </w:tr>
      <w:tr w:rsidR="00C7266C" w:rsidRPr="00D403F5" w14:paraId="3A0D950B" w14:textId="77777777" w:rsidTr="00C7266C">
        <w:trPr>
          <w:jc w:val="center"/>
        </w:trPr>
        <w:tc>
          <w:tcPr>
            <w:tcW w:w="1503" w:type="dxa"/>
            <w:vMerge/>
            <w:vAlign w:val="center"/>
          </w:tcPr>
          <w:p w14:paraId="7FF02164" w14:textId="77777777" w:rsidR="00C7266C" w:rsidRPr="00D403F5" w:rsidRDefault="00C7266C" w:rsidP="00D403F5">
            <w:pPr>
              <w:spacing w:after="0"/>
              <w:jc w:val="center"/>
              <w:rPr>
                <w:sz w:val="18"/>
                <w:szCs w:val="18"/>
                <w:u w:val="double"/>
              </w:rPr>
            </w:pPr>
          </w:p>
        </w:tc>
        <w:tc>
          <w:tcPr>
            <w:tcW w:w="2156" w:type="dxa"/>
            <w:tcBorders>
              <w:top w:val="single" w:sz="4" w:space="0" w:color="auto"/>
            </w:tcBorders>
            <w:shd w:val="clear" w:color="auto" w:fill="auto"/>
            <w:vAlign w:val="center"/>
          </w:tcPr>
          <w:p w14:paraId="3A3DF26A" w14:textId="77777777" w:rsidR="00C7266C" w:rsidRPr="00D403F5" w:rsidRDefault="00C7266C" w:rsidP="00D403F5">
            <w:pPr>
              <w:pStyle w:val="Tabletext"/>
              <w:spacing w:before="0" w:after="0"/>
              <w:rPr>
                <w:i/>
                <w:szCs w:val="18"/>
                <w:u w:val="double"/>
                <w:lang w:val="en-GB"/>
              </w:rPr>
            </w:pPr>
            <w:r w:rsidRPr="00D403F5">
              <w:rPr>
                <w:i/>
                <w:szCs w:val="18"/>
                <w:u w:val="double"/>
              </w:rPr>
              <w:t>Rutilus rutilus</w:t>
            </w:r>
          </w:p>
        </w:tc>
        <w:tc>
          <w:tcPr>
            <w:tcW w:w="4137" w:type="dxa"/>
            <w:tcBorders>
              <w:top w:val="single" w:sz="4" w:space="0" w:color="auto"/>
            </w:tcBorders>
            <w:vAlign w:val="center"/>
          </w:tcPr>
          <w:p w14:paraId="7589945C" w14:textId="77777777" w:rsidR="00C7266C" w:rsidRPr="00D403F5" w:rsidRDefault="00C7266C" w:rsidP="00D403F5">
            <w:pPr>
              <w:pStyle w:val="Tabletext"/>
              <w:spacing w:before="0" w:after="0"/>
              <w:rPr>
                <w:iCs/>
                <w:szCs w:val="18"/>
                <w:u w:val="double"/>
                <w:lang w:val="en-GB"/>
              </w:rPr>
            </w:pPr>
            <w:r w:rsidRPr="00D403F5">
              <w:rPr>
                <w:szCs w:val="18"/>
                <w:u w:val="double"/>
              </w:rPr>
              <w:t>Roach</w:t>
            </w:r>
          </w:p>
        </w:tc>
      </w:tr>
      <w:tr w:rsidR="00C7266C" w:rsidRPr="00D403F5" w14:paraId="0D9397DB" w14:textId="77777777" w:rsidTr="00C7266C">
        <w:trPr>
          <w:jc w:val="center"/>
        </w:trPr>
        <w:tc>
          <w:tcPr>
            <w:tcW w:w="1503" w:type="dxa"/>
            <w:vAlign w:val="center"/>
          </w:tcPr>
          <w:p w14:paraId="361B97FF" w14:textId="77777777" w:rsidR="00C7266C" w:rsidRPr="00D403F5" w:rsidRDefault="000667F3" w:rsidP="00D403F5">
            <w:pPr>
              <w:pStyle w:val="Tabletext"/>
              <w:spacing w:before="0" w:after="0"/>
              <w:rPr>
                <w:szCs w:val="18"/>
                <w:u w:val="double"/>
                <w:lang w:val="en-GB"/>
              </w:rPr>
            </w:pPr>
            <w:hyperlink r:id="rId86" w:history="1">
              <w:r w:rsidR="00C7266C" w:rsidRPr="00D403F5">
                <w:rPr>
                  <w:szCs w:val="18"/>
                  <w:u w:val="double"/>
                </w:rPr>
                <w:t>Siluridae</w:t>
              </w:r>
            </w:hyperlink>
          </w:p>
        </w:tc>
        <w:tc>
          <w:tcPr>
            <w:tcW w:w="2156" w:type="dxa"/>
            <w:tcBorders>
              <w:top w:val="single" w:sz="4" w:space="0" w:color="auto"/>
            </w:tcBorders>
            <w:shd w:val="clear" w:color="auto" w:fill="auto"/>
            <w:vAlign w:val="center"/>
          </w:tcPr>
          <w:p w14:paraId="5BA2D2AC" w14:textId="77777777" w:rsidR="00C7266C" w:rsidRPr="00D403F5" w:rsidRDefault="00C7266C" w:rsidP="00D403F5">
            <w:pPr>
              <w:pStyle w:val="Tabletext"/>
              <w:spacing w:before="0" w:after="0"/>
              <w:rPr>
                <w:i/>
                <w:szCs w:val="18"/>
                <w:u w:val="double"/>
                <w:lang w:val="en-GB"/>
              </w:rPr>
            </w:pPr>
            <w:r w:rsidRPr="00D403F5">
              <w:rPr>
                <w:i/>
                <w:szCs w:val="18"/>
                <w:u w:val="double"/>
              </w:rPr>
              <w:t>Silurus</w:t>
            </w:r>
            <w:r w:rsidRPr="00D403F5">
              <w:rPr>
                <w:i/>
                <w:spacing w:val="-7"/>
                <w:szCs w:val="18"/>
                <w:u w:val="double"/>
              </w:rPr>
              <w:t xml:space="preserve"> </w:t>
            </w:r>
            <w:r w:rsidRPr="00D403F5">
              <w:rPr>
                <w:i/>
                <w:szCs w:val="18"/>
                <w:u w:val="double"/>
              </w:rPr>
              <w:t>glanis</w:t>
            </w:r>
          </w:p>
        </w:tc>
        <w:tc>
          <w:tcPr>
            <w:tcW w:w="4137" w:type="dxa"/>
            <w:tcBorders>
              <w:top w:val="single" w:sz="4" w:space="0" w:color="auto"/>
            </w:tcBorders>
            <w:vAlign w:val="center"/>
          </w:tcPr>
          <w:p w14:paraId="107903CD" w14:textId="77777777" w:rsidR="00C7266C" w:rsidRPr="00D403F5" w:rsidRDefault="00C7266C" w:rsidP="00D403F5">
            <w:pPr>
              <w:pStyle w:val="Tabletext"/>
              <w:spacing w:before="0" w:after="0"/>
              <w:rPr>
                <w:iCs/>
                <w:szCs w:val="18"/>
                <w:u w:val="double"/>
                <w:lang w:val="en-GB"/>
              </w:rPr>
            </w:pPr>
            <w:r w:rsidRPr="00D403F5">
              <w:rPr>
                <w:szCs w:val="18"/>
                <w:u w:val="double"/>
              </w:rPr>
              <w:t>Sheatfish (also known as European or wels catfish)</w:t>
            </w:r>
          </w:p>
        </w:tc>
      </w:tr>
    </w:tbl>
    <w:bookmarkEnd w:id="63"/>
    <w:p w14:paraId="723571DD"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2.2.2.</w:t>
      </w:r>
      <w:r w:rsidRPr="00D403F5">
        <w:rPr>
          <w:rFonts w:ascii="Ottawa" w:hAnsi="Ottawa"/>
          <w:b/>
          <w:bCs/>
          <w:sz w:val="18"/>
          <w:szCs w:val="18"/>
          <w:lang w:val="en-IE" w:eastAsia="fr-FR"/>
        </w:rPr>
        <w:tab/>
      </w:r>
      <w:bookmarkStart w:id="64" w:name="_Hlk20819241"/>
      <w:r w:rsidRPr="00D403F5">
        <w:rPr>
          <w:rFonts w:ascii="Ottawa" w:hAnsi="Ottawa"/>
          <w:b/>
          <w:bCs/>
          <w:sz w:val="18"/>
          <w:szCs w:val="18"/>
          <w:lang w:val="en-IE" w:eastAsia="fr-FR"/>
        </w:rPr>
        <w:t>Species with incomplete evidence for susceptibility</w:t>
      </w:r>
      <w:bookmarkEnd w:id="64"/>
    </w:p>
    <w:p w14:paraId="075E2C2A" w14:textId="77777777" w:rsidR="00C7266C" w:rsidRPr="00D403F5" w:rsidRDefault="00C7266C" w:rsidP="00D403F5">
      <w:pPr>
        <w:spacing w:after="0"/>
        <w:ind w:left="851"/>
        <w:jc w:val="both"/>
        <w:rPr>
          <w:rFonts w:ascii="Arial" w:hAnsi="Arial"/>
          <w:bCs/>
          <w:sz w:val="18"/>
          <w:szCs w:val="18"/>
        </w:rPr>
      </w:pPr>
      <w:r w:rsidRPr="00D403F5">
        <w:rPr>
          <w:rFonts w:ascii="Arial" w:hAnsi="Arial" w:cs="Arial"/>
          <w:bCs/>
          <w:iCs/>
          <w:sz w:val="18"/>
          <w:szCs w:val="18"/>
        </w:rPr>
        <w:t>Species for which there is incomplete evidence for susceptibility</w:t>
      </w:r>
      <w:r w:rsidRPr="00D403F5">
        <w:rPr>
          <w:rFonts w:ascii="Arial" w:hAnsi="Arial" w:cs="Arial"/>
          <w:bCs/>
          <w:sz w:val="18"/>
          <w:szCs w:val="18"/>
        </w:rPr>
        <w:t xml:space="preserve"> according to Chapter 1.5. of the </w:t>
      </w:r>
      <w:r w:rsidRPr="00D403F5">
        <w:rPr>
          <w:rFonts w:ascii="Arial" w:hAnsi="Arial" w:cs="Arial"/>
          <w:bCs/>
          <w:i/>
          <w:iCs/>
          <w:sz w:val="18"/>
          <w:szCs w:val="18"/>
        </w:rPr>
        <w:t>Aquatic Code</w:t>
      </w:r>
      <w:r w:rsidRPr="00D403F5">
        <w:rPr>
          <w:rFonts w:ascii="Arial" w:hAnsi="Arial" w:cs="Arial"/>
          <w:bCs/>
          <w:iCs/>
          <w:sz w:val="18"/>
          <w:szCs w:val="18"/>
        </w:rPr>
        <w:t xml:space="preserve"> are: </w:t>
      </w:r>
      <w:r w:rsidRPr="00D403F5">
        <w:rPr>
          <w:rFonts w:ascii="Arial" w:eastAsia="Calibri" w:hAnsi="Arial" w:cs="Arial"/>
          <w:bCs/>
          <w:sz w:val="18"/>
          <w:szCs w:val="18"/>
        </w:rPr>
        <w:t>Crucian carp</w:t>
      </w:r>
      <w:r w:rsidRPr="00D403F5">
        <w:rPr>
          <w:rFonts w:ascii="Arial" w:eastAsia="Calibri" w:hAnsi="Arial" w:cs="Arial"/>
          <w:bCs/>
          <w:i/>
          <w:sz w:val="18"/>
          <w:szCs w:val="18"/>
        </w:rPr>
        <w:t xml:space="preserve"> </w:t>
      </w:r>
      <w:r w:rsidRPr="00D403F5">
        <w:rPr>
          <w:rFonts w:ascii="Arial" w:eastAsia="Calibri" w:hAnsi="Arial" w:cs="Arial"/>
          <w:bCs/>
          <w:sz w:val="18"/>
          <w:szCs w:val="18"/>
        </w:rPr>
        <w:t>(</w:t>
      </w:r>
      <w:r w:rsidRPr="00D403F5">
        <w:rPr>
          <w:rFonts w:ascii="Arial" w:eastAsia="Calibri" w:hAnsi="Arial" w:cs="Arial"/>
          <w:bCs/>
          <w:i/>
          <w:sz w:val="18"/>
          <w:szCs w:val="18"/>
        </w:rPr>
        <w:t>Carassius carassius</w:t>
      </w:r>
      <w:r w:rsidRPr="00D403F5">
        <w:rPr>
          <w:rFonts w:ascii="Arial" w:eastAsia="Calibri" w:hAnsi="Arial" w:cs="Arial"/>
          <w:bCs/>
          <w:sz w:val="18"/>
          <w:szCs w:val="18"/>
        </w:rPr>
        <w:t>), pike</w:t>
      </w:r>
      <w:r w:rsidRPr="00D403F5">
        <w:rPr>
          <w:rFonts w:ascii="Arial" w:eastAsia="Calibri" w:hAnsi="Arial" w:cs="Arial"/>
          <w:bCs/>
          <w:i/>
          <w:sz w:val="18"/>
          <w:szCs w:val="18"/>
        </w:rPr>
        <w:t xml:space="preserve"> </w:t>
      </w:r>
      <w:r w:rsidRPr="00D403F5">
        <w:rPr>
          <w:rFonts w:ascii="Arial" w:eastAsia="Calibri" w:hAnsi="Arial" w:cs="Arial"/>
          <w:bCs/>
          <w:sz w:val="18"/>
          <w:szCs w:val="18"/>
        </w:rPr>
        <w:t>(</w:t>
      </w:r>
      <w:r w:rsidRPr="00D403F5">
        <w:rPr>
          <w:rFonts w:ascii="Arial" w:eastAsia="Calibri" w:hAnsi="Arial" w:cs="Arial"/>
          <w:bCs/>
          <w:i/>
          <w:sz w:val="18"/>
          <w:szCs w:val="18"/>
        </w:rPr>
        <w:t>Esox lucius</w:t>
      </w:r>
      <w:r w:rsidRPr="00D403F5">
        <w:rPr>
          <w:rFonts w:ascii="Arial" w:eastAsia="Calibri" w:hAnsi="Arial" w:cs="Arial"/>
          <w:bCs/>
          <w:sz w:val="18"/>
          <w:szCs w:val="18"/>
        </w:rPr>
        <w:t xml:space="preserve">), </w:t>
      </w:r>
      <w:r w:rsidRPr="00D403F5">
        <w:rPr>
          <w:rFonts w:ascii="Arial" w:eastAsia="Calibri" w:hAnsi="Arial" w:cs="Arial"/>
          <w:bCs/>
          <w:sz w:val="18"/>
          <w:szCs w:val="18"/>
          <w:shd w:val="clear" w:color="auto" w:fill="FFFFFF"/>
        </w:rPr>
        <w:t>firebelly newt</w:t>
      </w:r>
      <w:r w:rsidRPr="00D403F5">
        <w:rPr>
          <w:rFonts w:ascii="Arial" w:eastAsia="Calibri" w:hAnsi="Arial" w:cs="Arial"/>
          <w:bCs/>
          <w:i/>
          <w:sz w:val="18"/>
          <w:szCs w:val="18"/>
          <w:shd w:val="clear" w:color="auto" w:fill="FFFFFF"/>
        </w:rPr>
        <w:t xml:space="preserve"> </w:t>
      </w:r>
      <w:r w:rsidRPr="00D403F5">
        <w:rPr>
          <w:rFonts w:ascii="Arial" w:eastAsia="Calibri" w:hAnsi="Arial" w:cs="Arial"/>
          <w:bCs/>
          <w:sz w:val="18"/>
          <w:szCs w:val="18"/>
          <w:shd w:val="clear" w:color="auto" w:fill="FFFFFF"/>
        </w:rPr>
        <w:t>(</w:t>
      </w:r>
      <w:r w:rsidRPr="00D403F5">
        <w:rPr>
          <w:rFonts w:ascii="Arial" w:eastAsia="Calibri" w:hAnsi="Arial" w:cs="Arial"/>
          <w:bCs/>
          <w:i/>
          <w:sz w:val="18"/>
          <w:szCs w:val="18"/>
          <w:shd w:val="clear" w:color="auto" w:fill="FFFFFF"/>
        </w:rPr>
        <w:t>Cynops orientalis</w:t>
      </w:r>
      <w:r w:rsidRPr="00D403F5">
        <w:rPr>
          <w:rFonts w:ascii="Arial" w:eastAsia="Calibri" w:hAnsi="Arial" w:cs="Arial"/>
          <w:bCs/>
          <w:sz w:val="18"/>
          <w:szCs w:val="18"/>
          <w:shd w:val="clear" w:color="auto" w:fill="FFFFFF"/>
        </w:rPr>
        <w:t>),</w:t>
      </w:r>
      <w:r w:rsidRPr="00D403F5">
        <w:rPr>
          <w:rFonts w:ascii="Arial" w:eastAsia="Calibri" w:hAnsi="Arial" w:cs="Arial"/>
          <w:bCs/>
          <w:i/>
          <w:iCs/>
          <w:sz w:val="18"/>
          <w:szCs w:val="18"/>
        </w:rPr>
        <w:t xml:space="preserve"> </w:t>
      </w:r>
      <w:r w:rsidRPr="00D403F5">
        <w:rPr>
          <w:rFonts w:ascii="Arial" w:eastAsia="Calibri" w:hAnsi="Arial" w:cs="Arial"/>
          <w:bCs/>
          <w:sz w:val="18"/>
          <w:szCs w:val="18"/>
          <w:lang w:val="en-US"/>
        </w:rPr>
        <w:t>silver carp (</w:t>
      </w:r>
      <w:r w:rsidRPr="00D403F5">
        <w:rPr>
          <w:rFonts w:ascii="Arial" w:eastAsia="Calibri" w:hAnsi="Arial" w:cs="Arial"/>
          <w:bCs/>
          <w:i/>
          <w:sz w:val="18"/>
          <w:szCs w:val="18"/>
          <w:lang w:val="en-US"/>
        </w:rPr>
        <w:t>Hypophthalmichthys molitrix</w:t>
      </w:r>
      <w:r w:rsidRPr="00D403F5">
        <w:rPr>
          <w:rFonts w:ascii="Arial" w:eastAsia="Calibri" w:hAnsi="Arial" w:cs="Arial"/>
          <w:bCs/>
          <w:sz w:val="18"/>
          <w:szCs w:val="18"/>
          <w:lang w:val="en-US"/>
        </w:rPr>
        <w:t xml:space="preserve">), </w:t>
      </w:r>
      <w:r w:rsidRPr="00D403F5">
        <w:rPr>
          <w:rFonts w:ascii="Arial" w:eastAsia="Calibri" w:hAnsi="Arial" w:cs="Arial"/>
          <w:bCs/>
          <w:sz w:val="18"/>
          <w:szCs w:val="18"/>
          <w:u w:val="double"/>
          <w:lang w:val="en-US"/>
        </w:rPr>
        <w:t>and</w:t>
      </w:r>
      <w:r w:rsidRPr="00D403F5">
        <w:rPr>
          <w:rFonts w:ascii="Arial" w:eastAsia="Calibri" w:hAnsi="Arial" w:cs="Arial"/>
          <w:bCs/>
          <w:sz w:val="18"/>
          <w:szCs w:val="18"/>
          <w:lang w:val="en-US"/>
        </w:rPr>
        <w:t xml:space="preserve"> Yellow per</w:t>
      </w:r>
      <w:r w:rsidRPr="00D403F5">
        <w:rPr>
          <w:rFonts w:ascii="Arial" w:eastAsia="Calibri" w:hAnsi="Arial" w:cs="Arial"/>
          <w:bCs/>
          <w:sz w:val="18"/>
          <w:szCs w:val="18"/>
        </w:rPr>
        <w:t>ch</w:t>
      </w:r>
      <w:r w:rsidRPr="00D403F5">
        <w:rPr>
          <w:rFonts w:ascii="Arial" w:eastAsia="MS PGothic" w:hAnsi="Arial" w:cs="Arial"/>
          <w:i/>
          <w:sz w:val="18"/>
          <w:szCs w:val="18"/>
          <w:lang w:val="en-US"/>
        </w:rPr>
        <w:t xml:space="preserve"> </w:t>
      </w:r>
      <w:r w:rsidRPr="00D403F5">
        <w:rPr>
          <w:rFonts w:ascii="Arial" w:eastAsia="MS PGothic" w:hAnsi="Arial" w:cs="Arial"/>
          <w:sz w:val="18"/>
          <w:szCs w:val="18"/>
          <w:lang w:val="en-US"/>
        </w:rPr>
        <w:t>(</w:t>
      </w:r>
      <w:r w:rsidRPr="00D403F5">
        <w:rPr>
          <w:rFonts w:ascii="Arial" w:eastAsia="MS PGothic" w:hAnsi="Arial" w:cs="Arial"/>
          <w:i/>
          <w:sz w:val="18"/>
          <w:szCs w:val="18"/>
          <w:lang w:val="en-US"/>
        </w:rPr>
        <w:t>Perca flavescens</w:t>
      </w:r>
      <w:r w:rsidRPr="00D403F5">
        <w:rPr>
          <w:rFonts w:ascii="Arial" w:eastAsia="Calibri" w:hAnsi="Arial" w:cs="Arial"/>
          <w:bCs/>
          <w:sz w:val="18"/>
          <w:szCs w:val="18"/>
        </w:rPr>
        <w:t>)</w:t>
      </w:r>
      <w:r w:rsidRPr="00D403F5">
        <w:rPr>
          <w:rFonts w:ascii="Arial" w:eastAsia="Calibri" w:hAnsi="Arial" w:cs="Arial"/>
          <w:bCs/>
          <w:strike/>
          <w:sz w:val="18"/>
          <w:szCs w:val="18"/>
        </w:rPr>
        <w:t xml:space="preserve"> </w:t>
      </w:r>
      <w:r w:rsidRPr="00D403F5">
        <w:rPr>
          <w:rFonts w:ascii="Arial" w:eastAsia="Calibri" w:hAnsi="Arial" w:cs="Arial"/>
          <w:bCs/>
          <w:iCs/>
          <w:strike/>
          <w:sz w:val="18"/>
          <w:szCs w:val="18"/>
        </w:rPr>
        <w:t>and</w:t>
      </w:r>
      <w:r w:rsidRPr="00D403F5">
        <w:rPr>
          <w:rFonts w:ascii="Arial" w:eastAsia="Calibri" w:hAnsi="Arial" w:cs="Arial"/>
          <w:bCs/>
          <w:i/>
          <w:iCs/>
          <w:strike/>
          <w:sz w:val="18"/>
          <w:szCs w:val="18"/>
        </w:rPr>
        <w:t xml:space="preserve"> </w:t>
      </w:r>
      <w:r w:rsidRPr="00D403F5">
        <w:rPr>
          <w:rFonts w:ascii="Arial" w:eastAsia="Calibri" w:hAnsi="Arial" w:cs="Arial"/>
          <w:bCs/>
          <w:iCs/>
          <w:strike/>
          <w:sz w:val="18"/>
          <w:szCs w:val="18"/>
        </w:rPr>
        <w:t>zebrafish</w:t>
      </w:r>
      <w:r w:rsidRPr="00D403F5">
        <w:rPr>
          <w:rFonts w:ascii="Arial" w:eastAsia="Calibri" w:hAnsi="Arial" w:cs="Arial"/>
          <w:bCs/>
          <w:i/>
          <w:iCs/>
          <w:strike/>
          <w:sz w:val="18"/>
          <w:szCs w:val="18"/>
        </w:rPr>
        <w:t xml:space="preserve"> </w:t>
      </w:r>
      <w:r w:rsidRPr="00D403F5">
        <w:rPr>
          <w:rFonts w:ascii="Arial" w:eastAsia="Calibri" w:hAnsi="Arial" w:cs="Arial"/>
          <w:bCs/>
          <w:iCs/>
          <w:strike/>
          <w:sz w:val="18"/>
          <w:szCs w:val="18"/>
        </w:rPr>
        <w:t>(</w:t>
      </w:r>
      <w:r w:rsidRPr="00D403F5">
        <w:rPr>
          <w:rFonts w:ascii="Arial" w:eastAsia="Calibri" w:hAnsi="Arial" w:cs="Arial"/>
          <w:bCs/>
          <w:i/>
          <w:iCs/>
          <w:strike/>
          <w:sz w:val="18"/>
          <w:szCs w:val="18"/>
        </w:rPr>
        <w:t>Danio rerio</w:t>
      </w:r>
      <w:r w:rsidRPr="00D403F5">
        <w:rPr>
          <w:rFonts w:ascii="Arial" w:eastAsia="Calibri" w:hAnsi="Arial" w:cs="Arial"/>
          <w:bCs/>
          <w:iCs/>
          <w:strike/>
          <w:sz w:val="18"/>
          <w:szCs w:val="18"/>
        </w:rPr>
        <w:t>)</w:t>
      </w:r>
      <w:r w:rsidRPr="00D403F5">
        <w:rPr>
          <w:rFonts w:ascii="Arial" w:eastAsia="Calibri" w:hAnsi="Arial" w:cs="Arial"/>
          <w:bCs/>
          <w:sz w:val="18"/>
          <w:szCs w:val="18"/>
          <w:shd w:val="clear" w:color="auto" w:fill="FFFFFF"/>
        </w:rPr>
        <w:t>.</w:t>
      </w:r>
      <w:r w:rsidRPr="00D403F5">
        <w:rPr>
          <w:rFonts w:ascii="Arial" w:hAnsi="Arial"/>
          <w:bCs/>
          <w:sz w:val="18"/>
          <w:szCs w:val="18"/>
        </w:rPr>
        <w:t xml:space="preserve"> </w:t>
      </w:r>
    </w:p>
    <w:p w14:paraId="42D10AEB" w14:textId="77777777" w:rsidR="00C7266C" w:rsidRPr="00D403F5" w:rsidRDefault="00C7266C" w:rsidP="00D403F5">
      <w:pPr>
        <w:spacing w:after="0"/>
        <w:ind w:left="851"/>
        <w:jc w:val="both"/>
        <w:rPr>
          <w:rFonts w:ascii="Arial" w:hAnsi="Arial" w:cs="Arial"/>
          <w:bCs/>
          <w:iCs/>
          <w:strike/>
          <w:sz w:val="18"/>
          <w:szCs w:val="18"/>
        </w:rPr>
      </w:pPr>
      <w:r w:rsidRPr="00D403F5">
        <w:rPr>
          <w:rFonts w:ascii="Arial" w:hAnsi="Arial" w:cs="Arial"/>
          <w:bCs/>
          <w:iCs/>
          <w:strike/>
          <w:sz w:val="18"/>
          <w:szCs w:val="18"/>
        </w:rPr>
        <w:t>Evidence is lacking for these species to either confirm that the identity of the pathogenic agent is SVCV, transmission mimics natural pathways of infection, or presence of the pathogenic agent constitutes an infection.</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3"/>
        <w:gridCol w:w="2551"/>
        <w:gridCol w:w="2401"/>
      </w:tblGrid>
      <w:tr w:rsidR="00C7266C" w:rsidRPr="00D403F5" w14:paraId="2F085DE3" w14:textId="77777777" w:rsidTr="00C7266C">
        <w:trPr>
          <w:tblHeader/>
          <w:jc w:val="center"/>
        </w:trPr>
        <w:tc>
          <w:tcPr>
            <w:tcW w:w="2273" w:type="dxa"/>
            <w:tcBorders>
              <w:top w:val="single" w:sz="4" w:space="0" w:color="auto"/>
              <w:bottom w:val="single" w:sz="4" w:space="0" w:color="auto"/>
            </w:tcBorders>
            <w:vAlign w:val="center"/>
          </w:tcPr>
          <w:p w14:paraId="689CB408"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Family</w:t>
            </w:r>
          </w:p>
        </w:tc>
        <w:tc>
          <w:tcPr>
            <w:tcW w:w="2551" w:type="dxa"/>
            <w:tcBorders>
              <w:top w:val="single" w:sz="4" w:space="0" w:color="auto"/>
              <w:bottom w:val="single" w:sz="4" w:space="0" w:color="auto"/>
            </w:tcBorders>
            <w:shd w:val="clear" w:color="auto" w:fill="auto"/>
            <w:vAlign w:val="center"/>
          </w:tcPr>
          <w:p w14:paraId="5EB38EDD"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Scientific name</w:t>
            </w:r>
          </w:p>
        </w:tc>
        <w:tc>
          <w:tcPr>
            <w:tcW w:w="2401" w:type="dxa"/>
            <w:tcBorders>
              <w:top w:val="single" w:sz="4" w:space="0" w:color="auto"/>
              <w:bottom w:val="single" w:sz="4" w:space="0" w:color="auto"/>
            </w:tcBorders>
            <w:vAlign w:val="center"/>
          </w:tcPr>
          <w:p w14:paraId="297CAD12"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Common name</w:t>
            </w:r>
          </w:p>
        </w:tc>
      </w:tr>
      <w:tr w:rsidR="00C7266C" w:rsidRPr="00D403F5" w14:paraId="44C7D8EF" w14:textId="77777777" w:rsidTr="00C7266C">
        <w:trPr>
          <w:trHeight w:val="454"/>
          <w:tblHeader/>
          <w:jc w:val="center"/>
        </w:trPr>
        <w:tc>
          <w:tcPr>
            <w:tcW w:w="2273" w:type="dxa"/>
            <w:vMerge w:val="restart"/>
            <w:tcBorders>
              <w:top w:val="single" w:sz="4" w:space="0" w:color="auto"/>
            </w:tcBorders>
            <w:vAlign w:val="center"/>
          </w:tcPr>
          <w:p w14:paraId="6F0698D7"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color w:val="000000"/>
                <w:szCs w:val="18"/>
                <w:u w:val="double"/>
              </w:rPr>
              <w:t>Cyprinidae</w:t>
            </w:r>
          </w:p>
        </w:tc>
        <w:tc>
          <w:tcPr>
            <w:tcW w:w="2551" w:type="dxa"/>
            <w:tcBorders>
              <w:top w:val="single" w:sz="4" w:space="0" w:color="auto"/>
            </w:tcBorders>
            <w:shd w:val="clear" w:color="auto" w:fill="auto"/>
            <w:vAlign w:val="center"/>
          </w:tcPr>
          <w:p w14:paraId="6B2265F7" w14:textId="77777777" w:rsidR="00C7266C" w:rsidRPr="00D403F5" w:rsidRDefault="00C7266C" w:rsidP="00D403F5">
            <w:pPr>
              <w:pStyle w:val="TableHead"/>
              <w:spacing w:before="0" w:after="0"/>
              <w:rPr>
                <w:rFonts w:ascii="Arial" w:hAnsi="Arial" w:cs="Arial"/>
                <w:b w:val="0"/>
                <w:bCs w:val="0"/>
                <w:i/>
                <w:iCs/>
                <w:szCs w:val="18"/>
                <w:u w:val="double"/>
                <w:lang w:val="en-GB"/>
              </w:rPr>
            </w:pPr>
            <w:r w:rsidRPr="00D403F5">
              <w:rPr>
                <w:rFonts w:ascii="Arial" w:hAnsi="Arial" w:cs="Arial"/>
                <w:b w:val="0"/>
                <w:bCs w:val="0"/>
                <w:i/>
                <w:iCs/>
                <w:szCs w:val="18"/>
                <w:u w:val="double"/>
                <w:lang w:val="en-GB"/>
              </w:rPr>
              <w:t>Carassius carassius</w:t>
            </w:r>
          </w:p>
        </w:tc>
        <w:tc>
          <w:tcPr>
            <w:tcW w:w="2401" w:type="dxa"/>
            <w:tcBorders>
              <w:top w:val="single" w:sz="4" w:space="0" w:color="auto"/>
            </w:tcBorders>
            <w:vAlign w:val="center"/>
          </w:tcPr>
          <w:p w14:paraId="21AEAA4C"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Crucian carp</w:t>
            </w:r>
          </w:p>
        </w:tc>
      </w:tr>
      <w:tr w:rsidR="00C7266C" w:rsidRPr="00D403F5" w14:paraId="6052B4EB" w14:textId="77777777" w:rsidTr="00C7266C">
        <w:trPr>
          <w:tblHeader/>
          <w:jc w:val="center"/>
        </w:trPr>
        <w:tc>
          <w:tcPr>
            <w:tcW w:w="2273" w:type="dxa"/>
            <w:vMerge/>
            <w:tcBorders>
              <w:bottom w:val="single" w:sz="4" w:space="0" w:color="auto"/>
            </w:tcBorders>
            <w:vAlign w:val="center"/>
          </w:tcPr>
          <w:p w14:paraId="41DA32EC" w14:textId="77777777" w:rsidR="00C7266C" w:rsidRPr="00D403F5" w:rsidRDefault="00C7266C" w:rsidP="00D403F5">
            <w:pPr>
              <w:pStyle w:val="TableHead"/>
              <w:spacing w:before="0" w:after="0"/>
              <w:rPr>
                <w:rFonts w:ascii="Arial" w:hAnsi="Arial" w:cs="Arial"/>
                <w:b w:val="0"/>
                <w:bCs w:val="0"/>
                <w:szCs w:val="18"/>
                <w:u w:val="double"/>
                <w:lang w:val="en-GB"/>
              </w:rPr>
            </w:pPr>
          </w:p>
        </w:tc>
        <w:tc>
          <w:tcPr>
            <w:tcW w:w="2551" w:type="dxa"/>
            <w:tcBorders>
              <w:top w:val="single" w:sz="4" w:space="0" w:color="auto"/>
              <w:bottom w:val="single" w:sz="4" w:space="0" w:color="auto"/>
            </w:tcBorders>
            <w:shd w:val="clear" w:color="auto" w:fill="auto"/>
            <w:vAlign w:val="center"/>
          </w:tcPr>
          <w:p w14:paraId="6AE0695D"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eastAsia="Calibri" w:hAnsi="Arial" w:cs="Arial"/>
                <w:b w:val="0"/>
                <w:bCs w:val="0"/>
                <w:i/>
                <w:szCs w:val="18"/>
                <w:u w:val="double"/>
                <w:lang w:val="en-US"/>
              </w:rPr>
              <w:t>Hypophthalmichthys molitrix</w:t>
            </w:r>
          </w:p>
        </w:tc>
        <w:tc>
          <w:tcPr>
            <w:tcW w:w="2401" w:type="dxa"/>
            <w:tcBorders>
              <w:top w:val="single" w:sz="4" w:space="0" w:color="auto"/>
              <w:bottom w:val="single" w:sz="4" w:space="0" w:color="auto"/>
            </w:tcBorders>
            <w:vAlign w:val="center"/>
          </w:tcPr>
          <w:p w14:paraId="3E3708A0"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eastAsia="Calibri" w:hAnsi="Arial" w:cs="Arial"/>
                <w:b w:val="0"/>
                <w:bCs w:val="0"/>
                <w:szCs w:val="18"/>
                <w:u w:val="double"/>
                <w:lang w:val="en-US"/>
              </w:rPr>
              <w:t>Silver carp</w:t>
            </w:r>
          </w:p>
        </w:tc>
      </w:tr>
      <w:tr w:rsidR="00C7266C" w:rsidRPr="00D403F5" w14:paraId="40D10FAA" w14:textId="77777777" w:rsidTr="00C7266C">
        <w:trPr>
          <w:tblHeader/>
          <w:jc w:val="center"/>
        </w:trPr>
        <w:tc>
          <w:tcPr>
            <w:tcW w:w="2273" w:type="dxa"/>
            <w:tcBorders>
              <w:top w:val="single" w:sz="4" w:space="0" w:color="auto"/>
              <w:bottom w:val="single" w:sz="4" w:space="0" w:color="auto"/>
            </w:tcBorders>
            <w:vAlign w:val="center"/>
          </w:tcPr>
          <w:p w14:paraId="5FF3908F" w14:textId="77777777" w:rsidR="00C7266C" w:rsidRPr="00D403F5" w:rsidRDefault="00C7266C" w:rsidP="00D403F5">
            <w:pPr>
              <w:pStyle w:val="TableHead"/>
              <w:spacing w:before="0" w:after="0"/>
              <w:rPr>
                <w:rFonts w:ascii="Arial" w:hAnsi="Arial" w:cs="Arial"/>
                <w:b w:val="0"/>
                <w:bCs w:val="0"/>
                <w:strike/>
                <w:szCs w:val="18"/>
                <w:u w:val="double"/>
                <w:lang w:val="en-GB"/>
              </w:rPr>
            </w:pPr>
            <w:r w:rsidRPr="00D403F5">
              <w:rPr>
                <w:rFonts w:ascii="Arial" w:hAnsi="Arial" w:cs="Arial"/>
                <w:b w:val="0"/>
                <w:bCs w:val="0"/>
                <w:szCs w:val="18"/>
                <w:u w:val="double"/>
                <w:lang w:val="en-GB"/>
              </w:rPr>
              <w:t>Esocidae</w:t>
            </w:r>
          </w:p>
        </w:tc>
        <w:tc>
          <w:tcPr>
            <w:tcW w:w="2551" w:type="dxa"/>
            <w:tcBorders>
              <w:top w:val="single" w:sz="4" w:space="0" w:color="auto"/>
              <w:bottom w:val="single" w:sz="4" w:space="0" w:color="auto"/>
            </w:tcBorders>
            <w:shd w:val="clear" w:color="auto" w:fill="auto"/>
            <w:vAlign w:val="center"/>
          </w:tcPr>
          <w:p w14:paraId="1DFD9B16" w14:textId="77777777" w:rsidR="00C7266C" w:rsidRPr="00D403F5" w:rsidRDefault="00C7266C" w:rsidP="00D403F5">
            <w:pPr>
              <w:pStyle w:val="TableHead"/>
              <w:spacing w:before="0" w:after="0"/>
              <w:rPr>
                <w:rFonts w:ascii="Arial" w:hAnsi="Arial" w:cs="Arial"/>
                <w:b w:val="0"/>
                <w:bCs w:val="0"/>
                <w:strike/>
                <w:szCs w:val="18"/>
                <w:u w:val="double"/>
                <w:lang w:val="en-GB"/>
              </w:rPr>
            </w:pPr>
            <w:r w:rsidRPr="00D403F5">
              <w:rPr>
                <w:rFonts w:ascii="Arial" w:eastAsia="Calibri" w:hAnsi="Arial" w:cs="Arial"/>
                <w:b w:val="0"/>
                <w:bCs w:val="0"/>
                <w:i/>
                <w:szCs w:val="18"/>
                <w:u w:val="double"/>
              </w:rPr>
              <w:t>Esox lucius</w:t>
            </w:r>
          </w:p>
        </w:tc>
        <w:tc>
          <w:tcPr>
            <w:tcW w:w="2401" w:type="dxa"/>
            <w:tcBorders>
              <w:top w:val="single" w:sz="4" w:space="0" w:color="auto"/>
              <w:bottom w:val="single" w:sz="4" w:space="0" w:color="auto"/>
            </w:tcBorders>
            <w:vAlign w:val="center"/>
          </w:tcPr>
          <w:p w14:paraId="25336C5E" w14:textId="77777777" w:rsidR="00C7266C" w:rsidRPr="00D403F5" w:rsidRDefault="00C7266C" w:rsidP="00D403F5">
            <w:pPr>
              <w:pStyle w:val="TableHead"/>
              <w:spacing w:before="0" w:after="0"/>
              <w:rPr>
                <w:rFonts w:ascii="Arial" w:hAnsi="Arial" w:cs="Arial"/>
                <w:b w:val="0"/>
                <w:bCs w:val="0"/>
                <w:strike/>
                <w:szCs w:val="18"/>
                <w:u w:val="double"/>
                <w:lang w:val="en-GB"/>
              </w:rPr>
            </w:pPr>
            <w:r w:rsidRPr="00D403F5">
              <w:rPr>
                <w:rFonts w:ascii="Arial" w:hAnsi="Arial" w:cs="Arial"/>
                <w:b w:val="0"/>
                <w:bCs w:val="0"/>
                <w:szCs w:val="18"/>
                <w:u w:val="double"/>
                <w:lang w:val="en-GB"/>
              </w:rPr>
              <w:t>Northern pike</w:t>
            </w:r>
          </w:p>
        </w:tc>
      </w:tr>
      <w:tr w:rsidR="00C7266C" w:rsidRPr="00D403F5" w14:paraId="206E01C5" w14:textId="77777777" w:rsidTr="00C7266C">
        <w:trPr>
          <w:tblHeader/>
          <w:jc w:val="center"/>
        </w:trPr>
        <w:tc>
          <w:tcPr>
            <w:tcW w:w="2273" w:type="dxa"/>
            <w:tcBorders>
              <w:top w:val="single" w:sz="4" w:space="0" w:color="auto"/>
              <w:bottom w:val="single" w:sz="4" w:space="0" w:color="auto"/>
            </w:tcBorders>
            <w:vAlign w:val="center"/>
          </w:tcPr>
          <w:p w14:paraId="2F52CB78"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Percidae</w:t>
            </w:r>
          </w:p>
        </w:tc>
        <w:tc>
          <w:tcPr>
            <w:tcW w:w="2551" w:type="dxa"/>
            <w:tcBorders>
              <w:top w:val="single" w:sz="4" w:space="0" w:color="auto"/>
              <w:bottom w:val="single" w:sz="4" w:space="0" w:color="auto"/>
            </w:tcBorders>
            <w:shd w:val="clear" w:color="auto" w:fill="auto"/>
            <w:vAlign w:val="center"/>
          </w:tcPr>
          <w:p w14:paraId="165484DA"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eastAsia="MS PGothic" w:hAnsi="Arial" w:cs="Arial"/>
                <w:b w:val="0"/>
                <w:bCs w:val="0"/>
                <w:i/>
                <w:szCs w:val="18"/>
                <w:u w:val="double"/>
                <w:lang w:val="en-US"/>
              </w:rPr>
              <w:t>Perca flavescens</w:t>
            </w:r>
          </w:p>
        </w:tc>
        <w:tc>
          <w:tcPr>
            <w:tcW w:w="2401" w:type="dxa"/>
            <w:tcBorders>
              <w:top w:val="single" w:sz="4" w:space="0" w:color="auto"/>
              <w:bottom w:val="single" w:sz="4" w:space="0" w:color="auto"/>
            </w:tcBorders>
            <w:vAlign w:val="center"/>
          </w:tcPr>
          <w:p w14:paraId="437952E5" w14:textId="77777777" w:rsidR="00C7266C" w:rsidRPr="00D403F5" w:rsidRDefault="00C7266C" w:rsidP="00D403F5">
            <w:pPr>
              <w:spacing w:after="0"/>
              <w:jc w:val="center"/>
              <w:rPr>
                <w:rFonts w:ascii="Arial" w:hAnsi="Arial" w:cs="Arial"/>
                <w:sz w:val="18"/>
                <w:szCs w:val="18"/>
                <w:u w:val="double"/>
              </w:rPr>
            </w:pPr>
            <w:r w:rsidRPr="00D403F5">
              <w:rPr>
                <w:rFonts w:ascii="Arial" w:eastAsia="Calibri" w:hAnsi="Arial" w:cs="Arial"/>
                <w:sz w:val="18"/>
                <w:szCs w:val="18"/>
                <w:u w:val="double"/>
                <w:lang w:val="en-US"/>
              </w:rPr>
              <w:t>Yellow per</w:t>
            </w:r>
            <w:r w:rsidRPr="00D403F5">
              <w:rPr>
                <w:rFonts w:ascii="Arial" w:eastAsia="Calibri" w:hAnsi="Arial" w:cs="Arial"/>
                <w:sz w:val="18"/>
                <w:szCs w:val="18"/>
                <w:u w:val="double"/>
              </w:rPr>
              <w:t>ch</w:t>
            </w:r>
          </w:p>
        </w:tc>
      </w:tr>
      <w:tr w:rsidR="00C7266C" w:rsidRPr="00D403F5" w14:paraId="237E96F6" w14:textId="77777777" w:rsidTr="00C7266C">
        <w:trPr>
          <w:tblHeader/>
          <w:jc w:val="center"/>
        </w:trPr>
        <w:tc>
          <w:tcPr>
            <w:tcW w:w="2273" w:type="dxa"/>
            <w:tcBorders>
              <w:top w:val="single" w:sz="4" w:space="0" w:color="auto"/>
              <w:bottom w:val="single" w:sz="4" w:space="0" w:color="auto"/>
            </w:tcBorders>
            <w:vAlign w:val="center"/>
          </w:tcPr>
          <w:p w14:paraId="3746AF98"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Salamandridae</w:t>
            </w:r>
          </w:p>
        </w:tc>
        <w:tc>
          <w:tcPr>
            <w:tcW w:w="2551" w:type="dxa"/>
            <w:tcBorders>
              <w:top w:val="single" w:sz="4" w:space="0" w:color="auto"/>
              <w:bottom w:val="single" w:sz="4" w:space="0" w:color="auto"/>
            </w:tcBorders>
            <w:shd w:val="clear" w:color="auto" w:fill="auto"/>
            <w:vAlign w:val="center"/>
          </w:tcPr>
          <w:p w14:paraId="2DCB2992"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eastAsia="Calibri" w:hAnsi="Arial" w:cs="Arial"/>
                <w:b w:val="0"/>
                <w:bCs w:val="0"/>
                <w:i/>
                <w:szCs w:val="18"/>
                <w:u w:val="double"/>
                <w:shd w:val="clear" w:color="auto" w:fill="FFFFFF"/>
              </w:rPr>
              <w:t>Cynops orientalis</w:t>
            </w:r>
          </w:p>
        </w:tc>
        <w:tc>
          <w:tcPr>
            <w:tcW w:w="2401" w:type="dxa"/>
            <w:tcBorders>
              <w:top w:val="single" w:sz="4" w:space="0" w:color="auto"/>
              <w:bottom w:val="single" w:sz="4" w:space="0" w:color="auto"/>
            </w:tcBorders>
            <w:vAlign w:val="center"/>
          </w:tcPr>
          <w:p w14:paraId="6606873A"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eastAsia="Calibri" w:hAnsi="Arial" w:cs="Arial"/>
                <w:b w:val="0"/>
                <w:bCs w:val="0"/>
                <w:szCs w:val="18"/>
                <w:u w:val="double"/>
                <w:shd w:val="clear" w:color="auto" w:fill="FFFFFF"/>
              </w:rPr>
              <w:t>Firebelly newt</w:t>
            </w:r>
          </w:p>
        </w:tc>
      </w:tr>
    </w:tbl>
    <w:p w14:paraId="4A721B81" w14:textId="77777777" w:rsidR="00C7266C" w:rsidRPr="00D403F5" w:rsidRDefault="00C7266C" w:rsidP="00D403F5">
      <w:pPr>
        <w:spacing w:after="0"/>
        <w:ind w:left="851"/>
        <w:jc w:val="both"/>
        <w:rPr>
          <w:rFonts w:cstheme="minorHAnsi"/>
          <w:color w:val="000000"/>
          <w:sz w:val="18"/>
          <w:szCs w:val="18"/>
          <w:u w:val="double"/>
        </w:rPr>
      </w:pPr>
      <w:r w:rsidRPr="00D403F5">
        <w:rPr>
          <w:rFonts w:ascii="Arial" w:hAnsi="Arial" w:cs="Arial"/>
          <w:sz w:val="18"/>
          <w:szCs w:val="18"/>
          <w:u w:val="double"/>
          <w:lang w:val="en-IE"/>
        </w:rPr>
        <w:t>In addition, pathogen-specific positive polymerase chain reaction (PCR) results have been reported in the following organisms, but an active infection has not been demonstrated:</w:t>
      </w:r>
      <w:r w:rsidRPr="00D403F5">
        <w:rPr>
          <w:rFonts w:cstheme="minorHAnsi"/>
          <w:color w:val="000000"/>
          <w:sz w:val="18"/>
          <w:szCs w:val="18"/>
          <w:u w:val="double"/>
        </w:rPr>
        <w:t xml:space="preserve"> </w:t>
      </w:r>
    </w:p>
    <w:p w14:paraId="1696104A" w14:textId="77777777" w:rsidR="00C7266C" w:rsidRPr="00D403F5" w:rsidRDefault="00C7266C" w:rsidP="0076436B">
      <w:pPr>
        <w:spacing w:after="480"/>
        <w:jc w:val="right"/>
        <w:rPr>
          <w:rFonts w:ascii="Times New Roman" w:hAnsi="Times New Roman" w:cs="Times New Roman"/>
          <w:sz w:val="18"/>
          <w:szCs w:val="18"/>
        </w:rPr>
      </w:pPr>
      <w:bookmarkStart w:id="65" w:name="_Hlk21441220"/>
      <w:r w:rsidRPr="00D403F5">
        <w:rPr>
          <w:b/>
          <w:bCs/>
          <w:sz w:val="18"/>
          <w:szCs w:val="18"/>
        </w:rPr>
        <w:br w:type="page"/>
      </w: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3"/>
        <w:gridCol w:w="2551"/>
        <w:gridCol w:w="2401"/>
      </w:tblGrid>
      <w:tr w:rsidR="00C7266C" w:rsidRPr="00D403F5" w14:paraId="462C7E29" w14:textId="77777777" w:rsidTr="00C7266C">
        <w:trPr>
          <w:tblHeader/>
          <w:jc w:val="center"/>
        </w:trPr>
        <w:tc>
          <w:tcPr>
            <w:tcW w:w="2273" w:type="dxa"/>
            <w:tcBorders>
              <w:top w:val="single" w:sz="4" w:space="0" w:color="auto"/>
              <w:bottom w:val="single" w:sz="4" w:space="0" w:color="auto"/>
            </w:tcBorders>
            <w:vAlign w:val="center"/>
          </w:tcPr>
          <w:p w14:paraId="15FB93FE"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Family</w:t>
            </w:r>
          </w:p>
        </w:tc>
        <w:tc>
          <w:tcPr>
            <w:tcW w:w="2551" w:type="dxa"/>
            <w:tcBorders>
              <w:top w:val="single" w:sz="4" w:space="0" w:color="auto"/>
              <w:bottom w:val="single" w:sz="4" w:space="0" w:color="auto"/>
            </w:tcBorders>
            <w:shd w:val="clear" w:color="auto" w:fill="auto"/>
            <w:vAlign w:val="center"/>
          </w:tcPr>
          <w:p w14:paraId="6F693815"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Scientific name</w:t>
            </w:r>
          </w:p>
        </w:tc>
        <w:tc>
          <w:tcPr>
            <w:tcW w:w="2401" w:type="dxa"/>
            <w:tcBorders>
              <w:top w:val="single" w:sz="4" w:space="0" w:color="auto"/>
              <w:bottom w:val="single" w:sz="4" w:space="0" w:color="auto"/>
            </w:tcBorders>
            <w:vAlign w:val="center"/>
          </w:tcPr>
          <w:p w14:paraId="32998267" w14:textId="77777777" w:rsidR="00C7266C" w:rsidRPr="00D403F5" w:rsidRDefault="00C7266C" w:rsidP="00D403F5">
            <w:pPr>
              <w:pStyle w:val="TableHead"/>
              <w:spacing w:before="0" w:after="0"/>
              <w:rPr>
                <w:rFonts w:cs="Arial"/>
                <w:szCs w:val="18"/>
                <w:u w:val="double"/>
                <w:lang w:val="en-GB"/>
              </w:rPr>
            </w:pPr>
            <w:r w:rsidRPr="00D403F5">
              <w:rPr>
                <w:rFonts w:cs="Arial"/>
                <w:szCs w:val="18"/>
                <w:u w:val="double"/>
                <w:lang w:val="en-GB"/>
              </w:rPr>
              <w:t>Common name</w:t>
            </w:r>
          </w:p>
        </w:tc>
      </w:tr>
      <w:tr w:rsidR="00C7266C" w:rsidRPr="00D403F5" w14:paraId="4A01D07D" w14:textId="77777777" w:rsidTr="00C7266C">
        <w:trPr>
          <w:tblHeader/>
          <w:jc w:val="center"/>
        </w:trPr>
        <w:tc>
          <w:tcPr>
            <w:tcW w:w="2273" w:type="dxa"/>
            <w:tcBorders>
              <w:top w:val="single" w:sz="4" w:space="0" w:color="auto"/>
              <w:bottom w:val="single" w:sz="4" w:space="0" w:color="auto"/>
            </w:tcBorders>
            <w:vAlign w:val="center"/>
          </w:tcPr>
          <w:p w14:paraId="33F0D572" w14:textId="77777777" w:rsidR="00C7266C" w:rsidRPr="00D403F5" w:rsidRDefault="00C7266C" w:rsidP="00D403F5">
            <w:pPr>
              <w:pStyle w:val="TableHead"/>
              <w:spacing w:before="0" w:after="0"/>
              <w:rPr>
                <w:rFonts w:cs="Arial"/>
                <w:szCs w:val="18"/>
                <w:u w:val="double"/>
                <w:lang w:val="en-GB"/>
              </w:rPr>
            </w:pPr>
            <w:r w:rsidRPr="00D403F5">
              <w:rPr>
                <w:rFonts w:ascii="Arial" w:hAnsi="Arial" w:cs="Arial"/>
                <w:b w:val="0"/>
                <w:bCs w:val="0"/>
                <w:szCs w:val="18"/>
                <w:u w:val="double"/>
                <w:lang w:val="en-GB"/>
              </w:rPr>
              <w:t>Catostomidae</w:t>
            </w:r>
          </w:p>
        </w:tc>
        <w:tc>
          <w:tcPr>
            <w:tcW w:w="2551" w:type="dxa"/>
            <w:tcBorders>
              <w:top w:val="single" w:sz="4" w:space="0" w:color="auto"/>
              <w:bottom w:val="single" w:sz="4" w:space="0" w:color="auto"/>
            </w:tcBorders>
            <w:shd w:val="clear" w:color="auto" w:fill="auto"/>
            <w:vAlign w:val="center"/>
          </w:tcPr>
          <w:p w14:paraId="39393521" w14:textId="77777777" w:rsidR="00C7266C" w:rsidRPr="00D403F5" w:rsidRDefault="00C7266C" w:rsidP="00D403F5">
            <w:pPr>
              <w:pStyle w:val="TableHead"/>
              <w:spacing w:before="0" w:after="0"/>
              <w:rPr>
                <w:rFonts w:cs="Arial"/>
                <w:szCs w:val="18"/>
                <w:u w:val="double"/>
                <w:lang w:val="en-GB"/>
              </w:rPr>
            </w:pPr>
            <w:r w:rsidRPr="00D403F5">
              <w:rPr>
                <w:rFonts w:ascii="Arial" w:eastAsia="Calibri" w:hAnsi="Arial" w:cs="Arial"/>
                <w:b w:val="0"/>
                <w:bCs w:val="0"/>
                <w:i/>
                <w:iCs/>
                <w:szCs w:val="18"/>
                <w:u w:val="double"/>
                <w:shd w:val="clear" w:color="auto" w:fill="FFFFFF"/>
              </w:rPr>
              <w:t>Catostomus commersonii</w:t>
            </w:r>
          </w:p>
        </w:tc>
        <w:tc>
          <w:tcPr>
            <w:tcW w:w="2401" w:type="dxa"/>
            <w:tcBorders>
              <w:top w:val="single" w:sz="4" w:space="0" w:color="auto"/>
              <w:bottom w:val="single" w:sz="4" w:space="0" w:color="auto"/>
            </w:tcBorders>
            <w:vAlign w:val="center"/>
          </w:tcPr>
          <w:p w14:paraId="62B80E19" w14:textId="77777777" w:rsidR="00C7266C" w:rsidRPr="00D403F5" w:rsidRDefault="00C7266C" w:rsidP="00D403F5">
            <w:pPr>
              <w:pStyle w:val="TableHead"/>
              <w:spacing w:before="0" w:after="0"/>
              <w:rPr>
                <w:rFonts w:cs="Arial"/>
                <w:szCs w:val="18"/>
                <w:u w:val="double"/>
                <w:lang w:val="en-GB"/>
              </w:rPr>
            </w:pPr>
            <w:r w:rsidRPr="00D403F5">
              <w:rPr>
                <w:rFonts w:ascii="Arial" w:eastAsia="Calibri" w:hAnsi="Arial" w:cs="Arial"/>
                <w:b w:val="0"/>
                <w:bCs w:val="0"/>
                <w:szCs w:val="18"/>
                <w:u w:val="double"/>
                <w:shd w:val="clear" w:color="auto" w:fill="FFFFFF"/>
              </w:rPr>
              <w:t>White sucker</w:t>
            </w:r>
          </w:p>
        </w:tc>
      </w:tr>
      <w:tr w:rsidR="00C7266C" w:rsidRPr="00D403F5" w14:paraId="460DF6AE" w14:textId="77777777" w:rsidTr="00C7266C">
        <w:trPr>
          <w:tblHeader/>
          <w:jc w:val="center"/>
        </w:trPr>
        <w:tc>
          <w:tcPr>
            <w:tcW w:w="2273" w:type="dxa"/>
            <w:tcBorders>
              <w:top w:val="single" w:sz="4" w:space="0" w:color="auto"/>
              <w:bottom w:val="single" w:sz="4" w:space="0" w:color="auto"/>
            </w:tcBorders>
            <w:vAlign w:val="center"/>
          </w:tcPr>
          <w:p w14:paraId="42A82B78" w14:textId="77777777" w:rsidR="00C7266C" w:rsidRPr="00D403F5" w:rsidRDefault="00C7266C" w:rsidP="00D403F5">
            <w:pPr>
              <w:pStyle w:val="TableHead"/>
              <w:spacing w:before="0" w:after="0"/>
              <w:rPr>
                <w:rFonts w:cs="Arial"/>
                <w:szCs w:val="18"/>
                <w:u w:val="double"/>
                <w:lang w:val="en-GB"/>
              </w:rPr>
            </w:pPr>
            <w:r w:rsidRPr="00D403F5">
              <w:rPr>
                <w:rFonts w:ascii="Arial" w:hAnsi="Arial" w:cs="Arial"/>
                <w:b w:val="0"/>
                <w:bCs w:val="0"/>
                <w:szCs w:val="18"/>
                <w:u w:val="double"/>
                <w:lang w:val="en-GB"/>
              </w:rPr>
              <w:t>Cichlidae</w:t>
            </w:r>
          </w:p>
        </w:tc>
        <w:tc>
          <w:tcPr>
            <w:tcW w:w="2551" w:type="dxa"/>
            <w:tcBorders>
              <w:top w:val="single" w:sz="4" w:space="0" w:color="auto"/>
              <w:bottom w:val="single" w:sz="4" w:space="0" w:color="auto"/>
            </w:tcBorders>
            <w:shd w:val="clear" w:color="auto" w:fill="auto"/>
            <w:vAlign w:val="center"/>
          </w:tcPr>
          <w:p w14:paraId="48986F30" w14:textId="77777777" w:rsidR="00C7266C" w:rsidRPr="00D403F5" w:rsidRDefault="00C7266C" w:rsidP="00D403F5">
            <w:pPr>
              <w:pStyle w:val="TableHead"/>
              <w:spacing w:before="0" w:after="0"/>
              <w:rPr>
                <w:rFonts w:cs="Arial"/>
                <w:szCs w:val="18"/>
                <w:u w:val="double"/>
                <w:lang w:val="en-GB"/>
              </w:rPr>
            </w:pPr>
            <w:r w:rsidRPr="00D403F5">
              <w:rPr>
                <w:rFonts w:ascii="Arial" w:hAnsi="Arial" w:cs="Arial"/>
                <w:b w:val="0"/>
                <w:bCs w:val="0"/>
                <w:i/>
                <w:iCs/>
                <w:szCs w:val="18"/>
                <w:u w:val="double"/>
                <w:lang w:val="en-GB"/>
              </w:rPr>
              <w:t>Sarotherodon niloticus</w:t>
            </w:r>
          </w:p>
        </w:tc>
        <w:tc>
          <w:tcPr>
            <w:tcW w:w="2401" w:type="dxa"/>
            <w:tcBorders>
              <w:top w:val="single" w:sz="4" w:space="0" w:color="auto"/>
              <w:bottom w:val="single" w:sz="4" w:space="0" w:color="auto"/>
            </w:tcBorders>
            <w:vAlign w:val="center"/>
          </w:tcPr>
          <w:p w14:paraId="1AEE610D" w14:textId="77777777" w:rsidR="00C7266C" w:rsidRPr="00D403F5" w:rsidRDefault="00C7266C" w:rsidP="00D403F5">
            <w:pPr>
              <w:pStyle w:val="TableHead"/>
              <w:spacing w:before="0" w:after="0"/>
              <w:rPr>
                <w:rFonts w:cs="Arial"/>
                <w:szCs w:val="18"/>
                <w:u w:val="double"/>
                <w:lang w:val="en-GB"/>
              </w:rPr>
            </w:pPr>
            <w:r w:rsidRPr="00D403F5">
              <w:rPr>
                <w:rFonts w:ascii="Arial" w:hAnsi="Arial" w:cs="Arial"/>
                <w:b w:val="0"/>
                <w:bCs w:val="0"/>
                <w:szCs w:val="18"/>
                <w:u w:val="double"/>
                <w:lang w:val="en-GB"/>
              </w:rPr>
              <w:t>Nile tilapia</w:t>
            </w:r>
          </w:p>
        </w:tc>
      </w:tr>
      <w:tr w:rsidR="00C7266C" w:rsidRPr="00D403F5" w14:paraId="6B4F0C45" w14:textId="77777777" w:rsidTr="00C7266C">
        <w:trPr>
          <w:tblHeader/>
          <w:jc w:val="center"/>
        </w:trPr>
        <w:tc>
          <w:tcPr>
            <w:tcW w:w="2273" w:type="dxa"/>
            <w:vMerge w:val="restart"/>
            <w:tcBorders>
              <w:top w:val="single" w:sz="4" w:space="0" w:color="auto"/>
            </w:tcBorders>
            <w:vAlign w:val="center"/>
          </w:tcPr>
          <w:p w14:paraId="20BD4B94" w14:textId="77777777" w:rsidR="00C7266C" w:rsidRPr="00D403F5" w:rsidRDefault="00C7266C" w:rsidP="00D403F5">
            <w:pPr>
              <w:pStyle w:val="TableHead"/>
              <w:spacing w:before="0" w:after="0"/>
              <w:rPr>
                <w:rFonts w:cs="Arial"/>
                <w:szCs w:val="18"/>
                <w:u w:val="double"/>
                <w:lang w:val="en-GB"/>
              </w:rPr>
            </w:pPr>
            <w:r w:rsidRPr="00D403F5">
              <w:rPr>
                <w:rFonts w:ascii="Arial" w:hAnsi="Arial" w:cs="Arial"/>
                <w:b w:val="0"/>
                <w:bCs w:val="0"/>
                <w:szCs w:val="18"/>
                <w:u w:val="double"/>
                <w:lang w:val="en-GB"/>
              </w:rPr>
              <w:t>Cyprinidae</w:t>
            </w:r>
          </w:p>
        </w:tc>
        <w:tc>
          <w:tcPr>
            <w:tcW w:w="2551" w:type="dxa"/>
            <w:tcBorders>
              <w:top w:val="single" w:sz="4" w:space="0" w:color="auto"/>
              <w:bottom w:val="single" w:sz="4" w:space="0" w:color="auto"/>
            </w:tcBorders>
            <w:shd w:val="clear" w:color="auto" w:fill="auto"/>
            <w:vAlign w:val="center"/>
          </w:tcPr>
          <w:p w14:paraId="1909227E"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hAnsi="Arial" w:cs="Arial"/>
                <w:b w:val="0"/>
                <w:bCs w:val="0"/>
                <w:i/>
                <w:iCs/>
                <w:szCs w:val="18"/>
                <w:u w:val="double"/>
              </w:rPr>
              <w:t>Notropis atherinoides</w:t>
            </w:r>
          </w:p>
        </w:tc>
        <w:tc>
          <w:tcPr>
            <w:tcW w:w="2401" w:type="dxa"/>
            <w:tcBorders>
              <w:top w:val="single" w:sz="4" w:space="0" w:color="auto"/>
              <w:bottom w:val="single" w:sz="4" w:space="0" w:color="auto"/>
            </w:tcBorders>
            <w:vAlign w:val="center"/>
          </w:tcPr>
          <w:p w14:paraId="0E7CF852"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hAnsi="Arial" w:cs="Arial"/>
                <w:b w:val="0"/>
                <w:bCs w:val="0"/>
                <w:szCs w:val="18"/>
                <w:u w:val="double"/>
              </w:rPr>
              <w:t>Emerald shiner</w:t>
            </w:r>
          </w:p>
        </w:tc>
      </w:tr>
      <w:tr w:rsidR="00C7266C" w:rsidRPr="00D403F5" w14:paraId="1C8E12F0" w14:textId="77777777" w:rsidTr="00C7266C">
        <w:trPr>
          <w:tblHeader/>
          <w:jc w:val="center"/>
        </w:trPr>
        <w:tc>
          <w:tcPr>
            <w:tcW w:w="2273" w:type="dxa"/>
            <w:vMerge/>
            <w:vAlign w:val="center"/>
          </w:tcPr>
          <w:p w14:paraId="5296B2E5" w14:textId="77777777" w:rsidR="00C7266C" w:rsidRPr="00D403F5" w:rsidRDefault="00C7266C" w:rsidP="00D403F5">
            <w:pPr>
              <w:pStyle w:val="TableHead"/>
              <w:spacing w:before="0" w:after="0"/>
              <w:rPr>
                <w:rFonts w:cs="Arial"/>
                <w:szCs w:val="18"/>
                <w:u w:val="double"/>
                <w:lang w:val="en-GB"/>
              </w:rPr>
            </w:pPr>
          </w:p>
        </w:tc>
        <w:tc>
          <w:tcPr>
            <w:tcW w:w="2551" w:type="dxa"/>
            <w:tcBorders>
              <w:top w:val="single" w:sz="4" w:space="0" w:color="auto"/>
              <w:bottom w:val="single" w:sz="4" w:space="0" w:color="auto"/>
            </w:tcBorders>
            <w:shd w:val="clear" w:color="auto" w:fill="auto"/>
            <w:vAlign w:val="center"/>
          </w:tcPr>
          <w:p w14:paraId="7A59D062"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hAnsi="Arial" w:cs="Arial"/>
                <w:b w:val="0"/>
                <w:bCs w:val="0"/>
                <w:i/>
                <w:iCs/>
                <w:szCs w:val="18"/>
                <w:u w:val="double"/>
                <w:lang w:val="en-GB"/>
              </w:rPr>
              <w:t>Cirrhinus mrigala</w:t>
            </w:r>
          </w:p>
        </w:tc>
        <w:tc>
          <w:tcPr>
            <w:tcW w:w="2401" w:type="dxa"/>
            <w:tcBorders>
              <w:top w:val="single" w:sz="4" w:space="0" w:color="auto"/>
              <w:bottom w:val="single" w:sz="4" w:space="0" w:color="auto"/>
            </w:tcBorders>
            <w:vAlign w:val="center"/>
          </w:tcPr>
          <w:p w14:paraId="629C2D98"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hAnsi="Arial" w:cs="Arial"/>
                <w:b w:val="0"/>
                <w:bCs w:val="0"/>
                <w:szCs w:val="18"/>
                <w:u w:val="double"/>
              </w:rPr>
              <w:t>Mrigal carp</w:t>
            </w:r>
          </w:p>
        </w:tc>
      </w:tr>
      <w:tr w:rsidR="00C7266C" w:rsidRPr="00D403F5" w14:paraId="59D0CC73" w14:textId="77777777" w:rsidTr="00C7266C">
        <w:trPr>
          <w:tblHeader/>
          <w:jc w:val="center"/>
        </w:trPr>
        <w:tc>
          <w:tcPr>
            <w:tcW w:w="2273" w:type="dxa"/>
            <w:vMerge/>
            <w:vAlign w:val="center"/>
          </w:tcPr>
          <w:p w14:paraId="11793830" w14:textId="77777777" w:rsidR="00C7266C" w:rsidRPr="00D403F5" w:rsidRDefault="00C7266C" w:rsidP="00D403F5">
            <w:pPr>
              <w:pStyle w:val="TableHead"/>
              <w:spacing w:before="0" w:after="0"/>
              <w:rPr>
                <w:rFonts w:cs="Arial"/>
                <w:szCs w:val="18"/>
                <w:u w:val="double"/>
                <w:lang w:val="en-GB"/>
              </w:rPr>
            </w:pPr>
          </w:p>
        </w:tc>
        <w:tc>
          <w:tcPr>
            <w:tcW w:w="2551" w:type="dxa"/>
            <w:tcBorders>
              <w:top w:val="single" w:sz="4" w:space="0" w:color="auto"/>
              <w:bottom w:val="single" w:sz="4" w:space="0" w:color="auto"/>
            </w:tcBorders>
            <w:shd w:val="clear" w:color="auto" w:fill="auto"/>
            <w:vAlign w:val="center"/>
          </w:tcPr>
          <w:p w14:paraId="726D4959"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eastAsia="Calibri" w:hAnsi="Arial" w:cs="Arial"/>
                <w:b w:val="0"/>
                <w:bCs w:val="0"/>
                <w:i/>
                <w:szCs w:val="18"/>
                <w:u w:val="double"/>
                <w:shd w:val="clear" w:color="auto" w:fill="FFFFFF"/>
              </w:rPr>
              <w:t>Labeo rohita</w:t>
            </w:r>
          </w:p>
        </w:tc>
        <w:tc>
          <w:tcPr>
            <w:tcW w:w="2401" w:type="dxa"/>
            <w:tcBorders>
              <w:top w:val="single" w:sz="4" w:space="0" w:color="auto"/>
              <w:bottom w:val="single" w:sz="4" w:space="0" w:color="auto"/>
            </w:tcBorders>
            <w:vAlign w:val="center"/>
          </w:tcPr>
          <w:p w14:paraId="65A3D936"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eastAsia="Calibri" w:hAnsi="Arial" w:cs="Arial"/>
                <w:b w:val="0"/>
                <w:bCs w:val="0"/>
                <w:szCs w:val="18"/>
                <w:u w:val="double"/>
                <w:shd w:val="clear" w:color="auto" w:fill="FFFFFF"/>
              </w:rPr>
              <w:t>Rohu</w:t>
            </w:r>
          </w:p>
        </w:tc>
      </w:tr>
      <w:tr w:rsidR="00C7266C" w:rsidRPr="00D403F5" w14:paraId="0702B4BE" w14:textId="77777777" w:rsidTr="00C7266C">
        <w:trPr>
          <w:tblHeader/>
          <w:jc w:val="center"/>
        </w:trPr>
        <w:tc>
          <w:tcPr>
            <w:tcW w:w="2273" w:type="dxa"/>
            <w:vMerge/>
            <w:tcBorders>
              <w:bottom w:val="single" w:sz="4" w:space="0" w:color="auto"/>
            </w:tcBorders>
            <w:vAlign w:val="center"/>
          </w:tcPr>
          <w:p w14:paraId="3A403DD5" w14:textId="77777777" w:rsidR="00C7266C" w:rsidRPr="00D403F5" w:rsidRDefault="00C7266C" w:rsidP="00D403F5">
            <w:pPr>
              <w:pStyle w:val="TableHead"/>
              <w:spacing w:before="0" w:after="0"/>
              <w:rPr>
                <w:rFonts w:cs="Arial"/>
                <w:szCs w:val="18"/>
                <w:u w:val="double"/>
                <w:lang w:val="en-GB"/>
              </w:rPr>
            </w:pPr>
          </w:p>
        </w:tc>
        <w:tc>
          <w:tcPr>
            <w:tcW w:w="2551" w:type="dxa"/>
            <w:tcBorders>
              <w:top w:val="single" w:sz="4" w:space="0" w:color="auto"/>
              <w:bottom w:val="single" w:sz="4" w:space="0" w:color="auto"/>
            </w:tcBorders>
            <w:shd w:val="clear" w:color="auto" w:fill="auto"/>
            <w:vAlign w:val="center"/>
          </w:tcPr>
          <w:p w14:paraId="4D90D6FD"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eastAsia="Calibri" w:hAnsi="Arial" w:cs="Arial"/>
                <w:b w:val="0"/>
                <w:bCs w:val="0"/>
                <w:i/>
                <w:iCs/>
                <w:szCs w:val="18"/>
                <w:u w:val="double"/>
                <w:shd w:val="clear" w:color="auto" w:fill="FFFFFF"/>
              </w:rPr>
              <w:t>Tinca tinca</w:t>
            </w:r>
          </w:p>
        </w:tc>
        <w:tc>
          <w:tcPr>
            <w:tcW w:w="2401" w:type="dxa"/>
            <w:tcBorders>
              <w:top w:val="single" w:sz="4" w:space="0" w:color="auto"/>
              <w:bottom w:val="single" w:sz="4" w:space="0" w:color="auto"/>
            </w:tcBorders>
            <w:vAlign w:val="center"/>
          </w:tcPr>
          <w:p w14:paraId="4894941B" w14:textId="77777777" w:rsidR="00C7266C" w:rsidRPr="00D403F5" w:rsidRDefault="00C7266C" w:rsidP="00D403F5">
            <w:pPr>
              <w:pStyle w:val="TableHead"/>
              <w:spacing w:before="0" w:after="0"/>
              <w:rPr>
                <w:rFonts w:cs="Arial"/>
                <w:b w:val="0"/>
                <w:bCs w:val="0"/>
                <w:szCs w:val="18"/>
                <w:u w:val="double"/>
                <w:lang w:val="en-GB"/>
              </w:rPr>
            </w:pPr>
            <w:r w:rsidRPr="00D403F5">
              <w:rPr>
                <w:rFonts w:ascii="Arial" w:eastAsia="Calibri" w:hAnsi="Arial" w:cs="Arial"/>
                <w:b w:val="0"/>
                <w:bCs w:val="0"/>
                <w:szCs w:val="18"/>
                <w:u w:val="double"/>
                <w:shd w:val="clear" w:color="auto" w:fill="FFFFFF"/>
              </w:rPr>
              <w:t>Tench</w:t>
            </w:r>
          </w:p>
        </w:tc>
      </w:tr>
      <w:tr w:rsidR="00C7266C" w:rsidRPr="00D403F5" w14:paraId="1F5B99D7" w14:textId="77777777" w:rsidTr="00C7266C">
        <w:trPr>
          <w:tblHeader/>
          <w:jc w:val="center"/>
        </w:trPr>
        <w:tc>
          <w:tcPr>
            <w:tcW w:w="2273" w:type="dxa"/>
            <w:tcBorders>
              <w:top w:val="single" w:sz="4" w:space="0" w:color="auto"/>
              <w:bottom w:val="single" w:sz="4" w:space="0" w:color="auto"/>
            </w:tcBorders>
            <w:vAlign w:val="center"/>
          </w:tcPr>
          <w:p w14:paraId="0DDC83D7" w14:textId="77777777" w:rsidR="00C7266C" w:rsidRPr="00D403F5" w:rsidRDefault="00C7266C" w:rsidP="00D403F5">
            <w:pPr>
              <w:pStyle w:val="TableHead"/>
              <w:spacing w:before="0" w:after="0"/>
              <w:rPr>
                <w:rFonts w:cs="Arial"/>
                <w:szCs w:val="18"/>
                <w:u w:val="double"/>
                <w:lang w:val="en-GB"/>
              </w:rPr>
            </w:pPr>
            <w:r w:rsidRPr="00D403F5">
              <w:rPr>
                <w:rFonts w:ascii="Arial" w:hAnsi="Arial" w:cs="Arial"/>
                <w:b w:val="0"/>
                <w:bCs w:val="0"/>
                <w:szCs w:val="18"/>
                <w:u w:val="double"/>
                <w:lang w:val="en-GB"/>
              </w:rPr>
              <w:t>Penaeidae</w:t>
            </w:r>
          </w:p>
        </w:tc>
        <w:tc>
          <w:tcPr>
            <w:tcW w:w="2551" w:type="dxa"/>
            <w:tcBorders>
              <w:top w:val="single" w:sz="4" w:space="0" w:color="auto"/>
              <w:bottom w:val="single" w:sz="4" w:space="0" w:color="auto"/>
            </w:tcBorders>
            <w:shd w:val="clear" w:color="auto" w:fill="auto"/>
            <w:vAlign w:val="center"/>
          </w:tcPr>
          <w:p w14:paraId="5FBA8607" w14:textId="77777777" w:rsidR="00C7266C" w:rsidRPr="00D403F5" w:rsidRDefault="00C7266C" w:rsidP="00D403F5">
            <w:pPr>
              <w:pStyle w:val="TableHead"/>
              <w:spacing w:before="0" w:after="0"/>
              <w:rPr>
                <w:rFonts w:cs="Arial"/>
                <w:szCs w:val="18"/>
                <w:u w:val="double"/>
                <w:lang w:val="en-GB"/>
              </w:rPr>
            </w:pPr>
            <w:r w:rsidRPr="00D403F5">
              <w:rPr>
                <w:rFonts w:ascii="Arial" w:eastAsia="Calibri" w:hAnsi="Arial" w:cs="Arial"/>
                <w:b w:val="0"/>
                <w:bCs w:val="0"/>
                <w:i/>
                <w:iCs/>
                <w:szCs w:val="18"/>
                <w:u w:val="double"/>
                <w:shd w:val="clear" w:color="auto" w:fill="FFFFFF"/>
              </w:rPr>
              <w:t>Litopenaeus vannamei</w:t>
            </w:r>
          </w:p>
        </w:tc>
        <w:tc>
          <w:tcPr>
            <w:tcW w:w="2401" w:type="dxa"/>
            <w:tcBorders>
              <w:top w:val="single" w:sz="4" w:space="0" w:color="auto"/>
              <w:bottom w:val="single" w:sz="4" w:space="0" w:color="auto"/>
            </w:tcBorders>
            <w:vAlign w:val="center"/>
          </w:tcPr>
          <w:p w14:paraId="11B499DB" w14:textId="77777777" w:rsidR="00C7266C" w:rsidRPr="00D403F5" w:rsidRDefault="00C7266C" w:rsidP="00D403F5">
            <w:pPr>
              <w:pStyle w:val="TableHead"/>
              <w:spacing w:before="0" w:after="0"/>
              <w:rPr>
                <w:rFonts w:ascii="Arial" w:eastAsia="Calibri" w:hAnsi="Arial" w:cs="Arial"/>
                <w:b w:val="0"/>
                <w:bCs w:val="0"/>
                <w:szCs w:val="18"/>
                <w:u w:val="double"/>
                <w:shd w:val="clear" w:color="auto" w:fill="FFFFFF"/>
              </w:rPr>
            </w:pPr>
            <w:r w:rsidRPr="00D403F5">
              <w:rPr>
                <w:rFonts w:ascii="Arial" w:eastAsia="Calibri" w:hAnsi="Arial" w:cs="Arial"/>
                <w:b w:val="0"/>
                <w:bCs w:val="0"/>
                <w:szCs w:val="18"/>
                <w:u w:val="double"/>
                <w:shd w:val="clear" w:color="auto" w:fill="FFFFFF"/>
              </w:rPr>
              <w:t>Pacific white</w:t>
            </w:r>
          </w:p>
          <w:p w14:paraId="587F1BD5" w14:textId="77777777" w:rsidR="00C7266C" w:rsidRPr="00D403F5" w:rsidRDefault="00C7266C" w:rsidP="00D403F5">
            <w:pPr>
              <w:pStyle w:val="TableHead"/>
              <w:spacing w:before="0" w:after="0"/>
              <w:rPr>
                <w:rFonts w:cs="Arial"/>
                <w:szCs w:val="18"/>
                <w:u w:val="double"/>
                <w:lang w:val="en-GB"/>
              </w:rPr>
            </w:pPr>
            <w:r w:rsidRPr="00D403F5">
              <w:rPr>
                <w:rFonts w:ascii="Arial" w:eastAsia="Calibri" w:hAnsi="Arial" w:cs="Arial"/>
                <w:b w:val="0"/>
                <w:bCs w:val="0"/>
                <w:szCs w:val="18"/>
                <w:u w:val="double"/>
                <w:shd w:val="clear" w:color="auto" w:fill="FFFFFF"/>
              </w:rPr>
              <w:t>shrimp</w:t>
            </w:r>
          </w:p>
        </w:tc>
      </w:tr>
      <w:tr w:rsidR="00C7266C" w:rsidRPr="00D403F5" w14:paraId="66D9F117" w14:textId="77777777" w:rsidTr="00C7266C">
        <w:trPr>
          <w:trHeight w:val="454"/>
          <w:tblHeader/>
          <w:jc w:val="center"/>
        </w:trPr>
        <w:tc>
          <w:tcPr>
            <w:tcW w:w="2273" w:type="dxa"/>
            <w:vMerge w:val="restart"/>
            <w:tcBorders>
              <w:top w:val="single" w:sz="4" w:space="0" w:color="auto"/>
            </w:tcBorders>
            <w:vAlign w:val="center"/>
          </w:tcPr>
          <w:p w14:paraId="18299052"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Salmonidae</w:t>
            </w:r>
          </w:p>
        </w:tc>
        <w:tc>
          <w:tcPr>
            <w:tcW w:w="2551" w:type="dxa"/>
            <w:tcBorders>
              <w:top w:val="single" w:sz="4" w:space="0" w:color="auto"/>
            </w:tcBorders>
            <w:shd w:val="clear" w:color="auto" w:fill="auto"/>
            <w:vAlign w:val="center"/>
          </w:tcPr>
          <w:p w14:paraId="0D924AA5" w14:textId="77777777" w:rsidR="00C7266C" w:rsidRPr="00D403F5" w:rsidRDefault="00C7266C" w:rsidP="00D403F5">
            <w:pPr>
              <w:pStyle w:val="TableHead"/>
              <w:spacing w:before="0" w:after="0"/>
              <w:rPr>
                <w:rFonts w:ascii="Arial" w:hAnsi="Arial" w:cs="Arial"/>
                <w:b w:val="0"/>
                <w:bCs w:val="0"/>
                <w:i/>
                <w:iCs/>
                <w:szCs w:val="18"/>
                <w:u w:val="double"/>
                <w:lang w:val="en-GB"/>
              </w:rPr>
            </w:pPr>
            <w:r w:rsidRPr="00D403F5">
              <w:rPr>
                <w:rFonts w:ascii="Arial" w:hAnsi="Arial" w:cs="Arial"/>
                <w:b w:val="0"/>
                <w:bCs w:val="0"/>
                <w:i/>
                <w:iCs/>
                <w:szCs w:val="18"/>
                <w:u w:val="double"/>
                <w:lang w:val="en-GB"/>
              </w:rPr>
              <w:t>Oncorhynchus tshawytscha</w:t>
            </w:r>
          </w:p>
        </w:tc>
        <w:tc>
          <w:tcPr>
            <w:tcW w:w="2401" w:type="dxa"/>
            <w:tcBorders>
              <w:top w:val="single" w:sz="4" w:space="0" w:color="auto"/>
            </w:tcBorders>
            <w:vAlign w:val="center"/>
          </w:tcPr>
          <w:p w14:paraId="40465FE7"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 xml:space="preserve">Chinook salmon </w:t>
            </w:r>
          </w:p>
        </w:tc>
      </w:tr>
      <w:tr w:rsidR="00C7266C" w:rsidRPr="00D403F5" w14:paraId="5FA3DBAC" w14:textId="77777777" w:rsidTr="00C7266C">
        <w:trPr>
          <w:trHeight w:val="454"/>
          <w:tblHeader/>
          <w:jc w:val="center"/>
        </w:trPr>
        <w:tc>
          <w:tcPr>
            <w:tcW w:w="2273" w:type="dxa"/>
            <w:vMerge/>
            <w:vAlign w:val="center"/>
          </w:tcPr>
          <w:p w14:paraId="5202E6D5" w14:textId="77777777" w:rsidR="00C7266C" w:rsidRPr="00D403F5" w:rsidRDefault="00C7266C" w:rsidP="00D403F5">
            <w:pPr>
              <w:pStyle w:val="TableHead"/>
              <w:spacing w:before="0" w:after="0"/>
              <w:rPr>
                <w:rFonts w:ascii="Arial" w:hAnsi="Arial" w:cs="Arial"/>
                <w:b w:val="0"/>
                <w:bCs w:val="0"/>
                <w:szCs w:val="18"/>
                <w:u w:val="double"/>
                <w:lang w:val="en-GB"/>
              </w:rPr>
            </w:pPr>
          </w:p>
        </w:tc>
        <w:tc>
          <w:tcPr>
            <w:tcW w:w="2551" w:type="dxa"/>
            <w:tcBorders>
              <w:top w:val="single" w:sz="4" w:space="0" w:color="auto"/>
            </w:tcBorders>
            <w:shd w:val="clear" w:color="auto" w:fill="auto"/>
            <w:vAlign w:val="center"/>
          </w:tcPr>
          <w:p w14:paraId="545E4D4C" w14:textId="77777777" w:rsidR="00C7266C" w:rsidRPr="00D403F5" w:rsidRDefault="00C7266C" w:rsidP="00D403F5">
            <w:pPr>
              <w:pStyle w:val="TableHead"/>
              <w:spacing w:before="0" w:after="0"/>
              <w:rPr>
                <w:rFonts w:ascii="Arial" w:hAnsi="Arial" w:cs="Arial"/>
                <w:b w:val="0"/>
                <w:bCs w:val="0"/>
                <w:i/>
                <w:iCs/>
                <w:szCs w:val="18"/>
                <w:u w:val="double"/>
                <w:lang w:val="en-GB"/>
              </w:rPr>
            </w:pPr>
            <w:r w:rsidRPr="00D403F5">
              <w:rPr>
                <w:rFonts w:ascii="Arial" w:hAnsi="Arial" w:cs="Arial"/>
                <w:b w:val="0"/>
                <w:bCs w:val="0"/>
                <w:i/>
                <w:iCs/>
                <w:szCs w:val="18"/>
                <w:u w:val="double"/>
                <w:lang w:val="en-GB"/>
              </w:rPr>
              <w:t>Oncorhynchus nerka</w:t>
            </w:r>
          </w:p>
        </w:tc>
        <w:tc>
          <w:tcPr>
            <w:tcW w:w="2401" w:type="dxa"/>
            <w:tcBorders>
              <w:top w:val="single" w:sz="4" w:space="0" w:color="auto"/>
            </w:tcBorders>
            <w:vAlign w:val="center"/>
          </w:tcPr>
          <w:p w14:paraId="40C8473C"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Sockeye</w:t>
            </w:r>
          </w:p>
          <w:p w14:paraId="5E618E7B"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salmon</w:t>
            </w:r>
          </w:p>
        </w:tc>
      </w:tr>
      <w:tr w:rsidR="00C7266C" w:rsidRPr="00D403F5" w14:paraId="456170B1" w14:textId="77777777" w:rsidTr="00C7266C">
        <w:trPr>
          <w:trHeight w:val="454"/>
          <w:tblHeader/>
          <w:jc w:val="center"/>
        </w:trPr>
        <w:tc>
          <w:tcPr>
            <w:tcW w:w="2273" w:type="dxa"/>
            <w:vMerge/>
            <w:vAlign w:val="center"/>
          </w:tcPr>
          <w:p w14:paraId="2C2F5144" w14:textId="77777777" w:rsidR="00C7266C" w:rsidRPr="00D403F5" w:rsidRDefault="00C7266C" w:rsidP="00D403F5">
            <w:pPr>
              <w:pStyle w:val="TableHead"/>
              <w:spacing w:before="0" w:after="0"/>
              <w:rPr>
                <w:rFonts w:ascii="Arial" w:hAnsi="Arial" w:cs="Arial"/>
                <w:b w:val="0"/>
                <w:bCs w:val="0"/>
                <w:szCs w:val="18"/>
                <w:u w:val="double"/>
                <w:lang w:val="en-GB"/>
              </w:rPr>
            </w:pPr>
          </w:p>
        </w:tc>
        <w:tc>
          <w:tcPr>
            <w:tcW w:w="2551" w:type="dxa"/>
            <w:tcBorders>
              <w:top w:val="single" w:sz="4" w:space="0" w:color="auto"/>
            </w:tcBorders>
            <w:shd w:val="clear" w:color="auto" w:fill="auto"/>
            <w:vAlign w:val="center"/>
          </w:tcPr>
          <w:p w14:paraId="2E4D7A3E" w14:textId="77777777" w:rsidR="00C7266C" w:rsidRPr="00D403F5" w:rsidRDefault="00C7266C" w:rsidP="00D403F5">
            <w:pPr>
              <w:pStyle w:val="TableHead"/>
              <w:spacing w:before="0" w:after="0"/>
              <w:rPr>
                <w:rFonts w:ascii="Arial" w:hAnsi="Arial" w:cs="Arial"/>
                <w:b w:val="0"/>
                <w:bCs w:val="0"/>
                <w:i/>
                <w:iCs/>
                <w:szCs w:val="18"/>
                <w:u w:val="double"/>
                <w:lang w:val="en-GB"/>
              </w:rPr>
            </w:pPr>
            <w:r w:rsidRPr="00D403F5">
              <w:rPr>
                <w:rFonts w:ascii="Arial" w:hAnsi="Arial" w:cs="Arial"/>
                <w:b w:val="0"/>
                <w:bCs w:val="0"/>
                <w:i/>
                <w:iCs/>
                <w:szCs w:val="18"/>
                <w:u w:val="double"/>
                <w:lang w:val="en-GB"/>
              </w:rPr>
              <w:t>Oncorhynchus mykiss</w:t>
            </w:r>
          </w:p>
        </w:tc>
        <w:tc>
          <w:tcPr>
            <w:tcW w:w="2401" w:type="dxa"/>
            <w:tcBorders>
              <w:top w:val="single" w:sz="4" w:space="0" w:color="auto"/>
            </w:tcBorders>
            <w:vAlign w:val="center"/>
          </w:tcPr>
          <w:p w14:paraId="6D575C82"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Rainbow</w:t>
            </w:r>
          </w:p>
          <w:p w14:paraId="4B84EC13"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hAnsi="Arial" w:cs="Arial"/>
                <w:b w:val="0"/>
                <w:bCs w:val="0"/>
                <w:szCs w:val="18"/>
                <w:u w:val="double"/>
                <w:lang w:val="en-GB"/>
              </w:rPr>
              <w:t>trout</w:t>
            </w:r>
          </w:p>
        </w:tc>
      </w:tr>
      <w:tr w:rsidR="00C7266C" w:rsidRPr="00D403F5" w14:paraId="0369CE79" w14:textId="77777777" w:rsidTr="00C7266C">
        <w:trPr>
          <w:trHeight w:val="454"/>
          <w:tblHeader/>
          <w:jc w:val="center"/>
        </w:trPr>
        <w:tc>
          <w:tcPr>
            <w:tcW w:w="2273" w:type="dxa"/>
            <w:vMerge/>
            <w:vAlign w:val="center"/>
          </w:tcPr>
          <w:p w14:paraId="462CFD55" w14:textId="77777777" w:rsidR="00C7266C" w:rsidRPr="00D403F5" w:rsidRDefault="00C7266C" w:rsidP="00D403F5">
            <w:pPr>
              <w:pStyle w:val="TableHead"/>
              <w:spacing w:before="0" w:after="0"/>
              <w:rPr>
                <w:rFonts w:ascii="Arial" w:hAnsi="Arial" w:cs="Arial"/>
                <w:b w:val="0"/>
                <w:bCs w:val="0"/>
                <w:szCs w:val="18"/>
                <w:u w:val="double"/>
                <w:lang w:val="en-GB"/>
              </w:rPr>
            </w:pPr>
          </w:p>
        </w:tc>
        <w:tc>
          <w:tcPr>
            <w:tcW w:w="2551" w:type="dxa"/>
            <w:tcBorders>
              <w:top w:val="single" w:sz="4" w:space="0" w:color="auto"/>
            </w:tcBorders>
            <w:shd w:val="clear" w:color="auto" w:fill="auto"/>
            <w:vAlign w:val="center"/>
          </w:tcPr>
          <w:p w14:paraId="46FF8736" w14:textId="77777777" w:rsidR="00C7266C" w:rsidRPr="00D403F5" w:rsidRDefault="00C7266C" w:rsidP="00D403F5">
            <w:pPr>
              <w:pStyle w:val="TableHead"/>
              <w:spacing w:before="0" w:after="0"/>
              <w:rPr>
                <w:rFonts w:ascii="Arial" w:hAnsi="Arial" w:cs="Arial"/>
                <w:b w:val="0"/>
                <w:bCs w:val="0"/>
                <w:i/>
                <w:iCs/>
                <w:szCs w:val="18"/>
                <w:u w:val="double"/>
                <w:lang w:val="en-GB"/>
              </w:rPr>
            </w:pPr>
            <w:r w:rsidRPr="00D403F5">
              <w:rPr>
                <w:rFonts w:ascii="Arial" w:eastAsia="Calibri" w:hAnsi="Arial" w:cs="Arial"/>
                <w:b w:val="0"/>
                <w:bCs w:val="0"/>
                <w:i/>
                <w:szCs w:val="18"/>
                <w:u w:val="double"/>
                <w:shd w:val="clear" w:color="auto" w:fill="FFFFFF"/>
              </w:rPr>
              <w:t>Oncorhynchus mykiss</w:t>
            </w:r>
          </w:p>
        </w:tc>
        <w:tc>
          <w:tcPr>
            <w:tcW w:w="2401" w:type="dxa"/>
            <w:tcBorders>
              <w:top w:val="single" w:sz="4" w:space="0" w:color="auto"/>
            </w:tcBorders>
            <w:vAlign w:val="center"/>
          </w:tcPr>
          <w:p w14:paraId="53F2FA95" w14:textId="77777777" w:rsidR="00C7266C" w:rsidRPr="00D403F5" w:rsidRDefault="00C7266C" w:rsidP="00D403F5">
            <w:pPr>
              <w:pStyle w:val="TableHead"/>
              <w:spacing w:before="0" w:after="0"/>
              <w:rPr>
                <w:rFonts w:ascii="Arial" w:eastAsia="Calibri" w:hAnsi="Arial" w:cs="Arial"/>
                <w:b w:val="0"/>
                <w:bCs w:val="0"/>
                <w:szCs w:val="18"/>
                <w:u w:val="double"/>
                <w:shd w:val="clear" w:color="auto" w:fill="FFFFFF"/>
              </w:rPr>
            </w:pPr>
            <w:r w:rsidRPr="00D403F5">
              <w:rPr>
                <w:rFonts w:ascii="Arial" w:eastAsia="Calibri" w:hAnsi="Arial" w:cs="Arial"/>
                <w:b w:val="0"/>
                <w:bCs w:val="0"/>
                <w:szCs w:val="18"/>
                <w:u w:val="double"/>
                <w:shd w:val="clear" w:color="auto" w:fill="FFFFFF"/>
              </w:rPr>
              <w:t>Steelhead</w:t>
            </w:r>
          </w:p>
          <w:p w14:paraId="2B840969" w14:textId="77777777" w:rsidR="00C7266C" w:rsidRPr="00D403F5" w:rsidRDefault="00C7266C" w:rsidP="00D403F5">
            <w:pPr>
              <w:pStyle w:val="TableHead"/>
              <w:spacing w:before="0" w:after="0"/>
              <w:rPr>
                <w:rFonts w:ascii="Arial" w:hAnsi="Arial" w:cs="Arial"/>
                <w:b w:val="0"/>
                <w:bCs w:val="0"/>
                <w:szCs w:val="18"/>
                <w:u w:val="double"/>
                <w:lang w:val="en-GB"/>
              </w:rPr>
            </w:pPr>
            <w:r w:rsidRPr="00D403F5">
              <w:rPr>
                <w:rFonts w:ascii="Arial" w:eastAsia="Calibri" w:hAnsi="Arial" w:cs="Arial"/>
                <w:b w:val="0"/>
                <w:bCs w:val="0"/>
                <w:szCs w:val="18"/>
                <w:u w:val="double"/>
                <w:shd w:val="clear" w:color="auto" w:fill="FFFFFF"/>
              </w:rPr>
              <w:t>trout</w:t>
            </w:r>
          </w:p>
        </w:tc>
      </w:tr>
    </w:tbl>
    <w:p w14:paraId="0D22BCD2" w14:textId="77777777" w:rsidR="00C7266C" w:rsidRPr="00D403F5" w:rsidRDefault="00C7266C" w:rsidP="00D403F5">
      <w:pPr>
        <w:spacing w:after="0" w:line="240" w:lineRule="auto"/>
        <w:ind w:left="851" w:hanging="567"/>
        <w:jc w:val="both"/>
        <w:rPr>
          <w:rFonts w:ascii="Ottawa" w:hAnsi="Ottawa"/>
          <w:b/>
          <w:bCs/>
          <w:sz w:val="18"/>
          <w:szCs w:val="18"/>
          <w:u w:val="double"/>
          <w:lang w:val="en-IE" w:eastAsia="fr-FR"/>
        </w:rPr>
      </w:pPr>
      <w:r w:rsidRPr="00D403F5">
        <w:rPr>
          <w:rFonts w:ascii="Ottawa" w:hAnsi="Ottawa"/>
          <w:b/>
          <w:bCs/>
          <w:sz w:val="18"/>
          <w:szCs w:val="18"/>
          <w:u w:val="double"/>
          <w:lang w:val="en-IE" w:eastAsia="fr-FR"/>
        </w:rPr>
        <w:t>2.2.3.</w:t>
      </w:r>
      <w:r w:rsidRPr="00D403F5">
        <w:rPr>
          <w:rFonts w:ascii="Ottawa" w:hAnsi="Ottawa"/>
          <w:b/>
          <w:bCs/>
          <w:sz w:val="18"/>
          <w:szCs w:val="18"/>
          <w:u w:val="double"/>
          <w:lang w:val="en-IE" w:eastAsia="fr-FR"/>
        </w:rPr>
        <w:tab/>
        <w:t>Non-susceptible species</w:t>
      </w:r>
    </w:p>
    <w:p w14:paraId="08B274FF" w14:textId="77777777" w:rsidR="00C7266C" w:rsidRPr="00D403F5" w:rsidRDefault="00C7266C" w:rsidP="00D403F5">
      <w:pPr>
        <w:spacing w:after="0"/>
        <w:ind w:left="851"/>
        <w:jc w:val="both"/>
        <w:rPr>
          <w:rFonts w:ascii="Arial" w:hAnsi="Arial" w:cs="Arial"/>
          <w:bCs/>
          <w:iCs/>
          <w:sz w:val="18"/>
          <w:szCs w:val="18"/>
          <w:u w:val="double"/>
        </w:rPr>
      </w:pPr>
      <w:r w:rsidRPr="00D403F5">
        <w:rPr>
          <w:rFonts w:ascii="Arial" w:hAnsi="Arial" w:cs="Arial"/>
          <w:bCs/>
          <w:iCs/>
          <w:sz w:val="18"/>
          <w:szCs w:val="18"/>
          <w:u w:val="double"/>
        </w:rPr>
        <w:t xml:space="preserve">Species that have been found non-susceptible to infection with SVCV </w:t>
      </w:r>
      <w:r w:rsidRPr="00D403F5">
        <w:rPr>
          <w:rFonts w:ascii="Arial" w:hAnsi="Arial" w:cs="Arial"/>
          <w:bCs/>
          <w:sz w:val="18"/>
          <w:szCs w:val="18"/>
          <w:u w:val="double"/>
        </w:rPr>
        <w:t xml:space="preserve">according to Chapter 1.5. of the </w:t>
      </w:r>
      <w:r w:rsidRPr="00D403F5">
        <w:rPr>
          <w:rFonts w:ascii="Arial" w:hAnsi="Arial" w:cs="Arial"/>
          <w:bCs/>
          <w:i/>
          <w:iCs/>
          <w:sz w:val="18"/>
          <w:szCs w:val="18"/>
          <w:u w:val="double"/>
        </w:rPr>
        <w:t xml:space="preserve">Aquatic </w:t>
      </w:r>
      <w:bookmarkStart w:id="66" w:name="_Hlk21704714"/>
      <w:r w:rsidRPr="00D403F5">
        <w:rPr>
          <w:rFonts w:ascii="Arial" w:hAnsi="Arial" w:cs="Arial"/>
          <w:bCs/>
          <w:i/>
          <w:iCs/>
          <w:sz w:val="18"/>
          <w:szCs w:val="18"/>
          <w:u w:val="double"/>
        </w:rPr>
        <w:t>Code</w:t>
      </w:r>
      <w:r w:rsidRPr="00D403F5">
        <w:rPr>
          <w:rFonts w:ascii="Arial" w:hAnsi="Arial" w:cs="Arial"/>
          <w:bCs/>
          <w:iCs/>
          <w:sz w:val="18"/>
          <w:szCs w:val="18"/>
          <w:u w:val="double"/>
        </w:rPr>
        <w:t xml:space="preserve"> are:</w:t>
      </w:r>
      <w:bookmarkEnd w:id="65"/>
    </w:p>
    <w:tbl>
      <w:tblPr>
        <w:tblW w:w="8070" w:type="dxa"/>
        <w:tblInd w:w="851" w:type="dxa"/>
        <w:tblCellMar>
          <w:left w:w="0" w:type="dxa"/>
          <w:right w:w="0" w:type="dxa"/>
        </w:tblCellMar>
        <w:tblLook w:val="04A0" w:firstRow="1" w:lastRow="0" w:firstColumn="1" w:lastColumn="0" w:noHBand="0" w:noVBand="1"/>
      </w:tblPr>
      <w:tblGrid>
        <w:gridCol w:w="2400"/>
        <w:gridCol w:w="2990"/>
        <w:gridCol w:w="2680"/>
      </w:tblGrid>
      <w:tr w:rsidR="00C7266C" w:rsidRPr="00D403F5" w14:paraId="4D78D10F" w14:textId="77777777" w:rsidTr="00C7266C">
        <w:tc>
          <w:tcPr>
            <w:tcW w:w="24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3F10A9" w14:textId="77777777" w:rsidR="00C7266C" w:rsidRPr="00D403F5" w:rsidRDefault="00C7266C" w:rsidP="00D403F5">
            <w:pPr>
              <w:pStyle w:val="Para3"/>
              <w:spacing w:after="0"/>
              <w:ind w:left="0"/>
              <w:jc w:val="center"/>
              <w:rPr>
                <w:b/>
                <w:szCs w:val="18"/>
                <w:u w:val="double"/>
                <w:lang w:eastAsia="fr-FR"/>
              </w:rPr>
            </w:pPr>
            <w:r w:rsidRPr="00D403F5">
              <w:rPr>
                <w:b/>
                <w:bCs w:val="0"/>
                <w:szCs w:val="18"/>
                <w:u w:val="double"/>
                <w:lang w:eastAsia="fr-FR"/>
              </w:rPr>
              <w:t>Family</w:t>
            </w:r>
          </w:p>
        </w:tc>
        <w:tc>
          <w:tcPr>
            <w:tcW w:w="29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6EFBD0" w14:textId="77777777" w:rsidR="00C7266C" w:rsidRPr="00D403F5" w:rsidRDefault="00C7266C" w:rsidP="00D403F5">
            <w:pPr>
              <w:pStyle w:val="Para3"/>
              <w:spacing w:after="0"/>
              <w:ind w:left="0"/>
              <w:jc w:val="center"/>
              <w:rPr>
                <w:b/>
                <w:bCs w:val="0"/>
                <w:szCs w:val="18"/>
                <w:u w:val="double"/>
                <w:lang w:eastAsia="fr-FR"/>
              </w:rPr>
            </w:pPr>
            <w:r w:rsidRPr="00D403F5">
              <w:rPr>
                <w:b/>
                <w:bCs w:val="0"/>
                <w:szCs w:val="18"/>
                <w:u w:val="double"/>
                <w:lang w:eastAsia="fr-FR"/>
              </w:rPr>
              <w:t>Scientific name</w:t>
            </w:r>
          </w:p>
        </w:tc>
        <w:tc>
          <w:tcPr>
            <w:tcW w:w="2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BF1AED" w14:textId="77777777" w:rsidR="00C7266C" w:rsidRPr="00D403F5" w:rsidRDefault="00C7266C" w:rsidP="00D403F5">
            <w:pPr>
              <w:pStyle w:val="Para3"/>
              <w:spacing w:after="0"/>
              <w:ind w:left="0"/>
              <w:jc w:val="center"/>
              <w:rPr>
                <w:b/>
                <w:bCs w:val="0"/>
                <w:szCs w:val="18"/>
                <w:u w:val="double"/>
                <w:lang w:eastAsia="fr-FR"/>
              </w:rPr>
            </w:pPr>
            <w:r w:rsidRPr="00D403F5">
              <w:rPr>
                <w:b/>
                <w:bCs w:val="0"/>
                <w:szCs w:val="18"/>
                <w:u w:val="double"/>
                <w:lang w:eastAsia="fr-FR"/>
              </w:rPr>
              <w:t>Common name</w:t>
            </w:r>
          </w:p>
        </w:tc>
      </w:tr>
      <w:tr w:rsidR="00C7266C" w:rsidRPr="00D403F5" w14:paraId="550C402B" w14:textId="77777777" w:rsidTr="00C7266C">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F919EC" w14:textId="77777777" w:rsidR="00C7266C" w:rsidRPr="00D403F5" w:rsidRDefault="00C7266C" w:rsidP="00D403F5">
            <w:pPr>
              <w:pStyle w:val="Para3"/>
              <w:spacing w:after="0"/>
              <w:ind w:left="0"/>
              <w:jc w:val="center"/>
              <w:rPr>
                <w:bCs w:val="0"/>
                <w:szCs w:val="18"/>
                <w:u w:val="double"/>
                <w:lang w:eastAsia="fr-FR"/>
              </w:rPr>
            </w:pPr>
            <w:r w:rsidRPr="00D403F5">
              <w:rPr>
                <w:szCs w:val="18"/>
                <w:u w:val="double"/>
                <w:lang w:eastAsia="fr-FR"/>
              </w:rPr>
              <w:t>Centrarchidae</w:t>
            </w:r>
          </w:p>
        </w:tc>
        <w:tc>
          <w:tcPr>
            <w:tcW w:w="29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6434AC" w14:textId="77777777" w:rsidR="00C7266C" w:rsidRPr="00D403F5" w:rsidRDefault="00C7266C" w:rsidP="00D403F5">
            <w:pPr>
              <w:pStyle w:val="Para3"/>
              <w:spacing w:after="0"/>
              <w:ind w:left="0"/>
              <w:jc w:val="center"/>
              <w:rPr>
                <w:i/>
                <w:iCs/>
                <w:szCs w:val="18"/>
                <w:u w:val="double"/>
                <w:lang w:eastAsia="fr-FR"/>
              </w:rPr>
            </w:pPr>
            <w:r w:rsidRPr="00D403F5">
              <w:rPr>
                <w:i/>
                <w:iCs/>
                <w:szCs w:val="18"/>
                <w:u w:val="double"/>
                <w:lang w:eastAsia="fr-FR"/>
              </w:rPr>
              <w:t>Micropterus salmoides</w:t>
            </w:r>
          </w:p>
        </w:tc>
        <w:tc>
          <w:tcPr>
            <w:tcW w:w="26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457E55" w14:textId="77777777" w:rsidR="00C7266C" w:rsidRPr="00D403F5" w:rsidRDefault="00C7266C" w:rsidP="00D403F5">
            <w:pPr>
              <w:pStyle w:val="Para3"/>
              <w:spacing w:after="0"/>
              <w:ind w:left="0"/>
              <w:jc w:val="center"/>
              <w:rPr>
                <w:szCs w:val="18"/>
                <w:u w:val="double"/>
                <w:lang w:eastAsia="fr-FR"/>
              </w:rPr>
            </w:pPr>
            <w:r w:rsidRPr="00D403F5">
              <w:rPr>
                <w:szCs w:val="18"/>
                <w:u w:val="double"/>
                <w:lang w:eastAsia="fr-FR"/>
              </w:rPr>
              <w:t>Largemouth Bass</w:t>
            </w:r>
          </w:p>
        </w:tc>
      </w:tr>
      <w:tr w:rsidR="00C7266C" w:rsidRPr="00D403F5" w14:paraId="5E598154" w14:textId="77777777" w:rsidTr="00C7266C">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06A1CA" w14:textId="77777777" w:rsidR="00C7266C" w:rsidRPr="00D403F5" w:rsidRDefault="00C7266C" w:rsidP="00D403F5">
            <w:pPr>
              <w:pStyle w:val="Para3"/>
              <w:spacing w:after="0"/>
              <w:ind w:left="0"/>
              <w:jc w:val="center"/>
              <w:rPr>
                <w:szCs w:val="18"/>
                <w:u w:val="double"/>
                <w:lang w:eastAsia="fr-FR"/>
              </w:rPr>
            </w:pPr>
            <w:r w:rsidRPr="00D403F5">
              <w:rPr>
                <w:rStyle w:val="slabel1"/>
                <w:rFonts w:eastAsiaTheme="majorEastAsia"/>
                <w:color w:val="000000"/>
                <w:szCs w:val="18"/>
                <w:u w:val="double"/>
                <w:lang w:eastAsia="fr-FR"/>
              </w:rPr>
              <w:t>Esocidae</w:t>
            </w:r>
          </w:p>
        </w:tc>
        <w:tc>
          <w:tcPr>
            <w:tcW w:w="29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799900" w14:textId="77777777" w:rsidR="00C7266C" w:rsidRPr="00D403F5" w:rsidRDefault="00C7266C" w:rsidP="00D403F5">
            <w:pPr>
              <w:pStyle w:val="Para3"/>
              <w:spacing w:after="0"/>
              <w:ind w:left="0"/>
              <w:jc w:val="center"/>
              <w:rPr>
                <w:i/>
                <w:iCs/>
                <w:szCs w:val="18"/>
                <w:u w:val="double"/>
                <w:lang w:eastAsia="fr-FR"/>
              </w:rPr>
            </w:pPr>
            <w:r w:rsidRPr="00D403F5">
              <w:rPr>
                <w:i/>
                <w:iCs/>
                <w:szCs w:val="18"/>
                <w:u w:val="double"/>
                <w:lang w:eastAsia="fr-FR"/>
              </w:rPr>
              <w:t>Esox masquinongy</w:t>
            </w:r>
          </w:p>
        </w:tc>
        <w:tc>
          <w:tcPr>
            <w:tcW w:w="26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EF6DF1" w14:textId="77777777" w:rsidR="00C7266C" w:rsidRPr="00D403F5" w:rsidRDefault="00C7266C" w:rsidP="00D403F5">
            <w:pPr>
              <w:pStyle w:val="Para3"/>
              <w:spacing w:after="0"/>
              <w:ind w:left="0"/>
              <w:jc w:val="center"/>
              <w:rPr>
                <w:szCs w:val="18"/>
                <w:u w:val="double"/>
                <w:lang w:eastAsia="fr-FR"/>
              </w:rPr>
            </w:pPr>
            <w:r w:rsidRPr="00D403F5">
              <w:rPr>
                <w:szCs w:val="18"/>
                <w:u w:val="double"/>
                <w:lang w:eastAsia="fr-FR"/>
              </w:rPr>
              <w:t>Muskellunge</w:t>
            </w:r>
          </w:p>
        </w:tc>
      </w:tr>
      <w:tr w:rsidR="00C7266C" w:rsidRPr="00D403F5" w14:paraId="1AC2532C" w14:textId="77777777" w:rsidTr="00C7266C">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C357FF" w14:textId="77777777" w:rsidR="00C7266C" w:rsidRPr="00D403F5" w:rsidRDefault="00C7266C" w:rsidP="00D403F5">
            <w:pPr>
              <w:pStyle w:val="Para3"/>
              <w:spacing w:after="0"/>
              <w:ind w:left="0"/>
              <w:jc w:val="center"/>
              <w:rPr>
                <w:szCs w:val="18"/>
                <w:u w:val="double"/>
                <w:lang w:eastAsia="fr-FR"/>
              </w:rPr>
            </w:pPr>
            <w:r w:rsidRPr="00D403F5">
              <w:rPr>
                <w:szCs w:val="18"/>
                <w:u w:val="double"/>
                <w:lang w:eastAsia="fr-FR"/>
              </w:rPr>
              <w:t>Percidae</w:t>
            </w:r>
          </w:p>
        </w:tc>
        <w:tc>
          <w:tcPr>
            <w:tcW w:w="29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139B5E" w14:textId="77777777" w:rsidR="00C7266C" w:rsidRPr="00D403F5" w:rsidRDefault="00C7266C" w:rsidP="00D403F5">
            <w:pPr>
              <w:pStyle w:val="Para3"/>
              <w:spacing w:after="0"/>
              <w:ind w:left="0"/>
              <w:jc w:val="center"/>
              <w:rPr>
                <w:i/>
                <w:iCs/>
                <w:szCs w:val="18"/>
                <w:u w:val="double"/>
                <w:lang w:eastAsia="fr-FR"/>
              </w:rPr>
            </w:pPr>
            <w:r w:rsidRPr="00D403F5">
              <w:rPr>
                <w:i/>
                <w:iCs/>
                <w:szCs w:val="18"/>
                <w:u w:val="double"/>
                <w:lang w:eastAsia="fr-FR"/>
              </w:rPr>
              <w:t>Sander vitreus</w:t>
            </w:r>
          </w:p>
        </w:tc>
        <w:tc>
          <w:tcPr>
            <w:tcW w:w="26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C34CC" w14:textId="77777777" w:rsidR="00C7266C" w:rsidRPr="00D403F5" w:rsidRDefault="00C7266C" w:rsidP="00D403F5">
            <w:pPr>
              <w:pStyle w:val="Para3"/>
              <w:spacing w:after="0"/>
              <w:ind w:left="0"/>
              <w:jc w:val="center"/>
              <w:rPr>
                <w:szCs w:val="18"/>
                <w:u w:val="double"/>
                <w:lang w:eastAsia="fr-FR"/>
              </w:rPr>
            </w:pPr>
            <w:r w:rsidRPr="00D403F5">
              <w:rPr>
                <w:szCs w:val="18"/>
                <w:u w:val="double"/>
                <w:lang w:eastAsia="fr-FR"/>
              </w:rPr>
              <w:t>Walleye</w:t>
            </w:r>
          </w:p>
        </w:tc>
      </w:tr>
    </w:tbl>
    <w:bookmarkEnd w:id="66"/>
    <w:p w14:paraId="2BFD8964"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2.2.4.</w:t>
      </w:r>
      <w:r w:rsidRPr="00D403F5">
        <w:rPr>
          <w:rFonts w:ascii="Ottawa" w:hAnsi="Ottawa"/>
          <w:b/>
          <w:bCs/>
          <w:sz w:val="18"/>
          <w:szCs w:val="18"/>
          <w:lang w:val="en-IE" w:eastAsia="fr-FR"/>
        </w:rPr>
        <w:tab/>
        <w:t xml:space="preserve">Likelihood of infection by species, host life stage, population or sub-populations </w:t>
      </w:r>
    </w:p>
    <w:p w14:paraId="388C82F7" w14:textId="77777777" w:rsidR="00C7266C" w:rsidRPr="00D403F5" w:rsidRDefault="00C7266C" w:rsidP="00D403F5">
      <w:pPr>
        <w:spacing w:after="0"/>
        <w:ind w:left="851"/>
        <w:jc w:val="both"/>
        <w:rPr>
          <w:rFonts w:ascii="Arial" w:hAnsi="Arial" w:cs="Arial"/>
          <w:bCs/>
          <w:iCs/>
          <w:sz w:val="18"/>
          <w:szCs w:val="18"/>
          <w:lang w:eastAsia="fr-FR"/>
        </w:rPr>
      </w:pPr>
      <w:r w:rsidRPr="00D403F5">
        <w:rPr>
          <w:rFonts w:ascii="Arial" w:hAnsi="Arial" w:cs="Arial"/>
          <w:bCs/>
          <w:iCs/>
          <w:sz w:val="18"/>
          <w:szCs w:val="18"/>
          <w:lang w:eastAsia="fr-FR"/>
        </w:rPr>
        <w:t xml:space="preserve">Common carp varieties are the principal hosts for SVCV and are considered to be most susceptible to infection with SVCV followed, in order of susceptibility, by other carp species (including hybrids), other susceptible cyprinid species and finally susceptible non-cyprinid fish species. When sampling during surveillance programmes for SVCV, common carp or strains such as koi or ghost (koi × common) carp are preferentially selected, followed by carp hybrids (e.g. common carp × crucian carp), then other carp species such as crucian carp, goldfish, grass carp, bighead carp and silver carp. Should these species not be available then other known susceptible species should be sampled. Cyprinid species </w:t>
      </w:r>
      <w:r w:rsidRPr="00D403F5">
        <w:rPr>
          <w:rFonts w:ascii="Arial" w:hAnsi="Arial" w:cs="Arial"/>
          <w:bCs/>
          <w:iCs/>
          <w:sz w:val="18"/>
          <w:szCs w:val="18"/>
          <w:u w:val="double"/>
          <w:lang w:eastAsia="fr-FR"/>
        </w:rPr>
        <w:t>may be</w:t>
      </w:r>
      <w:r w:rsidRPr="00D403F5">
        <w:rPr>
          <w:rFonts w:ascii="Arial" w:hAnsi="Arial" w:cs="Arial"/>
          <w:bCs/>
          <w:iCs/>
          <w:sz w:val="18"/>
          <w:szCs w:val="18"/>
          <w:lang w:eastAsia="fr-FR"/>
        </w:rPr>
        <w:t xml:space="preserve"> </w:t>
      </w:r>
      <w:r w:rsidRPr="00D403F5">
        <w:rPr>
          <w:rFonts w:ascii="Arial" w:hAnsi="Arial" w:cs="Arial"/>
          <w:bCs/>
          <w:iCs/>
          <w:strike/>
          <w:sz w:val="18"/>
          <w:szCs w:val="18"/>
          <w:lang w:eastAsia="fr-FR"/>
        </w:rPr>
        <w:t xml:space="preserve">are increasingly </w:t>
      </w:r>
      <w:r w:rsidRPr="00D403F5">
        <w:rPr>
          <w:rFonts w:ascii="Arial" w:hAnsi="Arial" w:cs="Arial"/>
          <w:bCs/>
          <w:iCs/>
          <w:sz w:val="18"/>
          <w:szCs w:val="18"/>
          <w:lang w:eastAsia="fr-FR"/>
        </w:rPr>
        <w:t>mixed together in polyculture systems and the risk of transmission of SVCV between species during disease outbreaks is high (Billard &amp; Berni, 2004).</w:t>
      </w:r>
    </w:p>
    <w:p w14:paraId="01891C12" w14:textId="77777777" w:rsidR="00C7266C" w:rsidRPr="00D403F5" w:rsidRDefault="00C7266C" w:rsidP="00D403F5">
      <w:pPr>
        <w:spacing w:after="0"/>
        <w:ind w:left="851"/>
        <w:jc w:val="both"/>
        <w:rPr>
          <w:rFonts w:ascii="Arial" w:hAnsi="Arial" w:cs="Arial"/>
          <w:bCs/>
          <w:sz w:val="18"/>
          <w:szCs w:val="18"/>
          <w:lang w:eastAsia="fr-FR"/>
        </w:rPr>
      </w:pPr>
      <w:r w:rsidRPr="00D403F5">
        <w:rPr>
          <w:rFonts w:ascii="Arial" w:hAnsi="Arial" w:cs="Arial"/>
          <w:bCs/>
          <w:sz w:val="18"/>
          <w:szCs w:val="18"/>
          <w:lang w:eastAsia="fr-FR"/>
        </w:rPr>
        <w:t xml:space="preserve">Generally, young fish up to 1 year old are most susceptible to clinical disease, but all age groups can be affected. Moreover, there is a high variability in the degree of susceptibility to infection with SVCV among individuals of the same fish species. Apart from the physiological state of the fish, the role of which is poorly understood, age or the age-related status of innate immunity appears to be extremely important: the younger the fish, the higher the susceptibility to overt disease, although even adult broodfish can be susceptible to infection. </w:t>
      </w:r>
    </w:p>
    <w:p w14:paraId="6D23371B" w14:textId="77777777" w:rsidR="0076436B" w:rsidRDefault="0076436B" w:rsidP="00D403F5">
      <w:pPr>
        <w:spacing w:after="0"/>
        <w:rPr>
          <w:rFonts w:ascii="Times New Roman" w:hAnsi="Times New Roman" w:cs="Times New Roman"/>
          <w:noProof/>
          <w:sz w:val="18"/>
          <w:szCs w:val="18"/>
          <w:u w:val="single"/>
          <w:lang w:val="en-US"/>
        </w:rPr>
      </w:pPr>
      <w:r>
        <w:rPr>
          <w:rFonts w:ascii="Times New Roman" w:hAnsi="Times New Roman" w:cs="Times New Roman"/>
          <w:noProof/>
          <w:sz w:val="18"/>
          <w:szCs w:val="18"/>
          <w:u w:val="single"/>
          <w:lang w:val="en-US"/>
        </w:rPr>
        <w:br w:type="page"/>
      </w:r>
    </w:p>
    <w:p w14:paraId="040685F5" w14:textId="6A8AE294"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094DA9F4" w14:textId="77777777" w:rsidR="00C7266C" w:rsidRPr="00D403F5" w:rsidRDefault="00C7266C" w:rsidP="00D403F5">
      <w:pPr>
        <w:spacing w:after="0"/>
        <w:ind w:left="851"/>
        <w:jc w:val="both"/>
        <w:rPr>
          <w:rFonts w:ascii="Arial" w:hAnsi="Arial" w:cs="Arial"/>
          <w:bCs/>
          <w:sz w:val="18"/>
          <w:szCs w:val="18"/>
        </w:rPr>
      </w:pPr>
      <w:r w:rsidRPr="00D403F5">
        <w:rPr>
          <w:rFonts w:ascii="Arial" w:hAnsi="Arial" w:cs="Arial"/>
          <w:bCs/>
          <w:sz w:val="18"/>
          <w:szCs w:val="18"/>
        </w:rPr>
        <w:t>Fish that have separated from the shoal and found at the water inlet or sides of a pond are more likely to be infected.</w:t>
      </w:r>
    </w:p>
    <w:p w14:paraId="037D9920"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2.2.5.</w:t>
      </w:r>
      <w:r w:rsidRPr="00D403F5">
        <w:rPr>
          <w:rFonts w:ascii="Ottawa" w:hAnsi="Ottawa"/>
          <w:b/>
          <w:bCs/>
          <w:sz w:val="18"/>
          <w:szCs w:val="18"/>
          <w:lang w:val="en-IE" w:eastAsia="fr-FR"/>
        </w:rPr>
        <w:tab/>
      </w:r>
      <w:bookmarkStart w:id="67" w:name="_Hlk20819978"/>
      <w:r w:rsidRPr="00D403F5">
        <w:rPr>
          <w:rFonts w:ascii="Ottawa" w:hAnsi="Ottawa"/>
          <w:b/>
          <w:bCs/>
          <w:sz w:val="18"/>
          <w:szCs w:val="18"/>
          <w:lang w:val="en-IE" w:eastAsia="fr-FR"/>
        </w:rPr>
        <w:t>Distribution of the pathogen in the host</w:t>
      </w:r>
      <w:bookmarkEnd w:id="67"/>
    </w:p>
    <w:p w14:paraId="0468012F" w14:textId="77777777" w:rsidR="00C7266C" w:rsidRPr="00D403F5" w:rsidRDefault="00C7266C" w:rsidP="00D403F5">
      <w:pPr>
        <w:spacing w:after="0"/>
        <w:ind w:left="851"/>
        <w:jc w:val="both"/>
        <w:rPr>
          <w:rFonts w:ascii="Arial" w:hAnsi="Arial" w:cs="Arial"/>
          <w:bCs/>
          <w:sz w:val="18"/>
          <w:szCs w:val="18"/>
          <w:lang w:eastAsia="fr-FR"/>
        </w:rPr>
      </w:pPr>
      <w:r w:rsidRPr="00D403F5">
        <w:rPr>
          <w:rFonts w:ascii="Arial" w:eastAsia="Calibri" w:hAnsi="Arial" w:cs="Arial"/>
          <w:bCs/>
          <w:strike/>
          <w:sz w:val="18"/>
          <w:szCs w:val="18"/>
          <w:lang w:val="en-IE"/>
        </w:rPr>
        <w:t xml:space="preserve">The transmission of SVCV is horizontal (Fijan, 1988). </w:t>
      </w:r>
      <w:r w:rsidRPr="00D403F5">
        <w:rPr>
          <w:rFonts w:ascii="Arial" w:eastAsia="Calibri" w:hAnsi="Arial" w:cs="Arial"/>
          <w:bCs/>
          <w:sz w:val="18"/>
          <w:szCs w:val="18"/>
          <w:lang w:val="en-IE"/>
        </w:rPr>
        <w:t>SVCV appears to enter via the gills and then spreads to the kidney, liver, heart, spleen and alimentary tract. During disease outbreaks h</w:t>
      </w:r>
      <w:r w:rsidRPr="00D403F5">
        <w:rPr>
          <w:rFonts w:ascii="Arial" w:hAnsi="Arial" w:cs="Arial"/>
          <w:bCs/>
          <w:sz w:val="18"/>
          <w:szCs w:val="18"/>
          <w:lang w:val="en-IE" w:eastAsia="fr-FR"/>
        </w:rPr>
        <w:t xml:space="preserve">igh titres of virus occur in the liver and kidney of infected fish, but much lower titres occur in the spleen, gills and brain </w:t>
      </w:r>
      <w:r w:rsidRPr="00D403F5">
        <w:rPr>
          <w:rFonts w:ascii="Arial" w:hAnsi="Arial" w:cs="Arial"/>
          <w:bCs/>
          <w:sz w:val="18"/>
          <w:szCs w:val="18"/>
          <w:lang w:eastAsia="fr-FR"/>
        </w:rPr>
        <w:t>(Dixon, 2008).</w:t>
      </w:r>
      <w:r w:rsidRPr="00D403F5">
        <w:rPr>
          <w:rFonts w:ascii="Arial" w:eastAsia="Calibri" w:hAnsi="Arial" w:cs="Arial"/>
          <w:bCs/>
          <w:sz w:val="18"/>
          <w:szCs w:val="18"/>
          <w:lang w:val="en-IE"/>
        </w:rPr>
        <w:t xml:space="preserve"> The virus has been detected in ovarian fluid (Bekesi &amp; Csontos, 1985)</w:t>
      </w:r>
      <w:r w:rsidRPr="00D403F5">
        <w:rPr>
          <w:rFonts w:ascii="Arial" w:eastAsia="Calibri" w:hAnsi="Arial" w:cs="Arial"/>
          <w:bCs/>
          <w:strike/>
          <w:sz w:val="18"/>
          <w:szCs w:val="18"/>
          <w:lang w:val="en-IE"/>
        </w:rPr>
        <w:t>, but vertical transmission has yet to be demonstrated</w:t>
      </w:r>
      <w:r w:rsidRPr="00D403F5">
        <w:rPr>
          <w:rFonts w:ascii="Arial" w:eastAsia="Calibri" w:hAnsi="Arial" w:cs="Arial"/>
          <w:bCs/>
          <w:sz w:val="18"/>
          <w:szCs w:val="18"/>
          <w:lang w:val="en-IE"/>
        </w:rPr>
        <w:t xml:space="preserve">. </w:t>
      </w:r>
    </w:p>
    <w:p w14:paraId="25022BC6"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2.2.6.</w:t>
      </w:r>
      <w:r w:rsidRPr="00D403F5">
        <w:rPr>
          <w:rFonts w:ascii="Ottawa" w:hAnsi="Ottawa"/>
          <w:b/>
          <w:bCs/>
          <w:sz w:val="18"/>
          <w:szCs w:val="18"/>
          <w:lang w:val="en-IE" w:eastAsia="fr-FR"/>
        </w:rPr>
        <w:tab/>
      </w:r>
      <w:r w:rsidRPr="00D403F5">
        <w:rPr>
          <w:rFonts w:ascii="Ottawa" w:hAnsi="Ottawa"/>
          <w:b/>
          <w:bCs/>
          <w:sz w:val="18"/>
          <w:szCs w:val="18"/>
          <w:u w:val="double"/>
          <w:lang w:val="en-IE" w:eastAsia="fr-FR"/>
        </w:rPr>
        <w:t>Aquatic animal</w:t>
      </w:r>
      <w:r w:rsidRPr="00D403F5">
        <w:rPr>
          <w:rFonts w:ascii="Ottawa" w:hAnsi="Ottawa"/>
          <w:b/>
          <w:bCs/>
          <w:sz w:val="18"/>
          <w:szCs w:val="18"/>
          <w:lang w:val="en-IE" w:eastAsia="fr-FR"/>
        </w:rPr>
        <w:t xml:space="preserve"> reservoirs of infection </w:t>
      </w:r>
    </w:p>
    <w:p w14:paraId="5F5615E5"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cs="Arial"/>
          <w:bCs/>
          <w:sz w:val="18"/>
          <w:szCs w:val="18"/>
          <w:lang w:val="en-IE"/>
        </w:rPr>
        <w:t xml:space="preserve">Liu </w:t>
      </w:r>
      <w:r w:rsidRPr="00D403F5">
        <w:rPr>
          <w:rFonts w:ascii="Arial" w:hAnsi="Arial" w:cs="Arial"/>
          <w:bCs/>
          <w:i/>
          <w:iCs/>
          <w:sz w:val="18"/>
          <w:szCs w:val="18"/>
          <w:lang w:val="en-IE"/>
        </w:rPr>
        <w:t xml:space="preserve">et al. </w:t>
      </w:r>
      <w:r w:rsidRPr="00D403F5">
        <w:rPr>
          <w:rFonts w:ascii="Arial" w:hAnsi="Arial" w:cs="Arial"/>
          <w:bCs/>
          <w:sz w:val="18"/>
          <w:szCs w:val="18"/>
          <w:lang w:val="en-IE"/>
        </w:rPr>
        <w:t xml:space="preserve">(2004) isolated SVCV in China (People’s Rep. of) from common and koi carp exhibiting no external or internal signs of disease, and similarly, the virus was isolated </w:t>
      </w:r>
      <w:r w:rsidRPr="00D403F5">
        <w:rPr>
          <w:rFonts w:ascii="Arial" w:hAnsi="Arial" w:cs="Arial"/>
          <w:bCs/>
          <w:sz w:val="18"/>
          <w:szCs w:val="18"/>
          <w:lang w:val="en"/>
        </w:rPr>
        <w:t xml:space="preserve">from apparently healthy wild carp in Canada (Garver </w:t>
      </w:r>
      <w:r w:rsidRPr="00D403F5">
        <w:rPr>
          <w:rFonts w:ascii="Arial" w:hAnsi="Arial" w:cs="Arial"/>
          <w:bCs/>
          <w:i/>
          <w:iCs/>
          <w:sz w:val="18"/>
          <w:szCs w:val="18"/>
          <w:lang w:val="en"/>
        </w:rPr>
        <w:t>et al</w:t>
      </w:r>
      <w:r w:rsidRPr="00D403F5">
        <w:rPr>
          <w:rFonts w:ascii="Arial" w:hAnsi="Arial" w:cs="Arial"/>
          <w:bCs/>
          <w:sz w:val="18"/>
          <w:szCs w:val="18"/>
          <w:lang w:val="en"/>
        </w:rPr>
        <w:t>., 2007).</w:t>
      </w:r>
    </w:p>
    <w:p w14:paraId="0492D4EA"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2.2.7.</w:t>
      </w:r>
      <w:r w:rsidRPr="00D403F5">
        <w:rPr>
          <w:rFonts w:ascii="Ottawa" w:hAnsi="Ottawa"/>
          <w:b/>
          <w:bCs/>
          <w:sz w:val="18"/>
          <w:szCs w:val="18"/>
          <w:lang w:val="en-IE" w:eastAsia="fr-FR"/>
        </w:rPr>
        <w:tab/>
        <w:t>Vectors</w:t>
      </w:r>
    </w:p>
    <w:p w14:paraId="0FFEC14B" w14:textId="77777777" w:rsidR="00C7266C" w:rsidRPr="00D403F5" w:rsidRDefault="00C7266C" w:rsidP="00D403F5">
      <w:pPr>
        <w:spacing w:after="0"/>
        <w:ind w:left="851"/>
        <w:jc w:val="both"/>
        <w:rPr>
          <w:rFonts w:ascii="Arial" w:hAnsi="Arial" w:cs="Arial"/>
          <w:bCs/>
          <w:sz w:val="18"/>
          <w:szCs w:val="18"/>
          <w:lang w:eastAsia="fr-FR"/>
        </w:rPr>
      </w:pPr>
      <w:r w:rsidRPr="00D403F5">
        <w:rPr>
          <w:rFonts w:ascii="Arial" w:hAnsi="Arial" w:cs="Arial"/>
          <w:bCs/>
          <w:sz w:val="18"/>
          <w:szCs w:val="18"/>
          <w:lang w:eastAsia="fr-FR"/>
        </w:rPr>
        <w:t xml:space="preserve">The parasitic invertebrates </w:t>
      </w:r>
      <w:r w:rsidRPr="00D403F5">
        <w:rPr>
          <w:rFonts w:ascii="Arial" w:hAnsi="Arial" w:cs="Arial"/>
          <w:bCs/>
          <w:i/>
          <w:iCs/>
          <w:sz w:val="18"/>
          <w:szCs w:val="18"/>
          <w:lang w:eastAsia="fr-FR"/>
        </w:rPr>
        <w:t>Argulus foliaceus</w:t>
      </w:r>
      <w:r w:rsidRPr="00D403F5">
        <w:rPr>
          <w:rFonts w:ascii="Arial" w:hAnsi="Arial" w:cs="Arial"/>
          <w:bCs/>
          <w:sz w:val="18"/>
          <w:szCs w:val="18"/>
          <w:lang w:eastAsia="fr-FR"/>
        </w:rPr>
        <w:t xml:space="preserve"> (Crustacea, Branchiura) and </w:t>
      </w:r>
      <w:r w:rsidRPr="00D403F5">
        <w:rPr>
          <w:rFonts w:ascii="Arial" w:hAnsi="Arial" w:cs="Arial"/>
          <w:bCs/>
          <w:i/>
          <w:iCs/>
          <w:sz w:val="18"/>
          <w:szCs w:val="18"/>
          <w:lang w:eastAsia="fr-FR"/>
        </w:rPr>
        <w:t>Piscicola geometra</w:t>
      </w:r>
      <w:r w:rsidRPr="00D403F5">
        <w:rPr>
          <w:rFonts w:ascii="Arial" w:hAnsi="Arial" w:cs="Arial"/>
          <w:bCs/>
          <w:sz w:val="18"/>
          <w:szCs w:val="18"/>
          <w:lang w:eastAsia="fr-FR"/>
        </w:rPr>
        <w:t xml:space="preserve"> (Annelida, Hirudinea) have been demonstrated to transfer SVCV from diseased to healthy fish under experimental conditions and the virus has been isolated from </w:t>
      </w:r>
      <w:r w:rsidRPr="00D403F5">
        <w:rPr>
          <w:rFonts w:ascii="Arial" w:hAnsi="Arial" w:cs="Arial"/>
          <w:bCs/>
          <w:i/>
          <w:sz w:val="18"/>
          <w:szCs w:val="18"/>
          <w:lang w:eastAsia="fr-FR"/>
        </w:rPr>
        <w:t xml:space="preserve">A. foliaceus </w:t>
      </w:r>
      <w:r w:rsidRPr="00D403F5">
        <w:rPr>
          <w:rFonts w:ascii="Arial" w:hAnsi="Arial" w:cs="Arial"/>
          <w:bCs/>
          <w:sz w:val="18"/>
          <w:szCs w:val="18"/>
          <w:lang w:eastAsia="fr-FR"/>
        </w:rPr>
        <w:t xml:space="preserve">removed from infected carp (Ahne </w:t>
      </w:r>
      <w:r w:rsidRPr="00D403F5">
        <w:rPr>
          <w:rFonts w:ascii="Arial" w:hAnsi="Arial" w:cs="Arial"/>
          <w:bCs/>
          <w:i/>
          <w:sz w:val="18"/>
          <w:szCs w:val="18"/>
          <w:lang w:eastAsia="fr-FR"/>
        </w:rPr>
        <w:t>et al.</w:t>
      </w:r>
      <w:r w:rsidRPr="00D403F5">
        <w:rPr>
          <w:rFonts w:ascii="Arial" w:hAnsi="Arial" w:cs="Arial"/>
          <w:bCs/>
          <w:sz w:val="18"/>
          <w:szCs w:val="18"/>
          <w:lang w:eastAsia="fr-FR"/>
        </w:rPr>
        <w:t xml:space="preserve">, 2002; Dixon, 2008). </w:t>
      </w:r>
      <w:r w:rsidRPr="00D403F5">
        <w:rPr>
          <w:rFonts w:ascii="Arial" w:hAnsi="Arial" w:cs="Arial"/>
          <w:bCs/>
          <w:sz w:val="18"/>
          <w:szCs w:val="18"/>
          <w:lang w:val="en-IE" w:eastAsia="fr-FR"/>
        </w:rPr>
        <w:t>It has been demonstrated experimentally that virus can be isolated from fish tissues regurgitated by herons (</w:t>
      </w:r>
      <w:r w:rsidRPr="00D403F5">
        <w:rPr>
          <w:rFonts w:ascii="Arial" w:hAnsi="Arial" w:cs="Arial"/>
          <w:bCs/>
          <w:i/>
          <w:iCs/>
          <w:sz w:val="18"/>
          <w:szCs w:val="18"/>
          <w:lang w:val="en-IE" w:eastAsia="fr-FR"/>
        </w:rPr>
        <w:t>Ardea cinerea</w:t>
      </w:r>
      <w:r w:rsidRPr="00D403F5">
        <w:rPr>
          <w:rFonts w:ascii="Arial" w:hAnsi="Arial" w:cs="Arial"/>
          <w:bCs/>
          <w:sz w:val="18"/>
          <w:szCs w:val="18"/>
          <w:lang w:val="en-IE" w:eastAsia="fr-FR"/>
        </w:rPr>
        <w:t xml:space="preserve">) 120 minutes after being fed with SVCV-infected carp, suggesting a potential route for SVCV transmission, </w:t>
      </w:r>
      <w:r w:rsidRPr="00D403F5">
        <w:rPr>
          <w:rFonts w:ascii="Arial" w:eastAsia="Calibri" w:hAnsi="Arial" w:cs="Arial"/>
          <w:bCs/>
          <w:sz w:val="18"/>
          <w:szCs w:val="18"/>
          <w:lang w:val="en-IE"/>
        </w:rPr>
        <w:t xml:space="preserve">but is not known whether such transmission has occurred in nature </w:t>
      </w:r>
      <w:r w:rsidRPr="00D403F5">
        <w:rPr>
          <w:rFonts w:ascii="Arial" w:hAnsi="Arial" w:cs="Arial"/>
          <w:bCs/>
          <w:sz w:val="18"/>
          <w:szCs w:val="18"/>
          <w:lang w:val="en-IE" w:eastAsia="fr-FR"/>
        </w:rPr>
        <w:t>(</w:t>
      </w:r>
      <w:r w:rsidRPr="00D403F5">
        <w:rPr>
          <w:rFonts w:ascii="Arial" w:eastAsia="HelveticaLTStd-Roman" w:hAnsi="Arial" w:cs="Arial"/>
          <w:bCs/>
          <w:sz w:val="18"/>
          <w:szCs w:val="18"/>
          <w:lang w:val="en-IE"/>
        </w:rPr>
        <w:t xml:space="preserve">Peters &amp; Neukirch, 1986). </w:t>
      </w:r>
    </w:p>
    <w:p w14:paraId="3B4A1B22" w14:textId="77777777" w:rsidR="00C7266C" w:rsidRPr="00D403F5" w:rsidRDefault="00C7266C" w:rsidP="00D403F5">
      <w:pPr>
        <w:spacing w:after="0"/>
        <w:ind w:left="426" w:hanging="426"/>
        <w:jc w:val="both"/>
        <w:rPr>
          <w:rFonts w:ascii="Ottawa" w:eastAsia="MS Mincho" w:hAnsi="Ottawa"/>
          <w:b/>
          <w:sz w:val="18"/>
          <w:szCs w:val="18"/>
          <w:lang w:val="da-DK" w:eastAsia="da-DK"/>
        </w:rPr>
      </w:pPr>
      <w:r w:rsidRPr="00D403F5">
        <w:rPr>
          <w:rFonts w:ascii="Ottawa" w:eastAsia="MS Mincho" w:hAnsi="Ottawa"/>
          <w:b/>
          <w:sz w:val="18"/>
          <w:szCs w:val="18"/>
          <w:lang w:val="da-DK" w:eastAsia="da-DK"/>
        </w:rPr>
        <w:t>2.3.</w:t>
      </w:r>
      <w:r w:rsidRPr="00D403F5">
        <w:rPr>
          <w:rFonts w:ascii="Ottawa" w:eastAsia="MS Mincho" w:hAnsi="Ottawa"/>
          <w:b/>
          <w:sz w:val="18"/>
          <w:szCs w:val="18"/>
          <w:lang w:val="da-DK" w:eastAsia="da-DK"/>
        </w:rPr>
        <w:tab/>
        <w:t>Disease pattern</w:t>
      </w:r>
    </w:p>
    <w:p w14:paraId="24FFCCBB" w14:textId="77777777" w:rsidR="00C7266C" w:rsidRPr="00D403F5" w:rsidRDefault="00C7266C" w:rsidP="00D403F5">
      <w:pPr>
        <w:spacing w:after="0"/>
        <w:ind w:left="851" w:hanging="567"/>
        <w:jc w:val="both"/>
        <w:rPr>
          <w:rFonts w:ascii="Ottawa" w:hAnsi="Ottawa"/>
          <w:b/>
          <w:bCs/>
          <w:sz w:val="18"/>
          <w:szCs w:val="18"/>
          <w:lang w:val="en-IE" w:eastAsia="fr-FR"/>
        </w:rPr>
      </w:pPr>
      <w:bookmarkStart w:id="68" w:name="_Hlk20820314"/>
      <w:r w:rsidRPr="00D403F5">
        <w:rPr>
          <w:rFonts w:ascii="Ottawa" w:hAnsi="Ottawa"/>
          <w:b/>
          <w:bCs/>
          <w:sz w:val="18"/>
          <w:szCs w:val="18"/>
          <w:lang w:val="en-IE" w:eastAsia="fr-FR"/>
        </w:rPr>
        <w:t>2.3.1.</w:t>
      </w:r>
      <w:r w:rsidRPr="00D403F5">
        <w:rPr>
          <w:rFonts w:ascii="Ottawa" w:hAnsi="Ottawa"/>
          <w:b/>
          <w:bCs/>
          <w:sz w:val="18"/>
          <w:szCs w:val="18"/>
          <w:lang w:val="en-IE" w:eastAsia="fr-FR"/>
        </w:rPr>
        <w:tab/>
        <w:t>Mortality, morbidity and prevalence</w:t>
      </w:r>
      <w:bookmarkEnd w:id="68"/>
      <w:r w:rsidRPr="00D403F5">
        <w:rPr>
          <w:rFonts w:ascii="Ottawa" w:hAnsi="Ottawa"/>
          <w:b/>
          <w:bCs/>
          <w:sz w:val="18"/>
          <w:szCs w:val="18"/>
          <w:lang w:val="en-IE" w:eastAsia="fr-FR"/>
        </w:rPr>
        <w:t xml:space="preserve"> </w:t>
      </w:r>
    </w:p>
    <w:p w14:paraId="045DF28F"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 xml:space="preserve">During an outbreak of infection with SVCV there will be a noticeable increase in mortality in the population. </w:t>
      </w:r>
      <w:r w:rsidRPr="00D403F5">
        <w:rPr>
          <w:rFonts w:ascii="Arial" w:hAnsi="Arial" w:cs="Arial"/>
          <w:bCs/>
          <w:strike/>
          <w:sz w:val="18"/>
          <w:szCs w:val="18"/>
          <w:lang w:val="en-IE" w:eastAsia="fr-FR"/>
        </w:rPr>
        <w:t xml:space="preserve">Co-infections with koi herpesvirus or carp oedema virus can increase levels of mortality. </w:t>
      </w:r>
      <w:r w:rsidRPr="00D403F5">
        <w:rPr>
          <w:rFonts w:ascii="Arial" w:hAnsi="Arial" w:cs="Arial"/>
          <w:bCs/>
          <w:sz w:val="18"/>
          <w:szCs w:val="18"/>
          <w:lang w:eastAsia="fr-FR"/>
        </w:rPr>
        <w:t xml:space="preserve">Disease patterns are influenced by water temperature, age and condition of the fish, population density and stress factors. The immune status of the fish is also an important factor with both nonspecific (e.g. interferon) and specific immunity (serum antibodies, cellular immunity) having important roles. Poor physiological condition of over-wintered fish may be a contributory factor to disease susceptibility. </w:t>
      </w:r>
      <w:r w:rsidRPr="00D403F5">
        <w:rPr>
          <w:rFonts w:ascii="Arial" w:hAnsi="Arial" w:cs="Arial"/>
          <w:bCs/>
          <w:sz w:val="18"/>
          <w:szCs w:val="18"/>
          <w:lang w:val="en-IE" w:eastAsia="fr-FR"/>
        </w:rPr>
        <w:t xml:space="preserve">In European aquaculture, losses can be up to 70% in young carp (Ahne </w:t>
      </w:r>
      <w:r w:rsidRPr="00D403F5">
        <w:rPr>
          <w:rFonts w:ascii="Arial" w:hAnsi="Arial" w:cs="Arial"/>
          <w:bCs/>
          <w:i/>
          <w:sz w:val="18"/>
          <w:szCs w:val="18"/>
          <w:lang w:val="en-IE" w:eastAsia="fr-FR"/>
        </w:rPr>
        <w:t>et al.</w:t>
      </w:r>
      <w:r w:rsidRPr="00D403F5">
        <w:rPr>
          <w:rFonts w:ascii="Arial" w:hAnsi="Arial" w:cs="Arial"/>
          <w:bCs/>
          <w:sz w:val="18"/>
          <w:szCs w:val="18"/>
          <w:lang w:val="en-IE" w:eastAsia="fr-FR"/>
        </w:rPr>
        <w:t xml:space="preserve">, 2002), but are usually from 1 to 40%. </w:t>
      </w:r>
    </w:p>
    <w:p w14:paraId="232F1C83" w14:textId="77777777" w:rsidR="00C7266C" w:rsidRPr="00D403F5" w:rsidRDefault="00C7266C" w:rsidP="00D403F5">
      <w:pPr>
        <w:spacing w:after="0"/>
        <w:ind w:left="851"/>
        <w:jc w:val="both"/>
        <w:rPr>
          <w:rFonts w:ascii="Arial" w:hAnsi="Arial"/>
          <w:bCs/>
          <w:sz w:val="18"/>
          <w:szCs w:val="18"/>
          <w:lang w:val="en"/>
        </w:rPr>
      </w:pPr>
      <w:r w:rsidRPr="00D403F5">
        <w:rPr>
          <w:rFonts w:ascii="Arial" w:hAnsi="Arial" w:cs="Arial"/>
          <w:bCs/>
          <w:sz w:val="18"/>
          <w:szCs w:val="18"/>
          <w:lang w:val="en-IE" w:eastAsia="fr-FR"/>
        </w:rPr>
        <w:t xml:space="preserve">In one survey from Serbia, the virus was isolated by culture in samples collected from 12 of the 38 hatcheries screened over the 10-year period (1992–2002). The virus occurred sporadically in different ponds on one site, and sporadically from year to year at different sites (Svetlana </w:t>
      </w:r>
      <w:r w:rsidRPr="00D403F5">
        <w:rPr>
          <w:rFonts w:ascii="Arial" w:hAnsi="Arial" w:cs="Arial"/>
          <w:bCs/>
          <w:i/>
          <w:sz w:val="18"/>
          <w:szCs w:val="18"/>
          <w:lang w:val="en-IE" w:eastAsia="fr-FR"/>
        </w:rPr>
        <w:t xml:space="preserve">et al., </w:t>
      </w:r>
      <w:r w:rsidRPr="00D403F5">
        <w:rPr>
          <w:rFonts w:ascii="Arial" w:hAnsi="Arial" w:cs="Arial"/>
          <w:bCs/>
          <w:sz w:val="18"/>
          <w:szCs w:val="18"/>
          <w:lang w:val="en-IE" w:eastAsia="fr-FR"/>
        </w:rPr>
        <w:t xml:space="preserve">2004). </w:t>
      </w:r>
      <w:r w:rsidRPr="00D403F5">
        <w:rPr>
          <w:rFonts w:ascii="Arial" w:hAnsi="Arial" w:cs="Arial"/>
          <w:bCs/>
          <w:sz w:val="18"/>
          <w:szCs w:val="18"/>
          <w:lang w:val="en" w:eastAsia="fr-FR"/>
        </w:rPr>
        <w:t xml:space="preserve">In another study, 18 of 30 tissue pools (five fish/pool) of wild common carp sampled in Canada in 2006 were positive for SVCV by culture (Garver </w:t>
      </w:r>
      <w:r w:rsidRPr="00D403F5">
        <w:rPr>
          <w:rFonts w:ascii="Arial" w:hAnsi="Arial" w:cs="Arial"/>
          <w:bCs/>
          <w:i/>
          <w:sz w:val="18"/>
          <w:szCs w:val="18"/>
          <w:lang w:val="en" w:eastAsia="fr-FR"/>
        </w:rPr>
        <w:t>et al.,</w:t>
      </w:r>
      <w:r w:rsidRPr="00D403F5">
        <w:rPr>
          <w:rFonts w:ascii="Arial" w:hAnsi="Arial" w:cs="Arial"/>
          <w:bCs/>
          <w:sz w:val="18"/>
          <w:szCs w:val="18"/>
          <w:lang w:val="en" w:eastAsia="fr-FR"/>
        </w:rPr>
        <w:t xml:space="preserve"> 2007).</w:t>
      </w:r>
      <w:r w:rsidRPr="00D403F5">
        <w:rPr>
          <w:rFonts w:ascii="Arial" w:hAnsi="Arial"/>
          <w:bCs/>
          <w:sz w:val="18"/>
          <w:szCs w:val="18"/>
          <w:lang w:val="en"/>
        </w:rPr>
        <w:t xml:space="preserve"> The isolation of SVCV in the latter case was from asymptomatic common carp which correlates with observations that SVCV infection can often be clinically inapparent (Fijan, 1999).</w:t>
      </w:r>
    </w:p>
    <w:p w14:paraId="616588C8" w14:textId="77777777" w:rsidR="00C7266C" w:rsidRPr="00D403F5" w:rsidRDefault="00C7266C" w:rsidP="00D403F5">
      <w:pPr>
        <w:spacing w:after="0"/>
        <w:ind w:left="851" w:hanging="567"/>
        <w:jc w:val="both"/>
        <w:rPr>
          <w:rFonts w:ascii="Ottawa" w:hAnsi="Ottawa"/>
          <w:b/>
          <w:bCs/>
          <w:sz w:val="18"/>
          <w:szCs w:val="18"/>
          <w:lang w:eastAsia="fr-FR"/>
        </w:rPr>
      </w:pPr>
      <w:r w:rsidRPr="00D403F5">
        <w:rPr>
          <w:rFonts w:ascii="Ottawa" w:hAnsi="Ottawa"/>
          <w:b/>
          <w:bCs/>
          <w:sz w:val="18"/>
          <w:szCs w:val="18"/>
          <w:lang w:eastAsia="fr-FR"/>
        </w:rPr>
        <w:t>2.3.2.</w:t>
      </w:r>
      <w:r w:rsidRPr="00D403F5">
        <w:rPr>
          <w:rFonts w:ascii="Ottawa" w:hAnsi="Ottawa"/>
          <w:b/>
          <w:bCs/>
          <w:sz w:val="18"/>
          <w:szCs w:val="18"/>
          <w:lang w:eastAsia="fr-FR"/>
        </w:rPr>
        <w:tab/>
        <w:t>Clinical signs, including behavioural changes</w:t>
      </w:r>
    </w:p>
    <w:p w14:paraId="0F3D4D88"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 xml:space="preserve">Fish can become lethargic, separate from the shoal and gather at the water inlet or sides of a pond and some may experience loss of equilibrium. Clinical signs of infection with SVCV are nonspecific and not all fish will exhibit all of the signs. Two of the most obvious and consistent features are abdominal distension and haemorrhages. The latter may occur on the skin, fin bases, eyes and gills, which may be pale. The skin may darken and exophthalmia is often observed. The vent may be swollen, inflamed and trail mucoid casts. </w:t>
      </w:r>
      <w:r w:rsidRPr="00D403F5">
        <w:rPr>
          <w:rFonts w:ascii="Arial" w:hAnsi="Arial" w:cs="Arial"/>
          <w:bCs/>
          <w:strike/>
          <w:sz w:val="18"/>
          <w:szCs w:val="18"/>
          <w:lang w:val="en-IE" w:eastAsia="fr-FR"/>
        </w:rPr>
        <w:t xml:space="preserve">During an outbreak of infection with SVCV there will be a noticeable increase in mortality in the population. </w:t>
      </w:r>
      <w:r w:rsidRPr="00D403F5">
        <w:rPr>
          <w:rFonts w:ascii="Arial" w:hAnsi="Arial" w:cs="Arial"/>
          <w:bCs/>
          <w:sz w:val="18"/>
          <w:szCs w:val="18"/>
          <w:lang w:val="en-IE" w:eastAsia="fr-FR"/>
        </w:rPr>
        <w:t xml:space="preserve">Diseased fish usually appear darker in colour. There may be no clinical signs in cases with a sudden onset of mortality. </w:t>
      </w:r>
    </w:p>
    <w:p w14:paraId="3DD40AF6" w14:textId="77777777" w:rsidR="00C7266C" w:rsidRPr="00D403F5" w:rsidRDefault="00C7266C" w:rsidP="00D403F5">
      <w:pPr>
        <w:spacing w:after="0"/>
        <w:ind w:left="851" w:hanging="567"/>
        <w:jc w:val="both"/>
        <w:rPr>
          <w:rFonts w:ascii="Ottawa" w:hAnsi="Ottawa"/>
          <w:b/>
          <w:bCs/>
          <w:sz w:val="18"/>
          <w:szCs w:val="18"/>
          <w:lang w:eastAsia="fr-FR"/>
        </w:rPr>
      </w:pPr>
      <w:r w:rsidRPr="00D403F5">
        <w:rPr>
          <w:rFonts w:ascii="Ottawa" w:hAnsi="Ottawa"/>
          <w:b/>
          <w:bCs/>
          <w:sz w:val="18"/>
          <w:szCs w:val="18"/>
          <w:lang w:eastAsia="fr-FR"/>
        </w:rPr>
        <w:br w:type="page"/>
      </w:r>
    </w:p>
    <w:p w14:paraId="0AB54DD2" w14:textId="77777777" w:rsidR="00C7266C" w:rsidRPr="00D403F5" w:rsidRDefault="00C7266C" w:rsidP="0076436B">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68772B95" w14:textId="77777777" w:rsidR="00C7266C" w:rsidRPr="00D403F5" w:rsidRDefault="00C7266C" w:rsidP="00D403F5">
      <w:pPr>
        <w:spacing w:after="0"/>
        <w:ind w:left="851" w:hanging="567"/>
        <w:jc w:val="both"/>
        <w:rPr>
          <w:rFonts w:ascii="Ottawa" w:hAnsi="Ottawa"/>
          <w:b/>
          <w:bCs/>
          <w:sz w:val="18"/>
          <w:szCs w:val="18"/>
          <w:lang w:eastAsia="fr-FR"/>
        </w:rPr>
      </w:pPr>
      <w:r w:rsidRPr="00D403F5">
        <w:rPr>
          <w:rFonts w:ascii="Ottawa" w:hAnsi="Ottawa"/>
          <w:b/>
          <w:bCs/>
          <w:sz w:val="18"/>
          <w:szCs w:val="18"/>
          <w:lang w:eastAsia="fr-FR"/>
        </w:rPr>
        <w:t>2.3.3</w:t>
      </w:r>
      <w:r w:rsidRPr="00D403F5">
        <w:rPr>
          <w:rFonts w:ascii="Ottawa" w:hAnsi="Ottawa"/>
          <w:b/>
          <w:bCs/>
          <w:sz w:val="18"/>
          <w:szCs w:val="18"/>
          <w:lang w:eastAsia="fr-FR"/>
        </w:rPr>
        <w:tab/>
        <w:t>Gross pathology</w:t>
      </w:r>
    </w:p>
    <w:p w14:paraId="3ECFD91B"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 xml:space="preserve">There are no pathognomonic gross lesions. Lesions may be absent in cases of sudden mortality. Gross pathologies are mainly documented for common carp and may include excess ascitic fluid in the abdominal cavity, usually containing blood, degeneration of the gill lamellae and inflammation of the intestine, which contains mucous instead of food. Oedema and haemorrhage of the visceral organs is commonly observed (the spleen is often enlarged), </w:t>
      </w:r>
      <w:r w:rsidRPr="00D403F5">
        <w:rPr>
          <w:rFonts w:ascii="Arial" w:hAnsi="Arial" w:cs="Arial"/>
          <w:bCs/>
          <w:sz w:val="18"/>
          <w:szCs w:val="18"/>
          <w:lang w:val="en" w:eastAsia="fr-FR"/>
        </w:rPr>
        <w:t>and organs adhere to each other and to the peritoneum</w:t>
      </w:r>
      <w:r w:rsidRPr="00D403F5">
        <w:rPr>
          <w:rFonts w:ascii="Arial" w:hAnsi="Arial" w:cs="Arial"/>
          <w:bCs/>
          <w:sz w:val="18"/>
          <w:szCs w:val="18"/>
          <w:lang w:val="en-IE" w:eastAsia="fr-FR"/>
        </w:rPr>
        <w:t>. Focal haemorrhages may be seen in the muscle and fat tissue, as well as in the swim bladder</w:t>
      </w:r>
      <w:r w:rsidRPr="00D403F5">
        <w:rPr>
          <w:rFonts w:ascii="Arial" w:hAnsi="Arial" w:cs="Arial"/>
          <w:bCs/>
          <w:sz w:val="18"/>
          <w:szCs w:val="18"/>
          <w:lang w:val="en" w:eastAsia="fr-FR"/>
        </w:rPr>
        <w:t xml:space="preserve"> (see Dixon, 2008). </w:t>
      </w:r>
      <w:bookmarkStart w:id="69" w:name="_Hlk20820831"/>
      <w:r w:rsidRPr="00D403F5">
        <w:rPr>
          <w:rFonts w:ascii="Arial" w:hAnsi="Arial" w:cs="Arial"/>
          <w:bCs/>
          <w:sz w:val="18"/>
          <w:szCs w:val="18"/>
          <w:lang w:val="en" w:eastAsia="fr-FR"/>
        </w:rPr>
        <w:t xml:space="preserve">However, petechial haemorrhages are </w:t>
      </w:r>
      <w:r w:rsidRPr="00D403F5">
        <w:rPr>
          <w:rFonts w:ascii="Arial" w:hAnsi="Arial" w:cs="Arial"/>
          <w:bCs/>
          <w:sz w:val="18"/>
          <w:szCs w:val="18"/>
          <w:u w:val="double"/>
          <w:lang w:val="en" w:eastAsia="fr-FR"/>
        </w:rPr>
        <w:t>infrequent</w:t>
      </w:r>
      <w:r w:rsidRPr="00D403F5">
        <w:rPr>
          <w:rFonts w:ascii="Arial" w:hAnsi="Arial" w:cs="Arial"/>
          <w:bCs/>
          <w:sz w:val="18"/>
          <w:szCs w:val="18"/>
          <w:lang w:val="en" w:eastAsia="fr-FR"/>
        </w:rPr>
        <w:t xml:space="preserve"> </w:t>
      </w:r>
      <w:r w:rsidRPr="00D403F5">
        <w:rPr>
          <w:rFonts w:ascii="Arial" w:hAnsi="Arial" w:cs="Arial"/>
          <w:bCs/>
          <w:strike/>
          <w:sz w:val="18"/>
          <w:szCs w:val="18"/>
          <w:lang w:val="en" w:eastAsia="fr-FR"/>
        </w:rPr>
        <w:t xml:space="preserve">uncommon </w:t>
      </w:r>
      <w:r w:rsidRPr="00D403F5">
        <w:rPr>
          <w:rFonts w:ascii="Arial" w:hAnsi="Arial" w:cs="Arial"/>
          <w:bCs/>
          <w:sz w:val="18"/>
          <w:szCs w:val="18"/>
          <w:lang w:val="en" w:eastAsia="fr-FR"/>
        </w:rPr>
        <w:t xml:space="preserve">in cases caused by Asian strains of SVCV (Dikkeboom </w:t>
      </w:r>
      <w:r w:rsidRPr="00D403F5">
        <w:rPr>
          <w:rFonts w:ascii="Arial" w:hAnsi="Arial" w:cs="Arial"/>
          <w:bCs/>
          <w:i/>
          <w:iCs/>
          <w:sz w:val="18"/>
          <w:szCs w:val="18"/>
          <w:lang w:val="en" w:eastAsia="fr-FR"/>
        </w:rPr>
        <w:t>et al</w:t>
      </w:r>
      <w:r w:rsidRPr="00D403F5">
        <w:rPr>
          <w:rFonts w:ascii="Arial" w:hAnsi="Arial" w:cs="Arial"/>
          <w:bCs/>
          <w:sz w:val="18"/>
          <w:szCs w:val="18"/>
          <w:lang w:val="en" w:eastAsia="fr-FR"/>
        </w:rPr>
        <w:t xml:space="preserve">., 2004). </w:t>
      </w:r>
      <w:bookmarkEnd w:id="69"/>
    </w:p>
    <w:p w14:paraId="46C8C2D1"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2.3.4.</w:t>
      </w:r>
      <w:r w:rsidRPr="00D403F5">
        <w:rPr>
          <w:rFonts w:ascii="Ottawa" w:hAnsi="Ottawa"/>
          <w:b/>
          <w:bCs/>
          <w:sz w:val="18"/>
          <w:szCs w:val="18"/>
          <w:lang w:val="en-IE" w:eastAsia="fr-FR"/>
        </w:rPr>
        <w:tab/>
        <w:t>Modes of transmission and life cycle</w:t>
      </w:r>
    </w:p>
    <w:p w14:paraId="1EE695E2" w14:textId="77777777" w:rsidR="00C7266C" w:rsidRPr="00D403F5" w:rsidRDefault="00C7266C" w:rsidP="00D403F5">
      <w:pPr>
        <w:spacing w:after="0"/>
        <w:ind w:left="851"/>
        <w:jc w:val="both"/>
        <w:rPr>
          <w:rFonts w:ascii="Arial" w:hAnsi="Arial" w:cs="Arial"/>
          <w:bCs/>
          <w:sz w:val="18"/>
          <w:szCs w:val="18"/>
          <w:lang w:val="en-IE"/>
        </w:rPr>
      </w:pPr>
      <w:r w:rsidRPr="00D403F5">
        <w:rPr>
          <w:rFonts w:ascii="Arial" w:hAnsi="Arial" w:cs="Arial"/>
          <w:bCs/>
          <w:sz w:val="18"/>
          <w:szCs w:val="18"/>
        </w:rPr>
        <w:t xml:space="preserve">The transmission of SVCV is horizontal (Fijan, 1988). </w:t>
      </w:r>
      <w:r w:rsidRPr="00D403F5">
        <w:rPr>
          <w:rFonts w:ascii="Arial" w:hAnsi="Arial" w:cs="Arial"/>
          <w:bCs/>
          <w:sz w:val="18"/>
          <w:szCs w:val="18"/>
          <w:u w:val="double"/>
        </w:rPr>
        <w:t>Horizontal transmission may be direct, via water, fomites or vectors (Section 2.2.7.) (Fijan, 1988).</w:t>
      </w:r>
      <w:r w:rsidRPr="00D403F5">
        <w:rPr>
          <w:rFonts w:ascii="Arial" w:hAnsi="Arial" w:cs="Arial"/>
          <w:bCs/>
          <w:sz w:val="18"/>
          <w:szCs w:val="18"/>
        </w:rPr>
        <w:t xml:space="preserve"> </w:t>
      </w:r>
      <w:r w:rsidRPr="00D403F5">
        <w:rPr>
          <w:rFonts w:ascii="Arial" w:hAnsi="Arial" w:cs="Arial"/>
          <w:bCs/>
          <w:sz w:val="18"/>
          <w:szCs w:val="18"/>
          <w:lang w:val="en-IE"/>
        </w:rPr>
        <w:t xml:space="preserve">The virus appears to enter the host via the gill. A viraemia follows and the virus rapidly spreads to the liver, kidney, spleen and alimentary tract. The virus can be detected in faeces and is also shed into the water via faeces and urine </w:t>
      </w:r>
      <w:r w:rsidRPr="00D403F5">
        <w:rPr>
          <w:rFonts w:ascii="Arial" w:eastAsia="Calibri" w:hAnsi="Arial" w:cs="Arial"/>
          <w:bCs/>
          <w:sz w:val="18"/>
          <w:szCs w:val="18"/>
          <w:lang w:val="en-IE"/>
        </w:rPr>
        <w:t>(Ahne, 1982).</w:t>
      </w:r>
    </w:p>
    <w:p w14:paraId="0F10BD4C" w14:textId="77777777" w:rsidR="00C7266C" w:rsidRPr="00D403F5" w:rsidRDefault="00C7266C" w:rsidP="00D403F5">
      <w:pPr>
        <w:spacing w:after="0"/>
        <w:ind w:left="851"/>
        <w:jc w:val="both"/>
        <w:rPr>
          <w:rFonts w:ascii="Arial" w:hAnsi="Arial" w:cs="Arial"/>
          <w:bCs/>
          <w:sz w:val="18"/>
          <w:szCs w:val="18"/>
        </w:rPr>
      </w:pPr>
      <w:r w:rsidRPr="00D403F5">
        <w:rPr>
          <w:rFonts w:ascii="Arial" w:hAnsi="Arial" w:cs="Arial"/>
          <w:bCs/>
          <w:sz w:val="18"/>
          <w:szCs w:val="18"/>
        </w:rPr>
        <w:t>Vertical or ‘egg-associated’ transmission cannot be ruled out following one report of isolation of SVCV from carp ovarian fluid, although there have been no further reports (</w:t>
      </w:r>
      <w:r w:rsidRPr="00D403F5">
        <w:rPr>
          <w:rFonts w:ascii="Arial" w:eastAsia="Calibri" w:hAnsi="Arial" w:cs="Arial"/>
          <w:bCs/>
          <w:sz w:val="18"/>
          <w:szCs w:val="18"/>
          <w:lang w:val="en-IE"/>
        </w:rPr>
        <w:t>Bekesi &amp; Csontos, 1985).</w:t>
      </w:r>
    </w:p>
    <w:p w14:paraId="103AB6F2" w14:textId="77777777" w:rsidR="00C7266C" w:rsidRPr="00D403F5" w:rsidRDefault="00C7266C" w:rsidP="00D403F5">
      <w:pPr>
        <w:spacing w:after="0"/>
        <w:ind w:left="851"/>
        <w:jc w:val="both"/>
        <w:rPr>
          <w:rFonts w:ascii="Arial" w:hAnsi="Arial" w:cs="Arial"/>
          <w:bCs/>
          <w:sz w:val="18"/>
          <w:szCs w:val="18"/>
        </w:rPr>
      </w:pPr>
      <w:r w:rsidRPr="00D403F5">
        <w:rPr>
          <w:rFonts w:ascii="Arial" w:hAnsi="Arial" w:cs="Arial"/>
          <w:bCs/>
          <w:strike/>
          <w:sz w:val="18"/>
          <w:szCs w:val="18"/>
        </w:rPr>
        <w:t>Horizontal transmission may be direct or vectorial, water being the major abiotic vector (Fijan, 1988). Animate vectors (Section 2.2.6.) and fomites may also be involved in transmission of SVCV (Fijan, 1988).</w:t>
      </w:r>
      <w:r w:rsidRPr="00D403F5">
        <w:rPr>
          <w:rFonts w:ascii="Arial" w:hAnsi="Arial" w:cs="Arial"/>
          <w:bCs/>
          <w:sz w:val="18"/>
          <w:szCs w:val="18"/>
        </w:rPr>
        <w:t xml:space="preserve"> Once SVCV is established in populations, it may be very difficult to eradicate without destroying all types of life at the site.</w:t>
      </w:r>
    </w:p>
    <w:p w14:paraId="37892D71" w14:textId="77777777" w:rsidR="00C7266C" w:rsidRPr="00D403F5" w:rsidRDefault="00C7266C" w:rsidP="00D403F5">
      <w:pPr>
        <w:spacing w:after="0"/>
        <w:ind w:left="851" w:hanging="567"/>
        <w:jc w:val="both"/>
        <w:rPr>
          <w:rFonts w:ascii="Ottawa" w:hAnsi="Ottawa"/>
          <w:b/>
          <w:bCs/>
          <w:sz w:val="18"/>
          <w:szCs w:val="18"/>
          <w:lang w:val="en-IE" w:eastAsia="fr-FR"/>
        </w:rPr>
      </w:pPr>
      <w:bookmarkStart w:id="70" w:name="_Hlk20821362"/>
      <w:r w:rsidRPr="00D403F5">
        <w:rPr>
          <w:rFonts w:ascii="Ottawa" w:hAnsi="Ottawa"/>
          <w:b/>
          <w:bCs/>
          <w:sz w:val="18"/>
          <w:szCs w:val="18"/>
          <w:lang w:val="en-IE" w:eastAsia="fr-FR"/>
        </w:rPr>
        <w:t>2.3.5.</w:t>
      </w:r>
      <w:r w:rsidRPr="00D403F5">
        <w:rPr>
          <w:rFonts w:ascii="Ottawa" w:hAnsi="Ottawa"/>
          <w:b/>
          <w:bCs/>
          <w:sz w:val="18"/>
          <w:szCs w:val="18"/>
          <w:lang w:val="en-IE" w:eastAsia="fr-FR"/>
        </w:rPr>
        <w:tab/>
        <w:t>Environmental and management factors</w:t>
      </w:r>
      <w:bookmarkEnd w:id="70"/>
      <w:r w:rsidRPr="00D403F5">
        <w:rPr>
          <w:rFonts w:ascii="Ottawa" w:hAnsi="Ottawa"/>
          <w:b/>
          <w:bCs/>
          <w:sz w:val="18"/>
          <w:szCs w:val="18"/>
          <w:lang w:val="en-IE" w:eastAsia="fr-FR"/>
        </w:rPr>
        <w:t xml:space="preserve"> </w:t>
      </w:r>
    </w:p>
    <w:p w14:paraId="24A1257D" w14:textId="77777777" w:rsidR="00C7266C" w:rsidRPr="00D403F5" w:rsidRDefault="00C7266C" w:rsidP="00D403F5">
      <w:pPr>
        <w:spacing w:after="0"/>
        <w:ind w:left="851"/>
        <w:jc w:val="both"/>
        <w:rPr>
          <w:rFonts w:ascii="Arial" w:hAnsi="Arial" w:cs="Arial"/>
          <w:bCs/>
          <w:sz w:val="18"/>
          <w:szCs w:val="18"/>
          <w:lang w:val="en-IE"/>
        </w:rPr>
      </w:pPr>
      <w:r w:rsidRPr="00D403F5">
        <w:rPr>
          <w:rFonts w:ascii="Arial" w:hAnsi="Arial" w:cs="Arial"/>
          <w:bCs/>
          <w:sz w:val="18"/>
          <w:szCs w:val="18"/>
        </w:rPr>
        <w:t xml:space="preserve">Disease outbreaks in carp generally occur between 11 and </w:t>
      </w:r>
      <w:smartTag w:uri="urn:schemas-microsoft-com:office:smarttags" w:element="metricconverter">
        <w:smartTagPr>
          <w:attr w:name="ProductID" w:val="17ﾰC"/>
        </w:smartTagPr>
        <w:r w:rsidRPr="00D403F5">
          <w:rPr>
            <w:rFonts w:ascii="Arial" w:hAnsi="Arial" w:cs="Arial"/>
            <w:bCs/>
            <w:sz w:val="18"/>
            <w:szCs w:val="18"/>
          </w:rPr>
          <w:t>17°C</w:t>
        </w:r>
      </w:smartTag>
      <w:r w:rsidRPr="00D403F5">
        <w:rPr>
          <w:rFonts w:ascii="Arial" w:hAnsi="Arial" w:cs="Arial"/>
          <w:bCs/>
          <w:sz w:val="18"/>
          <w:szCs w:val="18"/>
        </w:rPr>
        <w:t xml:space="preserve">. They rarely occur below </w:t>
      </w:r>
      <w:smartTag w:uri="urn:schemas-microsoft-com:office:smarttags" w:element="metricconverter">
        <w:smartTagPr>
          <w:attr w:name="ProductID" w:val="10ﾰC"/>
        </w:smartTagPr>
        <w:r w:rsidRPr="00D403F5">
          <w:rPr>
            <w:rFonts w:ascii="Arial" w:hAnsi="Arial" w:cs="Arial"/>
            <w:bCs/>
            <w:sz w:val="18"/>
            <w:szCs w:val="18"/>
          </w:rPr>
          <w:t>10°C</w:t>
        </w:r>
      </w:smartTag>
      <w:r w:rsidRPr="00D403F5">
        <w:rPr>
          <w:rFonts w:ascii="Arial" w:hAnsi="Arial" w:cs="Arial"/>
          <w:bCs/>
          <w:sz w:val="18"/>
          <w:szCs w:val="18"/>
        </w:rPr>
        <w:t xml:space="preserve">, and mortalities, particularly in older fish, decline as the temperature exceeds </w:t>
      </w:r>
      <w:smartTag w:uri="urn:schemas-microsoft-com:office:smarttags" w:element="metricconverter">
        <w:smartTagPr>
          <w:attr w:name="ProductID" w:val="22ﾰC"/>
        </w:smartTagPr>
        <w:r w:rsidRPr="00D403F5">
          <w:rPr>
            <w:rFonts w:ascii="Arial" w:hAnsi="Arial" w:cs="Arial"/>
            <w:bCs/>
            <w:sz w:val="18"/>
            <w:szCs w:val="18"/>
          </w:rPr>
          <w:t>22°C</w:t>
        </w:r>
      </w:smartTag>
      <w:r w:rsidRPr="00D403F5">
        <w:rPr>
          <w:rFonts w:ascii="Arial" w:hAnsi="Arial" w:cs="Arial"/>
          <w:bCs/>
          <w:sz w:val="18"/>
          <w:szCs w:val="18"/>
        </w:rPr>
        <w:t xml:space="preserve"> (Fijan, 1988). However, the virus was isolated from apparently healthy fish from a lake in Canada that had been sampled over a 13-day period during which the water temperature varied between 24.2°C and 27.3°C (Garver </w:t>
      </w:r>
      <w:r w:rsidRPr="00D403F5">
        <w:rPr>
          <w:rFonts w:ascii="Arial" w:hAnsi="Arial" w:cs="Arial"/>
          <w:bCs/>
          <w:i/>
          <w:sz w:val="18"/>
          <w:szCs w:val="18"/>
        </w:rPr>
        <w:t>et al,</w:t>
      </w:r>
      <w:r w:rsidRPr="00D403F5">
        <w:rPr>
          <w:rFonts w:ascii="Arial" w:hAnsi="Arial" w:cs="Arial"/>
          <w:bCs/>
          <w:sz w:val="18"/>
          <w:szCs w:val="18"/>
        </w:rPr>
        <w:t xml:space="preserve"> 2007). </w:t>
      </w:r>
      <w:bookmarkStart w:id="71" w:name="_Hlk20821053"/>
      <w:r w:rsidRPr="00D403F5">
        <w:rPr>
          <w:rFonts w:ascii="Arial" w:hAnsi="Arial" w:cs="Arial"/>
          <w:bCs/>
          <w:sz w:val="18"/>
          <w:szCs w:val="18"/>
          <w:u w:val="double"/>
        </w:rPr>
        <w:t>These fish may have been more susceptible to infection as they were penned and detection was during spawning.</w:t>
      </w:r>
      <w:r w:rsidRPr="00D403F5">
        <w:rPr>
          <w:rFonts w:ascii="Arial" w:hAnsi="Arial" w:cs="Arial"/>
          <w:bCs/>
          <w:sz w:val="18"/>
          <w:szCs w:val="18"/>
        </w:rPr>
        <w:t xml:space="preserve"> </w:t>
      </w:r>
      <w:bookmarkEnd w:id="71"/>
      <w:r w:rsidRPr="00D403F5">
        <w:rPr>
          <w:rFonts w:ascii="Arial" w:hAnsi="Arial" w:cs="Arial"/>
          <w:bCs/>
          <w:sz w:val="18"/>
          <w:szCs w:val="18"/>
        </w:rPr>
        <w:t>Secondary and concomitant bacterial and/or parasitic infections can affect the mortality rate and display of signs. In carp, the disease is often observed in springtime (hence the common name for the disease), particularly in countries having cold winters. It is believed that the poor condition of the over-wintered fish may be a contributory factor in disease occurrence. The disease can occur in fish in quarantine following the stress of transportation, even though there has been no evidence of infection prior to transportation.</w:t>
      </w:r>
    </w:p>
    <w:p w14:paraId="5527F34B"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2.3.6.</w:t>
      </w:r>
      <w:r w:rsidRPr="00D403F5">
        <w:rPr>
          <w:rFonts w:ascii="Ottawa" w:hAnsi="Ottawa"/>
          <w:b/>
          <w:bCs/>
          <w:sz w:val="18"/>
          <w:szCs w:val="18"/>
          <w:lang w:val="en-IE" w:eastAsia="fr-FR"/>
        </w:rPr>
        <w:tab/>
        <w:t>Geographical distribution</w:t>
      </w:r>
    </w:p>
    <w:p w14:paraId="78AD57A3" w14:textId="77777777" w:rsidR="00C7266C" w:rsidRPr="00D403F5" w:rsidRDefault="00C7266C" w:rsidP="00D403F5">
      <w:pPr>
        <w:spacing w:after="0"/>
        <w:ind w:left="851"/>
        <w:jc w:val="both"/>
        <w:rPr>
          <w:rFonts w:ascii="Arial" w:hAnsi="Arial" w:cs="Arial"/>
          <w:bCs/>
          <w:sz w:val="18"/>
          <w:szCs w:val="18"/>
          <w:lang w:eastAsia="fr-FR"/>
        </w:rPr>
      </w:pPr>
      <w:r w:rsidRPr="00D403F5">
        <w:rPr>
          <w:rFonts w:ascii="Arial" w:hAnsi="Arial" w:cs="Arial"/>
          <w:bCs/>
          <w:sz w:val="18"/>
          <w:szCs w:val="18"/>
          <w:lang w:eastAsia="fr-FR"/>
        </w:rPr>
        <w:t xml:space="preserve">For a long time, the geographical range of SVC was limited to countries of the European continent that experience low water temperatures during winter. </w:t>
      </w:r>
      <w:r w:rsidRPr="00D403F5">
        <w:rPr>
          <w:rFonts w:ascii="Arial" w:hAnsi="Arial" w:cs="Arial"/>
          <w:bCs/>
          <w:strike/>
          <w:sz w:val="18"/>
          <w:szCs w:val="18"/>
          <w:lang w:eastAsia="fr-FR"/>
        </w:rPr>
        <w:t xml:space="preserve">Consequently </w:t>
      </w:r>
      <w:r w:rsidRPr="00D403F5">
        <w:rPr>
          <w:rFonts w:ascii="Arial" w:hAnsi="Arial" w:cs="Arial"/>
          <w:bCs/>
          <w:sz w:val="18"/>
          <w:szCs w:val="18"/>
          <w:lang w:eastAsia="fr-FR"/>
        </w:rPr>
        <w:t xml:space="preserve">The disease has been recorded from most European countries and from certain of the western Independent States of the former Soviet Union (Belarus, Georgia, Lithuania, Moldova, Russia and the Ukraine) </w:t>
      </w:r>
      <w:r w:rsidRPr="00D403F5">
        <w:rPr>
          <w:rFonts w:ascii="Arial" w:hAnsi="Arial" w:cs="Arial"/>
          <w:bCs/>
          <w:sz w:val="18"/>
          <w:szCs w:val="18"/>
          <w:lang w:val="en-IE" w:eastAsia="fr-FR"/>
        </w:rPr>
        <w:t>(see Dixon 2008 for references to these and the following locations).</w:t>
      </w:r>
      <w:r w:rsidRPr="00D403F5">
        <w:rPr>
          <w:rFonts w:ascii="Arial" w:hAnsi="Arial" w:cs="Arial"/>
          <w:bCs/>
          <w:sz w:val="18"/>
          <w:szCs w:val="18"/>
          <w:lang w:eastAsia="fr-FR"/>
        </w:rPr>
        <w:t xml:space="preserve"> However, in 1998, the disease was recorded South America (in goldfish in a lake in Brazil), in 2002 in the USA, and in 2006 in Canada. Detection of the virus in carp in China (People’s Rep. of) was confirmed in 2004.</w:t>
      </w:r>
    </w:p>
    <w:p w14:paraId="2D080ECA" w14:textId="77777777" w:rsidR="00C7266C" w:rsidRPr="00D403F5" w:rsidRDefault="00C7266C" w:rsidP="00D403F5">
      <w:pPr>
        <w:spacing w:after="0"/>
        <w:ind w:left="851"/>
        <w:jc w:val="both"/>
        <w:rPr>
          <w:rFonts w:ascii="Arial" w:hAnsi="Arial" w:cs="Arial"/>
          <w:bCs/>
          <w:sz w:val="18"/>
          <w:szCs w:val="18"/>
          <w:u w:val="double"/>
          <w:lang w:val="en-IE" w:eastAsia="fr-FR"/>
        </w:rPr>
      </w:pPr>
      <w:r w:rsidRPr="00D403F5">
        <w:rPr>
          <w:rFonts w:ascii="Arial" w:hAnsi="Arial" w:cs="Arial"/>
          <w:sz w:val="18"/>
          <w:szCs w:val="18"/>
          <w:u w:val="double"/>
          <w:lang w:eastAsia="fr-FR"/>
        </w:rPr>
        <w:t>For recent information on distribution at the country level consult the WAHIS interface.</w:t>
      </w:r>
    </w:p>
    <w:p w14:paraId="292C178D" w14:textId="77777777" w:rsidR="00C7266C" w:rsidRPr="00D403F5" w:rsidRDefault="00C7266C" w:rsidP="00D403F5">
      <w:pPr>
        <w:pStyle w:val="11"/>
        <w:spacing w:after="0"/>
        <w:ind w:left="426" w:hanging="426"/>
        <w:rPr>
          <w:sz w:val="18"/>
          <w:szCs w:val="18"/>
        </w:rPr>
      </w:pPr>
      <w:r w:rsidRPr="00D403F5">
        <w:rPr>
          <w:sz w:val="18"/>
          <w:szCs w:val="18"/>
        </w:rPr>
        <w:t>2.4.</w:t>
      </w:r>
      <w:r w:rsidRPr="00D403F5">
        <w:rPr>
          <w:sz w:val="18"/>
          <w:szCs w:val="18"/>
        </w:rPr>
        <w:tab/>
        <w:t xml:space="preserve">Biosecurity and disease control strategies </w:t>
      </w:r>
    </w:p>
    <w:p w14:paraId="1B905098"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2.4.1.</w:t>
      </w:r>
      <w:r w:rsidRPr="00D403F5">
        <w:rPr>
          <w:rFonts w:ascii="Ottawa" w:hAnsi="Ottawa"/>
          <w:b/>
          <w:bCs/>
          <w:sz w:val="18"/>
          <w:szCs w:val="18"/>
          <w:lang w:val="en-IE" w:eastAsia="fr-FR"/>
        </w:rPr>
        <w:tab/>
        <w:t>Vaccination</w:t>
      </w:r>
    </w:p>
    <w:p w14:paraId="0A709EEE"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rPr>
        <w:t xml:space="preserve">A safe and effective vaccine is not currently available; however, </w:t>
      </w:r>
      <w:r w:rsidRPr="00D403F5">
        <w:rPr>
          <w:rFonts w:ascii="Arial" w:hAnsi="Arial" w:cs="Arial"/>
          <w:bCs/>
          <w:strike/>
          <w:sz w:val="18"/>
          <w:szCs w:val="18"/>
        </w:rPr>
        <w:t xml:space="preserve">a number </w:t>
      </w:r>
      <w:r w:rsidRPr="00D403F5">
        <w:rPr>
          <w:rFonts w:ascii="Arial" w:hAnsi="Arial" w:cs="Arial"/>
          <w:bCs/>
          <w:sz w:val="18"/>
          <w:szCs w:val="18"/>
          <w:u w:val="double"/>
        </w:rPr>
        <w:t>the efficacy</w:t>
      </w:r>
      <w:r w:rsidRPr="00D403F5">
        <w:rPr>
          <w:rFonts w:ascii="Arial" w:hAnsi="Arial" w:cs="Arial"/>
          <w:bCs/>
          <w:sz w:val="18"/>
          <w:szCs w:val="18"/>
        </w:rPr>
        <w:t xml:space="preserve"> of </w:t>
      </w:r>
      <w:r w:rsidRPr="00D403F5">
        <w:rPr>
          <w:rFonts w:ascii="Arial" w:hAnsi="Arial" w:cs="Arial"/>
          <w:bCs/>
          <w:sz w:val="18"/>
          <w:szCs w:val="18"/>
          <w:u w:val="single"/>
        </w:rPr>
        <w:t>an</w:t>
      </w:r>
      <w:r w:rsidRPr="00D403F5">
        <w:rPr>
          <w:rFonts w:ascii="Arial" w:hAnsi="Arial" w:cs="Arial"/>
          <w:bCs/>
          <w:sz w:val="18"/>
          <w:szCs w:val="18"/>
        </w:rPr>
        <w:t xml:space="preserve"> experimental </w:t>
      </w:r>
      <w:r w:rsidRPr="00D403F5">
        <w:rPr>
          <w:rFonts w:ascii="Arial" w:hAnsi="Arial" w:cs="Arial"/>
          <w:bCs/>
          <w:sz w:val="18"/>
          <w:szCs w:val="18"/>
          <w:u w:val="double"/>
        </w:rPr>
        <w:t>DNA vaccine has been investigated</w:t>
      </w:r>
      <w:r w:rsidRPr="00D403F5">
        <w:rPr>
          <w:rFonts w:ascii="Arial" w:hAnsi="Arial" w:cs="Arial"/>
          <w:bCs/>
          <w:sz w:val="18"/>
          <w:szCs w:val="18"/>
        </w:rPr>
        <w:t xml:space="preserve"> </w:t>
      </w:r>
      <w:r w:rsidRPr="00D403F5">
        <w:rPr>
          <w:rFonts w:ascii="Arial" w:hAnsi="Arial" w:cs="Arial"/>
          <w:bCs/>
          <w:strike/>
          <w:sz w:val="18"/>
          <w:szCs w:val="18"/>
        </w:rPr>
        <w:t>inactivated preparations, live attenuated vaccines and DNA vaccines have given encouraging results (</w:t>
      </w:r>
      <w:r w:rsidRPr="00D403F5">
        <w:rPr>
          <w:rFonts w:ascii="Arial" w:hAnsi="Arial" w:cs="Arial"/>
          <w:bCs/>
          <w:strike/>
          <w:sz w:val="18"/>
          <w:szCs w:val="18"/>
          <w:lang w:val="en-IE"/>
        </w:rPr>
        <w:t>Dixon, 2008</w:t>
      </w:r>
      <w:r w:rsidRPr="00D403F5">
        <w:rPr>
          <w:rFonts w:ascii="Arial" w:hAnsi="Arial" w:cs="Arial"/>
          <w:bCs/>
          <w:strike/>
          <w:sz w:val="18"/>
          <w:szCs w:val="18"/>
        </w:rPr>
        <w:t xml:space="preserve">, </w:t>
      </w:r>
      <w:r w:rsidRPr="00D403F5">
        <w:rPr>
          <w:rFonts w:ascii="Arial" w:hAnsi="Arial" w:cs="Arial"/>
          <w:bCs/>
          <w:sz w:val="18"/>
          <w:szCs w:val="18"/>
          <w:u w:val="double"/>
        </w:rPr>
        <w:t>(</w:t>
      </w:r>
      <w:r w:rsidRPr="00D403F5">
        <w:rPr>
          <w:rFonts w:ascii="Arial" w:hAnsi="Arial" w:cs="Arial"/>
          <w:bCs/>
          <w:sz w:val="18"/>
          <w:szCs w:val="18"/>
        </w:rPr>
        <w:t xml:space="preserve">Emmenegger &amp; Kurath, 2008). </w:t>
      </w:r>
      <w:r w:rsidRPr="00D403F5">
        <w:rPr>
          <w:rFonts w:ascii="Arial" w:hAnsi="Arial" w:cs="Arial"/>
          <w:bCs/>
          <w:strike/>
          <w:sz w:val="18"/>
          <w:szCs w:val="18"/>
        </w:rPr>
        <w:t>The use of live attenuated vaccines or the DNA vaccines might affect diagnostic performance.</w:t>
      </w:r>
    </w:p>
    <w:p w14:paraId="1D8DBD6C" w14:textId="77777777" w:rsidR="00C7266C" w:rsidRPr="00D403F5" w:rsidRDefault="00C7266C" w:rsidP="00D403F5">
      <w:pPr>
        <w:pStyle w:val="111"/>
        <w:spacing w:after="0"/>
        <w:rPr>
          <w:sz w:val="18"/>
          <w:szCs w:val="18"/>
        </w:rPr>
      </w:pPr>
      <w:r w:rsidRPr="00D403F5">
        <w:rPr>
          <w:sz w:val="18"/>
          <w:szCs w:val="18"/>
        </w:rPr>
        <w:br w:type="page"/>
      </w:r>
    </w:p>
    <w:p w14:paraId="61A88B1C" w14:textId="77777777"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19ED97D4" w14:textId="77777777" w:rsidR="00C7266C" w:rsidRPr="00D403F5" w:rsidRDefault="00C7266C" w:rsidP="00D403F5">
      <w:pPr>
        <w:pStyle w:val="111"/>
        <w:spacing w:after="0"/>
        <w:rPr>
          <w:sz w:val="18"/>
          <w:szCs w:val="18"/>
        </w:rPr>
      </w:pPr>
      <w:r w:rsidRPr="00D403F5">
        <w:rPr>
          <w:sz w:val="18"/>
          <w:szCs w:val="18"/>
        </w:rPr>
        <w:t>2.4.2.</w:t>
      </w:r>
      <w:r w:rsidRPr="00D403F5">
        <w:rPr>
          <w:sz w:val="18"/>
          <w:szCs w:val="18"/>
        </w:rPr>
        <w:tab/>
        <w:t>Chemotherapy including blocking agents</w:t>
      </w:r>
    </w:p>
    <w:p w14:paraId="4AE64DA6"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 xml:space="preserve">Methisoprinol inhibits the replication of SVCV </w:t>
      </w:r>
      <w:r w:rsidRPr="00D403F5">
        <w:rPr>
          <w:rFonts w:ascii="Arial" w:hAnsi="Arial" w:cs="Arial"/>
          <w:bCs/>
          <w:i/>
          <w:sz w:val="18"/>
          <w:szCs w:val="18"/>
          <w:lang w:val="en-IE" w:eastAsia="fr-FR"/>
        </w:rPr>
        <w:t>in vitro</w:t>
      </w:r>
      <w:r w:rsidRPr="00D403F5">
        <w:rPr>
          <w:rFonts w:ascii="Arial" w:hAnsi="Arial" w:cs="Arial"/>
          <w:bCs/>
          <w:sz w:val="18"/>
          <w:szCs w:val="18"/>
          <w:lang w:val="en-IE" w:eastAsia="fr-FR"/>
        </w:rPr>
        <w:t>, but has not been tested under carp culture conditions.</w:t>
      </w:r>
    </w:p>
    <w:p w14:paraId="003DA489"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2.4.3.</w:t>
      </w:r>
      <w:r w:rsidRPr="00D403F5">
        <w:rPr>
          <w:rFonts w:ascii="Ottawa" w:hAnsi="Ottawa"/>
          <w:b/>
          <w:bCs/>
          <w:sz w:val="18"/>
          <w:szCs w:val="18"/>
          <w:lang w:val="en-IE" w:eastAsia="fr-FR"/>
        </w:rPr>
        <w:tab/>
        <w:t>Immunostimulation</w:t>
      </w:r>
    </w:p>
    <w:p w14:paraId="57DDDD55"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 xml:space="preserve">Injection into carp of single-stranded and double-stranded RNA (which is an interferon inducer) protected carp for longer than 3 weeks, but the treatment is not effective by bath administration (Alikin </w:t>
      </w:r>
      <w:r w:rsidRPr="00D403F5">
        <w:rPr>
          <w:rFonts w:ascii="Arial" w:hAnsi="Arial" w:cs="Arial"/>
          <w:bCs/>
          <w:i/>
          <w:sz w:val="18"/>
          <w:szCs w:val="18"/>
          <w:lang w:val="en-IE" w:eastAsia="fr-FR"/>
        </w:rPr>
        <w:t>et al.,</w:t>
      </w:r>
      <w:r w:rsidRPr="00D403F5">
        <w:rPr>
          <w:rFonts w:ascii="Arial" w:hAnsi="Arial" w:cs="Arial"/>
          <w:bCs/>
          <w:sz w:val="18"/>
          <w:szCs w:val="18"/>
          <w:lang w:val="en-IE" w:eastAsia="fr-FR"/>
        </w:rPr>
        <w:t xml:space="preserve"> 1996).</w:t>
      </w:r>
    </w:p>
    <w:p w14:paraId="7580DD3E" w14:textId="77777777" w:rsidR="00C7266C" w:rsidRPr="00D403F5" w:rsidRDefault="00C7266C" w:rsidP="00D403F5">
      <w:pPr>
        <w:pStyle w:val="111"/>
        <w:spacing w:after="0"/>
        <w:rPr>
          <w:sz w:val="18"/>
          <w:szCs w:val="18"/>
        </w:rPr>
      </w:pPr>
      <w:r w:rsidRPr="00D403F5">
        <w:rPr>
          <w:sz w:val="18"/>
          <w:szCs w:val="18"/>
        </w:rPr>
        <w:t>2.4.4.</w:t>
      </w:r>
      <w:r w:rsidRPr="00D403F5">
        <w:rPr>
          <w:sz w:val="18"/>
          <w:szCs w:val="18"/>
        </w:rPr>
        <w:tab/>
        <w:t>Breeding resistant strains</w:t>
      </w:r>
    </w:p>
    <w:p w14:paraId="6BB49A2B"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 xml:space="preserve">The “Krasnodar” strain of common carp has been bred for increased resistance to SVCV (Kirpichnikov </w:t>
      </w:r>
      <w:r w:rsidRPr="00D403F5">
        <w:rPr>
          <w:rFonts w:ascii="Arial" w:hAnsi="Arial" w:cs="Arial"/>
          <w:bCs/>
          <w:i/>
          <w:sz w:val="18"/>
          <w:szCs w:val="18"/>
          <w:lang w:val="en-IE" w:eastAsia="fr-FR"/>
        </w:rPr>
        <w:t>et al</w:t>
      </w:r>
      <w:r w:rsidRPr="00D403F5">
        <w:rPr>
          <w:rFonts w:ascii="Arial" w:hAnsi="Arial" w:cs="Arial"/>
          <w:bCs/>
          <w:sz w:val="18"/>
          <w:szCs w:val="18"/>
          <w:lang w:val="en-IE" w:eastAsia="fr-FR"/>
        </w:rPr>
        <w:t>., 1993).</w:t>
      </w:r>
    </w:p>
    <w:p w14:paraId="0A8B4D33"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2.4.5.</w:t>
      </w:r>
      <w:r w:rsidRPr="00D403F5">
        <w:rPr>
          <w:rFonts w:ascii="Ottawa" w:hAnsi="Ottawa"/>
          <w:b/>
          <w:bCs/>
          <w:sz w:val="18"/>
          <w:szCs w:val="18"/>
          <w:lang w:val="en-IE" w:eastAsia="fr-FR"/>
        </w:rPr>
        <w:tab/>
        <w:t>Inactivation methods</w:t>
      </w:r>
    </w:p>
    <w:p w14:paraId="1D1D4E75"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The virus is inactivated at 56°C for 30 minutes, at pH 12 for 10 minutes and pH 3 for 2 hours (</w:t>
      </w:r>
      <w:hyperlink r:id="rId87" w:anchor="chapitre_svc.biblio-3" w:history="1">
        <w:r w:rsidRPr="00D403F5">
          <w:rPr>
            <w:rFonts w:ascii="Arial" w:hAnsi="Arial" w:cs="Arial"/>
            <w:bCs/>
            <w:sz w:val="18"/>
            <w:szCs w:val="18"/>
            <w:lang w:val="en-IE" w:eastAsia="fr-FR"/>
          </w:rPr>
          <w:t>Ahne, 1986</w:t>
        </w:r>
      </w:hyperlink>
      <w:r w:rsidRPr="00D403F5">
        <w:rPr>
          <w:rFonts w:ascii="Arial" w:hAnsi="Arial" w:cs="Arial"/>
          <w:bCs/>
          <w:sz w:val="18"/>
          <w:szCs w:val="18"/>
          <w:lang w:val="en-IE" w:eastAsia="fr-FR"/>
        </w:rPr>
        <w:t>). Oxidising agents, sodium dodecyl sulphate, non-ionic detergents and lipid solvents are all effective for inactivation of SVCV. The following disinfectants are also effective for inactivation: 3% formalin for 5 minutes, 2% sodium hydroxide for 10 minutes, 540 mg litre</w:t>
      </w:r>
      <w:r w:rsidRPr="00D403F5">
        <w:rPr>
          <w:rFonts w:ascii="Arial" w:hAnsi="Arial" w:cs="Arial"/>
          <w:bCs/>
          <w:sz w:val="18"/>
          <w:szCs w:val="18"/>
          <w:vertAlign w:val="superscript"/>
          <w:lang w:val="en-IE" w:eastAsia="fr-FR"/>
        </w:rPr>
        <w:t>‒1</w:t>
      </w:r>
      <w:r w:rsidRPr="00D403F5">
        <w:rPr>
          <w:rFonts w:ascii="Arial" w:hAnsi="Arial" w:cs="Arial"/>
          <w:bCs/>
          <w:sz w:val="18"/>
          <w:szCs w:val="18"/>
          <w:lang w:val="en-IE" w:eastAsia="fr-FR"/>
        </w:rPr>
        <w:t xml:space="preserve"> chlorine for 20 minutes, 200‒250 ppm (parts per million) iodine compounds for 30 minutes, 100 ppm benzalkonium chloride for 20 minutes, 350 ppm alkyltoluene for 20 minutes, 100 ppm chlorhexidine gluconate for 20 minutes and 200 ppm cresol for 20 minutes (</w:t>
      </w:r>
      <w:hyperlink r:id="rId88" w:anchor="chapitre_svc.biblio-2" w:history="1">
        <w:r w:rsidRPr="00D403F5">
          <w:rPr>
            <w:rFonts w:ascii="Arial" w:hAnsi="Arial" w:cs="Arial"/>
            <w:bCs/>
            <w:sz w:val="18"/>
            <w:szCs w:val="18"/>
            <w:lang w:val="en-IE" w:eastAsia="fr-FR"/>
          </w:rPr>
          <w:t>Ahne, 1982</w:t>
        </w:r>
      </w:hyperlink>
      <w:r w:rsidRPr="00D403F5">
        <w:rPr>
          <w:rFonts w:ascii="Arial" w:hAnsi="Arial" w:cs="Arial"/>
          <w:bCs/>
          <w:sz w:val="18"/>
          <w:szCs w:val="18"/>
          <w:lang w:val="en-IE" w:eastAsia="fr-FR"/>
        </w:rPr>
        <w:t xml:space="preserve">; </w:t>
      </w:r>
      <w:hyperlink r:id="rId89" w:anchor="chapitre_svc.biblio-5" w:history="1">
        <w:r w:rsidRPr="00D403F5">
          <w:rPr>
            <w:rFonts w:ascii="Arial" w:hAnsi="Arial" w:cs="Arial"/>
            <w:bCs/>
            <w:sz w:val="18"/>
            <w:szCs w:val="18"/>
            <w:lang w:val="en-IE" w:eastAsia="fr-FR"/>
          </w:rPr>
          <w:t>Ahne &amp; Held, 1980</w:t>
        </w:r>
      </w:hyperlink>
      <w:r w:rsidRPr="00D403F5">
        <w:rPr>
          <w:rFonts w:ascii="Arial" w:hAnsi="Arial" w:cs="Arial"/>
          <w:bCs/>
          <w:sz w:val="18"/>
          <w:szCs w:val="18"/>
          <w:lang w:val="en-IE" w:eastAsia="fr-FR"/>
        </w:rPr>
        <w:t xml:space="preserve">; </w:t>
      </w:r>
      <w:hyperlink r:id="rId90" w:anchor="chapitre_svc.biblio-26" w:history="1">
        <w:r w:rsidRPr="00D403F5">
          <w:rPr>
            <w:rFonts w:ascii="Arial" w:hAnsi="Arial" w:cs="Arial"/>
            <w:bCs/>
            <w:sz w:val="18"/>
            <w:szCs w:val="18"/>
            <w:lang w:val="en-IE" w:eastAsia="fr-FR"/>
          </w:rPr>
          <w:t xml:space="preserve">Kiryu </w:t>
        </w:r>
        <w:r w:rsidRPr="00D403F5">
          <w:rPr>
            <w:rFonts w:ascii="Arial" w:hAnsi="Arial" w:cs="Arial"/>
            <w:bCs/>
            <w:i/>
            <w:sz w:val="18"/>
            <w:szCs w:val="18"/>
            <w:lang w:val="en-IE" w:eastAsia="fr-FR"/>
          </w:rPr>
          <w:t>et al.,</w:t>
        </w:r>
        <w:r w:rsidRPr="00D403F5">
          <w:rPr>
            <w:rFonts w:ascii="Arial" w:hAnsi="Arial" w:cs="Arial"/>
            <w:bCs/>
            <w:sz w:val="18"/>
            <w:szCs w:val="18"/>
            <w:lang w:val="en-IE" w:eastAsia="fr-FR"/>
          </w:rPr>
          <w:t xml:space="preserve"> 2007</w:t>
        </w:r>
      </w:hyperlink>
      <w:r w:rsidRPr="00D403F5">
        <w:rPr>
          <w:rFonts w:ascii="Arial" w:hAnsi="Arial" w:cs="Arial"/>
          <w:bCs/>
          <w:sz w:val="18"/>
          <w:szCs w:val="18"/>
          <w:lang w:val="en-IE" w:eastAsia="fr-FR"/>
        </w:rPr>
        <w:t>).</w:t>
      </w:r>
    </w:p>
    <w:p w14:paraId="0857A970" w14:textId="77777777" w:rsidR="00C7266C" w:rsidRPr="00D403F5" w:rsidRDefault="00C7266C" w:rsidP="00D403F5">
      <w:pPr>
        <w:spacing w:after="0"/>
        <w:ind w:left="851" w:hanging="567"/>
        <w:jc w:val="both"/>
        <w:rPr>
          <w:rFonts w:ascii="Ottawa" w:hAnsi="Ottawa"/>
          <w:b/>
          <w:bCs/>
          <w:sz w:val="18"/>
          <w:szCs w:val="18"/>
          <w:lang w:val="en-IE" w:eastAsia="fr-FR"/>
        </w:rPr>
      </w:pPr>
      <w:r w:rsidRPr="00D403F5">
        <w:rPr>
          <w:rFonts w:ascii="Ottawa" w:hAnsi="Ottawa"/>
          <w:b/>
          <w:bCs/>
          <w:sz w:val="18"/>
          <w:szCs w:val="18"/>
          <w:lang w:val="en-IE" w:eastAsia="fr-FR"/>
        </w:rPr>
        <w:t>2.4.6.</w:t>
      </w:r>
      <w:r w:rsidRPr="00D403F5">
        <w:rPr>
          <w:rFonts w:ascii="Ottawa" w:hAnsi="Ottawa"/>
          <w:b/>
          <w:bCs/>
          <w:sz w:val="18"/>
          <w:szCs w:val="18"/>
          <w:lang w:val="en-IE" w:eastAsia="fr-FR"/>
        </w:rPr>
        <w:tab/>
        <w:t>Disinfection of eggs and larvae</w:t>
      </w:r>
    </w:p>
    <w:p w14:paraId="260BD361" w14:textId="77777777" w:rsidR="00C7266C" w:rsidRPr="00D403F5" w:rsidRDefault="00C7266C" w:rsidP="00D403F5">
      <w:pPr>
        <w:spacing w:after="0"/>
        <w:ind w:left="851"/>
        <w:jc w:val="both"/>
        <w:rPr>
          <w:rFonts w:ascii="Arial" w:hAnsi="Arial" w:cs="Arial"/>
          <w:bCs/>
          <w:sz w:val="18"/>
          <w:szCs w:val="18"/>
          <w:lang w:val="en-IE" w:eastAsia="fr-FR"/>
        </w:rPr>
      </w:pPr>
      <w:r w:rsidRPr="00D403F5">
        <w:rPr>
          <w:rFonts w:ascii="Arial" w:hAnsi="Arial" w:cs="Arial"/>
          <w:bCs/>
          <w:sz w:val="18"/>
          <w:szCs w:val="18"/>
          <w:lang w:val="en-IE" w:eastAsia="fr-FR"/>
        </w:rPr>
        <w:t xml:space="preserve">Eggs can be disinfected by iodophor treatment (Ahne &amp; Held, 1980). </w:t>
      </w:r>
    </w:p>
    <w:p w14:paraId="2EB8F1BA" w14:textId="77777777" w:rsidR="00C7266C" w:rsidRPr="00D403F5" w:rsidRDefault="00C7266C" w:rsidP="00D403F5">
      <w:pPr>
        <w:spacing w:after="0"/>
        <w:ind w:left="851" w:hanging="567"/>
        <w:jc w:val="both"/>
        <w:rPr>
          <w:rFonts w:ascii="Ottawa" w:hAnsi="Ottawa"/>
          <w:b/>
          <w:bCs/>
          <w:sz w:val="18"/>
          <w:szCs w:val="18"/>
          <w:lang w:eastAsia="fr-FR"/>
        </w:rPr>
      </w:pPr>
      <w:r w:rsidRPr="00D403F5">
        <w:rPr>
          <w:rFonts w:ascii="Ottawa" w:hAnsi="Ottawa"/>
          <w:b/>
          <w:bCs/>
          <w:sz w:val="18"/>
          <w:szCs w:val="18"/>
          <w:lang w:eastAsia="fr-FR"/>
        </w:rPr>
        <w:t>2.4.7.</w:t>
      </w:r>
      <w:r w:rsidRPr="00D403F5">
        <w:rPr>
          <w:rFonts w:ascii="Ottawa" w:hAnsi="Ottawa"/>
          <w:b/>
          <w:bCs/>
          <w:sz w:val="18"/>
          <w:szCs w:val="18"/>
          <w:lang w:eastAsia="fr-FR"/>
        </w:rPr>
        <w:tab/>
        <w:t>General husbandry</w:t>
      </w:r>
    </w:p>
    <w:p w14:paraId="081E3CF9" w14:textId="77777777" w:rsidR="00C7266C" w:rsidRPr="00D403F5" w:rsidRDefault="00C7266C" w:rsidP="00D403F5">
      <w:pPr>
        <w:spacing w:after="0"/>
        <w:ind w:left="851"/>
        <w:jc w:val="both"/>
        <w:rPr>
          <w:rFonts w:ascii="Arial" w:hAnsi="Arial" w:cs="Arial"/>
          <w:bCs/>
          <w:sz w:val="18"/>
          <w:szCs w:val="18"/>
        </w:rPr>
      </w:pPr>
      <w:r w:rsidRPr="00D403F5">
        <w:rPr>
          <w:rFonts w:ascii="Arial" w:hAnsi="Arial" w:cs="Arial"/>
          <w:bCs/>
          <w:sz w:val="18"/>
          <w:szCs w:val="18"/>
        </w:rPr>
        <w:t xml:space="preserve">Methods to control </w:t>
      </w:r>
      <w:r w:rsidRPr="00D403F5">
        <w:rPr>
          <w:rFonts w:ascii="Arial" w:hAnsi="Arial" w:cs="Arial"/>
          <w:bCs/>
          <w:strike/>
          <w:sz w:val="18"/>
          <w:szCs w:val="18"/>
        </w:rPr>
        <w:t xml:space="preserve">of </w:t>
      </w:r>
      <w:r w:rsidRPr="00D403F5">
        <w:rPr>
          <w:rFonts w:ascii="Arial" w:hAnsi="Arial" w:cs="Arial"/>
          <w:bCs/>
          <w:sz w:val="18"/>
          <w:szCs w:val="18"/>
        </w:rPr>
        <w:t xml:space="preserve">infection with SVCV </w:t>
      </w:r>
      <w:r w:rsidRPr="00D403F5">
        <w:rPr>
          <w:rFonts w:ascii="Arial" w:hAnsi="Arial" w:cs="Arial"/>
          <w:bCs/>
          <w:sz w:val="18"/>
          <w:szCs w:val="18"/>
          <w:u w:val="double"/>
        </w:rPr>
        <w:t>rely</w:t>
      </w:r>
      <w:r w:rsidRPr="00D403F5">
        <w:rPr>
          <w:rFonts w:ascii="Arial" w:hAnsi="Arial" w:cs="Arial"/>
          <w:bCs/>
          <w:sz w:val="18"/>
          <w:szCs w:val="18"/>
        </w:rPr>
        <w:t xml:space="preserve"> </w:t>
      </w:r>
      <w:r w:rsidRPr="00D403F5">
        <w:rPr>
          <w:rFonts w:ascii="Arial" w:hAnsi="Arial" w:cs="Arial"/>
          <w:bCs/>
          <w:strike/>
          <w:sz w:val="18"/>
          <w:szCs w:val="18"/>
        </w:rPr>
        <w:t xml:space="preserve">relies </w:t>
      </w:r>
      <w:r w:rsidRPr="00D403F5">
        <w:rPr>
          <w:rFonts w:ascii="Arial" w:hAnsi="Arial" w:cs="Arial"/>
          <w:bCs/>
          <w:sz w:val="18"/>
          <w:szCs w:val="18"/>
        </w:rPr>
        <w:t xml:space="preserve">on avoiding exposure to the virus coupled with good hygiene practices. This is feasible on small farms supplied by spring or borehole water and a secure system to prevent fish entering the farm via the discharge water. </w:t>
      </w:r>
      <w:r w:rsidRPr="00D403F5">
        <w:rPr>
          <w:rFonts w:ascii="Arial" w:hAnsi="Arial" w:cs="Arial"/>
          <w:bCs/>
          <w:strike/>
          <w:sz w:val="18"/>
          <w:szCs w:val="18"/>
        </w:rPr>
        <w:t xml:space="preserve">Hygiene measures should include disinfection of eggs by iodophor treatment (Ahne &amp; Held, 1980), until it has been confirmed unequivocally that vertical transmission does not occur, regular disinfection of ponds, chemical disinfection of farm equipment, careful handling of fish to avoid stress and safe disposal of dead fish. </w:t>
      </w:r>
      <w:r w:rsidRPr="00D403F5">
        <w:rPr>
          <w:rFonts w:ascii="Arial" w:hAnsi="Arial" w:cs="Arial"/>
          <w:bCs/>
          <w:sz w:val="18"/>
          <w:szCs w:val="18"/>
        </w:rPr>
        <w:t xml:space="preserve">Reducing fish stocking density during winter and early spring will reduce the spread of the virus. In rearing facilities with a controlled environment, elevation of water temperature above 19–20°C may stop or prevent outbreaks of infection with SVCV. </w:t>
      </w:r>
    </w:p>
    <w:p w14:paraId="0B15CC1D" w14:textId="77777777" w:rsidR="00C7266C" w:rsidRPr="00D403F5" w:rsidRDefault="00C7266C" w:rsidP="00D403F5">
      <w:pPr>
        <w:spacing w:after="0"/>
        <w:ind w:left="284" w:hanging="284"/>
        <w:outlineLvl w:val="0"/>
        <w:rPr>
          <w:rFonts w:ascii="Ottawa" w:hAnsi="Ottawa"/>
          <w:b/>
          <w:bCs/>
          <w:sz w:val="18"/>
          <w:szCs w:val="18"/>
          <w:lang w:val="en-IE" w:bidi="en-US"/>
        </w:rPr>
      </w:pPr>
      <w:r w:rsidRPr="00D403F5">
        <w:rPr>
          <w:rFonts w:ascii="Ottawa" w:hAnsi="Ottawa"/>
          <w:b/>
          <w:bCs/>
          <w:sz w:val="18"/>
          <w:szCs w:val="18"/>
          <w:lang w:val="en-IE" w:bidi="en-US"/>
        </w:rPr>
        <w:t>3.</w:t>
      </w:r>
      <w:r w:rsidRPr="00D403F5">
        <w:rPr>
          <w:rFonts w:ascii="Ottawa" w:hAnsi="Ottawa"/>
          <w:b/>
          <w:bCs/>
          <w:sz w:val="18"/>
          <w:szCs w:val="18"/>
          <w:lang w:val="en-IE" w:bidi="en-US"/>
        </w:rPr>
        <w:tab/>
        <w:t xml:space="preserve">Specimen selection, sample collection, transportation and handling </w:t>
      </w:r>
    </w:p>
    <w:p w14:paraId="5E443C17" w14:textId="77777777" w:rsidR="00C7266C" w:rsidRPr="00D403F5" w:rsidRDefault="00C7266C" w:rsidP="00D403F5">
      <w:pPr>
        <w:spacing w:after="0"/>
        <w:ind w:left="284"/>
        <w:jc w:val="both"/>
        <w:rPr>
          <w:rFonts w:ascii="Arial" w:hAnsi="Arial" w:cs="Arial"/>
          <w:sz w:val="18"/>
          <w:szCs w:val="18"/>
          <w:lang w:val="en-IE" w:bidi="en-US"/>
        </w:rPr>
      </w:pPr>
      <w:r w:rsidRPr="00D403F5">
        <w:rPr>
          <w:rFonts w:ascii="Arial" w:hAnsi="Arial" w:cs="Arial"/>
          <w:sz w:val="18"/>
          <w:szCs w:val="18"/>
          <w:lang w:val="en-IE" w:bidi="en-US"/>
        </w:rPr>
        <w:t>This Section draws on information in Sections 2.2., 2.3. and 2.4. to identify populations, individuals and samples which are most likely to be infected.</w:t>
      </w:r>
    </w:p>
    <w:p w14:paraId="7AC22A19" w14:textId="77777777" w:rsidR="00C7266C" w:rsidRPr="00D403F5" w:rsidRDefault="00C7266C" w:rsidP="00D403F5">
      <w:pPr>
        <w:pStyle w:val="11"/>
        <w:spacing w:after="0"/>
        <w:ind w:left="426" w:hanging="426"/>
        <w:rPr>
          <w:sz w:val="18"/>
          <w:szCs w:val="18"/>
          <w:lang w:bidi="en-US"/>
        </w:rPr>
      </w:pPr>
      <w:r w:rsidRPr="00D403F5">
        <w:rPr>
          <w:sz w:val="18"/>
          <w:szCs w:val="18"/>
          <w:lang w:bidi="en-US"/>
        </w:rPr>
        <w:t>3.1.</w:t>
      </w:r>
      <w:r w:rsidRPr="00D403F5">
        <w:rPr>
          <w:sz w:val="18"/>
          <w:szCs w:val="18"/>
          <w:lang w:bidi="en-US"/>
        </w:rPr>
        <w:tab/>
        <w:t xml:space="preserve">Selection of populations and individual specimens </w:t>
      </w:r>
    </w:p>
    <w:p w14:paraId="05D608EE" w14:textId="77777777" w:rsidR="00C7266C" w:rsidRPr="00D403F5" w:rsidRDefault="00C7266C" w:rsidP="00D403F5">
      <w:pPr>
        <w:spacing w:after="0"/>
        <w:ind w:left="426"/>
        <w:jc w:val="both"/>
        <w:rPr>
          <w:rFonts w:ascii="Arial" w:hAnsi="Arial" w:cs="Arial"/>
          <w:bCs/>
          <w:sz w:val="18"/>
          <w:szCs w:val="18"/>
          <w:lang w:val="en-IE"/>
        </w:rPr>
      </w:pPr>
      <w:r w:rsidRPr="00D403F5">
        <w:rPr>
          <w:rFonts w:ascii="Arial" w:hAnsi="Arial" w:cs="Arial"/>
          <w:bCs/>
          <w:sz w:val="18"/>
          <w:szCs w:val="18"/>
          <w:lang w:val="en-IE"/>
        </w:rPr>
        <w:t>For disease investigations, moribund fish or fish exhibiting clinical signs of infection with SVC</w:t>
      </w:r>
      <w:r w:rsidRPr="00D403F5">
        <w:rPr>
          <w:rFonts w:ascii="Arial" w:hAnsi="Arial" w:cs="Arial"/>
          <w:bCs/>
          <w:sz w:val="18"/>
          <w:szCs w:val="18"/>
          <w:u w:val="double"/>
          <w:lang w:val="en-IE"/>
        </w:rPr>
        <w:t>V</w:t>
      </w:r>
      <w:r w:rsidRPr="00D403F5">
        <w:rPr>
          <w:rFonts w:ascii="Arial" w:hAnsi="Arial" w:cs="Arial"/>
          <w:bCs/>
          <w:sz w:val="18"/>
          <w:szCs w:val="18"/>
          <w:lang w:val="en-IE"/>
        </w:rPr>
        <w:t xml:space="preserve"> should be collected. Ideally fish should be alive when collected, however recently dead fish can be collected for diagnostic purposes. It should be noted however, that there will be a significant risk of contamination with environmental bacteria if the animals have been dead for some time. There may be no </w:t>
      </w:r>
      <w:r w:rsidRPr="00D403F5">
        <w:rPr>
          <w:rFonts w:ascii="Arial" w:hAnsi="Arial" w:cs="Arial"/>
          <w:bCs/>
          <w:sz w:val="18"/>
          <w:szCs w:val="18"/>
          <w:u w:val="double"/>
          <w:lang w:val="en-IE"/>
        </w:rPr>
        <w:t>clinical signs or gross</w:t>
      </w:r>
      <w:r w:rsidRPr="00D403F5">
        <w:rPr>
          <w:rFonts w:ascii="Arial" w:hAnsi="Arial" w:cs="Arial"/>
          <w:bCs/>
          <w:sz w:val="18"/>
          <w:szCs w:val="18"/>
          <w:lang w:val="en-IE"/>
        </w:rPr>
        <w:t xml:space="preserve"> pathognomonic </w:t>
      </w:r>
      <w:r w:rsidRPr="00D403F5">
        <w:rPr>
          <w:rFonts w:ascii="Arial" w:hAnsi="Arial" w:cs="Arial"/>
          <w:bCs/>
          <w:strike/>
          <w:sz w:val="18"/>
          <w:szCs w:val="18"/>
          <w:lang w:val="en-IE"/>
        </w:rPr>
        <w:t xml:space="preserve">gross </w:t>
      </w:r>
      <w:r w:rsidRPr="00D403F5">
        <w:rPr>
          <w:rFonts w:ascii="Arial" w:hAnsi="Arial" w:cs="Arial"/>
          <w:bCs/>
          <w:sz w:val="18"/>
          <w:szCs w:val="18"/>
          <w:lang w:val="en-IE"/>
        </w:rPr>
        <w:t xml:space="preserve">lesions </w:t>
      </w:r>
      <w:r w:rsidRPr="00D403F5">
        <w:rPr>
          <w:rFonts w:ascii="Arial" w:hAnsi="Arial" w:cs="Arial"/>
          <w:bCs/>
          <w:strike/>
          <w:sz w:val="18"/>
          <w:szCs w:val="18"/>
          <w:lang w:val="en-IE"/>
        </w:rPr>
        <w:t xml:space="preserve">and no clinical signs </w:t>
      </w:r>
      <w:r w:rsidRPr="00D403F5">
        <w:rPr>
          <w:rFonts w:ascii="Arial" w:hAnsi="Arial" w:cs="Arial"/>
          <w:bCs/>
          <w:sz w:val="18"/>
          <w:szCs w:val="18"/>
          <w:lang w:val="en-IE"/>
        </w:rPr>
        <w:t>in cases of sudden mortality (see Section 4.1.1.).</w:t>
      </w:r>
    </w:p>
    <w:p w14:paraId="7F215212" w14:textId="77777777" w:rsidR="00C7266C" w:rsidRPr="00D403F5" w:rsidRDefault="00C7266C" w:rsidP="00D403F5">
      <w:pPr>
        <w:spacing w:after="0"/>
        <w:ind w:left="426"/>
        <w:jc w:val="both"/>
        <w:rPr>
          <w:rFonts w:ascii="Arial" w:hAnsi="Arial" w:cs="Arial"/>
          <w:bCs/>
          <w:sz w:val="18"/>
          <w:szCs w:val="18"/>
          <w:lang w:val="en-IE"/>
        </w:rPr>
      </w:pPr>
      <w:r w:rsidRPr="00D403F5">
        <w:rPr>
          <w:rFonts w:ascii="Arial" w:hAnsi="Arial" w:cs="Arial"/>
          <w:bCs/>
          <w:sz w:val="18"/>
          <w:szCs w:val="18"/>
          <w:u w:val="double"/>
          <w:lang w:val="en-IE"/>
        </w:rPr>
        <w:t>Sampling</w:t>
      </w:r>
      <w:r w:rsidRPr="00D403F5">
        <w:rPr>
          <w:rFonts w:ascii="Arial" w:hAnsi="Arial" w:cs="Arial"/>
          <w:bCs/>
          <w:sz w:val="18"/>
          <w:szCs w:val="18"/>
          <w:lang w:val="en-IE"/>
        </w:rPr>
        <w:t xml:space="preserve"> </w:t>
      </w:r>
      <w:r w:rsidRPr="00D403F5">
        <w:rPr>
          <w:rFonts w:ascii="Arial" w:hAnsi="Arial" w:cs="Arial"/>
          <w:bCs/>
          <w:strike/>
          <w:sz w:val="18"/>
          <w:szCs w:val="18"/>
          <w:lang w:val="en-IE"/>
        </w:rPr>
        <w:t xml:space="preserve">samples </w:t>
      </w:r>
      <w:r w:rsidRPr="00D403F5">
        <w:rPr>
          <w:rFonts w:ascii="Arial" w:hAnsi="Arial" w:cs="Arial"/>
          <w:bCs/>
          <w:sz w:val="18"/>
          <w:szCs w:val="18"/>
          <w:lang w:val="en-IE"/>
        </w:rPr>
        <w:t xml:space="preserve">should </w:t>
      </w:r>
      <w:r w:rsidRPr="00D403F5">
        <w:rPr>
          <w:rFonts w:ascii="Arial" w:hAnsi="Arial" w:cs="Arial"/>
          <w:bCs/>
          <w:sz w:val="18"/>
          <w:szCs w:val="18"/>
          <w:u w:val="double"/>
          <w:lang w:val="en-IE"/>
        </w:rPr>
        <w:t>target</w:t>
      </w:r>
      <w:r w:rsidRPr="00D403F5">
        <w:rPr>
          <w:rFonts w:ascii="Arial" w:hAnsi="Arial" w:cs="Arial"/>
          <w:bCs/>
          <w:sz w:val="18"/>
          <w:szCs w:val="18"/>
          <w:lang w:val="en-IE"/>
        </w:rPr>
        <w:t xml:space="preserve"> </w:t>
      </w:r>
      <w:r w:rsidRPr="00D403F5">
        <w:rPr>
          <w:rFonts w:ascii="Arial" w:hAnsi="Arial" w:cs="Arial"/>
          <w:bCs/>
          <w:strike/>
          <w:sz w:val="18"/>
          <w:szCs w:val="18"/>
          <w:lang w:val="en-IE"/>
        </w:rPr>
        <w:t xml:space="preserve">comprise </w:t>
      </w:r>
      <w:r w:rsidRPr="00D403F5">
        <w:rPr>
          <w:rFonts w:ascii="Arial" w:hAnsi="Arial" w:cs="Arial"/>
          <w:bCs/>
          <w:sz w:val="18"/>
          <w:szCs w:val="18"/>
          <w:lang w:val="en-IE"/>
        </w:rPr>
        <w:t>all susceptible species on the site</w:t>
      </w:r>
      <w:r w:rsidRPr="00D403F5">
        <w:rPr>
          <w:rFonts w:ascii="Arial" w:hAnsi="Arial" w:cs="Arial"/>
          <w:bCs/>
          <w:strike/>
          <w:sz w:val="18"/>
          <w:szCs w:val="18"/>
          <w:lang w:val="en-IE"/>
        </w:rPr>
        <w:t xml:space="preserve"> with each group being represented in the sample. A group is defined as a</w:t>
      </w:r>
      <w:r w:rsidRPr="00D403F5">
        <w:rPr>
          <w:rFonts w:ascii="Arial" w:hAnsi="Arial" w:cs="Arial"/>
          <w:bCs/>
          <w:sz w:val="18"/>
          <w:szCs w:val="18"/>
          <w:u w:val="double"/>
          <w:lang w:val="en-IE"/>
        </w:rPr>
        <w:t>.</w:t>
      </w:r>
      <w:r w:rsidRPr="00D403F5">
        <w:rPr>
          <w:rFonts w:ascii="Arial" w:hAnsi="Arial" w:cs="Arial"/>
          <w:bCs/>
          <w:sz w:val="18"/>
          <w:szCs w:val="18"/>
          <w:lang w:val="en-IE"/>
        </w:rPr>
        <w:t xml:space="preserve"> </w:t>
      </w:r>
      <w:r w:rsidRPr="00D403F5">
        <w:rPr>
          <w:rFonts w:ascii="Arial" w:hAnsi="Arial" w:cs="Arial"/>
          <w:bCs/>
          <w:sz w:val="18"/>
          <w:szCs w:val="18"/>
          <w:u w:val="double"/>
          <w:lang w:val="en-IE"/>
        </w:rPr>
        <w:t>The</w:t>
      </w:r>
      <w:r w:rsidRPr="00D403F5">
        <w:rPr>
          <w:rFonts w:ascii="Arial" w:hAnsi="Arial" w:cs="Arial"/>
          <w:bCs/>
          <w:sz w:val="18"/>
          <w:szCs w:val="18"/>
          <w:lang w:val="en-IE"/>
        </w:rPr>
        <w:t xml:space="preserve"> population </w:t>
      </w:r>
      <w:r w:rsidRPr="00D403F5">
        <w:rPr>
          <w:rFonts w:ascii="Arial" w:hAnsi="Arial" w:cs="Arial"/>
          <w:bCs/>
          <w:sz w:val="18"/>
          <w:szCs w:val="18"/>
          <w:u w:val="double"/>
          <w:lang w:val="en-IE"/>
        </w:rPr>
        <w:t>to be sampled may be stratified into groups</w:t>
      </w:r>
      <w:r w:rsidRPr="00D403F5">
        <w:rPr>
          <w:rFonts w:ascii="Arial" w:hAnsi="Arial" w:cs="Arial"/>
          <w:bCs/>
          <w:sz w:val="18"/>
          <w:szCs w:val="18"/>
          <w:lang w:val="en-IE"/>
        </w:rPr>
        <w:t>. of the same fish species that share</w:t>
      </w:r>
      <w:r w:rsidRPr="00D403F5">
        <w:rPr>
          <w:rFonts w:ascii="Arial" w:hAnsi="Arial" w:cs="Arial"/>
          <w:bCs/>
          <w:strike/>
          <w:sz w:val="18"/>
          <w:szCs w:val="18"/>
          <w:lang w:val="en-IE"/>
        </w:rPr>
        <w:t>s</w:t>
      </w:r>
      <w:r w:rsidRPr="00D403F5">
        <w:rPr>
          <w:rFonts w:ascii="Arial" w:hAnsi="Arial" w:cs="Arial"/>
          <w:bCs/>
          <w:sz w:val="18"/>
          <w:szCs w:val="18"/>
          <w:lang w:val="en-IE"/>
        </w:rPr>
        <w:t xml:space="preserve"> a common water supply and originate from the same broodfish or spawning population. </w:t>
      </w:r>
      <w:r w:rsidRPr="00D403F5">
        <w:rPr>
          <w:rFonts w:ascii="Arial" w:hAnsi="Arial" w:cs="Arial"/>
          <w:bCs/>
          <w:strike/>
          <w:sz w:val="18"/>
          <w:szCs w:val="18"/>
          <w:lang w:val="en-IE"/>
        </w:rPr>
        <w:t xml:space="preserve">Generally young </w:t>
      </w:r>
      <w:r w:rsidRPr="00D403F5">
        <w:rPr>
          <w:rFonts w:ascii="Arial" w:hAnsi="Arial" w:cs="Arial"/>
          <w:bCs/>
          <w:sz w:val="18"/>
          <w:szCs w:val="18"/>
          <w:u w:val="double"/>
          <w:lang w:val="en-IE"/>
        </w:rPr>
        <w:t>Moribund</w:t>
      </w:r>
      <w:r w:rsidRPr="00D403F5">
        <w:rPr>
          <w:rFonts w:ascii="Arial" w:hAnsi="Arial" w:cs="Arial"/>
          <w:bCs/>
          <w:sz w:val="18"/>
          <w:szCs w:val="18"/>
          <w:lang w:val="en-IE"/>
        </w:rPr>
        <w:t xml:space="preserve"> fish </w:t>
      </w:r>
      <w:r w:rsidRPr="00D403F5">
        <w:rPr>
          <w:rFonts w:ascii="Arial" w:hAnsi="Arial" w:cs="Arial"/>
          <w:bCs/>
          <w:strike/>
          <w:sz w:val="18"/>
          <w:szCs w:val="18"/>
          <w:lang w:val="en-IE"/>
        </w:rPr>
        <w:t xml:space="preserve">up to 1 year old are most susceptible to clinical disease, but all age groups can be affected. Any moribund fish present in the fish population to be sampled </w:t>
      </w:r>
      <w:r w:rsidRPr="00D403F5">
        <w:rPr>
          <w:rFonts w:ascii="Arial" w:hAnsi="Arial" w:cs="Arial"/>
          <w:bCs/>
          <w:sz w:val="18"/>
          <w:szCs w:val="18"/>
          <w:lang w:val="en-IE"/>
        </w:rPr>
        <w:t xml:space="preserve">should be </w:t>
      </w:r>
      <w:r w:rsidRPr="00D403F5">
        <w:rPr>
          <w:rFonts w:ascii="Arial" w:hAnsi="Arial" w:cs="Arial"/>
          <w:bCs/>
          <w:sz w:val="18"/>
          <w:szCs w:val="18"/>
          <w:u w:val="double"/>
          <w:lang w:val="en-IE"/>
        </w:rPr>
        <w:t>sampled</w:t>
      </w:r>
      <w:r w:rsidRPr="00D403F5">
        <w:rPr>
          <w:rFonts w:ascii="Arial" w:hAnsi="Arial" w:cs="Arial"/>
          <w:bCs/>
          <w:sz w:val="18"/>
          <w:szCs w:val="18"/>
          <w:lang w:val="en-IE"/>
        </w:rPr>
        <w:t xml:space="preserve"> </w:t>
      </w:r>
      <w:r w:rsidRPr="00D403F5">
        <w:rPr>
          <w:rFonts w:ascii="Arial" w:hAnsi="Arial" w:cs="Arial"/>
          <w:bCs/>
          <w:strike/>
          <w:sz w:val="18"/>
          <w:szCs w:val="18"/>
          <w:lang w:val="en-IE"/>
        </w:rPr>
        <w:t>selected</w:t>
      </w:r>
      <w:r w:rsidRPr="00D403F5">
        <w:rPr>
          <w:rFonts w:ascii="Arial" w:hAnsi="Arial" w:cs="Arial"/>
          <w:bCs/>
          <w:sz w:val="18"/>
          <w:szCs w:val="18"/>
          <w:lang w:val="en-IE"/>
        </w:rPr>
        <w:t xml:space="preserve"> first </w:t>
      </w:r>
      <w:r w:rsidRPr="00D403F5">
        <w:rPr>
          <w:rFonts w:ascii="Arial" w:hAnsi="Arial" w:cs="Arial"/>
          <w:bCs/>
          <w:strike/>
          <w:sz w:val="18"/>
          <w:szCs w:val="18"/>
          <w:lang w:val="en-IE"/>
        </w:rPr>
        <w:t>for sample collection</w:t>
      </w:r>
      <w:r w:rsidRPr="00D403F5">
        <w:rPr>
          <w:rFonts w:ascii="Arial" w:hAnsi="Arial" w:cs="Arial"/>
          <w:bCs/>
          <w:sz w:val="18"/>
          <w:szCs w:val="18"/>
          <w:lang w:val="en-IE"/>
        </w:rPr>
        <w:t xml:space="preserve"> and the remainder of the sample</w:t>
      </w:r>
      <w:r w:rsidRPr="00D403F5">
        <w:rPr>
          <w:rFonts w:ascii="Arial" w:hAnsi="Arial" w:cs="Arial"/>
          <w:bCs/>
          <w:sz w:val="18"/>
          <w:szCs w:val="18"/>
          <w:u w:val="double"/>
          <w:lang w:val="en-IE"/>
        </w:rPr>
        <w:t>s</w:t>
      </w:r>
      <w:r w:rsidRPr="00D403F5">
        <w:rPr>
          <w:rFonts w:ascii="Arial" w:hAnsi="Arial" w:cs="Arial"/>
          <w:bCs/>
          <w:sz w:val="18"/>
          <w:szCs w:val="18"/>
          <w:lang w:val="en-IE"/>
        </w:rPr>
        <w:t xml:space="preserve"> should comprise randomly selected live fish from all </w:t>
      </w:r>
      <w:r w:rsidRPr="00D403F5">
        <w:rPr>
          <w:rFonts w:ascii="Arial" w:hAnsi="Arial" w:cs="Arial"/>
          <w:bCs/>
          <w:sz w:val="18"/>
          <w:szCs w:val="18"/>
          <w:u w:val="double"/>
          <w:lang w:val="en-IE"/>
        </w:rPr>
        <w:t>groups of susceptible species</w:t>
      </w:r>
      <w:r w:rsidRPr="00D403F5">
        <w:rPr>
          <w:rFonts w:ascii="Arial" w:hAnsi="Arial" w:cs="Arial"/>
          <w:bCs/>
          <w:strike/>
          <w:sz w:val="18"/>
          <w:szCs w:val="18"/>
          <w:lang w:val="en-IE"/>
        </w:rPr>
        <w:t xml:space="preserve"> rearing units that represent the lot being examined</w:t>
      </w:r>
      <w:r w:rsidRPr="00D403F5">
        <w:rPr>
          <w:rFonts w:ascii="Arial" w:hAnsi="Arial" w:cs="Arial"/>
          <w:bCs/>
          <w:sz w:val="18"/>
          <w:szCs w:val="18"/>
          <w:lang w:val="en-IE"/>
        </w:rPr>
        <w:t xml:space="preserve">. </w:t>
      </w:r>
    </w:p>
    <w:p w14:paraId="3C5684E9" w14:textId="77777777" w:rsidR="00C7266C" w:rsidRPr="00D403F5" w:rsidRDefault="00C7266C" w:rsidP="00D403F5">
      <w:pPr>
        <w:pStyle w:val="11"/>
        <w:spacing w:after="0"/>
        <w:ind w:left="426" w:hanging="426"/>
        <w:rPr>
          <w:sz w:val="18"/>
          <w:szCs w:val="18"/>
          <w:lang w:bidi="en-US"/>
        </w:rPr>
      </w:pPr>
      <w:r w:rsidRPr="00D403F5">
        <w:rPr>
          <w:sz w:val="18"/>
          <w:szCs w:val="18"/>
          <w:lang w:bidi="en-US"/>
        </w:rPr>
        <w:br w:type="page"/>
      </w:r>
    </w:p>
    <w:p w14:paraId="5E35A899" w14:textId="77777777" w:rsidR="00C7266C" w:rsidRPr="00D403F5" w:rsidRDefault="00C7266C" w:rsidP="0076436B">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4B91DA23" w14:textId="77777777" w:rsidR="00C7266C" w:rsidRPr="00D403F5" w:rsidRDefault="00C7266C" w:rsidP="00D403F5">
      <w:pPr>
        <w:pStyle w:val="11"/>
        <w:spacing w:after="0"/>
        <w:ind w:left="426" w:hanging="426"/>
        <w:rPr>
          <w:sz w:val="18"/>
          <w:szCs w:val="18"/>
          <w:lang w:bidi="en-US"/>
        </w:rPr>
      </w:pPr>
      <w:r w:rsidRPr="00D403F5">
        <w:rPr>
          <w:sz w:val="18"/>
          <w:szCs w:val="18"/>
          <w:lang w:bidi="en-US"/>
        </w:rPr>
        <w:t>3.2.</w:t>
      </w:r>
      <w:r w:rsidRPr="00D403F5">
        <w:rPr>
          <w:sz w:val="18"/>
          <w:szCs w:val="18"/>
          <w:lang w:bidi="en-US"/>
        </w:rPr>
        <w:tab/>
        <w:t>Selection of organs or tissues</w:t>
      </w:r>
    </w:p>
    <w:p w14:paraId="356A416A" w14:textId="77777777" w:rsidR="00C7266C" w:rsidRPr="00D403F5" w:rsidRDefault="00C7266C" w:rsidP="00D403F5">
      <w:pPr>
        <w:spacing w:after="0"/>
        <w:ind w:left="426"/>
        <w:jc w:val="both"/>
        <w:rPr>
          <w:rFonts w:ascii="Arial" w:hAnsi="Arial" w:cs="Arial"/>
          <w:sz w:val="18"/>
          <w:szCs w:val="18"/>
          <w:u w:val="double"/>
          <w:lang w:val="en-IE" w:eastAsia="fr-FR"/>
        </w:rPr>
      </w:pPr>
      <w:r w:rsidRPr="00D403F5">
        <w:rPr>
          <w:rFonts w:ascii="Arial" w:hAnsi="Arial" w:cs="Arial"/>
          <w:sz w:val="18"/>
          <w:szCs w:val="18"/>
          <w:u w:val="double"/>
          <w:lang w:val="en-IE" w:eastAsia="fr-FR"/>
        </w:rPr>
        <w:t>Kidney, spleen, gill and encephalon should be selected from subclinically infected fish (apparently healthy fish).</w:t>
      </w:r>
    </w:p>
    <w:p w14:paraId="485C4B09" w14:textId="77777777" w:rsidR="00C7266C" w:rsidRPr="00D403F5" w:rsidRDefault="00C7266C" w:rsidP="00D403F5">
      <w:pPr>
        <w:spacing w:after="0"/>
        <w:ind w:left="426"/>
        <w:jc w:val="both"/>
        <w:rPr>
          <w:rFonts w:ascii="Arial" w:hAnsi="Arial" w:cs="Arial"/>
          <w:sz w:val="18"/>
          <w:szCs w:val="18"/>
          <w:lang w:val="en-IE" w:eastAsia="fr-FR"/>
        </w:rPr>
      </w:pPr>
      <w:r w:rsidRPr="00D403F5">
        <w:rPr>
          <w:rFonts w:ascii="Arial" w:hAnsi="Arial" w:cs="Arial"/>
          <w:sz w:val="18"/>
          <w:szCs w:val="18"/>
          <w:lang w:eastAsia="fr-FR"/>
        </w:rPr>
        <w:t xml:space="preserve">For clinically affected fish: whole </w:t>
      </w:r>
      <w:r w:rsidRPr="00D403F5">
        <w:rPr>
          <w:rFonts w:ascii="Arial" w:hAnsi="Arial" w:cs="Arial"/>
          <w:sz w:val="18"/>
          <w:szCs w:val="18"/>
          <w:u w:val="double"/>
          <w:lang w:eastAsia="fr-FR"/>
        </w:rPr>
        <w:t>fry</w:t>
      </w:r>
      <w:r w:rsidRPr="00D403F5">
        <w:rPr>
          <w:rFonts w:ascii="Arial" w:hAnsi="Arial" w:cs="Arial"/>
          <w:sz w:val="18"/>
          <w:szCs w:val="18"/>
          <w:lang w:eastAsia="fr-FR"/>
        </w:rPr>
        <w:t xml:space="preserve"> </w:t>
      </w:r>
      <w:r w:rsidRPr="00D403F5">
        <w:rPr>
          <w:rFonts w:ascii="Arial" w:hAnsi="Arial" w:cs="Arial"/>
          <w:strike/>
          <w:sz w:val="18"/>
          <w:szCs w:val="18"/>
          <w:lang w:eastAsia="fr-FR"/>
        </w:rPr>
        <w:t xml:space="preserve">alevin </w:t>
      </w:r>
      <w:r w:rsidRPr="00D403F5">
        <w:rPr>
          <w:rFonts w:ascii="Arial" w:hAnsi="Arial" w:cs="Arial"/>
          <w:sz w:val="18"/>
          <w:szCs w:val="18"/>
          <w:lang w:eastAsia="fr-FR"/>
        </w:rPr>
        <w:t xml:space="preserve">(body length ≤ </w:t>
      </w:r>
      <w:smartTag w:uri="urn:schemas-microsoft-com:office:smarttags" w:element="metricconverter">
        <w:smartTagPr>
          <w:attr w:name="ProductID" w:val="4 cm"/>
        </w:smartTagPr>
        <w:r w:rsidRPr="00D403F5">
          <w:rPr>
            <w:rFonts w:ascii="Arial" w:hAnsi="Arial" w:cs="Arial"/>
            <w:sz w:val="18"/>
            <w:szCs w:val="18"/>
            <w:lang w:eastAsia="fr-FR"/>
          </w:rPr>
          <w:t>4 cm</w:t>
        </w:r>
      </w:smartTag>
      <w:r w:rsidRPr="00D403F5">
        <w:rPr>
          <w:rFonts w:ascii="Arial" w:hAnsi="Arial" w:cs="Arial"/>
          <w:sz w:val="18"/>
          <w:szCs w:val="18"/>
          <w:lang w:eastAsia="fr-FR"/>
        </w:rPr>
        <w:t xml:space="preserve">), entire viscera including kidney and encephalon (&gt; 4 cm body length ≤ </w:t>
      </w:r>
      <w:smartTag w:uri="urn:schemas-microsoft-com:office:smarttags" w:element="metricconverter">
        <w:smartTagPr>
          <w:attr w:name="ProductID" w:val="6 cm"/>
        </w:smartTagPr>
        <w:r w:rsidRPr="00D403F5">
          <w:rPr>
            <w:rFonts w:ascii="Arial" w:hAnsi="Arial" w:cs="Arial"/>
            <w:sz w:val="18"/>
            <w:szCs w:val="18"/>
            <w:lang w:eastAsia="fr-FR"/>
          </w:rPr>
          <w:t>6 cm</w:t>
        </w:r>
      </w:smartTag>
      <w:r w:rsidRPr="00D403F5">
        <w:rPr>
          <w:rFonts w:ascii="Arial" w:hAnsi="Arial" w:cs="Arial"/>
          <w:sz w:val="18"/>
          <w:szCs w:val="18"/>
          <w:lang w:eastAsia="fr-FR"/>
        </w:rPr>
        <w:t xml:space="preserve">) or, for larger </w:t>
      </w:r>
      <w:r w:rsidRPr="00D403F5">
        <w:rPr>
          <w:rFonts w:ascii="Arial" w:hAnsi="Arial" w:cs="Arial"/>
          <w:strike/>
          <w:sz w:val="18"/>
          <w:szCs w:val="18"/>
          <w:lang w:eastAsia="fr-FR"/>
        </w:rPr>
        <w:t xml:space="preserve">sized </w:t>
      </w:r>
      <w:r w:rsidRPr="00D403F5">
        <w:rPr>
          <w:rFonts w:ascii="Arial" w:hAnsi="Arial" w:cs="Arial"/>
          <w:sz w:val="18"/>
          <w:szCs w:val="18"/>
          <w:lang w:eastAsia="fr-FR"/>
        </w:rPr>
        <w:t>fish, liver, kidney, spleen and encephalon should be selected.</w:t>
      </w:r>
      <w:r w:rsidRPr="00D403F5">
        <w:rPr>
          <w:rFonts w:ascii="Arial" w:hAnsi="Arial" w:cs="Arial"/>
          <w:sz w:val="18"/>
          <w:szCs w:val="18"/>
          <w:lang w:val="en-IE" w:eastAsia="fr-FR"/>
        </w:rPr>
        <w:t xml:space="preserve"> </w:t>
      </w:r>
    </w:p>
    <w:p w14:paraId="17B775B5" w14:textId="77777777" w:rsidR="00C7266C" w:rsidRPr="00D403F5" w:rsidRDefault="00C7266C" w:rsidP="00D403F5">
      <w:pPr>
        <w:pStyle w:val="11"/>
        <w:spacing w:after="0"/>
        <w:ind w:left="426" w:hanging="426"/>
        <w:rPr>
          <w:sz w:val="18"/>
          <w:szCs w:val="18"/>
          <w:lang w:bidi="en-US"/>
        </w:rPr>
      </w:pPr>
      <w:r w:rsidRPr="00D403F5">
        <w:rPr>
          <w:sz w:val="18"/>
          <w:szCs w:val="18"/>
          <w:lang w:bidi="en-US"/>
        </w:rPr>
        <w:t>3.3.</w:t>
      </w:r>
      <w:r w:rsidRPr="00D403F5">
        <w:rPr>
          <w:sz w:val="18"/>
          <w:szCs w:val="18"/>
          <w:lang w:bidi="en-US"/>
        </w:rPr>
        <w:tab/>
      </w:r>
      <w:bookmarkStart w:id="72" w:name="_Hlk20832181"/>
      <w:r w:rsidRPr="00D403F5">
        <w:rPr>
          <w:sz w:val="18"/>
          <w:szCs w:val="18"/>
          <w:lang w:bidi="en-US"/>
        </w:rPr>
        <w:t>Samples or tissues not suitable for pathogen detection</w:t>
      </w:r>
      <w:bookmarkEnd w:id="72"/>
    </w:p>
    <w:p w14:paraId="742B67A2" w14:textId="77777777" w:rsidR="00C7266C" w:rsidRPr="00D403F5" w:rsidRDefault="00C7266C" w:rsidP="00D403F5">
      <w:pPr>
        <w:spacing w:after="0"/>
        <w:ind w:left="426"/>
        <w:jc w:val="both"/>
        <w:rPr>
          <w:rFonts w:ascii="Arial" w:hAnsi="Arial" w:cs="Arial"/>
          <w:sz w:val="18"/>
          <w:szCs w:val="18"/>
          <w:lang w:val="en-IE"/>
        </w:rPr>
      </w:pPr>
      <w:r w:rsidRPr="00D403F5">
        <w:rPr>
          <w:rFonts w:ascii="Arial" w:hAnsi="Arial" w:cs="Arial"/>
          <w:strike/>
          <w:sz w:val="18"/>
          <w:szCs w:val="18"/>
        </w:rPr>
        <w:t xml:space="preserve">Virus isolation may also not be possible from </w:t>
      </w:r>
      <w:r w:rsidRPr="00D403F5">
        <w:rPr>
          <w:rFonts w:ascii="Arial" w:hAnsi="Arial" w:cs="Arial"/>
          <w:sz w:val="18"/>
          <w:szCs w:val="18"/>
          <w:lang w:val="en-IE"/>
        </w:rPr>
        <w:t xml:space="preserve">Decomposed clinical samples </w:t>
      </w:r>
      <w:r w:rsidRPr="00D403F5">
        <w:rPr>
          <w:rFonts w:ascii="Arial" w:hAnsi="Arial" w:cs="Arial"/>
          <w:strike/>
          <w:sz w:val="18"/>
          <w:szCs w:val="18"/>
        </w:rPr>
        <w:t xml:space="preserve">A number of studies in which attempts were made to isolate virus from reproductive fluids were unsuccessful, although </w:t>
      </w:r>
      <w:r w:rsidRPr="00D403F5">
        <w:rPr>
          <w:rFonts w:ascii="Arial" w:hAnsi="Arial" w:cs="Arial"/>
          <w:sz w:val="18"/>
          <w:szCs w:val="18"/>
          <w:u w:val="double"/>
          <w:lang w:val="en-IE"/>
        </w:rPr>
        <w:t>and seminal fluid samples are not suitable. While</w:t>
      </w:r>
      <w:r w:rsidRPr="00D403F5">
        <w:rPr>
          <w:rFonts w:ascii="Arial" w:hAnsi="Arial" w:cs="Arial"/>
          <w:sz w:val="18"/>
          <w:szCs w:val="18"/>
          <w:lang w:val="en-IE"/>
        </w:rPr>
        <w:t xml:space="preserve"> the virus has been isolated at low frequency from ovarian</w:t>
      </w:r>
      <w:r w:rsidRPr="00D403F5">
        <w:rPr>
          <w:rFonts w:ascii="Arial" w:hAnsi="Arial" w:cs="Arial"/>
          <w:strike/>
          <w:sz w:val="18"/>
          <w:szCs w:val="18"/>
          <w:lang w:val="en-IE"/>
        </w:rPr>
        <w:t>, but not seminal,</w:t>
      </w:r>
      <w:r w:rsidRPr="00D403F5">
        <w:rPr>
          <w:rFonts w:ascii="Arial" w:hAnsi="Arial" w:cs="Arial"/>
          <w:sz w:val="18"/>
          <w:szCs w:val="18"/>
          <w:lang w:val="en-IE"/>
        </w:rPr>
        <w:t xml:space="preserve"> fluids</w:t>
      </w:r>
      <w:r w:rsidRPr="00D403F5">
        <w:rPr>
          <w:rFonts w:ascii="Arial" w:hAnsi="Arial" w:cs="Arial"/>
          <w:sz w:val="18"/>
          <w:szCs w:val="18"/>
          <w:u w:val="double"/>
          <w:lang w:val="en-IE"/>
        </w:rPr>
        <w:t>, the suitability of these samples has not been substantiated (Bekesi &amp; Csontos, 1985)</w:t>
      </w:r>
      <w:r w:rsidRPr="00D403F5">
        <w:rPr>
          <w:rFonts w:ascii="Arial" w:hAnsi="Arial" w:cs="Arial"/>
          <w:sz w:val="18"/>
          <w:szCs w:val="18"/>
          <w:lang w:val="en-IE"/>
        </w:rPr>
        <w:t xml:space="preserve">. </w:t>
      </w:r>
    </w:p>
    <w:p w14:paraId="4033AB9C" w14:textId="77777777" w:rsidR="00C7266C" w:rsidRPr="00D403F5" w:rsidRDefault="00C7266C" w:rsidP="00D403F5">
      <w:pPr>
        <w:pStyle w:val="11"/>
        <w:spacing w:after="0"/>
        <w:ind w:left="426" w:hanging="426"/>
        <w:rPr>
          <w:sz w:val="18"/>
          <w:szCs w:val="18"/>
          <w:lang w:bidi="en-US"/>
        </w:rPr>
      </w:pPr>
      <w:r w:rsidRPr="00D403F5">
        <w:rPr>
          <w:sz w:val="18"/>
          <w:szCs w:val="18"/>
          <w:lang w:bidi="en-US"/>
        </w:rPr>
        <w:t>3.4.</w:t>
      </w:r>
      <w:r w:rsidRPr="00D403F5">
        <w:rPr>
          <w:sz w:val="18"/>
          <w:szCs w:val="18"/>
          <w:lang w:bidi="en-US"/>
        </w:rPr>
        <w:tab/>
        <w:t>Non-lethal sampling</w:t>
      </w:r>
    </w:p>
    <w:p w14:paraId="194B5FF5" w14:textId="77777777" w:rsidR="00C7266C" w:rsidRPr="00D403F5" w:rsidRDefault="00C7266C" w:rsidP="00D403F5">
      <w:pPr>
        <w:spacing w:after="0"/>
        <w:ind w:left="426"/>
        <w:jc w:val="both"/>
        <w:rPr>
          <w:rFonts w:ascii="Arial" w:hAnsi="Arial"/>
          <w:b/>
          <w:bCs/>
          <w:sz w:val="18"/>
          <w:szCs w:val="18"/>
          <w:lang w:val="en-IE" w:eastAsia="fr-FR"/>
        </w:rPr>
      </w:pPr>
      <w:r w:rsidRPr="00D403F5">
        <w:rPr>
          <w:rFonts w:ascii="Arial" w:hAnsi="Arial" w:cs="Arial"/>
          <w:sz w:val="18"/>
          <w:szCs w:val="18"/>
          <w:lang w:val="en-IE" w:eastAsia="fr-FR"/>
        </w:rPr>
        <w:t xml:space="preserve">Serological assays for antibodies can be undertaken on blood samples; </w:t>
      </w:r>
      <w:r w:rsidRPr="00D403F5">
        <w:rPr>
          <w:rFonts w:ascii="Arial" w:hAnsi="Arial" w:cs="Arial"/>
          <w:strike/>
          <w:sz w:val="18"/>
          <w:szCs w:val="18"/>
          <w:lang w:val="en-IE" w:eastAsia="fr-FR"/>
        </w:rPr>
        <w:t xml:space="preserve">the </w:t>
      </w:r>
      <w:r w:rsidRPr="00D403F5">
        <w:rPr>
          <w:rFonts w:ascii="Arial" w:hAnsi="Arial" w:cs="Arial"/>
          <w:sz w:val="18"/>
          <w:szCs w:val="18"/>
          <w:u w:val="double"/>
          <w:lang w:val="en-IE" w:eastAsia="fr-FR"/>
        </w:rPr>
        <w:t>however, serology can only be used for a presumptive diagnosis given</w:t>
      </w:r>
      <w:r w:rsidRPr="00D403F5">
        <w:rPr>
          <w:rFonts w:ascii="Arial" w:hAnsi="Arial" w:cs="Arial"/>
          <w:sz w:val="18"/>
          <w:szCs w:val="18"/>
          <w:lang w:val="en-IE" w:eastAsia="fr-FR"/>
        </w:rPr>
        <w:t xml:space="preserve"> cross reactivity of anti-SVCV antibodies with viruses of the species pike fry sprivivirus</w:t>
      </w:r>
      <w:r w:rsidRPr="00D403F5">
        <w:rPr>
          <w:rFonts w:ascii="Arial" w:hAnsi="Arial" w:cs="Arial"/>
          <w:strike/>
          <w:sz w:val="18"/>
          <w:szCs w:val="18"/>
          <w:lang w:val="en-IE" w:eastAsia="fr-FR"/>
        </w:rPr>
        <w:t xml:space="preserve"> allows for a presumptive indication of infection with SVCV</w:t>
      </w:r>
      <w:r w:rsidRPr="00D403F5">
        <w:rPr>
          <w:rFonts w:ascii="Arial" w:hAnsi="Arial" w:cs="Arial"/>
          <w:sz w:val="18"/>
          <w:szCs w:val="18"/>
          <w:lang w:val="en-IE" w:eastAsia="fr-FR"/>
        </w:rPr>
        <w:t xml:space="preserve">. </w:t>
      </w:r>
    </w:p>
    <w:p w14:paraId="7BACFD23" w14:textId="77777777" w:rsidR="00C7266C" w:rsidRPr="00D403F5" w:rsidRDefault="00C7266C" w:rsidP="00D403F5">
      <w:pPr>
        <w:pStyle w:val="11"/>
        <w:spacing w:after="0"/>
        <w:ind w:left="426" w:hanging="426"/>
        <w:rPr>
          <w:sz w:val="18"/>
          <w:szCs w:val="18"/>
          <w:lang w:bidi="en-US"/>
        </w:rPr>
      </w:pPr>
      <w:r w:rsidRPr="00D403F5">
        <w:rPr>
          <w:sz w:val="18"/>
          <w:szCs w:val="18"/>
          <w:lang w:bidi="en-US"/>
        </w:rPr>
        <w:t>3.5.</w:t>
      </w:r>
      <w:r w:rsidRPr="00D403F5">
        <w:rPr>
          <w:sz w:val="18"/>
          <w:szCs w:val="18"/>
          <w:lang w:bidi="en-US"/>
        </w:rPr>
        <w:tab/>
        <w:t>Preservation of samples for submission</w:t>
      </w:r>
    </w:p>
    <w:p w14:paraId="36781E54"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 xml:space="preserve">For guidance on sample preservation methods for the intended test methods, see Chapter </w:t>
      </w:r>
      <w:r w:rsidRPr="00D403F5">
        <w:rPr>
          <w:rFonts w:ascii="Arial" w:hAnsi="Arial"/>
          <w:strike/>
          <w:sz w:val="18"/>
          <w:szCs w:val="18"/>
          <w:lang w:val="en-IE"/>
        </w:rPr>
        <w:t xml:space="preserve">2.2.0 or </w:t>
      </w:r>
      <w:r w:rsidRPr="00D403F5">
        <w:rPr>
          <w:rFonts w:ascii="Arial" w:hAnsi="Arial"/>
          <w:sz w:val="18"/>
          <w:szCs w:val="18"/>
          <w:lang w:val="en-IE"/>
        </w:rPr>
        <w:t>2.3.0</w:t>
      </w:r>
      <w:r w:rsidRPr="00D403F5">
        <w:rPr>
          <w:rFonts w:ascii="Arial" w:hAnsi="Arial"/>
          <w:strike/>
          <w:sz w:val="18"/>
          <w:szCs w:val="18"/>
          <w:lang w:val="en-IE"/>
        </w:rPr>
        <w:t xml:space="preserve"> or 2.4.0</w:t>
      </w:r>
      <w:r w:rsidRPr="00D403F5">
        <w:rPr>
          <w:rFonts w:ascii="Arial" w:hAnsi="Arial"/>
          <w:sz w:val="18"/>
          <w:szCs w:val="18"/>
          <w:lang w:val="en-IE"/>
        </w:rPr>
        <w:t>.</w:t>
      </w:r>
    </w:p>
    <w:p w14:paraId="393044AC" w14:textId="77777777" w:rsidR="00C7266C" w:rsidRPr="00D403F5" w:rsidRDefault="00C7266C" w:rsidP="00D403F5">
      <w:pPr>
        <w:pStyle w:val="111"/>
        <w:spacing w:after="0"/>
        <w:rPr>
          <w:sz w:val="18"/>
          <w:szCs w:val="18"/>
          <w:lang w:bidi="en-US"/>
        </w:rPr>
      </w:pPr>
      <w:r w:rsidRPr="00D403F5">
        <w:rPr>
          <w:sz w:val="18"/>
          <w:szCs w:val="18"/>
          <w:lang w:bidi="en-US"/>
        </w:rPr>
        <w:t>3.5.1.</w:t>
      </w:r>
      <w:r w:rsidRPr="00D403F5">
        <w:rPr>
          <w:sz w:val="18"/>
          <w:szCs w:val="18"/>
          <w:lang w:bidi="en-US"/>
        </w:rPr>
        <w:tab/>
        <w:t xml:space="preserve">Samples for pathogen isolation </w:t>
      </w:r>
    </w:p>
    <w:p w14:paraId="0BC75141" w14:textId="77777777" w:rsidR="00C7266C" w:rsidRPr="00D403F5" w:rsidRDefault="00C7266C" w:rsidP="00D403F5">
      <w:pPr>
        <w:spacing w:after="0"/>
        <w:ind w:left="851"/>
        <w:jc w:val="both"/>
        <w:outlineLvl w:val="2"/>
        <w:rPr>
          <w:sz w:val="18"/>
          <w:szCs w:val="18"/>
        </w:rPr>
      </w:pPr>
      <w:r w:rsidRPr="00D403F5">
        <w:rPr>
          <w:rFonts w:ascii="Arial" w:hAnsi="Arial" w:cs="Arial"/>
          <w:sz w:val="18"/>
          <w:szCs w:val="18"/>
        </w:rPr>
        <w:t xml:space="preserve">Samples for virus isolation (Section 3.2.) should be transported to the laboratory at </w:t>
      </w:r>
      <w:smartTag w:uri="urn:schemas-microsoft-com:office:smarttags" w:element="metricconverter">
        <w:smartTagPr>
          <w:attr w:name="ProductID" w:val="4ﾰC"/>
        </w:smartTagPr>
        <w:r w:rsidRPr="00D403F5">
          <w:rPr>
            <w:rFonts w:ascii="Arial" w:hAnsi="Arial" w:cs="Arial"/>
            <w:sz w:val="18"/>
            <w:szCs w:val="18"/>
          </w:rPr>
          <w:t>4°C</w:t>
        </w:r>
      </w:smartTag>
      <w:r w:rsidRPr="00D403F5">
        <w:rPr>
          <w:rFonts w:ascii="Arial" w:hAnsi="Arial" w:cs="Arial"/>
          <w:sz w:val="18"/>
          <w:szCs w:val="18"/>
        </w:rPr>
        <w:t xml:space="preserve"> using refrigerated containers or on ice, preferably in virus transport medium and tested within 24 hours or, in exceptional circumstances, 48 hours. The shipment of organ samples is preferred, but live or whole dead fish can be submitted to the testing laboratory if necessary. If this is not possible, samples can be frozen, but there may be loss of virus viability on thawing the samples. Repeated freeze–thawing of the sample must be avoided.</w:t>
      </w:r>
      <w:r w:rsidRPr="00D403F5">
        <w:rPr>
          <w:sz w:val="18"/>
          <w:szCs w:val="18"/>
        </w:rPr>
        <w:t xml:space="preserve"> </w:t>
      </w:r>
    </w:p>
    <w:p w14:paraId="7884EB20" w14:textId="77777777" w:rsidR="00C7266C" w:rsidRPr="00D403F5" w:rsidRDefault="00C7266C" w:rsidP="00D403F5">
      <w:pPr>
        <w:pStyle w:val="111"/>
        <w:spacing w:after="0"/>
        <w:rPr>
          <w:sz w:val="18"/>
          <w:szCs w:val="18"/>
          <w:lang w:bidi="en-US"/>
        </w:rPr>
      </w:pPr>
      <w:r w:rsidRPr="00D403F5">
        <w:rPr>
          <w:sz w:val="18"/>
          <w:szCs w:val="18"/>
          <w:lang w:bidi="en-US"/>
        </w:rPr>
        <w:t>3.5.2.</w:t>
      </w:r>
      <w:r w:rsidRPr="00D403F5">
        <w:rPr>
          <w:sz w:val="18"/>
          <w:szCs w:val="18"/>
          <w:lang w:bidi="en-US"/>
        </w:rPr>
        <w:tab/>
      </w:r>
      <w:r w:rsidRPr="00D403F5">
        <w:rPr>
          <w:sz w:val="18"/>
          <w:szCs w:val="18"/>
          <w:u w:val="double"/>
          <w:lang w:val="en-IE"/>
        </w:rPr>
        <w:t>Preservation of</w:t>
      </w:r>
      <w:r w:rsidRPr="00D403F5">
        <w:rPr>
          <w:sz w:val="18"/>
          <w:szCs w:val="18"/>
          <w:lang w:val="en-IE"/>
        </w:rPr>
        <w:t xml:space="preserve"> </w:t>
      </w:r>
      <w:r w:rsidRPr="00D403F5">
        <w:rPr>
          <w:strike/>
          <w:sz w:val="18"/>
          <w:szCs w:val="18"/>
          <w:lang w:bidi="en-US"/>
        </w:rPr>
        <w:t>Fixed</w:t>
      </w:r>
      <w:r w:rsidRPr="00D403F5">
        <w:rPr>
          <w:sz w:val="18"/>
          <w:szCs w:val="18"/>
          <w:lang w:bidi="en-US"/>
        </w:rPr>
        <w:t xml:space="preserve"> samples for molecular detection</w:t>
      </w:r>
    </w:p>
    <w:p w14:paraId="1E3D1387" w14:textId="77777777" w:rsidR="00C7266C" w:rsidRPr="00D403F5" w:rsidRDefault="00C7266C" w:rsidP="00D403F5">
      <w:pPr>
        <w:spacing w:after="0"/>
        <w:ind w:left="851"/>
        <w:jc w:val="both"/>
        <w:rPr>
          <w:rFonts w:ascii="Arial" w:hAnsi="Arial"/>
          <w:bCs/>
          <w:strike/>
          <w:sz w:val="18"/>
          <w:szCs w:val="18"/>
          <w:lang w:val="en-IE" w:eastAsia="fr-FR"/>
        </w:rPr>
      </w:pPr>
      <w:r w:rsidRPr="00D403F5">
        <w:rPr>
          <w:rFonts w:ascii="Arial" w:hAnsi="Arial"/>
          <w:bCs/>
          <w:strike/>
          <w:sz w:val="18"/>
          <w:szCs w:val="18"/>
          <w:lang w:val="en-IE" w:eastAsia="fr-FR"/>
        </w:rPr>
        <w:t xml:space="preserve">Tissue samples for PCR testing should be preserved in 70–90% (v/v) analytical/reagent-grade (absolute) ethanol. The recommended ratio of ethanol to tissue is 10:1 based on studies in terrestrial animal and human health. The use of lower grade (laboratory or industrial grade) ethanol is not recommended. </w:t>
      </w:r>
      <w:r w:rsidRPr="00D403F5">
        <w:rPr>
          <w:rFonts w:ascii="Arial" w:hAnsi="Arial" w:cs="Arial"/>
          <w:bCs/>
          <w:strike/>
          <w:sz w:val="18"/>
          <w:szCs w:val="18"/>
          <w:lang w:val="en-IE"/>
        </w:rPr>
        <w:t>[</w:t>
      </w:r>
      <w:r w:rsidRPr="00D403F5">
        <w:rPr>
          <w:rFonts w:ascii="Arial" w:hAnsi="Arial"/>
          <w:bCs/>
          <w:strike/>
          <w:sz w:val="18"/>
          <w:szCs w:val="18"/>
          <w:lang w:val="en-IE" w:eastAsia="fr-FR"/>
        </w:rPr>
        <w:t>Alternatives to ethanol can be mentioned if they can be referenced.</w:t>
      </w:r>
      <w:r w:rsidRPr="00D403F5">
        <w:rPr>
          <w:rFonts w:ascii="Arial" w:hAnsi="Arial" w:cs="Arial"/>
          <w:bCs/>
          <w:strike/>
          <w:sz w:val="18"/>
          <w:szCs w:val="18"/>
          <w:lang w:val="en-IE"/>
        </w:rPr>
        <w:t>]</w:t>
      </w:r>
    </w:p>
    <w:p w14:paraId="2822E0E9" w14:textId="77777777" w:rsidR="00C7266C" w:rsidRPr="00D403F5" w:rsidRDefault="00C7266C" w:rsidP="00D403F5">
      <w:pPr>
        <w:spacing w:after="0"/>
        <w:ind w:left="851"/>
        <w:jc w:val="both"/>
        <w:rPr>
          <w:rFonts w:ascii="Arial" w:hAnsi="Arial"/>
          <w:bCs/>
          <w:sz w:val="18"/>
          <w:szCs w:val="18"/>
          <w:lang w:val="en-IE" w:eastAsia="fr-FR"/>
        </w:rPr>
      </w:pPr>
      <w:r w:rsidRPr="00D403F5">
        <w:rPr>
          <w:rFonts w:ascii="Arial" w:hAnsi="Arial"/>
          <w:bCs/>
          <w:sz w:val="18"/>
          <w:szCs w:val="18"/>
          <w:lang w:eastAsia="fr-FR"/>
        </w:rPr>
        <w:t xml:space="preserve">The material collected for virus culture is generally used for the molecular diagnostic assays, but additional tissue samples for RT-PCR can be preserved in commercially available RNA preservation solutions according to the manufacturers’ recommendations, or, alternatively, samples can be preserved in </w:t>
      </w:r>
      <w:r w:rsidRPr="00D403F5">
        <w:rPr>
          <w:rFonts w:ascii="Arial" w:hAnsi="Arial"/>
          <w:bCs/>
          <w:sz w:val="18"/>
          <w:szCs w:val="18"/>
          <w:lang w:val="en-IE" w:eastAsia="fr-FR"/>
        </w:rPr>
        <w:t>80–90% (v/v) analytical grade (absolute) ethanol at the recommended ratio of ethanol to tissue of 10:1.</w:t>
      </w:r>
    </w:p>
    <w:p w14:paraId="5D1B0D54" w14:textId="77777777" w:rsidR="00C7266C" w:rsidRPr="00D403F5" w:rsidRDefault="00C7266C" w:rsidP="00D403F5">
      <w:pPr>
        <w:pStyle w:val="111"/>
        <w:spacing w:after="0"/>
        <w:rPr>
          <w:sz w:val="18"/>
          <w:szCs w:val="18"/>
          <w:lang w:bidi="en-US"/>
        </w:rPr>
      </w:pPr>
      <w:r w:rsidRPr="00D403F5">
        <w:rPr>
          <w:sz w:val="18"/>
          <w:szCs w:val="18"/>
          <w:lang w:bidi="en-US"/>
        </w:rPr>
        <w:t>3.5.3.</w:t>
      </w:r>
      <w:r w:rsidRPr="00D403F5">
        <w:rPr>
          <w:sz w:val="18"/>
          <w:szCs w:val="18"/>
          <w:lang w:bidi="en-US"/>
        </w:rPr>
        <w:tab/>
        <w:t xml:space="preserve">Fixed samples for histopathology, immunohistochemistry or </w:t>
      </w:r>
      <w:r w:rsidRPr="00D403F5">
        <w:rPr>
          <w:i/>
          <w:sz w:val="18"/>
          <w:szCs w:val="18"/>
          <w:lang w:bidi="en-US"/>
        </w:rPr>
        <w:t>in-situ</w:t>
      </w:r>
      <w:r w:rsidRPr="00D403F5">
        <w:rPr>
          <w:sz w:val="18"/>
          <w:szCs w:val="18"/>
          <w:lang w:bidi="en-US"/>
        </w:rPr>
        <w:t xml:space="preserve"> hybridisation</w:t>
      </w:r>
    </w:p>
    <w:p w14:paraId="71DB42AD" w14:textId="77777777" w:rsidR="00C7266C" w:rsidRPr="00D403F5" w:rsidRDefault="00C7266C" w:rsidP="00D403F5">
      <w:pPr>
        <w:spacing w:after="0"/>
        <w:ind w:left="851"/>
        <w:jc w:val="both"/>
        <w:rPr>
          <w:rFonts w:ascii="Arial" w:hAnsi="Arial"/>
          <w:bCs/>
          <w:sz w:val="18"/>
          <w:szCs w:val="18"/>
          <w:lang w:eastAsia="fr-FR"/>
        </w:rPr>
      </w:pPr>
      <w:r w:rsidRPr="00D403F5">
        <w:rPr>
          <w:rFonts w:ascii="Arial" w:hAnsi="Arial"/>
          <w:bCs/>
          <w:sz w:val="18"/>
          <w:szCs w:val="18"/>
          <w:lang w:eastAsia="fr-FR"/>
        </w:rPr>
        <w:t xml:space="preserve">Histology samples from each individual fish must be taken into 10% neutral buffered formalin </w:t>
      </w:r>
      <w:r w:rsidRPr="00D403F5">
        <w:rPr>
          <w:rFonts w:ascii="Arial" w:hAnsi="Arial"/>
          <w:bCs/>
          <w:strike/>
          <w:sz w:val="18"/>
          <w:szCs w:val="18"/>
          <w:lang w:eastAsia="fr-FR"/>
        </w:rPr>
        <w:t>(NBF)</w:t>
      </w:r>
      <w:r w:rsidRPr="00D403F5">
        <w:rPr>
          <w:rFonts w:ascii="Arial" w:hAnsi="Arial"/>
          <w:bCs/>
          <w:sz w:val="18"/>
          <w:szCs w:val="18"/>
          <w:lang w:eastAsia="fr-FR"/>
        </w:rPr>
        <w:t xml:space="preserve"> immediately after collection to prevent sample deterioration. </w:t>
      </w:r>
      <w:r w:rsidRPr="00D403F5">
        <w:rPr>
          <w:rFonts w:ascii="Arial" w:hAnsi="Arial"/>
          <w:bCs/>
          <w:sz w:val="18"/>
          <w:szCs w:val="18"/>
          <w:lang w:val="en-IE" w:eastAsia="fr-FR"/>
        </w:rPr>
        <w:t xml:space="preserve">The recommended ratio of fixative to tissue is 10:1 and </w:t>
      </w:r>
      <w:r w:rsidRPr="00D403F5">
        <w:rPr>
          <w:rFonts w:ascii="Arial" w:hAnsi="Arial"/>
          <w:bCs/>
          <w:sz w:val="18"/>
          <w:szCs w:val="18"/>
          <w:lang w:eastAsia="fr-FR"/>
        </w:rPr>
        <w:t>each sample should be no thicker than approximately 4 mm to allow the fixative to penetrate the material and should be cut cleanly.</w:t>
      </w:r>
    </w:p>
    <w:p w14:paraId="0399EE06" w14:textId="77777777" w:rsidR="00C7266C" w:rsidRPr="00D403F5" w:rsidRDefault="00C7266C" w:rsidP="00D403F5">
      <w:pPr>
        <w:pStyle w:val="111"/>
        <w:spacing w:after="0"/>
        <w:rPr>
          <w:sz w:val="18"/>
          <w:szCs w:val="18"/>
          <w:lang w:bidi="en-US"/>
        </w:rPr>
      </w:pPr>
      <w:r w:rsidRPr="00D403F5">
        <w:rPr>
          <w:sz w:val="18"/>
          <w:szCs w:val="18"/>
          <w:lang w:bidi="en-US"/>
        </w:rPr>
        <w:br w:type="page"/>
      </w:r>
    </w:p>
    <w:p w14:paraId="434D035E" w14:textId="77777777" w:rsidR="00C7266C" w:rsidRPr="00D403F5" w:rsidRDefault="00C7266C" w:rsidP="0076436B">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7C8706E9" w14:textId="77777777" w:rsidR="00C7266C" w:rsidRPr="00D403F5" w:rsidRDefault="00C7266C" w:rsidP="00D403F5">
      <w:pPr>
        <w:pStyle w:val="111"/>
        <w:spacing w:after="0"/>
        <w:rPr>
          <w:sz w:val="18"/>
          <w:szCs w:val="18"/>
          <w:lang w:bidi="en-US"/>
        </w:rPr>
      </w:pPr>
      <w:r w:rsidRPr="00D403F5">
        <w:rPr>
          <w:sz w:val="18"/>
          <w:szCs w:val="18"/>
          <w:lang w:bidi="en-US"/>
        </w:rPr>
        <w:t>3.5.4.</w:t>
      </w:r>
      <w:r w:rsidRPr="00D403F5">
        <w:rPr>
          <w:sz w:val="18"/>
          <w:szCs w:val="18"/>
          <w:lang w:bidi="en-US"/>
        </w:rPr>
        <w:tab/>
        <w:t>Fixed samples for electron microscopy</w:t>
      </w:r>
    </w:p>
    <w:p w14:paraId="632109B6" w14:textId="77777777" w:rsidR="00C7266C" w:rsidRPr="00D403F5" w:rsidRDefault="00C7266C" w:rsidP="00D403F5">
      <w:pPr>
        <w:spacing w:after="0"/>
        <w:ind w:left="851"/>
        <w:jc w:val="both"/>
        <w:rPr>
          <w:rFonts w:ascii="Arial" w:hAnsi="Arial"/>
          <w:bCs/>
          <w:sz w:val="18"/>
          <w:szCs w:val="18"/>
          <w:lang w:eastAsia="fr-FR"/>
        </w:rPr>
      </w:pPr>
      <w:r w:rsidRPr="00D403F5">
        <w:rPr>
          <w:rFonts w:ascii="Arial" w:hAnsi="Arial"/>
          <w:bCs/>
          <w:strike/>
          <w:sz w:val="18"/>
          <w:szCs w:val="18"/>
          <w:lang w:eastAsia="fr-FR"/>
        </w:rPr>
        <w:t xml:space="preserve">EM sampling is </w:t>
      </w:r>
      <w:r w:rsidRPr="00D403F5">
        <w:rPr>
          <w:rFonts w:ascii="Arial" w:hAnsi="Arial"/>
          <w:bCs/>
          <w:sz w:val="18"/>
          <w:szCs w:val="18"/>
          <w:u w:val="double"/>
          <w:lang w:eastAsia="fr-FR"/>
        </w:rPr>
        <w:t>Samples for electron microscopy are</w:t>
      </w:r>
      <w:r w:rsidRPr="00D403F5">
        <w:rPr>
          <w:rFonts w:ascii="Arial" w:hAnsi="Arial"/>
          <w:bCs/>
          <w:sz w:val="18"/>
          <w:szCs w:val="18"/>
          <w:lang w:eastAsia="fr-FR"/>
        </w:rPr>
        <w:t xml:space="preserve"> not </w:t>
      </w:r>
      <w:r w:rsidRPr="00D403F5">
        <w:rPr>
          <w:rFonts w:ascii="Arial" w:hAnsi="Arial"/>
          <w:bCs/>
          <w:sz w:val="18"/>
          <w:szCs w:val="18"/>
          <w:u w:val="double"/>
          <w:lang w:eastAsia="fr-FR"/>
        </w:rPr>
        <w:t>routinely</w:t>
      </w:r>
      <w:r w:rsidRPr="00D403F5">
        <w:rPr>
          <w:rFonts w:ascii="Arial" w:hAnsi="Arial"/>
          <w:bCs/>
          <w:sz w:val="18"/>
          <w:szCs w:val="18"/>
          <w:lang w:eastAsia="fr-FR"/>
        </w:rPr>
        <w:t xml:space="preserve"> required </w:t>
      </w:r>
      <w:r w:rsidRPr="00D403F5">
        <w:rPr>
          <w:rFonts w:ascii="Arial" w:hAnsi="Arial"/>
          <w:bCs/>
          <w:strike/>
          <w:sz w:val="18"/>
          <w:szCs w:val="18"/>
          <w:lang w:eastAsia="fr-FR"/>
        </w:rPr>
        <w:t xml:space="preserve">as standard, and the material is </w:t>
      </w:r>
      <w:r w:rsidRPr="00D403F5">
        <w:rPr>
          <w:rFonts w:ascii="Arial" w:hAnsi="Arial"/>
          <w:bCs/>
          <w:sz w:val="18"/>
          <w:szCs w:val="18"/>
          <w:u w:val="double"/>
          <w:lang w:eastAsia="fr-FR"/>
        </w:rPr>
        <w:t>and are</w:t>
      </w:r>
      <w:r w:rsidRPr="00D403F5">
        <w:rPr>
          <w:rFonts w:ascii="Arial" w:hAnsi="Arial"/>
          <w:bCs/>
          <w:sz w:val="18"/>
          <w:szCs w:val="18"/>
          <w:lang w:eastAsia="fr-FR"/>
        </w:rPr>
        <w:t xml:space="preserve"> collected only </w:t>
      </w:r>
      <w:r w:rsidRPr="00D403F5">
        <w:rPr>
          <w:rFonts w:ascii="Arial" w:hAnsi="Arial"/>
          <w:bCs/>
          <w:sz w:val="18"/>
          <w:szCs w:val="18"/>
          <w:u w:val="double"/>
          <w:lang w:eastAsia="fr-FR"/>
        </w:rPr>
        <w:t>when</w:t>
      </w:r>
      <w:r w:rsidRPr="00D403F5">
        <w:rPr>
          <w:rFonts w:ascii="Arial" w:hAnsi="Arial"/>
          <w:bCs/>
          <w:sz w:val="18"/>
          <w:szCs w:val="18"/>
          <w:lang w:eastAsia="fr-FR"/>
        </w:rPr>
        <w:t xml:space="preserve"> </w:t>
      </w:r>
      <w:r w:rsidRPr="00D403F5">
        <w:rPr>
          <w:rFonts w:ascii="Arial" w:hAnsi="Arial"/>
          <w:bCs/>
          <w:strike/>
          <w:sz w:val="18"/>
          <w:szCs w:val="18"/>
          <w:lang w:eastAsia="fr-FR"/>
        </w:rPr>
        <w:t xml:space="preserve">where </w:t>
      </w:r>
      <w:r w:rsidRPr="00D403F5">
        <w:rPr>
          <w:rFonts w:ascii="Arial" w:hAnsi="Arial"/>
          <w:bCs/>
          <w:sz w:val="18"/>
          <w:szCs w:val="18"/>
          <w:lang w:eastAsia="fr-FR"/>
        </w:rPr>
        <w:t xml:space="preserve">it is considered beneficial to facilitate </w:t>
      </w:r>
      <w:r w:rsidRPr="00D403F5">
        <w:rPr>
          <w:rFonts w:ascii="Arial" w:hAnsi="Arial"/>
          <w:bCs/>
          <w:strike/>
          <w:sz w:val="18"/>
          <w:szCs w:val="18"/>
          <w:lang w:eastAsia="fr-FR"/>
        </w:rPr>
        <w:t xml:space="preserve">potential </w:t>
      </w:r>
      <w:r w:rsidRPr="00D403F5">
        <w:rPr>
          <w:rFonts w:ascii="Arial" w:hAnsi="Arial"/>
          <w:bCs/>
          <w:sz w:val="18"/>
          <w:szCs w:val="18"/>
          <w:lang w:eastAsia="fr-FR"/>
        </w:rPr>
        <w:t xml:space="preserve">further diagnostic </w:t>
      </w:r>
      <w:r w:rsidRPr="00D403F5">
        <w:rPr>
          <w:rFonts w:ascii="Arial" w:hAnsi="Arial"/>
          <w:bCs/>
          <w:sz w:val="18"/>
          <w:szCs w:val="18"/>
          <w:u w:val="double"/>
          <w:lang w:eastAsia="fr-FR"/>
        </w:rPr>
        <w:t>investigation</w:t>
      </w:r>
      <w:r w:rsidRPr="00D403F5">
        <w:rPr>
          <w:rFonts w:ascii="Arial" w:hAnsi="Arial"/>
          <w:bCs/>
          <w:strike/>
          <w:sz w:val="18"/>
          <w:szCs w:val="18"/>
          <w:lang w:eastAsia="fr-FR"/>
        </w:rPr>
        <w:t xml:space="preserve"> work</w:t>
      </w:r>
      <w:r w:rsidRPr="00D403F5">
        <w:rPr>
          <w:rFonts w:ascii="Arial" w:hAnsi="Arial"/>
          <w:bCs/>
          <w:sz w:val="18"/>
          <w:szCs w:val="18"/>
          <w:lang w:eastAsia="fr-FR"/>
        </w:rPr>
        <w:t xml:space="preserve">. From each fish sampled, a 2 mm cubed (approximately) </w:t>
      </w:r>
      <w:r w:rsidRPr="00D403F5">
        <w:rPr>
          <w:rFonts w:ascii="Arial" w:hAnsi="Arial"/>
          <w:bCs/>
          <w:sz w:val="18"/>
          <w:szCs w:val="18"/>
          <w:u w:val="double"/>
          <w:lang w:eastAsia="fr-FR"/>
        </w:rPr>
        <w:t>sample</w:t>
      </w:r>
      <w:r w:rsidRPr="00D403F5">
        <w:rPr>
          <w:rFonts w:ascii="Arial" w:hAnsi="Arial"/>
          <w:bCs/>
          <w:sz w:val="18"/>
          <w:szCs w:val="18"/>
          <w:lang w:eastAsia="fr-FR"/>
        </w:rPr>
        <w:t xml:space="preserve"> </w:t>
      </w:r>
      <w:r w:rsidRPr="00D403F5">
        <w:rPr>
          <w:rFonts w:ascii="Arial" w:hAnsi="Arial"/>
          <w:bCs/>
          <w:strike/>
          <w:sz w:val="18"/>
          <w:szCs w:val="18"/>
          <w:lang w:eastAsia="fr-FR"/>
        </w:rPr>
        <w:t xml:space="preserve">section </w:t>
      </w:r>
      <w:r w:rsidRPr="00D403F5">
        <w:rPr>
          <w:rFonts w:ascii="Arial" w:hAnsi="Arial"/>
          <w:bCs/>
          <w:sz w:val="18"/>
          <w:szCs w:val="18"/>
          <w:lang w:eastAsia="fr-FR"/>
        </w:rPr>
        <w:t xml:space="preserve">from each of the appropriate organs described in section 3.2 should be fixed in glutaraldehyde; </w:t>
      </w:r>
      <w:r w:rsidRPr="00D403F5">
        <w:rPr>
          <w:rFonts w:ascii="Arial" w:hAnsi="Arial"/>
          <w:bCs/>
          <w:sz w:val="18"/>
          <w:szCs w:val="18"/>
          <w:lang w:val="en-IE" w:eastAsia="fr-FR"/>
        </w:rPr>
        <w:t>the recommended ratio of fixative to tissue is 10:1.</w:t>
      </w:r>
    </w:p>
    <w:p w14:paraId="057E68B5" w14:textId="77777777" w:rsidR="00C7266C" w:rsidRPr="00D403F5" w:rsidRDefault="00C7266C" w:rsidP="00D403F5">
      <w:pPr>
        <w:pStyle w:val="111"/>
        <w:spacing w:after="0"/>
        <w:rPr>
          <w:sz w:val="18"/>
          <w:szCs w:val="18"/>
          <w:lang w:bidi="en-US"/>
        </w:rPr>
      </w:pPr>
      <w:r w:rsidRPr="00D403F5">
        <w:rPr>
          <w:sz w:val="18"/>
          <w:szCs w:val="18"/>
          <w:lang w:bidi="en-US"/>
        </w:rPr>
        <w:t>3.5.5.</w:t>
      </w:r>
      <w:r w:rsidRPr="00D403F5">
        <w:rPr>
          <w:sz w:val="18"/>
          <w:szCs w:val="18"/>
          <w:lang w:bidi="en-US"/>
        </w:rPr>
        <w:tab/>
        <w:t>Samples for other tests</w:t>
      </w:r>
    </w:p>
    <w:p w14:paraId="5D839635" w14:textId="77777777" w:rsidR="00C7266C" w:rsidRPr="00D403F5" w:rsidRDefault="00C7266C" w:rsidP="00D403F5">
      <w:pPr>
        <w:spacing w:after="0"/>
        <w:ind w:left="851"/>
        <w:outlineLvl w:val="2"/>
        <w:rPr>
          <w:rFonts w:ascii="Arial" w:hAnsi="Arial"/>
          <w:bCs/>
          <w:sz w:val="18"/>
          <w:szCs w:val="18"/>
          <w:lang w:val="en" w:eastAsia="fr-FR"/>
        </w:rPr>
      </w:pPr>
      <w:r w:rsidRPr="00D403F5">
        <w:rPr>
          <w:rFonts w:ascii="Arial" w:hAnsi="Arial"/>
          <w:bCs/>
          <w:sz w:val="18"/>
          <w:szCs w:val="18"/>
          <w:lang w:val="en" w:eastAsia="fr-FR"/>
        </w:rPr>
        <w:t xml:space="preserve">Tubes for the separation of serum are available commercially. After collection, the blood is allowed to clot by leaving it undisturbed at room temperature. This usually takes 15–30 minutes. Serum is clarified by centrifuging at 1000–2000 </w:t>
      </w:r>
      <w:r w:rsidRPr="00D403F5">
        <w:rPr>
          <w:rFonts w:ascii="Arial" w:hAnsi="Arial"/>
          <w:b/>
          <w:bCs/>
          <w:i/>
          <w:sz w:val="18"/>
          <w:szCs w:val="18"/>
          <w:lang w:val="en" w:eastAsia="fr-FR"/>
        </w:rPr>
        <w:t>g</w:t>
      </w:r>
      <w:r w:rsidRPr="00D403F5">
        <w:rPr>
          <w:rFonts w:ascii="Arial" w:hAnsi="Arial"/>
          <w:bCs/>
          <w:sz w:val="18"/>
          <w:szCs w:val="18"/>
          <w:lang w:val="en" w:eastAsia="fr-FR"/>
        </w:rPr>
        <w:t xml:space="preserve"> for 10 minutes in a refrigerated centrifuge.</w:t>
      </w:r>
    </w:p>
    <w:p w14:paraId="1C2660C6" w14:textId="77777777" w:rsidR="00C7266C" w:rsidRPr="00D403F5" w:rsidRDefault="00C7266C" w:rsidP="00D403F5">
      <w:pPr>
        <w:spacing w:after="0"/>
        <w:ind w:left="851"/>
        <w:jc w:val="both"/>
        <w:outlineLvl w:val="2"/>
        <w:rPr>
          <w:rFonts w:ascii="Arial" w:hAnsi="Arial"/>
          <w:bCs/>
          <w:sz w:val="18"/>
          <w:szCs w:val="18"/>
          <w:lang w:val="en" w:eastAsia="fr-FR"/>
        </w:rPr>
      </w:pPr>
      <w:r w:rsidRPr="00D403F5">
        <w:rPr>
          <w:rFonts w:ascii="Arial" w:hAnsi="Arial"/>
          <w:bCs/>
          <w:sz w:val="18"/>
          <w:szCs w:val="18"/>
          <w:lang w:val="en" w:eastAsia="fr-FR"/>
        </w:rPr>
        <w:t>It is important to immediately transfer the liquid component (serum) into a clean polypropylene tube using a Pasteur pipette and maintain the samples at 2–8°C while handling. If the serum is not analysed immediately, it should be apportioned into 0.5 ml aliquots, stored, and transported at –20°C or lower. It is important to avoid freeze–thaw cycles because this is detrimental to many serum components. Samples that are haemolysed, icteric or lipaemic can invalidate certain tests.</w:t>
      </w:r>
    </w:p>
    <w:p w14:paraId="075B4687" w14:textId="77777777" w:rsidR="00C7266C" w:rsidRPr="00D403F5" w:rsidRDefault="00C7266C" w:rsidP="00D403F5">
      <w:pPr>
        <w:pStyle w:val="11"/>
        <w:spacing w:after="0"/>
        <w:ind w:left="426" w:hanging="426"/>
        <w:rPr>
          <w:sz w:val="18"/>
          <w:szCs w:val="18"/>
          <w:lang w:bidi="en-US"/>
        </w:rPr>
      </w:pPr>
      <w:r w:rsidRPr="00D403F5">
        <w:rPr>
          <w:sz w:val="18"/>
          <w:szCs w:val="18"/>
          <w:lang w:bidi="en-US"/>
        </w:rPr>
        <w:t>3.6.</w:t>
      </w:r>
      <w:r w:rsidRPr="00D403F5">
        <w:rPr>
          <w:sz w:val="18"/>
          <w:szCs w:val="18"/>
          <w:lang w:bidi="en-US"/>
        </w:rPr>
        <w:tab/>
        <w:t>Pooling of samples</w:t>
      </w:r>
    </w:p>
    <w:p w14:paraId="53AD5E2B" w14:textId="77777777" w:rsidR="00C7266C" w:rsidRPr="00D403F5" w:rsidRDefault="00C7266C" w:rsidP="00D403F5">
      <w:pPr>
        <w:spacing w:after="0"/>
        <w:ind w:left="425"/>
        <w:jc w:val="both"/>
        <w:rPr>
          <w:rFonts w:ascii="Arial" w:hAnsi="Arial" w:cs="Arial"/>
          <w:strike/>
          <w:sz w:val="18"/>
          <w:szCs w:val="18"/>
          <w:lang w:val="en-IE"/>
        </w:rPr>
      </w:pPr>
      <w:r w:rsidRPr="00D403F5">
        <w:rPr>
          <w:rFonts w:ascii="Arial" w:hAnsi="Arial" w:cs="Arial"/>
          <w:strike/>
          <w:sz w:val="18"/>
          <w:szCs w:val="18"/>
          <w:lang w:val="en-IE"/>
        </w:rPr>
        <w:t>Traditionally pools of five animals have been used and more recently this has been increased to pools of ten animals for virus culture. However, no published data on the effect of pooling on test characteristics has been published.</w:t>
      </w:r>
    </w:p>
    <w:p w14:paraId="3D026925" w14:textId="77777777" w:rsidR="00C7266C" w:rsidRPr="00D403F5" w:rsidRDefault="00C7266C" w:rsidP="00D403F5">
      <w:pPr>
        <w:spacing w:after="0"/>
        <w:ind w:left="426"/>
        <w:jc w:val="both"/>
        <w:rPr>
          <w:rFonts w:ascii="Arial" w:hAnsi="Arial" w:cs="Arial"/>
          <w:sz w:val="18"/>
          <w:szCs w:val="18"/>
          <w:u w:val="double"/>
          <w:lang w:val="en-IE"/>
        </w:rPr>
      </w:pPr>
      <w:r w:rsidRPr="00D403F5">
        <w:rPr>
          <w:rFonts w:ascii="Arial" w:hAnsi="Arial" w:cs="Arial"/>
          <w:sz w:val="18"/>
          <w:szCs w:val="18"/>
          <w:u w:val="double"/>
          <w:lang w:val="en-IE"/>
        </w:rPr>
        <w:t>Pooling of samples from more than one individual animal for a given purpose should only be recommended where supporting data on diagnostic sensitivity and diagnostic specificity are available. However, smaller life stages (e.g. fry) can be pooled to provide a minimum amount of material for testing.</w:t>
      </w:r>
    </w:p>
    <w:p w14:paraId="20887BE5" w14:textId="77777777" w:rsidR="00C7266C" w:rsidRPr="00D403F5" w:rsidRDefault="00C7266C" w:rsidP="00D403F5">
      <w:pPr>
        <w:spacing w:after="0"/>
        <w:ind w:left="284" w:hanging="284"/>
        <w:outlineLvl w:val="0"/>
        <w:rPr>
          <w:rFonts w:ascii="Ottawa" w:hAnsi="Ottawa"/>
          <w:b/>
          <w:bCs/>
          <w:sz w:val="18"/>
          <w:szCs w:val="18"/>
          <w:lang w:val="en-IE" w:bidi="en-US"/>
        </w:rPr>
      </w:pPr>
      <w:r w:rsidRPr="00D403F5">
        <w:rPr>
          <w:rFonts w:ascii="Ottawa" w:hAnsi="Ottawa"/>
          <w:b/>
          <w:bCs/>
          <w:sz w:val="18"/>
          <w:szCs w:val="18"/>
          <w:lang w:val="en-IE" w:bidi="en-US"/>
        </w:rPr>
        <w:t>4.</w:t>
      </w:r>
      <w:r w:rsidRPr="00D403F5">
        <w:rPr>
          <w:rFonts w:ascii="Ottawa" w:hAnsi="Ottawa"/>
          <w:b/>
          <w:bCs/>
          <w:sz w:val="18"/>
          <w:szCs w:val="18"/>
          <w:lang w:val="en-IE" w:bidi="en-US"/>
        </w:rPr>
        <w:tab/>
        <w:t>Diagnostic methods</w:t>
      </w:r>
    </w:p>
    <w:p w14:paraId="2F05D6A9" w14:textId="77777777" w:rsidR="00C7266C" w:rsidRPr="00D403F5" w:rsidRDefault="00C7266C" w:rsidP="00D403F5">
      <w:pPr>
        <w:spacing w:after="0"/>
        <w:jc w:val="both"/>
        <w:rPr>
          <w:rFonts w:ascii="Arial" w:hAnsi="Arial" w:cs="Arial"/>
          <w:sz w:val="18"/>
          <w:szCs w:val="18"/>
          <w:lang w:val="en-IE" w:bidi="en-US"/>
        </w:rPr>
      </w:pPr>
      <w:r w:rsidRPr="00D403F5">
        <w:rPr>
          <w:rFonts w:ascii="Arial" w:hAnsi="Arial" w:cs="Arial"/>
          <w:sz w:val="18"/>
          <w:szCs w:val="18"/>
          <w:lang w:val="en-IE" w:bidi="en-US"/>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0E08DC67" w14:textId="77777777" w:rsidR="00C7266C" w:rsidRPr="00D403F5" w:rsidRDefault="00C7266C" w:rsidP="00D403F5">
      <w:pPr>
        <w:spacing w:after="0"/>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Key: </w:t>
      </w:r>
    </w:p>
    <w:p w14:paraId="04FC0814" w14:textId="77777777" w:rsidR="00C7266C" w:rsidRPr="00D403F5" w:rsidRDefault="00C7266C" w:rsidP="00D403F5">
      <w:pPr>
        <w:spacing w:after="0"/>
        <w:ind w:left="709" w:hanging="709"/>
        <w:rPr>
          <w:rFonts w:ascii="Arial" w:eastAsia="Calibri" w:hAnsi="Arial" w:cs="Arial"/>
          <w:color w:val="000000"/>
          <w:sz w:val="18"/>
          <w:szCs w:val="18"/>
          <w:lang w:val="en-IE"/>
        </w:rPr>
      </w:pPr>
      <w:r w:rsidRPr="00D403F5">
        <w:rPr>
          <w:rFonts w:ascii="Arial" w:eastAsia="Calibri" w:hAnsi="Arial" w:cs="Arial"/>
          <w:color w:val="000000"/>
          <w:sz w:val="18"/>
          <w:szCs w:val="18"/>
          <w:lang w:val="en-IE"/>
        </w:rPr>
        <w:t>+++ =</w:t>
      </w:r>
      <w:r w:rsidRPr="00D403F5">
        <w:rPr>
          <w:rFonts w:ascii="Arial" w:eastAsia="Calibri" w:hAnsi="Arial" w:cs="Arial"/>
          <w:color w:val="000000"/>
          <w:sz w:val="18"/>
          <w:szCs w:val="18"/>
          <w:lang w:val="en-IE"/>
        </w:rPr>
        <w:tab/>
        <w:t>Recommended method(s) validated for the purpose shown and usually to stage 3 of the OIE Validation Pathway;</w:t>
      </w:r>
    </w:p>
    <w:p w14:paraId="53CEA4A2" w14:textId="77777777" w:rsidR="00C7266C" w:rsidRPr="00D403F5" w:rsidRDefault="00C7266C" w:rsidP="00D403F5">
      <w:pPr>
        <w:spacing w:after="0"/>
        <w:ind w:left="709" w:hanging="709"/>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 = </w:t>
      </w:r>
      <w:r w:rsidRPr="00D403F5">
        <w:rPr>
          <w:rFonts w:ascii="Arial" w:eastAsia="Calibri" w:hAnsi="Arial" w:cs="Arial"/>
          <w:color w:val="000000"/>
          <w:sz w:val="18"/>
          <w:szCs w:val="18"/>
          <w:lang w:val="en-IE"/>
        </w:rPr>
        <w:tab/>
        <w:t xml:space="preserve">Suitable method(s) but may need further validation; </w:t>
      </w:r>
    </w:p>
    <w:p w14:paraId="398EABA0" w14:textId="77777777" w:rsidR="00C7266C" w:rsidRPr="00D403F5" w:rsidRDefault="00C7266C" w:rsidP="00D403F5">
      <w:pPr>
        <w:spacing w:after="0"/>
        <w:ind w:left="709" w:hanging="709"/>
        <w:rPr>
          <w:rFonts w:ascii="Arial" w:eastAsia="Calibri" w:hAnsi="Arial" w:cs="Arial"/>
          <w:sz w:val="18"/>
          <w:szCs w:val="18"/>
          <w:lang w:val="en-IE"/>
        </w:rPr>
      </w:pPr>
      <w:r w:rsidRPr="00D403F5">
        <w:rPr>
          <w:rFonts w:ascii="Arial" w:eastAsia="Calibri" w:hAnsi="Arial" w:cs="Arial"/>
          <w:color w:val="000000"/>
          <w:sz w:val="18"/>
          <w:szCs w:val="18"/>
          <w:lang w:val="en-IE"/>
        </w:rPr>
        <w:t xml:space="preserve">+ = </w:t>
      </w:r>
      <w:r w:rsidRPr="00D403F5">
        <w:rPr>
          <w:rFonts w:ascii="Arial" w:eastAsia="Calibri" w:hAnsi="Arial" w:cs="Arial"/>
          <w:color w:val="000000"/>
          <w:sz w:val="18"/>
          <w:szCs w:val="18"/>
          <w:lang w:val="en-IE"/>
        </w:rPr>
        <w:tab/>
        <w:t xml:space="preserve">May be used </w:t>
      </w:r>
      <w:r w:rsidRPr="00D403F5">
        <w:rPr>
          <w:rFonts w:ascii="Arial" w:eastAsia="Calibri" w:hAnsi="Arial" w:cs="Arial"/>
          <w:sz w:val="18"/>
          <w:szCs w:val="18"/>
          <w:lang w:val="en-IE"/>
        </w:rPr>
        <w:t xml:space="preserve">in some situations, but cost, reliability, lack of validation or other factors severely limits its application; </w:t>
      </w:r>
    </w:p>
    <w:p w14:paraId="315AEB9F" w14:textId="77777777" w:rsidR="00C7266C" w:rsidRPr="00D403F5" w:rsidRDefault="00C7266C" w:rsidP="00D403F5">
      <w:pPr>
        <w:spacing w:after="0"/>
        <w:ind w:left="709" w:hanging="709"/>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Shaded boxes = </w:t>
      </w:r>
      <w:r w:rsidRPr="00D403F5">
        <w:rPr>
          <w:rFonts w:ascii="Arial" w:eastAsia="Calibri" w:hAnsi="Arial" w:cs="Arial"/>
          <w:color w:val="000000"/>
          <w:sz w:val="18"/>
          <w:szCs w:val="18"/>
          <w:lang w:val="en-IE"/>
        </w:rPr>
        <w:tab/>
        <w:t>Not appropriate for this purpose.</w:t>
      </w:r>
    </w:p>
    <w:p w14:paraId="080E0C14" w14:textId="77777777" w:rsidR="00C7266C" w:rsidRPr="00D403F5" w:rsidRDefault="00C7266C" w:rsidP="00D403F5">
      <w:pPr>
        <w:spacing w:after="0"/>
        <w:jc w:val="both"/>
        <w:rPr>
          <w:rFonts w:ascii="Arial" w:hAnsi="Arial" w:cs="Arial"/>
          <w:sz w:val="18"/>
          <w:szCs w:val="18"/>
          <w:lang w:val="en-IE" w:bidi="en-US"/>
        </w:rPr>
      </w:pPr>
      <w:r w:rsidRPr="00D403F5">
        <w:rPr>
          <w:rFonts w:ascii="Arial" w:hAnsi="Arial" w:cs="Arial"/>
          <w:sz w:val="18"/>
          <w:szCs w:val="18"/>
          <w:lang w:val="en-IE" w:bidi="en-US"/>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1DF22286" w14:textId="77777777" w:rsidR="00C7266C" w:rsidRPr="00D403F5" w:rsidRDefault="00C7266C" w:rsidP="00D403F5">
      <w:pPr>
        <w:spacing w:after="0"/>
        <w:jc w:val="both"/>
        <w:rPr>
          <w:rFonts w:ascii="Arial" w:hAnsi="Arial" w:cs="Arial"/>
          <w:sz w:val="18"/>
          <w:szCs w:val="18"/>
          <w:lang w:val="en-IE" w:bidi="en-US"/>
        </w:rPr>
      </w:pPr>
    </w:p>
    <w:p w14:paraId="6D233E8D" w14:textId="77777777" w:rsidR="00C7266C" w:rsidRPr="00D403F5" w:rsidRDefault="00C7266C" w:rsidP="00D403F5">
      <w:pPr>
        <w:spacing w:after="0"/>
        <w:jc w:val="center"/>
        <w:rPr>
          <w:rFonts w:ascii="Ottawa" w:hAnsi="Ottawa"/>
          <w:b/>
          <w:bCs/>
          <w:i/>
          <w:sz w:val="18"/>
          <w:szCs w:val="18"/>
          <w:lang w:val="en-IE" w:bidi="en-US"/>
        </w:rPr>
        <w:sectPr w:rsidR="00C7266C" w:rsidRPr="00D403F5" w:rsidSect="00C7266C">
          <w:headerReference w:type="even" r:id="rId91"/>
          <w:headerReference w:type="default" r:id="rId92"/>
          <w:footerReference w:type="even" r:id="rId93"/>
          <w:footerReference w:type="default" r:id="rId94"/>
          <w:headerReference w:type="first" r:id="rId95"/>
          <w:footerReference w:type="first" r:id="rId96"/>
          <w:type w:val="oddPage"/>
          <w:pgSz w:w="11906" w:h="16838" w:code="9"/>
          <w:pgMar w:top="1418" w:right="1418" w:bottom="1418" w:left="1418" w:header="709" w:footer="709" w:gutter="0"/>
          <w:cols w:space="708"/>
          <w:vAlign w:val="both"/>
          <w:titlePg/>
          <w:docGrid w:linePitch="360"/>
        </w:sectPr>
      </w:pPr>
    </w:p>
    <w:p w14:paraId="7C23992F" w14:textId="77777777" w:rsidR="00C7266C" w:rsidRPr="00D403F5" w:rsidRDefault="00C7266C" w:rsidP="0076436B">
      <w:pPr>
        <w:spacing w:after="240"/>
        <w:jc w:val="right"/>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7CB8AAEA" w14:textId="77777777" w:rsidR="00C7266C" w:rsidRPr="00D403F5" w:rsidRDefault="00C7266C" w:rsidP="00951F46">
      <w:pPr>
        <w:spacing w:after="240"/>
        <w:jc w:val="center"/>
        <w:rPr>
          <w:rFonts w:ascii="Ottawa" w:hAnsi="Ottawa"/>
          <w:bCs/>
          <w:i/>
          <w:sz w:val="18"/>
          <w:szCs w:val="18"/>
          <w:lang w:val="en-IE" w:bidi="en-US"/>
        </w:rPr>
      </w:pPr>
      <w:r w:rsidRPr="00D403F5">
        <w:rPr>
          <w:rFonts w:ascii="Ottawa" w:hAnsi="Ottawa"/>
          <w:b/>
          <w:bCs/>
          <w:i/>
          <w:sz w:val="18"/>
          <w:szCs w:val="18"/>
          <w:lang w:val="en-IE" w:bidi="en-US"/>
        </w:rPr>
        <w:t>Table 4.</w:t>
      </w:r>
      <w:r w:rsidRPr="00D403F5">
        <w:rPr>
          <w:rFonts w:ascii="Ottawa" w:hAnsi="Ottawa"/>
          <w:b/>
          <w:bCs/>
          <w:i/>
          <w:noProof/>
          <w:sz w:val="18"/>
          <w:szCs w:val="18"/>
          <w:lang w:val="en-IE" w:bidi="en-US"/>
        </w:rPr>
        <w:t>1</w:t>
      </w:r>
      <w:r w:rsidRPr="00D403F5">
        <w:rPr>
          <w:rFonts w:ascii="Ottawa" w:hAnsi="Ottawa"/>
          <w:b/>
          <w:bCs/>
          <w:i/>
          <w:sz w:val="18"/>
          <w:szCs w:val="18"/>
          <w:lang w:val="en-IE" w:bidi="en-US"/>
        </w:rPr>
        <w:t xml:space="preserve">. </w:t>
      </w:r>
      <w:r w:rsidRPr="00D403F5">
        <w:rPr>
          <w:rFonts w:ascii="Ottawa" w:hAnsi="Ottawa"/>
          <w:bCs/>
          <w:i/>
          <w:sz w:val="18"/>
          <w:szCs w:val="18"/>
          <w:lang w:val="en-IE" w:bidi="en-US"/>
        </w:rPr>
        <w:t>OIE recommended</w:t>
      </w:r>
      <w:r w:rsidRPr="00D403F5">
        <w:rPr>
          <w:rFonts w:ascii="Ottawa" w:hAnsi="Ottawa"/>
          <w:b/>
          <w:bCs/>
          <w:i/>
          <w:sz w:val="18"/>
          <w:szCs w:val="18"/>
          <w:lang w:val="en-IE" w:bidi="en-US"/>
        </w:rPr>
        <w:t xml:space="preserve"> </w:t>
      </w:r>
      <w:r w:rsidRPr="00D403F5">
        <w:rPr>
          <w:rFonts w:ascii="Ottawa" w:hAnsi="Ottawa"/>
          <w:bCs/>
          <w:i/>
          <w:sz w:val="18"/>
          <w:szCs w:val="18"/>
          <w:lang w:val="en-IE" w:bidi="en-US"/>
        </w:rPr>
        <w:t xml:space="preserve">diagnostic methods and their level of validation for surveillance of healthy animals and investigation of clinically affected animals </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C7266C" w:rsidRPr="00D403F5" w14:paraId="13E4BF06" w14:textId="77777777" w:rsidTr="00C7266C">
        <w:trPr>
          <w:trHeight w:val="402"/>
          <w:tblHeader/>
          <w:jc w:val="center"/>
        </w:trPr>
        <w:tc>
          <w:tcPr>
            <w:tcW w:w="2399" w:type="dxa"/>
            <w:vMerge w:val="restart"/>
            <w:tcBorders>
              <w:top w:val="single" w:sz="6" w:space="0" w:color="auto"/>
              <w:left w:val="single" w:sz="6" w:space="0" w:color="auto"/>
            </w:tcBorders>
            <w:vAlign w:val="center"/>
          </w:tcPr>
          <w:p w14:paraId="5381C32D"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Method</w:t>
            </w:r>
          </w:p>
        </w:tc>
        <w:tc>
          <w:tcPr>
            <w:tcW w:w="3514" w:type="dxa"/>
            <w:gridSpan w:val="4"/>
            <w:tcBorders>
              <w:top w:val="single" w:sz="6" w:space="0" w:color="auto"/>
              <w:left w:val="single" w:sz="6" w:space="0" w:color="auto"/>
              <w:bottom w:val="single" w:sz="4" w:space="0" w:color="auto"/>
              <w:right w:val="single" w:sz="6" w:space="0" w:color="auto"/>
            </w:tcBorders>
          </w:tcPr>
          <w:p w14:paraId="34296C0A" w14:textId="77777777" w:rsidR="00C7266C" w:rsidRPr="00D403F5" w:rsidRDefault="00C7266C" w:rsidP="00D403F5">
            <w:pPr>
              <w:numPr>
                <w:ilvl w:val="0"/>
                <w:numId w:val="26"/>
              </w:numPr>
              <w:spacing w:after="0" w:line="240" w:lineRule="auto"/>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Surveillance of apparently healthy animals</w:t>
            </w:r>
          </w:p>
        </w:tc>
        <w:tc>
          <w:tcPr>
            <w:tcW w:w="3218" w:type="dxa"/>
            <w:gridSpan w:val="4"/>
            <w:tcBorders>
              <w:top w:val="single" w:sz="6" w:space="0" w:color="auto"/>
              <w:left w:val="single" w:sz="6" w:space="0" w:color="auto"/>
            </w:tcBorders>
          </w:tcPr>
          <w:p w14:paraId="34229B8B" w14:textId="77777777" w:rsidR="00C7266C" w:rsidRPr="00D403F5" w:rsidRDefault="00C7266C" w:rsidP="00D403F5">
            <w:pPr>
              <w:numPr>
                <w:ilvl w:val="0"/>
                <w:numId w:val="26"/>
              </w:numPr>
              <w:spacing w:after="0" w:line="240" w:lineRule="auto"/>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Presumptive diagnosis of clinically affected animals</w:t>
            </w:r>
          </w:p>
        </w:tc>
        <w:tc>
          <w:tcPr>
            <w:tcW w:w="3444" w:type="dxa"/>
            <w:gridSpan w:val="4"/>
            <w:tcBorders>
              <w:top w:val="single" w:sz="6" w:space="0" w:color="auto"/>
              <w:left w:val="single" w:sz="6" w:space="0" w:color="auto"/>
              <w:right w:val="single" w:sz="6" w:space="0" w:color="auto"/>
            </w:tcBorders>
          </w:tcPr>
          <w:p w14:paraId="2EB5EA28" w14:textId="77777777" w:rsidR="00C7266C" w:rsidRPr="00D403F5" w:rsidRDefault="00C7266C" w:rsidP="00D403F5">
            <w:pPr>
              <w:numPr>
                <w:ilvl w:val="0"/>
                <w:numId w:val="26"/>
              </w:numPr>
              <w:spacing w:after="0" w:line="240" w:lineRule="auto"/>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Confirmatory diagnosis</w:t>
            </w:r>
            <w:r w:rsidRPr="00D403F5">
              <w:rPr>
                <w:rFonts w:ascii="Arial Narrow" w:hAnsi="Arial Narrow" w:cs="Arial"/>
                <w:b/>
                <w:bCs/>
                <w:sz w:val="18"/>
                <w:szCs w:val="18"/>
                <w:vertAlign w:val="superscript"/>
                <w:lang w:val="en-IE" w:bidi="en-US"/>
              </w:rPr>
              <w:t>1</w:t>
            </w:r>
            <w:r w:rsidRPr="00D403F5">
              <w:rPr>
                <w:rFonts w:ascii="Arial Narrow" w:hAnsi="Arial Narrow" w:cs="Arial"/>
                <w:b/>
                <w:bCs/>
                <w:sz w:val="18"/>
                <w:szCs w:val="18"/>
                <w:lang w:val="en-IE" w:bidi="en-US"/>
              </w:rPr>
              <w:t xml:space="preserve"> of a suspect result </w:t>
            </w:r>
            <w:r w:rsidRPr="00D403F5">
              <w:rPr>
                <w:rFonts w:ascii="Arial Narrow" w:hAnsi="Arial Narrow"/>
                <w:b/>
                <w:bCs/>
                <w:sz w:val="18"/>
                <w:szCs w:val="18"/>
                <w:lang w:val="en-IE" w:bidi="en-US"/>
              </w:rPr>
              <w:t>from surveillance or presumptive diagnosis</w:t>
            </w:r>
          </w:p>
        </w:tc>
      </w:tr>
      <w:tr w:rsidR="00C7266C" w:rsidRPr="00D403F5" w14:paraId="7B0EDBD8" w14:textId="77777777" w:rsidTr="00C7266C">
        <w:trPr>
          <w:trHeight w:val="402"/>
          <w:tblHeader/>
          <w:jc w:val="center"/>
        </w:trPr>
        <w:tc>
          <w:tcPr>
            <w:tcW w:w="2399" w:type="dxa"/>
            <w:vMerge/>
            <w:tcBorders>
              <w:left w:val="single" w:sz="6" w:space="0" w:color="auto"/>
            </w:tcBorders>
            <w:vAlign w:val="center"/>
          </w:tcPr>
          <w:p w14:paraId="49810F63" w14:textId="77777777" w:rsidR="00C7266C" w:rsidRPr="00D403F5" w:rsidRDefault="00C7266C" w:rsidP="00D403F5">
            <w:pPr>
              <w:spacing w:after="0"/>
              <w:jc w:val="center"/>
              <w:rPr>
                <w:rFonts w:ascii="Arial Narrow" w:hAnsi="Arial Narrow" w:cs="Arial"/>
                <w:b/>
                <w:bCs/>
                <w:sz w:val="18"/>
                <w:szCs w:val="18"/>
                <w:lang w:val="en-IE" w:bidi="en-US"/>
              </w:rPr>
            </w:pPr>
          </w:p>
        </w:tc>
        <w:tc>
          <w:tcPr>
            <w:tcW w:w="920" w:type="dxa"/>
            <w:tcBorders>
              <w:top w:val="single" w:sz="4" w:space="0" w:color="auto"/>
              <w:left w:val="single" w:sz="6" w:space="0" w:color="auto"/>
              <w:bottom w:val="single" w:sz="6" w:space="0" w:color="auto"/>
            </w:tcBorders>
            <w:vAlign w:val="center"/>
          </w:tcPr>
          <w:p w14:paraId="77382A5E"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Early life stages</w:t>
            </w:r>
            <w:r w:rsidRPr="00D403F5">
              <w:rPr>
                <w:rFonts w:ascii="Arial Narrow" w:hAnsi="Arial Narrow" w:cs="Arial"/>
                <w:b/>
                <w:bCs/>
                <w:sz w:val="18"/>
                <w:szCs w:val="18"/>
                <w:vertAlign w:val="superscript"/>
                <w:lang w:val="en-IE" w:bidi="en-US"/>
              </w:rPr>
              <w:t>2</w:t>
            </w:r>
          </w:p>
        </w:tc>
        <w:tc>
          <w:tcPr>
            <w:tcW w:w="992" w:type="dxa"/>
            <w:tcBorders>
              <w:top w:val="single" w:sz="4" w:space="0" w:color="auto"/>
              <w:left w:val="single" w:sz="6" w:space="0" w:color="auto"/>
              <w:bottom w:val="single" w:sz="6" w:space="0" w:color="auto"/>
            </w:tcBorders>
            <w:vAlign w:val="center"/>
          </w:tcPr>
          <w:p w14:paraId="40BE5D72"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Juveniles</w:t>
            </w:r>
            <w:r w:rsidRPr="00D403F5">
              <w:rPr>
                <w:rFonts w:ascii="Arial Narrow" w:hAnsi="Arial Narrow" w:cs="Arial"/>
                <w:b/>
                <w:bCs/>
                <w:sz w:val="18"/>
                <w:szCs w:val="18"/>
                <w:vertAlign w:val="superscript"/>
                <w:lang w:val="en-IE" w:bidi="en-US"/>
              </w:rPr>
              <w:t>2</w:t>
            </w:r>
          </w:p>
        </w:tc>
        <w:tc>
          <w:tcPr>
            <w:tcW w:w="709" w:type="dxa"/>
            <w:tcBorders>
              <w:top w:val="single" w:sz="4" w:space="0" w:color="auto"/>
              <w:left w:val="single" w:sz="6" w:space="0" w:color="auto"/>
              <w:bottom w:val="single" w:sz="6" w:space="0" w:color="auto"/>
            </w:tcBorders>
            <w:vAlign w:val="center"/>
          </w:tcPr>
          <w:p w14:paraId="6213BDA5"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Adults</w:t>
            </w:r>
          </w:p>
        </w:tc>
        <w:tc>
          <w:tcPr>
            <w:tcW w:w="893" w:type="dxa"/>
            <w:tcBorders>
              <w:top w:val="single" w:sz="4" w:space="0" w:color="auto"/>
              <w:left w:val="single" w:sz="6" w:space="0" w:color="auto"/>
              <w:bottom w:val="single" w:sz="6" w:space="0" w:color="auto"/>
              <w:right w:val="single" w:sz="6" w:space="0" w:color="auto"/>
            </w:tcBorders>
            <w:vAlign w:val="center"/>
          </w:tcPr>
          <w:p w14:paraId="2A5F5DFA"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LV</w:t>
            </w:r>
          </w:p>
        </w:tc>
        <w:tc>
          <w:tcPr>
            <w:tcW w:w="776" w:type="dxa"/>
            <w:tcBorders>
              <w:top w:val="single" w:sz="6" w:space="0" w:color="auto"/>
              <w:left w:val="single" w:sz="6" w:space="0" w:color="auto"/>
            </w:tcBorders>
            <w:vAlign w:val="center"/>
          </w:tcPr>
          <w:p w14:paraId="27A4FD0A"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US" w:bidi="en-US"/>
              </w:rPr>
              <w:t>Early life stages</w:t>
            </w:r>
            <w:r w:rsidRPr="00D403F5">
              <w:rPr>
                <w:rFonts w:ascii="Arial Narrow" w:hAnsi="Arial Narrow" w:cs="Arial"/>
                <w:b/>
                <w:bCs/>
                <w:sz w:val="18"/>
                <w:szCs w:val="18"/>
                <w:vertAlign w:val="superscript"/>
                <w:lang w:val="en-US" w:bidi="en-US"/>
              </w:rPr>
              <w:t>2</w:t>
            </w:r>
          </w:p>
        </w:tc>
        <w:tc>
          <w:tcPr>
            <w:tcW w:w="851" w:type="dxa"/>
            <w:tcBorders>
              <w:top w:val="single" w:sz="6" w:space="0" w:color="auto"/>
              <w:left w:val="single" w:sz="6" w:space="0" w:color="auto"/>
            </w:tcBorders>
            <w:vAlign w:val="center"/>
          </w:tcPr>
          <w:p w14:paraId="7F8C2B77"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Juveniles</w:t>
            </w:r>
            <w:r w:rsidRPr="00D403F5">
              <w:rPr>
                <w:rFonts w:ascii="Arial Narrow" w:hAnsi="Arial Narrow" w:cs="Arial"/>
                <w:b/>
                <w:bCs/>
                <w:sz w:val="18"/>
                <w:szCs w:val="18"/>
                <w:vertAlign w:val="superscript"/>
                <w:lang w:val="en-US" w:bidi="en-US"/>
              </w:rPr>
              <w:t>2</w:t>
            </w:r>
          </w:p>
        </w:tc>
        <w:tc>
          <w:tcPr>
            <w:tcW w:w="708" w:type="dxa"/>
            <w:tcBorders>
              <w:top w:val="single" w:sz="6" w:space="0" w:color="auto"/>
              <w:left w:val="single" w:sz="6" w:space="0" w:color="auto"/>
            </w:tcBorders>
            <w:vAlign w:val="center"/>
          </w:tcPr>
          <w:p w14:paraId="3F6C7555"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Adults</w:t>
            </w:r>
          </w:p>
        </w:tc>
        <w:tc>
          <w:tcPr>
            <w:tcW w:w="883" w:type="dxa"/>
            <w:tcBorders>
              <w:top w:val="single" w:sz="4" w:space="0" w:color="auto"/>
              <w:left w:val="single" w:sz="6" w:space="0" w:color="auto"/>
              <w:right w:val="single" w:sz="6" w:space="0" w:color="auto"/>
            </w:tcBorders>
            <w:vAlign w:val="center"/>
          </w:tcPr>
          <w:p w14:paraId="3EDE1685"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LV</w:t>
            </w:r>
          </w:p>
        </w:tc>
        <w:tc>
          <w:tcPr>
            <w:tcW w:w="960" w:type="dxa"/>
            <w:tcBorders>
              <w:top w:val="single" w:sz="4" w:space="0" w:color="auto"/>
              <w:left w:val="single" w:sz="6" w:space="0" w:color="auto"/>
              <w:right w:val="single" w:sz="6" w:space="0" w:color="auto"/>
            </w:tcBorders>
            <w:vAlign w:val="center"/>
          </w:tcPr>
          <w:p w14:paraId="6912C195"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US" w:bidi="en-US"/>
              </w:rPr>
              <w:t>Early life stages</w:t>
            </w:r>
            <w:r w:rsidRPr="00D403F5">
              <w:rPr>
                <w:rFonts w:ascii="Arial Narrow" w:hAnsi="Arial Narrow" w:cs="Arial"/>
                <w:b/>
                <w:bCs/>
                <w:sz w:val="18"/>
                <w:szCs w:val="18"/>
                <w:vertAlign w:val="superscript"/>
                <w:lang w:val="en-US" w:bidi="en-US"/>
              </w:rPr>
              <w:t>2</w:t>
            </w:r>
          </w:p>
        </w:tc>
        <w:tc>
          <w:tcPr>
            <w:tcW w:w="851" w:type="dxa"/>
            <w:tcBorders>
              <w:top w:val="single" w:sz="4" w:space="0" w:color="auto"/>
              <w:left w:val="single" w:sz="6" w:space="0" w:color="auto"/>
              <w:right w:val="single" w:sz="6" w:space="0" w:color="auto"/>
            </w:tcBorders>
            <w:vAlign w:val="center"/>
          </w:tcPr>
          <w:p w14:paraId="0F996618"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Juveniles</w:t>
            </w:r>
            <w:r w:rsidRPr="00D403F5">
              <w:rPr>
                <w:rFonts w:ascii="Arial Narrow" w:hAnsi="Arial Narrow" w:cs="Arial"/>
                <w:b/>
                <w:bCs/>
                <w:sz w:val="18"/>
                <w:szCs w:val="18"/>
                <w:vertAlign w:val="superscript"/>
                <w:lang w:val="en-US" w:bidi="en-US"/>
              </w:rPr>
              <w:t>2</w:t>
            </w:r>
          </w:p>
        </w:tc>
        <w:tc>
          <w:tcPr>
            <w:tcW w:w="708" w:type="dxa"/>
            <w:tcBorders>
              <w:top w:val="single" w:sz="4" w:space="0" w:color="auto"/>
              <w:left w:val="single" w:sz="6" w:space="0" w:color="auto"/>
            </w:tcBorders>
            <w:vAlign w:val="center"/>
          </w:tcPr>
          <w:p w14:paraId="0AEE6EF4"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Adults</w:t>
            </w:r>
          </w:p>
        </w:tc>
        <w:tc>
          <w:tcPr>
            <w:tcW w:w="925" w:type="dxa"/>
            <w:tcBorders>
              <w:top w:val="single" w:sz="4" w:space="0" w:color="auto"/>
              <w:left w:val="single" w:sz="6" w:space="0" w:color="auto"/>
              <w:right w:val="single" w:sz="6" w:space="0" w:color="auto"/>
            </w:tcBorders>
            <w:vAlign w:val="center"/>
          </w:tcPr>
          <w:p w14:paraId="78233E02"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LV</w:t>
            </w:r>
          </w:p>
        </w:tc>
      </w:tr>
      <w:tr w:rsidR="00C7266C" w:rsidRPr="00D403F5" w14:paraId="07B70F05" w14:textId="77777777" w:rsidTr="00C7266C">
        <w:trPr>
          <w:trHeight w:val="227"/>
          <w:jc w:val="center"/>
        </w:trPr>
        <w:tc>
          <w:tcPr>
            <w:tcW w:w="2399" w:type="dxa"/>
            <w:tcBorders>
              <w:top w:val="single" w:sz="6" w:space="0" w:color="auto"/>
              <w:left w:val="single" w:sz="6" w:space="0" w:color="auto"/>
            </w:tcBorders>
            <w:vAlign w:val="center"/>
          </w:tcPr>
          <w:p w14:paraId="0414D6BF"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Wet mounts</w:t>
            </w:r>
          </w:p>
        </w:tc>
        <w:tc>
          <w:tcPr>
            <w:tcW w:w="920" w:type="dxa"/>
            <w:tcBorders>
              <w:top w:val="single" w:sz="6" w:space="0" w:color="auto"/>
              <w:left w:val="single" w:sz="6" w:space="0" w:color="auto"/>
            </w:tcBorders>
            <w:shd w:val="clear" w:color="auto" w:fill="D9D9D9"/>
            <w:vAlign w:val="center"/>
          </w:tcPr>
          <w:p w14:paraId="2E7F18CE"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tcBorders>
            <w:shd w:val="clear" w:color="auto" w:fill="D9D9D9"/>
            <w:vAlign w:val="center"/>
          </w:tcPr>
          <w:p w14:paraId="5CE7723F"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tcBorders>
            <w:shd w:val="clear" w:color="auto" w:fill="D9D9D9"/>
            <w:vAlign w:val="center"/>
          </w:tcPr>
          <w:p w14:paraId="3616CBCE"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14:paraId="23956D69"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6" w:space="0" w:color="auto"/>
              <w:left w:val="single" w:sz="6" w:space="0" w:color="auto"/>
            </w:tcBorders>
            <w:shd w:val="clear" w:color="auto" w:fill="D9D9D9"/>
            <w:vAlign w:val="center"/>
          </w:tcPr>
          <w:p w14:paraId="36932B3D"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tcBorders>
            <w:shd w:val="clear" w:color="auto" w:fill="D9D9D9"/>
            <w:vAlign w:val="center"/>
          </w:tcPr>
          <w:p w14:paraId="46EE91AF"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tcBorders>
            <w:shd w:val="clear" w:color="auto" w:fill="D9D9D9"/>
            <w:vAlign w:val="center"/>
          </w:tcPr>
          <w:p w14:paraId="4957CE33" w14:textId="77777777" w:rsidR="00C7266C" w:rsidRPr="00D403F5" w:rsidRDefault="00C7266C" w:rsidP="00D403F5">
            <w:pPr>
              <w:spacing w:after="0"/>
              <w:jc w:val="center"/>
              <w:rPr>
                <w:rFonts w:ascii="Arial Narrow" w:hAnsi="Arial Narrow" w:cs="Arial"/>
                <w:bCs/>
                <w:sz w:val="18"/>
                <w:szCs w:val="18"/>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14:paraId="488E5C62" w14:textId="77777777" w:rsidR="00C7266C" w:rsidRPr="00D403F5" w:rsidRDefault="00C7266C" w:rsidP="00D403F5">
            <w:pPr>
              <w:spacing w:after="0"/>
              <w:jc w:val="center"/>
              <w:rPr>
                <w:rFonts w:ascii="Arial Narrow" w:hAnsi="Arial Narrow" w:cs="Arial"/>
                <w:bCs/>
                <w:sz w:val="18"/>
                <w:szCs w:val="18"/>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14:paraId="187AFDFC"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14:paraId="416E72FB"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tcBorders>
            <w:shd w:val="clear" w:color="auto" w:fill="D9D9D9"/>
            <w:vAlign w:val="center"/>
          </w:tcPr>
          <w:p w14:paraId="453DD722"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14:paraId="707305EB"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378B1394" w14:textId="77777777" w:rsidTr="00C7266C">
        <w:trPr>
          <w:trHeight w:val="324"/>
          <w:jc w:val="center"/>
        </w:trPr>
        <w:tc>
          <w:tcPr>
            <w:tcW w:w="2399" w:type="dxa"/>
            <w:tcBorders>
              <w:top w:val="single" w:sz="6" w:space="0" w:color="auto"/>
              <w:left w:val="single" w:sz="6" w:space="0" w:color="auto"/>
            </w:tcBorders>
            <w:vAlign w:val="center"/>
          </w:tcPr>
          <w:p w14:paraId="14C7F608"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Histopathology</w:t>
            </w:r>
            <w:r w:rsidRPr="00D403F5">
              <w:rPr>
                <w:rFonts w:ascii="Arial Narrow" w:hAnsi="Arial Narrow" w:cs="Arial"/>
                <w:b/>
                <w:bCs/>
                <w:sz w:val="18"/>
                <w:szCs w:val="18"/>
                <w:vertAlign w:val="superscript"/>
                <w:lang w:val="en-US" w:bidi="en-US"/>
              </w:rPr>
              <w:t>3</w:t>
            </w:r>
          </w:p>
        </w:tc>
        <w:tc>
          <w:tcPr>
            <w:tcW w:w="920" w:type="dxa"/>
            <w:tcBorders>
              <w:top w:val="single" w:sz="6" w:space="0" w:color="auto"/>
              <w:left w:val="single" w:sz="6" w:space="0" w:color="auto"/>
            </w:tcBorders>
            <w:shd w:val="clear" w:color="auto" w:fill="D9D9D9"/>
            <w:vAlign w:val="center"/>
          </w:tcPr>
          <w:p w14:paraId="563641C2"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tcBorders>
            <w:shd w:val="clear" w:color="auto" w:fill="D9D9D9"/>
            <w:vAlign w:val="center"/>
          </w:tcPr>
          <w:p w14:paraId="7A8599CC"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tcBorders>
            <w:shd w:val="clear" w:color="auto" w:fill="D9D9D9"/>
            <w:vAlign w:val="center"/>
          </w:tcPr>
          <w:p w14:paraId="726A1DA5"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14:paraId="6C002A6A"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6" w:space="0" w:color="auto"/>
              <w:left w:val="single" w:sz="6" w:space="0" w:color="auto"/>
            </w:tcBorders>
            <w:shd w:val="clear" w:color="auto" w:fill="D9D9D9"/>
            <w:vAlign w:val="center"/>
          </w:tcPr>
          <w:p w14:paraId="5D681EDD"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tcBorders>
            <w:shd w:val="clear" w:color="auto" w:fill="D9D9D9"/>
            <w:vAlign w:val="center"/>
          </w:tcPr>
          <w:p w14:paraId="7E74F5F3"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tcBorders>
            <w:shd w:val="clear" w:color="auto" w:fill="D9D9D9"/>
            <w:vAlign w:val="center"/>
          </w:tcPr>
          <w:p w14:paraId="680C5A2B" w14:textId="77777777" w:rsidR="00C7266C" w:rsidRPr="00D403F5" w:rsidRDefault="00C7266C" w:rsidP="00D403F5">
            <w:pPr>
              <w:spacing w:after="0"/>
              <w:jc w:val="center"/>
              <w:rPr>
                <w:rFonts w:ascii="Arial Narrow" w:hAnsi="Arial Narrow" w:cs="Arial"/>
                <w:bCs/>
                <w:sz w:val="18"/>
                <w:szCs w:val="18"/>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14:paraId="3CEC1D3B" w14:textId="77777777" w:rsidR="00C7266C" w:rsidRPr="00D403F5" w:rsidRDefault="00C7266C" w:rsidP="00D403F5">
            <w:pPr>
              <w:spacing w:after="0"/>
              <w:jc w:val="center"/>
              <w:rPr>
                <w:rFonts w:ascii="Arial Narrow" w:hAnsi="Arial Narrow" w:cs="Arial"/>
                <w:bCs/>
                <w:sz w:val="18"/>
                <w:szCs w:val="18"/>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14:paraId="492A32B4"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14:paraId="72E80E29"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tcBorders>
            <w:shd w:val="clear" w:color="auto" w:fill="D9D9D9"/>
            <w:vAlign w:val="center"/>
          </w:tcPr>
          <w:p w14:paraId="4B7434E1"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14:paraId="441D6A7D"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62E92D40"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6D7AEA42"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Cytopathology</w:t>
            </w:r>
            <w:r w:rsidRPr="00D403F5">
              <w:rPr>
                <w:rFonts w:ascii="Arial Narrow" w:hAnsi="Arial Narrow" w:cs="Arial"/>
                <w:b/>
                <w:bCs/>
                <w:sz w:val="18"/>
                <w:szCs w:val="18"/>
                <w:vertAlign w:val="superscript"/>
                <w:lang w:val="en-IE" w:bidi="en-US"/>
              </w:rPr>
              <w:t>3</w:t>
            </w:r>
          </w:p>
        </w:tc>
        <w:tc>
          <w:tcPr>
            <w:tcW w:w="920" w:type="dxa"/>
            <w:tcBorders>
              <w:top w:val="single" w:sz="6" w:space="0" w:color="auto"/>
              <w:left w:val="single" w:sz="6" w:space="0" w:color="auto"/>
              <w:bottom w:val="single" w:sz="6" w:space="0" w:color="auto"/>
            </w:tcBorders>
            <w:shd w:val="clear" w:color="auto" w:fill="D9D9D9"/>
            <w:vAlign w:val="center"/>
          </w:tcPr>
          <w:p w14:paraId="1F79C97C"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14:paraId="1E3355EB"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3273D0DE"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14:paraId="2020ACD7"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14:paraId="209385EE"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tcBorders>
            <w:shd w:val="clear" w:color="auto" w:fill="D9D9D9"/>
            <w:vAlign w:val="center"/>
          </w:tcPr>
          <w:p w14:paraId="5685BC6C"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14:paraId="639A6794" w14:textId="77777777" w:rsidR="00C7266C" w:rsidRPr="00D403F5" w:rsidRDefault="00C7266C" w:rsidP="00D403F5">
            <w:pPr>
              <w:spacing w:after="0"/>
              <w:jc w:val="center"/>
              <w:rPr>
                <w:rFonts w:ascii="Arial Narrow" w:hAnsi="Arial Narrow" w:cs="Arial"/>
                <w:bCs/>
                <w:sz w:val="18"/>
                <w:szCs w:val="18"/>
                <w:lang w:val="en-IE" w:bidi="en-US"/>
              </w:rPr>
            </w:pPr>
          </w:p>
        </w:tc>
        <w:tc>
          <w:tcPr>
            <w:tcW w:w="883" w:type="dxa"/>
            <w:tcBorders>
              <w:top w:val="single" w:sz="6" w:space="0" w:color="auto"/>
              <w:left w:val="single" w:sz="6" w:space="0" w:color="auto"/>
              <w:bottom w:val="single" w:sz="6" w:space="0" w:color="auto"/>
              <w:right w:val="single" w:sz="6" w:space="0" w:color="auto"/>
            </w:tcBorders>
            <w:shd w:val="clear" w:color="auto" w:fill="D9D9D9"/>
            <w:vAlign w:val="center"/>
          </w:tcPr>
          <w:p w14:paraId="35848BA2" w14:textId="77777777" w:rsidR="00C7266C" w:rsidRPr="00D403F5" w:rsidRDefault="00C7266C" w:rsidP="00D403F5">
            <w:pPr>
              <w:spacing w:after="0"/>
              <w:jc w:val="center"/>
              <w:rPr>
                <w:rFonts w:ascii="Arial Narrow" w:hAnsi="Arial Narrow"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14:paraId="38ED8AC9"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right w:val="single" w:sz="6" w:space="0" w:color="auto"/>
            </w:tcBorders>
            <w:shd w:val="clear" w:color="auto" w:fill="D9D9D9"/>
            <w:vAlign w:val="center"/>
          </w:tcPr>
          <w:p w14:paraId="0BF21F0F"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14:paraId="629E345A"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6" w:space="0" w:color="auto"/>
              <w:left w:val="single" w:sz="6" w:space="0" w:color="auto"/>
              <w:bottom w:val="single" w:sz="6" w:space="0" w:color="auto"/>
              <w:right w:val="single" w:sz="6" w:space="0" w:color="auto"/>
            </w:tcBorders>
            <w:shd w:val="clear" w:color="auto" w:fill="D9D9D9"/>
            <w:vAlign w:val="center"/>
          </w:tcPr>
          <w:p w14:paraId="6A4B397C"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0650AD6F"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2679DCF9"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Cell or artificial media culture</w:t>
            </w:r>
          </w:p>
        </w:tc>
        <w:tc>
          <w:tcPr>
            <w:tcW w:w="920" w:type="dxa"/>
            <w:tcBorders>
              <w:top w:val="single" w:sz="6" w:space="0" w:color="auto"/>
              <w:left w:val="single" w:sz="6" w:space="0" w:color="auto"/>
              <w:bottom w:val="single" w:sz="6" w:space="0" w:color="auto"/>
            </w:tcBorders>
            <w:shd w:val="clear" w:color="auto" w:fill="D9D9D9"/>
            <w:vAlign w:val="center"/>
          </w:tcPr>
          <w:p w14:paraId="2C1F0570"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vAlign w:val="center"/>
          </w:tcPr>
          <w:p w14:paraId="3D207061"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6" w:space="0" w:color="auto"/>
              <w:left w:val="single" w:sz="6" w:space="0" w:color="auto"/>
              <w:bottom w:val="single" w:sz="6" w:space="0" w:color="auto"/>
            </w:tcBorders>
            <w:vAlign w:val="center"/>
          </w:tcPr>
          <w:p w14:paraId="20841926"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93" w:type="dxa"/>
            <w:tcBorders>
              <w:top w:val="single" w:sz="6" w:space="0" w:color="auto"/>
              <w:left w:val="single" w:sz="6" w:space="0" w:color="auto"/>
              <w:bottom w:val="single" w:sz="6" w:space="0" w:color="auto"/>
              <w:right w:val="single" w:sz="6" w:space="0" w:color="auto"/>
            </w:tcBorders>
            <w:vAlign w:val="center"/>
          </w:tcPr>
          <w:p w14:paraId="06C58D77"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776" w:type="dxa"/>
            <w:tcBorders>
              <w:top w:val="single" w:sz="6" w:space="0" w:color="auto"/>
              <w:left w:val="single" w:sz="6" w:space="0" w:color="auto"/>
              <w:bottom w:val="single" w:sz="6" w:space="0" w:color="auto"/>
            </w:tcBorders>
            <w:shd w:val="clear" w:color="auto" w:fill="D9D9D9"/>
            <w:vAlign w:val="center"/>
          </w:tcPr>
          <w:p w14:paraId="63D0CCB8"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tcBorders>
            <w:shd w:val="clear" w:color="auto" w:fill="FFFFFF"/>
            <w:vAlign w:val="center"/>
          </w:tcPr>
          <w:p w14:paraId="5C4A9B6A"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6" w:space="0" w:color="auto"/>
              <w:left w:val="single" w:sz="6" w:space="0" w:color="auto"/>
              <w:bottom w:val="single" w:sz="6" w:space="0" w:color="auto"/>
            </w:tcBorders>
            <w:shd w:val="clear" w:color="auto" w:fill="FFFFFF"/>
            <w:vAlign w:val="center"/>
          </w:tcPr>
          <w:p w14:paraId="353912EA"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83" w:type="dxa"/>
            <w:tcBorders>
              <w:top w:val="single" w:sz="6" w:space="0" w:color="auto"/>
              <w:left w:val="single" w:sz="6" w:space="0" w:color="auto"/>
              <w:bottom w:val="single" w:sz="6" w:space="0" w:color="auto"/>
              <w:right w:val="single" w:sz="6" w:space="0" w:color="auto"/>
            </w:tcBorders>
            <w:shd w:val="clear" w:color="auto" w:fill="FFFFFF"/>
            <w:vAlign w:val="center"/>
          </w:tcPr>
          <w:p w14:paraId="699779F1"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14:paraId="732DF1B5"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right w:val="single" w:sz="6" w:space="0" w:color="auto"/>
            </w:tcBorders>
            <w:vAlign w:val="center"/>
          </w:tcPr>
          <w:p w14:paraId="449EA0D1"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148C59B4"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925" w:type="dxa"/>
            <w:tcBorders>
              <w:top w:val="single" w:sz="6" w:space="0" w:color="auto"/>
              <w:left w:val="single" w:sz="6" w:space="0" w:color="auto"/>
              <w:bottom w:val="single" w:sz="6" w:space="0" w:color="auto"/>
              <w:right w:val="single" w:sz="6" w:space="0" w:color="auto"/>
            </w:tcBorders>
            <w:vAlign w:val="center"/>
          </w:tcPr>
          <w:p w14:paraId="675A17D1"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r>
      <w:tr w:rsidR="00C7266C" w:rsidRPr="00D403F5" w14:paraId="7D412890"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601A1C24"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Real-time PCR</w:t>
            </w:r>
          </w:p>
        </w:tc>
        <w:tc>
          <w:tcPr>
            <w:tcW w:w="920" w:type="dxa"/>
            <w:tcBorders>
              <w:top w:val="single" w:sz="6" w:space="0" w:color="auto"/>
              <w:left w:val="single" w:sz="6" w:space="0" w:color="auto"/>
              <w:bottom w:val="single" w:sz="6" w:space="0" w:color="auto"/>
            </w:tcBorders>
            <w:shd w:val="clear" w:color="auto" w:fill="D9D9D9"/>
            <w:vAlign w:val="center"/>
          </w:tcPr>
          <w:p w14:paraId="64B68058"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14:paraId="4866A60E"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24FD4B1E"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14:paraId="2437842F"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14:paraId="00D6C117"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51" w:type="dxa"/>
            <w:tcBorders>
              <w:top w:val="single" w:sz="6" w:space="0" w:color="auto"/>
              <w:left w:val="single" w:sz="6" w:space="0" w:color="auto"/>
              <w:bottom w:val="single" w:sz="6" w:space="0" w:color="auto"/>
            </w:tcBorders>
            <w:shd w:val="clear" w:color="auto" w:fill="D9D9D9"/>
            <w:vAlign w:val="center"/>
          </w:tcPr>
          <w:p w14:paraId="49BA43CE"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14:paraId="09C81560"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83" w:type="dxa"/>
            <w:tcBorders>
              <w:top w:val="single" w:sz="6" w:space="0" w:color="auto"/>
              <w:left w:val="single" w:sz="6" w:space="0" w:color="auto"/>
              <w:bottom w:val="single" w:sz="6" w:space="0" w:color="auto"/>
              <w:right w:val="single" w:sz="6" w:space="0" w:color="auto"/>
            </w:tcBorders>
            <w:shd w:val="clear" w:color="auto" w:fill="D9D9D9"/>
            <w:vAlign w:val="center"/>
          </w:tcPr>
          <w:p w14:paraId="5BE8B327"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14:paraId="092DD09D"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14:paraId="3DA8CAA9"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14:paraId="0F739502"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925" w:type="dxa"/>
            <w:tcBorders>
              <w:top w:val="single" w:sz="6" w:space="0" w:color="auto"/>
              <w:left w:val="single" w:sz="6" w:space="0" w:color="auto"/>
              <w:bottom w:val="single" w:sz="4" w:space="0" w:color="auto"/>
              <w:right w:val="single" w:sz="6" w:space="0" w:color="auto"/>
            </w:tcBorders>
            <w:shd w:val="clear" w:color="auto" w:fill="D9D9D9"/>
            <w:vAlign w:val="center"/>
          </w:tcPr>
          <w:p w14:paraId="60281882" w14:textId="77777777" w:rsidR="00C7266C" w:rsidRPr="00D403F5" w:rsidRDefault="00C7266C" w:rsidP="00D403F5">
            <w:pPr>
              <w:spacing w:after="0"/>
              <w:jc w:val="center"/>
              <w:rPr>
                <w:rFonts w:ascii="Arial Narrow" w:hAnsi="Arial Narrow" w:cs="Arial"/>
                <w:bCs/>
                <w:strike/>
                <w:sz w:val="18"/>
                <w:szCs w:val="18"/>
                <w:lang w:val="en-IE" w:bidi="en-US"/>
              </w:rPr>
            </w:pPr>
          </w:p>
        </w:tc>
      </w:tr>
      <w:tr w:rsidR="00C7266C" w:rsidRPr="00D403F5" w14:paraId="574A0F78"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47BE0763"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Conventional PCR</w:t>
            </w:r>
          </w:p>
        </w:tc>
        <w:tc>
          <w:tcPr>
            <w:tcW w:w="920" w:type="dxa"/>
            <w:tcBorders>
              <w:top w:val="single" w:sz="6" w:space="0" w:color="auto"/>
              <w:left w:val="single" w:sz="6" w:space="0" w:color="auto"/>
              <w:bottom w:val="single" w:sz="6" w:space="0" w:color="auto"/>
            </w:tcBorders>
            <w:shd w:val="clear" w:color="auto" w:fill="D9D9D9"/>
            <w:vAlign w:val="center"/>
          </w:tcPr>
          <w:p w14:paraId="602E2A2B"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vAlign w:val="center"/>
          </w:tcPr>
          <w:p w14:paraId="66149F37"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9" w:type="dxa"/>
            <w:tcBorders>
              <w:top w:val="single" w:sz="6" w:space="0" w:color="auto"/>
              <w:left w:val="single" w:sz="6" w:space="0" w:color="auto"/>
              <w:bottom w:val="single" w:sz="6" w:space="0" w:color="auto"/>
            </w:tcBorders>
            <w:vAlign w:val="center"/>
          </w:tcPr>
          <w:p w14:paraId="402CFAE4"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93" w:type="dxa"/>
            <w:tcBorders>
              <w:top w:val="single" w:sz="6" w:space="0" w:color="auto"/>
              <w:left w:val="single" w:sz="6" w:space="0" w:color="auto"/>
              <w:bottom w:val="single" w:sz="6" w:space="0" w:color="auto"/>
              <w:right w:val="single" w:sz="6" w:space="0" w:color="auto"/>
            </w:tcBorders>
            <w:vAlign w:val="center"/>
          </w:tcPr>
          <w:p w14:paraId="18A1C49D"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776" w:type="dxa"/>
            <w:tcBorders>
              <w:top w:val="single" w:sz="6" w:space="0" w:color="auto"/>
              <w:left w:val="single" w:sz="6" w:space="0" w:color="auto"/>
              <w:bottom w:val="single" w:sz="6" w:space="0" w:color="auto"/>
            </w:tcBorders>
            <w:shd w:val="clear" w:color="auto" w:fill="D9D9D9"/>
            <w:vAlign w:val="center"/>
          </w:tcPr>
          <w:p w14:paraId="11006EF7"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tcBorders>
            <w:vAlign w:val="center"/>
          </w:tcPr>
          <w:p w14:paraId="58ADA87C"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19258413"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83" w:type="dxa"/>
            <w:tcBorders>
              <w:top w:val="single" w:sz="6" w:space="0" w:color="auto"/>
              <w:left w:val="single" w:sz="6" w:space="0" w:color="auto"/>
              <w:bottom w:val="single" w:sz="6" w:space="0" w:color="auto"/>
              <w:right w:val="single" w:sz="6" w:space="0" w:color="auto"/>
            </w:tcBorders>
            <w:vAlign w:val="center"/>
          </w:tcPr>
          <w:p w14:paraId="4F489D60"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2FCA48DD"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4" w:space="0" w:color="auto"/>
              <w:right w:val="single" w:sz="6" w:space="0" w:color="auto"/>
            </w:tcBorders>
            <w:shd w:val="clear" w:color="auto" w:fill="auto"/>
            <w:vAlign w:val="center"/>
          </w:tcPr>
          <w:p w14:paraId="7E5A09B8"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4" w:space="0" w:color="auto"/>
              <w:left w:val="single" w:sz="6" w:space="0" w:color="auto"/>
              <w:bottom w:val="single" w:sz="4" w:space="0" w:color="auto"/>
            </w:tcBorders>
            <w:shd w:val="clear" w:color="auto" w:fill="auto"/>
            <w:vAlign w:val="center"/>
          </w:tcPr>
          <w:p w14:paraId="5F33C3F7"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925" w:type="dxa"/>
            <w:tcBorders>
              <w:top w:val="single" w:sz="4" w:space="0" w:color="auto"/>
              <w:left w:val="single" w:sz="6" w:space="0" w:color="auto"/>
              <w:bottom w:val="single" w:sz="4" w:space="0" w:color="auto"/>
              <w:right w:val="single" w:sz="6" w:space="0" w:color="auto"/>
            </w:tcBorders>
            <w:shd w:val="clear" w:color="auto" w:fill="auto"/>
            <w:vAlign w:val="center"/>
          </w:tcPr>
          <w:p w14:paraId="5FF1B8C4"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r>
      <w:tr w:rsidR="00C7266C" w:rsidRPr="00D403F5" w14:paraId="3C6A1B3A"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4F404762"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Amplicon sequencing</w:t>
            </w:r>
            <w:r w:rsidRPr="00D403F5">
              <w:rPr>
                <w:rFonts w:ascii="Arial Narrow" w:hAnsi="Arial Narrow" w:cs="Arial"/>
                <w:b/>
                <w:bCs/>
                <w:sz w:val="18"/>
                <w:szCs w:val="18"/>
                <w:vertAlign w:val="superscript"/>
                <w:lang w:val="en-IE" w:bidi="en-US"/>
              </w:rPr>
              <w:t>4</w:t>
            </w:r>
          </w:p>
        </w:tc>
        <w:tc>
          <w:tcPr>
            <w:tcW w:w="920" w:type="dxa"/>
            <w:tcBorders>
              <w:top w:val="single" w:sz="6" w:space="0" w:color="auto"/>
              <w:left w:val="single" w:sz="6" w:space="0" w:color="auto"/>
              <w:bottom w:val="single" w:sz="6" w:space="0" w:color="auto"/>
            </w:tcBorders>
            <w:shd w:val="pct15" w:color="auto" w:fill="auto"/>
            <w:vAlign w:val="center"/>
          </w:tcPr>
          <w:p w14:paraId="6FFF5DCE"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32BE948F"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5455FB01"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14:paraId="018B3307"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6" w:space="0" w:color="auto"/>
              <w:left w:val="single" w:sz="6" w:space="0" w:color="auto"/>
              <w:bottom w:val="single" w:sz="6" w:space="0" w:color="auto"/>
            </w:tcBorders>
            <w:shd w:val="pct15" w:color="auto" w:fill="auto"/>
            <w:vAlign w:val="center"/>
          </w:tcPr>
          <w:p w14:paraId="543148F7"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tcBorders>
            <w:shd w:val="pct15" w:color="auto" w:fill="auto"/>
            <w:vAlign w:val="center"/>
          </w:tcPr>
          <w:p w14:paraId="01C91922"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1AD5CD6C" w14:textId="77777777" w:rsidR="00C7266C" w:rsidRPr="00D403F5" w:rsidRDefault="00C7266C" w:rsidP="00D403F5">
            <w:pPr>
              <w:spacing w:after="0"/>
              <w:jc w:val="center"/>
              <w:rPr>
                <w:rFonts w:ascii="Arial Narrow" w:hAnsi="Arial Narrow" w:cs="Arial"/>
                <w:bCs/>
                <w:sz w:val="18"/>
                <w:szCs w:val="18"/>
                <w:lang w:val="en-IE" w:bidi="en-US"/>
              </w:rPr>
            </w:pPr>
          </w:p>
        </w:tc>
        <w:tc>
          <w:tcPr>
            <w:tcW w:w="883" w:type="dxa"/>
            <w:tcBorders>
              <w:top w:val="single" w:sz="6" w:space="0" w:color="auto"/>
              <w:left w:val="single" w:sz="6" w:space="0" w:color="auto"/>
              <w:bottom w:val="single" w:sz="6" w:space="0" w:color="auto"/>
              <w:right w:val="single" w:sz="6" w:space="0" w:color="auto"/>
            </w:tcBorders>
            <w:shd w:val="pct15" w:color="auto" w:fill="auto"/>
            <w:vAlign w:val="center"/>
          </w:tcPr>
          <w:p w14:paraId="17367830" w14:textId="77777777" w:rsidR="00C7266C" w:rsidRPr="00D403F5" w:rsidRDefault="00C7266C" w:rsidP="00D403F5">
            <w:pPr>
              <w:spacing w:after="0"/>
              <w:jc w:val="center"/>
              <w:rPr>
                <w:rFonts w:ascii="Arial Narrow" w:hAnsi="Arial Narrow"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14:paraId="1FAD8CA7"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6" w:space="0" w:color="auto"/>
              <w:right w:val="single" w:sz="6" w:space="0" w:color="auto"/>
            </w:tcBorders>
            <w:vAlign w:val="center"/>
          </w:tcPr>
          <w:p w14:paraId="5FF99385"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4" w:space="0" w:color="auto"/>
              <w:left w:val="single" w:sz="6" w:space="0" w:color="auto"/>
              <w:bottom w:val="single" w:sz="6" w:space="0" w:color="auto"/>
            </w:tcBorders>
            <w:vAlign w:val="center"/>
          </w:tcPr>
          <w:p w14:paraId="049D3FA5"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925" w:type="dxa"/>
            <w:tcBorders>
              <w:top w:val="single" w:sz="4" w:space="0" w:color="auto"/>
              <w:left w:val="single" w:sz="6" w:space="0" w:color="auto"/>
              <w:bottom w:val="single" w:sz="6" w:space="0" w:color="auto"/>
              <w:right w:val="single" w:sz="6" w:space="0" w:color="auto"/>
            </w:tcBorders>
            <w:vAlign w:val="center"/>
          </w:tcPr>
          <w:p w14:paraId="1F9F46C1"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r>
      <w:tr w:rsidR="00C7266C" w:rsidRPr="00D403F5" w14:paraId="615F8DD3" w14:textId="77777777" w:rsidTr="00C7266C">
        <w:trPr>
          <w:trHeight w:val="402"/>
          <w:jc w:val="center"/>
        </w:trPr>
        <w:tc>
          <w:tcPr>
            <w:tcW w:w="2399" w:type="dxa"/>
            <w:tcBorders>
              <w:top w:val="single" w:sz="6" w:space="0" w:color="auto"/>
              <w:left w:val="single" w:sz="6" w:space="0" w:color="auto"/>
            </w:tcBorders>
            <w:vAlign w:val="center"/>
          </w:tcPr>
          <w:p w14:paraId="4DA353FD"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i/>
                <w:iCs/>
                <w:sz w:val="18"/>
                <w:szCs w:val="18"/>
                <w:lang w:val="en-IE" w:bidi="en-US"/>
              </w:rPr>
              <w:t>In-situ</w:t>
            </w:r>
            <w:r w:rsidRPr="00D403F5">
              <w:rPr>
                <w:rFonts w:ascii="Arial Narrow" w:hAnsi="Arial Narrow" w:cs="Arial"/>
                <w:b/>
                <w:bCs/>
                <w:sz w:val="18"/>
                <w:szCs w:val="18"/>
                <w:lang w:val="en-IE" w:bidi="en-US"/>
              </w:rPr>
              <w:t xml:space="preserve"> hybridisation</w:t>
            </w:r>
          </w:p>
        </w:tc>
        <w:tc>
          <w:tcPr>
            <w:tcW w:w="920" w:type="dxa"/>
            <w:tcBorders>
              <w:top w:val="single" w:sz="6" w:space="0" w:color="auto"/>
              <w:left w:val="single" w:sz="6" w:space="0" w:color="auto"/>
              <w:bottom w:val="single" w:sz="6" w:space="0" w:color="auto"/>
            </w:tcBorders>
            <w:shd w:val="pct15" w:color="auto" w:fill="auto"/>
            <w:vAlign w:val="center"/>
          </w:tcPr>
          <w:p w14:paraId="0DD9FB89" w14:textId="77777777" w:rsidR="00C7266C" w:rsidRPr="00D403F5" w:rsidRDefault="00C7266C" w:rsidP="00D403F5">
            <w:pPr>
              <w:spacing w:after="0"/>
              <w:jc w:val="center"/>
              <w:rPr>
                <w:rFonts w:ascii="Arial Narrow" w:hAnsi="Arial Narrow" w:cs="Arial"/>
                <w:bCs/>
                <w:i/>
                <w:iCs/>
                <w:strike/>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7E937C73" w14:textId="77777777" w:rsidR="00C7266C" w:rsidRPr="00D403F5" w:rsidRDefault="00C7266C" w:rsidP="00D403F5">
            <w:pPr>
              <w:spacing w:after="0"/>
              <w:jc w:val="center"/>
              <w:rPr>
                <w:rFonts w:ascii="Arial Narrow" w:hAnsi="Arial Narrow" w:cs="Arial"/>
                <w:bCs/>
                <w:i/>
                <w:iCs/>
                <w:strike/>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7B1A4521"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14:paraId="39DAFED8"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14:paraId="216F880D"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51" w:type="dxa"/>
            <w:tcBorders>
              <w:top w:val="single" w:sz="6" w:space="0" w:color="auto"/>
              <w:left w:val="single" w:sz="6" w:space="0" w:color="auto"/>
              <w:bottom w:val="single" w:sz="6" w:space="0" w:color="auto"/>
            </w:tcBorders>
            <w:shd w:val="pct15" w:color="auto" w:fill="auto"/>
            <w:vAlign w:val="center"/>
          </w:tcPr>
          <w:p w14:paraId="4EC31D8F"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2E51D1B0"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83" w:type="dxa"/>
            <w:tcBorders>
              <w:top w:val="single" w:sz="6" w:space="0" w:color="auto"/>
              <w:left w:val="single" w:sz="6" w:space="0" w:color="auto"/>
              <w:bottom w:val="single" w:sz="6" w:space="0" w:color="auto"/>
              <w:right w:val="single" w:sz="6" w:space="0" w:color="auto"/>
            </w:tcBorders>
            <w:shd w:val="pct15" w:color="auto" w:fill="auto"/>
            <w:vAlign w:val="center"/>
          </w:tcPr>
          <w:p w14:paraId="13E62581"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7F399429"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851" w:type="dxa"/>
            <w:tcBorders>
              <w:top w:val="single" w:sz="6" w:space="0" w:color="auto"/>
              <w:left w:val="single" w:sz="6" w:space="0" w:color="auto"/>
              <w:bottom w:val="single" w:sz="6" w:space="0" w:color="auto"/>
              <w:right w:val="single" w:sz="6" w:space="0" w:color="auto"/>
            </w:tcBorders>
            <w:shd w:val="pct15" w:color="auto" w:fill="auto"/>
            <w:vAlign w:val="center"/>
          </w:tcPr>
          <w:p w14:paraId="5EF5E1FA"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19EB220B" w14:textId="77777777" w:rsidR="00C7266C" w:rsidRPr="00D403F5" w:rsidRDefault="00C7266C" w:rsidP="00D403F5">
            <w:pPr>
              <w:spacing w:after="0"/>
              <w:jc w:val="center"/>
              <w:rPr>
                <w:rFonts w:ascii="Arial Narrow" w:hAnsi="Arial Narrow" w:cs="Arial"/>
                <w:bCs/>
                <w:strike/>
                <w:sz w:val="18"/>
                <w:szCs w:val="18"/>
                <w:lang w:val="en-IE" w:bidi="en-US"/>
              </w:rPr>
            </w:pPr>
          </w:p>
        </w:tc>
        <w:tc>
          <w:tcPr>
            <w:tcW w:w="925" w:type="dxa"/>
            <w:tcBorders>
              <w:top w:val="single" w:sz="6" w:space="0" w:color="auto"/>
              <w:left w:val="single" w:sz="6" w:space="0" w:color="auto"/>
              <w:bottom w:val="single" w:sz="6" w:space="0" w:color="auto"/>
              <w:right w:val="single" w:sz="6" w:space="0" w:color="auto"/>
            </w:tcBorders>
            <w:shd w:val="pct15" w:color="auto" w:fill="auto"/>
            <w:vAlign w:val="center"/>
          </w:tcPr>
          <w:p w14:paraId="6C85BAE3" w14:textId="77777777" w:rsidR="00C7266C" w:rsidRPr="00D403F5" w:rsidRDefault="00C7266C" w:rsidP="00D403F5">
            <w:pPr>
              <w:spacing w:after="0"/>
              <w:jc w:val="center"/>
              <w:rPr>
                <w:rFonts w:ascii="Arial Narrow" w:hAnsi="Arial Narrow" w:cs="Arial"/>
                <w:bCs/>
                <w:strike/>
                <w:sz w:val="18"/>
                <w:szCs w:val="18"/>
                <w:lang w:val="en-IE" w:bidi="en-US"/>
              </w:rPr>
            </w:pPr>
          </w:p>
        </w:tc>
      </w:tr>
      <w:tr w:rsidR="00C7266C" w:rsidRPr="00D403F5" w14:paraId="43D2B454" w14:textId="77777777" w:rsidTr="00C7266C">
        <w:trPr>
          <w:trHeight w:val="269"/>
          <w:jc w:val="center"/>
        </w:trPr>
        <w:tc>
          <w:tcPr>
            <w:tcW w:w="2399" w:type="dxa"/>
            <w:tcBorders>
              <w:top w:val="single" w:sz="4" w:space="0" w:color="auto"/>
              <w:left w:val="single" w:sz="6" w:space="0" w:color="auto"/>
              <w:bottom w:val="single" w:sz="4" w:space="0" w:color="auto"/>
            </w:tcBorders>
            <w:vAlign w:val="center"/>
          </w:tcPr>
          <w:p w14:paraId="29D0BF21" w14:textId="77777777" w:rsidR="00C7266C" w:rsidRPr="00D403F5" w:rsidRDefault="00C7266C" w:rsidP="00D403F5">
            <w:pPr>
              <w:spacing w:after="0"/>
              <w:jc w:val="center"/>
              <w:rPr>
                <w:rFonts w:ascii="Arial Narrow" w:hAnsi="Arial Narrow" w:cs="Arial"/>
                <w:b/>
                <w:bCs/>
                <w:sz w:val="18"/>
                <w:szCs w:val="18"/>
                <w:u w:val="double"/>
                <w:lang w:val="en-IE" w:bidi="en-US"/>
              </w:rPr>
            </w:pPr>
            <w:r w:rsidRPr="00D403F5">
              <w:rPr>
                <w:rFonts w:ascii="Arial Narrow" w:hAnsi="Arial Narrow" w:cs="Arial"/>
                <w:b/>
                <w:bCs/>
                <w:sz w:val="18"/>
                <w:szCs w:val="18"/>
                <w:u w:val="double"/>
                <w:lang w:val="en-IE" w:bidi="en-US"/>
              </w:rPr>
              <w:t xml:space="preserve">Immunohistochemistry </w:t>
            </w:r>
          </w:p>
        </w:tc>
        <w:tc>
          <w:tcPr>
            <w:tcW w:w="920" w:type="dxa"/>
            <w:tcBorders>
              <w:top w:val="single" w:sz="6" w:space="0" w:color="auto"/>
              <w:left w:val="single" w:sz="6" w:space="0" w:color="auto"/>
              <w:bottom w:val="single" w:sz="4" w:space="0" w:color="auto"/>
            </w:tcBorders>
            <w:shd w:val="clear" w:color="auto" w:fill="D9D9D9"/>
            <w:vAlign w:val="center"/>
          </w:tcPr>
          <w:p w14:paraId="484128E8"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4" w:space="0" w:color="auto"/>
            </w:tcBorders>
            <w:shd w:val="clear" w:color="auto" w:fill="D9D9D9"/>
            <w:vAlign w:val="center"/>
          </w:tcPr>
          <w:p w14:paraId="06CB36E8"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4" w:space="0" w:color="auto"/>
            </w:tcBorders>
            <w:shd w:val="clear" w:color="auto" w:fill="D9D9D9"/>
            <w:vAlign w:val="center"/>
          </w:tcPr>
          <w:p w14:paraId="3D0627F7"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4" w:space="0" w:color="auto"/>
              <w:right w:val="single" w:sz="6" w:space="0" w:color="auto"/>
            </w:tcBorders>
            <w:shd w:val="clear" w:color="auto" w:fill="D9D9D9"/>
            <w:vAlign w:val="center"/>
          </w:tcPr>
          <w:p w14:paraId="303805B9"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4" w:space="0" w:color="auto"/>
              <w:left w:val="single" w:sz="6" w:space="0" w:color="auto"/>
              <w:bottom w:val="single" w:sz="4" w:space="0" w:color="auto"/>
            </w:tcBorders>
            <w:shd w:val="clear" w:color="auto" w:fill="D9D9D9"/>
            <w:vAlign w:val="center"/>
          </w:tcPr>
          <w:p w14:paraId="70405F9F"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4" w:space="0" w:color="auto"/>
            </w:tcBorders>
            <w:shd w:val="clear" w:color="auto" w:fill="auto"/>
            <w:vAlign w:val="center"/>
          </w:tcPr>
          <w:p w14:paraId="70A159A9"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4" w:space="0" w:color="auto"/>
              <w:left w:val="single" w:sz="6" w:space="0" w:color="auto"/>
              <w:bottom w:val="single" w:sz="4" w:space="0" w:color="auto"/>
            </w:tcBorders>
            <w:shd w:val="clear" w:color="auto" w:fill="auto"/>
            <w:vAlign w:val="center"/>
          </w:tcPr>
          <w:p w14:paraId="78F98ED2"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83" w:type="dxa"/>
            <w:tcBorders>
              <w:top w:val="single" w:sz="4" w:space="0" w:color="auto"/>
              <w:left w:val="single" w:sz="6" w:space="0" w:color="auto"/>
              <w:bottom w:val="single" w:sz="4" w:space="0" w:color="auto"/>
              <w:right w:val="single" w:sz="6" w:space="0" w:color="auto"/>
            </w:tcBorders>
            <w:shd w:val="clear" w:color="auto" w:fill="auto"/>
            <w:vAlign w:val="center"/>
          </w:tcPr>
          <w:p w14:paraId="18E8F3D2"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960" w:type="dxa"/>
            <w:tcBorders>
              <w:top w:val="single" w:sz="4" w:space="0" w:color="auto"/>
              <w:left w:val="single" w:sz="6" w:space="0" w:color="auto"/>
              <w:bottom w:val="single" w:sz="4" w:space="0" w:color="auto"/>
              <w:right w:val="single" w:sz="6" w:space="0" w:color="auto"/>
            </w:tcBorders>
            <w:shd w:val="clear" w:color="auto" w:fill="D9D9D9"/>
            <w:vAlign w:val="center"/>
          </w:tcPr>
          <w:p w14:paraId="3BDE7790"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4" w:space="0" w:color="auto"/>
              <w:right w:val="single" w:sz="6" w:space="0" w:color="auto"/>
            </w:tcBorders>
            <w:shd w:val="clear" w:color="auto" w:fill="D9D9D9"/>
            <w:vAlign w:val="center"/>
          </w:tcPr>
          <w:p w14:paraId="609D9299"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4" w:space="0" w:color="auto"/>
              <w:left w:val="single" w:sz="6" w:space="0" w:color="auto"/>
              <w:bottom w:val="single" w:sz="4" w:space="0" w:color="auto"/>
            </w:tcBorders>
            <w:shd w:val="clear" w:color="auto" w:fill="D9D9D9"/>
            <w:vAlign w:val="center"/>
          </w:tcPr>
          <w:p w14:paraId="180DD5C5"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4" w:space="0" w:color="auto"/>
              <w:left w:val="single" w:sz="6" w:space="0" w:color="auto"/>
              <w:bottom w:val="single" w:sz="4" w:space="0" w:color="auto"/>
              <w:right w:val="single" w:sz="6" w:space="0" w:color="auto"/>
            </w:tcBorders>
            <w:shd w:val="clear" w:color="auto" w:fill="D9D9D9"/>
            <w:vAlign w:val="center"/>
          </w:tcPr>
          <w:p w14:paraId="65CEA667"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437B3E28" w14:textId="77777777" w:rsidTr="00C7266C">
        <w:trPr>
          <w:trHeight w:val="402"/>
          <w:jc w:val="center"/>
        </w:trPr>
        <w:tc>
          <w:tcPr>
            <w:tcW w:w="2399" w:type="dxa"/>
            <w:tcBorders>
              <w:top w:val="single" w:sz="6" w:space="0" w:color="auto"/>
              <w:left w:val="single" w:sz="6" w:space="0" w:color="auto"/>
            </w:tcBorders>
            <w:vAlign w:val="center"/>
          </w:tcPr>
          <w:p w14:paraId="055CDE79"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Bioassay</w:t>
            </w:r>
          </w:p>
        </w:tc>
        <w:tc>
          <w:tcPr>
            <w:tcW w:w="920" w:type="dxa"/>
            <w:tcBorders>
              <w:top w:val="single" w:sz="6" w:space="0" w:color="auto"/>
              <w:left w:val="single" w:sz="6" w:space="0" w:color="auto"/>
              <w:bottom w:val="single" w:sz="6" w:space="0" w:color="auto"/>
            </w:tcBorders>
            <w:shd w:val="pct15" w:color="auto" w:fill="auto"/>
            <w:vAlign w:val="center"/>
          </w:tcPr>
          <w:p w14:paraId="56CF8745"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72854E8F"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7F23C4BF"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14:paraId="1A3FDCE2"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14:paraId="1F098991"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tcBorders>
            <w:shd w:val="clear" w:color="auto" w:fill="D9D9D9"/>
            <w:vAlign w:val="center"/>
          </w:tcPr>
          <w:p w14:paraId="4BEF53BF"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14:paraId="376C9895" w14:textId="77777777" w:rsidR="00C7266C" w:rsidRPr="00D403F5" w:rsidRDefault="00C7266C" w:rsidP="00D403F5">
            <w:pPr>
              <w:spacing w:after="0"/>
              <w:jc w:val="center"/>
              <w:rPr>
                <w:rFonts w:ascii="Arial Narrow" w:hAnsi="Arial Narrow" w:cs="Arial"/>
                <w:bCs/>
                <w:sz w:val="18"/>
                <w:szCs w:val="18"/>
                <w:lang w:val="en-IE" w:bidi="en-US"/>
              </w:rPr>
            </w:pPr>
          </w:p>
        </w:tc>
        <w:tc>
          <w:tcPr>
            <w:tcW w:w="883" w:type="dxa"/>
            <w:tcBorders>
              <w:top w:val="single" w:sz="6" w:space="0" w:color="auto"/>
              <w:left w:val="single" w:sz="6" w:space="0" w:color="auto"/>
              <w:bottom w:val="single" w:sz="6" w:space="0" w:color="auto"/>
              <w:right w:val="single" w:sz="6" w:space="0" w:color="auto"/>
            </w:tcBorders>
            <w:shd w:val="clear" w:color="auto" w:fill="D9D9D9"/>
            <w:vAlign w:val="center"/>
          </w:tcPr>
          <w:p w14:paraId="5C266FEF" w14:textId="77777777" w:rsidR="00C7266C" w:rsidRPr="00D403F5" w:rsidRDefault="00C7266C" w:rsidP="00D403F5">
            <w:pPr>
              <w:spacing w:after="0"/>
              <w:jc w:val="center"/>
              <w:rPr>
                <w:rFonts w:ascii="Arial Narrow" w:hAnsi="Arial Narrow" w:cs="Arial"/>
                <w:bCs/>
                <w:sz w:val="18"/>
                <w:szCs w:val="18"/>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14:paraId="49A0FB91"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14:paraId="3FDFB80D"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tcBorders>
            <w:shd w:val="clear" w:color="auto" w:fill="D9D9D9"/>
            <w:vAlign w:val="center"/>
          </w:tcPr>
          <w:p w14:paraId="04A4A46A"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14:paraId="3B443A3E"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00D5794E" w14:textId="77777777" w:rsidTr="00C7266C">
        <w:trPr>
          <w:trHeight w:val="402"/>
          <w:jc w:val="center"/>
        </w:trPr>
        <w:tc>
          <w:tcPr>
            <w:tcW w:w="2399" w:type="dxa"/>
            <w:tcBorders>
              <w:top w:val="single" w:sz="6" w:space="0" w:color="auto"/>
              <w:left w:val="single" w:sz="6" w:space="0" w:color="auto"/>
              <w:bottom w:val="single" w:sz="4" w:space="0" w:color="auto"/>
            </w:tcBorders>
            <w:vAlign w:val="center"/>
          </w:tcPr>
          <w:p w14:paraId="6A0C5201"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LAMP</w:t>
            </w:r>
          </w:p>
        </w:tc>
        <w:tc>
          <w:tcPr>
            <w:tcW w:w="920" w:type="dxa"/>
            <w:tcBorders>
              <w:top w:val="single" w:sz="6" w:space="0" w:color="auto"/>
              <w:left w:val="single" w:sz="6" w:space="0" w:color="auto"/>
              <w:bottom w:val="single" w:sz="6" w:space="0" w:color="auto"/>
            </w:tcBorders>
            <w:shd w:val="clear" w:color="auto" w:fill="D9D9D9"/>
            <w:vAlign w:val="center"/>
          </w:tcPr>
          <w:p w14:paraId="75B2E985"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14:paraId="6BB58880"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14:paraId="2E429A00"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14:paraId="4C1AC372"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6" w:space="0" w:color="auto"/>
              <w:left w:val="single" w:sz="6" w:space="0" w:color="auto"/>
              <w:bottom w:val="single" w:sz="6" w:space="0" w:color="auto"/>
            </w:tcBorders>
            <w:shd w:val="pct15" w:color="auto" w:fill="auto"/>
            <w:vAlign w:val="center"/>
          </w:tcPr>
          <w:p w14:paraId="39C8D743"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6" w:space="0" w:color="auto"/>
            </w:tcBorders>
            <w:shd w:val="pct15" w:color="auto" w:fill="auto"/>
            <w:vAlign w:val="center"/>
          </w:tcPr>
          <w:p w14:paraId="68F6FFED"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66C51816" w14:textId="77777777" w:rsidR="00C7266C" w:rsidRPr="00D403F5" w:rsidRDefault="00C7266C" w:rsidP="00D403F5">
            <w:pPr>
              <w:spacing w:after="0"/>
              <w:jc w:val="center"/>
              <w:rPr>
                <w:rFonts w:ascii="Arial Narrow" w:hAnsi="Arial Narrow" w:cs="Arial"/>
                <w:bCs/>
                <w:sz w:val="18"/>
                <w:szCs w:val="18"/>
                <w:lang w:val="en-IE" w:bidi="en-US"/>
              </w:rPr>
            </w:pPr>
          </w:p>
        </w:tc>
        <w:tc>
          <w:tcPr>
            <w:tcW w:w="883" w:type="dxa"/>
            <w:tcBorders>
              <w:top w:val="single" w:sz="6" w:space="0" w:color="auto"/>
              <w:left w:val="single" w:sz="6" w:space="0" w:color="auto"/>
              <w:bottom w:val="single" w:sz="6" w:space="0" w:color="auto"/>
              <w:right w:val="single" w:sz="6" w:space="0" w:color="auto"/>
            </w:tcBorders>
            <w:shd w:val="pct15" w:color="auto" w:fill="auto"/>
            <w:vAlign w:val="center"/>
          </w:tcPr>
          <w:p w14:paraId="323A00E6" w14:textId="77777777" w:rsidR="00C7266C" w:rsidRPr="00D403F5" w:rsidRDefault="00C7266C" w:rsidP="00D403F5">
            <w:pPr>
              <w:spacing w:after="0"/>
              <w:jc w:val="center"/>
              <w:rPr>
                <w:rFonts w:ascii="Arial Narrow" w:hAnsi="Arial Narrow" w:cs="Arial"/>
                <w:bCs/>
                <w:sz w:val="18"/>
                <w:szCs w:val="18"/>
                <w:lang w:val="en-IE" w:bidi="en-US"/>
              </w:rPr>
            </w:pPr>
          </w:p>
        </w:tc>
        <w:tc>
          <w:tcPr>
            <w:tcW w:w="960" w:type="dxa"/>
            <w:tcBorders>
              <w:top w:val="single" w:sz="6" w:space="0" w:color="auto"/>
              <w:left w:val="single" w:sz="6" w:space="0" w:color="auto"/>
              <w:bottom w:val="single" w:sz="4" w:space="0" w:color="auto"/>
              <w:right w:val="single" w:sz="6" w:space="0" w:color="auto"/>
            </w:tcBorders>
            <w:shd w:val="clear" w:color="auto" w:fill="D9D9D9"/>
            <w:vAlign w:val="center"/>
          </w:tcPr>
          <w:p w14:paraId="76414986"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14:paraId="41AE8EF1"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14:paraId="60AE97BA"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6" w:space="0" w:color="auto"/>
              <w:left w:val="single" w:sz="6" w:space="0" w:color="auto"/>
              <w:bottom w:val="single" w:sz="4" w:space="0" w:color="auto"/>
              <w:right w:val="single" w:sz="6" w:space="0" w:color="auto"/>
            </w:tcBorders>
            <w:shd w:val="clear" w:color="auto" w:fill="D9D9D9"/>
            <w:vAlign w:val="center"/>
          </w:tcPr>
          <w:p w14:paraId="24FFB528"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22CCD6A9" w14:textId="77777777" w:rsidTr="00C7266C">
        <w:trPr>
          <w:trHeight w:val="402"/>
          <w:jc w:val="center"/>
        </w:trPr>
        <w:tc>
          <w:tcPr>
            <w:tcW w:w="2399" w:type="dxa"/>
            <w:tcBorders>
              <w:top w:val="single" w:sz="6" w:space="0" w:color="auto"/>
              <w:left w:val="single" w:sz="6" w:space="0" w:color="auto"/>
              <w:bottom w:val="single" w:sz="4" w:space="0" w:color="auto"/>
            </w:tcBorders>
            <w:vAlign w:val="center"/>
          </w:tcPr>
          <w:p w14:paraId="189B5A8A"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Ab ELISA</w:t>
            </w:r>
          </w:p>
        </w:tc>
        <w:tc>
          <w:tcPr>
            <w:tcW w:w="920" w:type="dxa"/>
            <w:tcBorders>
              <w:top w:val="single" w:sz="6" w:space="0" w:color="auto"/>
              <w:left w:val="single" w:sz="6" w:space="0" w:color="auto"/>
              <w:bottom w:val="single" w:sz="6" w:space="0" w:color="auto"/>
            </w:tcBorders>
            <w:shd w:val="clear" w:color="auto" w:fill="D9D9D9"/>
            <w:vAlign w:val="center"/>
          </w:tcPr>
          <w:p w14:paraId="1AED1243"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14:paraId="13E2672D"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6F9CE879"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14:paraId="718F5836"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6" w:space="0" w:color="auto"/>
              <w:left w:val="single" w:sz="6" w:space="0" w:color="auto"/>
              <w:bottom w:val="single" w:sz="4" w:space="0" w:color="auto"/>
            </w:tcBorders>
            <w:shd w:val="clear" w:color="auto" w:fill="D9D9D9"/>
            <w:vAlign w:val="center"/>
          </w:tcPr>
          <w:p w14:paraId="23380794"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4" w:space="0" w:color="auto"/>
            </w:tcBorders>
            <w:shd w:val="clear" w:color="auto" w:fill="D9D9D9"/>
            <w:vAlign w:val="center"/>
          </w:tcPr>
          <w:p w14:paraId="37878B43"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14:paraId="65F662A7" w14:textId="77777777" w:rsidR="00C7266C" w:rsidRPr="00D403F5" w:rsidRDefault="00C7266C" w:rsidP="00D403F5">
            <w:pPr>
              <w:spacing w:after="0"/>
              <w:jc w:val="center"/>
              <w:rPr>
                <w:rFonts w:ascii="Arial Narrow" w:hAnsi="Arial Narrow" w:cs="Arial"/>
                <w:bCs/>
                <w:sz w:val="18"/>
                <w:szCs w:val="18"/>
                <w:lang w:val="en-IE" w:bidi="en-US"/>
              </w:rPr>
            </w:pPr>
          </w:p>
        </w:tc>
        <w:tc>
          <w:tcPr>
            <w:tcW w:w="883" w:type="dxa"/>
            <w:tcBorders>
              <w:top w:val="single" w:sz="6" w:space="0" w:color="auto"/>
              <w:left w:val="single" w:sz="6" w:space="0" w:color="auto"/>
              <w:bottom w:val="single" w:sz="4" w:space="0" w:color="auto"/>
              <w:right w:val="single" w:sz="6" w:space="0" w:color="auto"/>
            </w:tcBorders>
            <w:shd w:val="clear" w:color="auto" w:fill="D9D9D9"/>
            <w:vAlign w:val="center"/>
          </w:tcPr>
          <w:p w14:paraId="38338E4A" w14:textId="77777777" w:rsidR="00C7266C" w:rsidRPr="00D403F5" w:rsidRDefault="00C7266C" w:rsidP="00D403F5">
            <w:pPr>
              <w:spacing w:after="0"/>
              <w:jc w:val="center"/>
              <w:rPr>
                <w:rFonts w:ascii="Arial Narrow" w:hAnsi="Arial Narrow" w:cs="Arial"/>
                <w:bCs/>
                <w:sz w:val="18"/>
                <w:szCs w:val="18"/>
                <w:lang w:val="en-IE" w:bidi="en-US"/>
              </w:rPr>
            </w:pPr>
          </w:p>
        </w:tc>
        <w:tc>
          <w:tcPr>
            <w:tcW w:w="960" w:type="dxa"/>
            <w:tcBorders>
              <w:top w:val="single" w:sz="6" w:space="0" w:color="auto"/>
              <w:left w:val="single" w:sz="6" w:space="0" w:color="auto"/>
              <w:bottom w:val="single" w:sz="4" w:space="0" w:color="auto"/>
              <w:right w:val="single" w:sz="6" w:space="0" w:color="auto"/>
            </w:tcBorders>
            <w:shd w:val="clear" w:color="auto" w:fill="D9D9D9"/>
            <w:vAlign w:val="center"/>
          </w:tcPr>
          <w:p w14:paraId="2CE67CC2"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14:paraId="214CEA15"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14:paraId="1EBCE5AC"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6" w:space="0" w:color="auto"/>
              <w:left w:val="single" w:sz="6" w:space="0" w:color="auto"/>
              <w:bottom w:val="single" w:sz="4" w:space="0" w:color="auto"/>
              <w:right w:val="single" w:sz="6" w:space="0" w:color="auto"/>
            </w:tcBorders>
            <w:shd w:val="clear" w:color="auto" w:fill="D9D9D9"/>
            <w:vAlign w:val="center"/>
          </w:tcPr>
          <w:p w14:paraId="4FC3BA3F"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6AA4D14E" w14:textId="77777777" w:rsidTr="00C7266C">
        <w:trPr>
          <w:trHeight w:val="402"/>
          <w:jc w:val="center"/>
        </w:trPr>
        <w:tc>
          <w:tcPr>
            <w:tcW w:w="2399" w:type="dxa"/>
            <w:tcBorders>
              <w:top w:val="single" w:sz="4" w:space="0" w:color="auto"/>
              <w:left w:val="single" w:sz="6" w:space="0" w:color="auto"/>
            </w:tcBorders>
            <w:vAlign w:val="center"/>
          </w:tcPr>
          <w:p w14:paraId="2753C7B8"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lang w:val="en-IE" w:bidi="en-US"/>
              </w:rPr>
              <w:t>Ag ELISA</w:t>
            </w:r>
          </w:p>
        </w:tc>
        <w:tc>
          <w:tcPr>
            <w:tcW w:w="920" w:type="dxa"/>
            <w:tcBorders>
              <w:top w:val="single" w:sz="6" w:space="0" w:color="auto"/>
              <w:left w:val="single" w:sz="6" w:space="0" w:color="auto"/>
            </w:tcBorders>
            <w:shd w:val="clear" w:color="auto" w:fill="D9D9D9"/>
            <w:vAlign w:val="center"/>
          </w:tcPr>
          <w:p w14:paraId="5421ABC5"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pct12" w:color="auto" w:fill="auto"/>
            <w:vAlign w:val="center"/>
          </w:tcPr>
          <w:p w14:paraId="2AC77ACF"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pct12" w:color="auto" w:fill="auto"/>
            <w:vAlign w:val="center"/>
          </w:tcPr>
          <w:p w14:paraId="41BF33A9"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pct12" w:color="auto" w:fill="auto"/>
            <w:vAlign w:val="center"/>
          </w:tcPr>
          <w:p w14:paraId="5F2DB9C7"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4" w:space="0" w:color="auto"/>
              <w:left w:val="single" w:sz="6" w:space="0" w:color="auto"/>
            </w:tcBorders>
            <w:shd w:val="clear" w:color="auto" w:fill="D9D9D9"/>
            <w:vAlign w:val="center"/>
          </w:tcPr>
          <w:p w14:paraId="783CE9E5"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4" w:space="0" w:color="auto"/>
            </w:tcBorders>
            <w:vAlign w:val="center"/>
          </w:tcPr>
          <w:p w14:paraId="53E5F7E4"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4" w:space="0" w:color="auto"/>
              <w:left w:val="single" w:sz="6" w:space="0" w:color="auto"/>
              <w:bottom w:val="single" w:sz="4" w:space="0" w:color="auto"/>
            </w:tcBorders>
            <w:vAlign w:val="center"/>
          </w:tcPr>
          <w:p w14:paraId="3863CFDA"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83" w:type="dxa"/>
            <w:tcBorders>
              <w:top w:val="single" w:sz="4" w:space="0" w:color="auto"/>
              <w:left w:val="single" w:sz="6" w:space="0" w:color="auto"/>
              <w:bottom w:val="single" w:sz="4" w:space="0" w:color="auto"/>
              <w:right w:val="single" w:sz="6" w:space="0" w:color="auto"/>
            </w:tcBorders>
            <w:vAlign w:val="center"/>
          </w:tcPr>
          <w:p w14:paraId="6829B8DB"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960" w:type="dxa"/>
            <w:tcBorders>
              <w:top w:val="single" w:sz="4" w:space="0" w:color="auto"/>
              <w:left w:val="single" w:sz="6" w:space="0" w:color="auto"/>
              <w:right w:val="single" w:sz="6" w:space="0" w:color="auto"/>
            </w:tcBorders>
            <w:shd w:val="clear" w:color="auto" w:fill="D9D9D9"/>
            <w:vAlign w:val="center"/>
          </w:tcPr>
          <w:p w14:paraId="23A5A185"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right w:val="single" w:sz="6" w:space="0" w:color="auto"/>
            </w:tcBorders>
            <w:shd w:val="clear" w:color="auto" w:fill="D9D9D9"/>
            <w:vAlign w:val="center"/>
          </w:tcPr>
          <w:p w14:paraId="24323DBD"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4" w:space="0" w:color="auto"/>
              <w:left w:val="single" w:sz="6" w:space="0" w:color="auto"/>
            </w:tcBorders>
            <w:shd w:val="clear" w:color="auto" w:fill="D9D9D9"/>
            <w:vAlign w:val="center"/>
          </w:tcPr>
          <w:p w14:paraId="36774E02"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4" w:space="0" w:color="auto"/>
              <w:left w:val="single" w:sz="6" w:space="0" w:color="auto"/>
              <w:right w:val="single" w:sz="6" w:space="0" w:color="auto"/>
            </w:tcBorders>
            <w:shd w:val="clear" w:color="auto" w:fill="D9D9D9"/>
            <w:vAlign w:val="center"/>
          </w:tcPr>
          <w:p w14:paraId="19F86E1B" w14:textId="77777777" w:rsidR="00C7266C" w:rsidRPr="00D403F5" w:rsidRDefault="00C7266C" w:rsidP="00D403F5">
            <w:pPr>
              <w:spacing w:after="0"/>
              <w:jc w:val="center"/>
              <w:rPr>
                <w:rFonts w:ascii="Arial Narrow" w:hAnsi="Arial Narrow" w:cs="Arial"/>
                <w:bCs/>
                <w:sz w:val="18"/>
                <w:szCs w:val="18"/>
                <w:lang w:val="en-IE" w:bidi="en-US"/>
              </w:rPr>
            </w:pPr>
          </w:p>
        </w:tc>
      </w:tr>
      <w:tr w:rsidR="00C7266C" w:rsidRPr="00D403F5" w14:paraId="02995F3F" w14:textId="77777777" w:rsidTr="00C7266C">
        <w:trPr>
          <w:trHeight w:val="402"/>
          <w:jc w:val="center"/>
        </w:trPr>
        <w:tc>
          <w:tcPr>
            <w:tcW w:w="2399" w:type="dxa"/>
            <w:tcBorders>
              <w:top w:val="single" w:sz="4" w:space="0" w:color="auto"/>
              <w:left w:val="single" w:sz="6" w:space="0" w:color="auto"/>
              <w:bottom w:val="single" w:sz="6" w:space="0" w:color="auto"/>
            </w:tcBorders>
            <w:vAlign w:val="center"/>
          </w:tcPr>
          <w:p w14:paraId="4FFE92D3" w14:textId="77777777" w:rsidR="00C7266C" w:rsidRPr="00D403F5" w:rsidRDefault="00C7266C" w:rsidP="00D403F5">
            <w:pPr>
              <w:spacing w:after="0"/>
              <w:jc w:val="center"/>
              <w:rPr>
                <w:rFonts w:ascii="Arial Narrow" w:hAnsi="Arial Narrow" w:cs="Arial"/>
                <w:b/>
                <w:bCs/>
                <w:sz w:val="18"/>
                <w:szCs w:val="18"/>
                <w:lang w:val="en-IE" w:bidi="en-US"/>
              </w:rPr>
            </w:pPr>
            <w:r w:rsidRPr="00D403F5">
              <w:rPr>
                <w:rFonts w:ascii="Arial Narrow" w:hAnsi="Arial Narrow" w:cs="Arial"/>
                <w:b/>
                <w:bCs/>
                <w:sz w:val="18"/>
                <w:szCs w:val="18"/>
                <w:u w:val="double"/>
                <w:lang w:val="en-IE" w:bidi="en-US"/>
              </w:rPr>
              <w:t>IFAT</w:t>
            </w:r>
            <w:r w:rsidRPr="00D403F5">
              <w:rPr>
                <w:rFonts w:ascii="Arial Narrow" w:hAnsi="Arial Narrow" w:cs="Arial"/>
                <w:b/>
                <w:bCs/>
                <w:sz w:val="18"/>
                <w:szCs w:val="18"/>
                <w:lang w:val="en-IE" w:bidi="en-US"/>
              </w:rPr>
              <w:t xml:space="preserve"> </w:t>
            </w:r>
            <w:r w:rsidRPr="00D403F5">
              <w:rPr>
                <w:rFonts w:ascii="Arial Narrow" w:hAnsi="Arial Narrow" w:cs="Arial"/>
                <w:b/>
                <w:bCs/>
                <w:strike/>
                <w:sz w:val="18"/>
                <w:szCs w:val="18"/>
                <w:lang w:val="en-IE" w:bidi="en-US"/>
              </w:rPr>
              <w:t>Other antigen detection methods</w:t>
            </w:r>
          </w:p>
        </w:tc>
        <w:tc>
          <w:tcPr>
            <w:tcW w:w="920" w:type="dxa"/>
            <w:tcBorders>
              <w:top w:val="single" w:sz="6" w:space="0" w:color="auto"/>
              <w:left w:val="single" w:sz="6" w:space="0" w:color="auto"/>
              <w:bottom w:val="single" w:sz="6" w:space="0" w:color="auto"/>
            </w:tcBorders>
            <w:shd w:val="clear" w:color="auto" w:fill="D9D9D9"/>
            <w:vAlign w:val="center"/>
          </w:tcPr>
          <w:p w14:paraId="74537B4C" w14:textId="77777777" w:rsidR="00C7266C" w:rsidRPr="00D403F5" w:rsidRDefault="00C7266C" w:rsidP="00D403F5">
            <w:pPr>
              <w:spacing w:after="0"/>
              <w:jc w:val="center"/>
              <w:rPr>
                <w:rFonts w:ascii="Arial Narrow" w:hAnsi="Arial Narrow" w:cs="Arial"/>
                <w:bCs/>
                <w:sz w:val="18"/>
                <w:szCs w:val="18"/>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14:paraId="41ADF9DC" w14:textId="77777777" w:rsidR="00C7266C" w:rsidRPr="00D403F5" w:rsidRDefault="00C7266C" w:rsidP="00D403F5">
            <w:pPr>
              <w:spacing w:after="0"/>
              <w:jc w:val="center"/>
              <w:rPr>
                <w:rFonts w:ascii="Arial Narrow" w:hAnsi="Arial Narrow" w:cs="Arial"/>
                <w:bCs/>
                <w:sz w:val="18"/>
                <w:szCs w:val="18"/>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14:paraId="4A57524D" w14:textId="77777777" w:rsidR="00C7266C" w:rsidRPr="00D403F5" w:rsidRDefault="00C7266C" w:rsidP="00D403F5">
            <w:pPr>
              <w:spacing w:after="0"/>
              <w:jc w:val="center"/>
              <w:rPr>
                <w:rFonts w:ascii="Arial Narrow" w:hAnsi="Arial Narrow" w:cs="Arial"/>
                <w:bCs/>
                <w:sz w:val="18"/>
                <w:szCs w:val="18"/>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14:paraId="12FD2499" w14:textId="77777777" w:rsidR="00C7266C" w:rsidRPr="00D403F5" w:rsidRDefault="00C7266C" w:rsidP="00D403F5">
            <w:pPr>
              <w:spacing w:after="0"/>
              <w:jc w:val="center"/>
              <w:rPr>
                <w:rFonts w:ascii="Arial Narrow" w:hAnsi="Arial Narrow" w:cs="Arial"/>
                <w:bCs/>
                <w:sz w:val="18"/>
                <w:szCs w:val="18"/>
                <w:lang w:val="en-IE" w:bidi="en-US"/>
              </w:rPr>
            </w:pPr>
          </w:p>
        </w:tc>
        <w:tc>
          <w:tcPr>
            <w:tcW w:w="776" w:type="dxa"/>
            <w:tcBorders>
              <w:top w:val="single" w:sz="4" w:space="0" w:color="auto"/>
              <w:left w:val="single" w:sz="6" w:space="0" w:color="auto"/>
              <w:bottom w:val="single" w:sz="6" w:space="0" w:color="auto"/>
            </w:tcBorders>
            <w:shd w:val="clear" w:color="auto" w:fill="D9D9D9"/>
            <w:vAlign w:val="center"/>
          </w:tcPr>
          <w:p w14:paraId="1471C625"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6" w:space="0" w:color="auto"/>
            </w:tcBorders>
            <w:shd w:val="clear" w:color="auto" w:fill="auto"/>
            <w:vAlign w:val="center"/>
          </w:tcPr>
          <w:p w14:paraId="6BCB34A2"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708" w:type="dxa"/>
            <w:tcBorders>
              <w:top w:val="single" w:sz="4" w:space="0" w:color="auto"/>
              <w:left w:val="single" w:sz="6" w:space="0" w:color="auto"/>
              <w:bottom w:val="single" w:sz="6" w:space="0" w:color="auto"/>
            </w:tcBorders>
            <w:shd w:val="clear" w:color="auto" w:fill="auto"/>
            <w:vAlign w:val="center"/>
          </w:tcPr>
          <w:p w14:paraId="6DAF17B8"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w:t>
            </w:r>
          </w:p>
        </w:tc>
        <w:tc>
          <w:tcPr>
            <w:tcW w:w="883" w:type="dxa"/>
            <w:tcBorders>
              <w:top w:val="single" w:sz="4" w:space="0" w:color="auto"/>
              <w:left w:val="single" w:sz="6" w:space="0" w:color="auto"/>
              <w:bottom w:val="single" w:sz="6" w:space="0" w:color="auto"/>
              <w:right w:val="single" w:sz="6" w:space="0" w:color="auto"/>
            </w:tcBorders>
            <w:shd w:val="clear" w:color="auto" w:fill="auto"/>
            <w:vAlign w:val="center"/>
          </w:tcPr>
          <w:p w14:paraId="712DEB32" w14:textId="77777777" w:rsidR="00C7266C" w:rsidRPr="00D403F5" w:rsidRDefault="00C7266C" w:rsidP="00D403F5">
            <w:pPr>
              <w:spacing w:after="0"/>
              <w:jc w:val="center"/>
              <w:rPr>
                <w:rFonts w:ascii="Arial Narrow" w:hAnsi="Arial Narrow" w:cs="Arial"/>
                <w:bCs/>
                <w:sz w:val="18"/>
                <w:szCs w:val="18"/>
                <w:lang w:val="en-IE" w:bidi="en-US"/>
              </w:rPr>
            </w:pPr>
            <w:r w:rsidRPr="00D403F5">
              <w:rPr>
                <w:rFonts w:ascii="Arial Narrow" w:hAnsi="Arial Narrow" w:cs="Arial"/>
                <w:bCs/>
                <w:sz w:val="18"/>
                <w:szCs w:val="18"/>
                <w:lang w:val="en-IE" w:bidi="en-US"/>
              </w:rPr>
              <w:t>1</w:t>
            </w:r>
          </w:p>
        </w:tc>
        <w:tc>
          <w:tcPr>
            <w:tcW w:w="960" w:type="dxa"/>
            <w:tcBorders>
              <w:top w:val="single" w:sz="4" w:space="0" w:color="auto"/>
              <w:left w:val="single" w:sz="6" w:space="0" w:color="auto"/>
              <w:bottom w:val="single" w:sz="6" w:space="0" w:color="auto"/>
              <w:right w:val="single" w:sz="6" w:space="0" w:color="auto"/>
            </w:tcBorders>
            <w:shd w:val="clear" w:color="auto" w:fill="D9D9D9"/>
            <w:vAlign w:val="center"/>
          </w:tcPr>
          <w:p w14:paraId="09A4D906" w14:textId="77777777" w:rsidR="00C7266C" w:rsidRPr="00D403F5" w:rsidRDefault="00C7266C" w:rsidP="00D403F5">
            <w:pPr>
              <w:spacing w:after="0"/>
              <w:jc w:val="center"/>
              <w:rPr>
                <w:rFonts w:ascii="Arial Narrow" w:hAnsi="Arial Narrow" w:cs="Arial"/>
                <w:bCs/>
                <w:sz w:val="18"/>
                <w:szCs w:val="18"/>
                <w:lang w:val="en-IE" w:bidi="en-US"/>
              </w:rPr>
            </w:pPr>
          </w:p>
        </w:tc>
        <w:tc>
          <w:tcPr>
            <w:tcW w:w="851" w:type="dxa"/>
            <w:tcBorders>
              <w:top w:val="single" w:sz="4" w:space="0" w:color="auto"/>
              <w:left w:val="single" w:sz="6" w:space="0" w:color="auto"/>
              <w:bottom w:val="single" w:sz="6" w:space="0" w:color="auto"/>
              <w:right w:val="single" w:sz="6" w:space="0" w:color="auto"/>
            </w:tcBorders>
            <w:shd w:val="clear" w:color="auto" w:fill="D9D9D9"/>
            <w:vAlign w:val="center"/>
          </w:tcPr>
          <w:p w14:paraId="14267866" w14:textId="77777777" w:rsidR="00C7266C" w:rsidRPr="00D403F5" w:rsidRDefault="00C7266C" w:rsidP="00D403F5">
            <w:pPr>
              <w:spacing w:after="0"/>
              <w:jc w:val="center"/>
              <w:rPr>
                <w:rFonts w:ascii="Arial Narrow" w:hAnsi="Arial Narrow" w:cs="Arial"/>
                <w:bCs/>
                <w:sz w:val="18"/>
                <w:szCs w:val="18"/>
                <w:lang w:val="en-IE" w:bidi="en-US"/>
              </w:rPr>
            </w:pPr>
          </w:p>
        </w:tc>
        <w:tc>
          <w:tcPr>
            <w:tcW w:w="708" w:type="dxa"/>
            <w:tcBorders>
              <w:top w:val="single" w:sz="4" w:space="0" w:color="auto"/>
              <w:left w:val="single" w:sz="6" w:space="0" w:color="auto"/>
              <w:bottom w:val="single" w:sz="6" w:space="0" w:color="auto"/>
            </w:tcBorders>
            <w:shd w:val="clear" w:color="auto" w:fill="D9D9D9"/>
            <w:vAlign w:val="center"/>
          </w:tcPr>
          <w:p w14:paraId="22E5A3E5" w14:textId="77777777" w:rsidR="00C7266C" w:rsidRPr="00D403F5" w:rsidRDefault="00C7266C" w:rsidP="00D403F5">
            <w:pPr>
              <w:spacing w:after="0"/>
              <w:jc w:val="center"/>
              <w:rPr>
                <w:rFonts w:ascii="Arial Narrow" w:hAnsi="Arial Narrow" w:cs="Arial"/>
                <w:bCs/>
                <w:sz w:val="18"/>
                <w:szCs w:val="18"/>
                <w:lang w:val="en-IE" w:bidi="en-US"/>
              </w:rPr>
            </w:pPr>
          </w:p>
        </w:tc>
        <w:tc>
          <w:tcPr>
            <w:tcW w:w="925" w:type="dxa"/>
            <w:tcBorders>
              <w:top w:val="single" w:sz="4" w:space="0" w:color="auto"/>
              <w:left w:val="single" w:sz="6" w:space="0" w:color="auto"/>
              <w:bottom w:val="single" w:sz="6" w:space="0" w:color="auto"/>
              <w:right w:val="single" w:sz="6" w:space="0" w:color="auto"/>
            </w:tcBorders>
            <w:shd w:val="clear" w:color="auto" w:fill="D9D9D9"/>
            <w:vAlign w:val="center"/>
          </w:tcPr>
          <w:p w14:paraId="5ECD3C91" w14:textId="77777777" w:rsidR="00C7266C" w:rsidRPr="00D403F5" w:rsidRDefault="00C7266C" w:rsidP="00D403F5">
            <w:pPr>
              <w:spacing w:after="0"/>
              <w:jc w:val="center"/>
              <w:rPr>
                <w:rFonts w:ascii="Arial Narrow" w:hAnsi="Arial Narrow" w:cs="Arial"/>
                <w:bCs/>
                <w:sz w:val="18"/>
                <w:szCs w:val="18"/>
                <w:lang w:val="en-IE" w:bidi="en-US"/>
              </w:rPr>
            </w:pPr>
          </w:p>
        </w:tc>
      </w:tr>
    </w:tbl>
    <w:p w14:paraId="50E79BD3" w14:textId="77777777" w:rsidR="00C7266C" w:rsidRPr="00D403F5" w:rsidRDefault="00C7266C" w:rsidP="00D403F5">
      <w:pPr>
        <w:tabs>
          <w:tab w:val="left" w:pos="-720"/>
        </w:tabs>
        <w:spacing w:after="0"/>
        <w:jc w:val="center"/>
        <w:rPr>
          <w:rFonts w:ascii="Arial" w:hAnsi="Arial" w:cs="Arial"/>
          <w:sz w:val="18"/>
          <w:szCs w:val="18"/>
          <w:lang w:val="en-IE" w:bidi="en-US"/>
        </w:rPr>
      </w:pPr>
      <w:r w:rsidRPr="00D403F5">
        <w:rPr>
          <w:rFonts w:ascii="Arial" w:hAnsi="Arial" w:cs="Arial"/>
          <w:sz w:val="18"/>
          <w:szCs w:val="18"/>
          <w:lang w:eastAsia="fr-FR"/>
        </w:rPr>
        <w:t>LV = level of validation, refers to the stage of validation in the OIE Pathway (chapter 1.1.2)</w:t>
      </w:r>
      <w:r w:rsidRPr="00D403F5">
        <w:rPr>
          <w:rFonts w:ascii="Arial" w:hAnsi="Arial" w:cs="Arial"/>
          <w:sz w:val="18"/>
          <w:szCs w:val="18"/>
          <w:lang w:val="en-US" w:bidi="en-US"/>
        </w:rPr>
        <w:t xml:space="preserve">; </w:t>
      </w:r>
      <w:r w:rsidRPr="00D403F5">
        <w:rPr>
          <w:rFonts w:ascii="Arial" w:hAnsi="Arial" w:cs="Arial"/>
          <w:sz w:val="18"/>
          <w:szCs w:val="18"/>
          <w:lang w:eastAsia="fr-FR"/>
        </w:rPr>
        <w:t xml:space="preserve">PCR = polymerase chain reaction; ELISA = </w:t>
      </w:r>
      <w:r w:rsidRPr="00D403F5">
        <w:rPr>
          <w:rFonts w:ascii="Arial" w:hAnsi="Arial" w:cs="Arial"/>
          <w:sz w:val="18"/>
          <w:szCs w:val="18"/>
          <w:lang w:val="en-IE" w:bidi="en-US"/>
        </w:rPr>
        <w:t xml:space="preserve">enzyme-linked immunosorbent assay; LAMP = </w:t>
      </w:r>
      <w:bookmarkStart w:id="73" w:name="_Hlk20833797"/>
      <w:r w:rsidRPr="00D403F5">
        <w:rPr>
          <w:rFonts w:ascii="Arial" w:eastAsia="Calibri" w:hAnsi="Arial" w:cs="Arial"/>
          <w:sz w:val="18"/>
          <w:szCs w:val="18"/>
        </w:rPr>
        <w:t>loop-mediated isothermal amplification</w:t>
      </w:r>
      <w:bookmarkEnd w:id="73"/>
      <w:r w:rsidRPr="00D403F5">
        <w:rPr>
          <w:rFonts w:ascii="Arial" w:eastAsia="Calibri" w:hAnsi="Arial" w:cs="Arial"/>
          <w:sz w:val="18"/>
          <w:szCs w:val="18"/>
        </w:rPr>
        <w:t>.</w:t>
      </w:r>
      <w:r w:rsidRPr="00D403F5">
        <w:rPr>
          <w:rFonts w:ascii="Arial" w:hAnsi="Arial" w:cs="Arial"/>
          <w:sz w:val="18"/>
          <w:szCs w:val="18"/>
          <w:vertAlign w:val="superscript"/>
          <w:lang w:val="en-IE" w:eastAsia="fr-FR" w:bidi="en-US"/>
        </w:rPr>
        <w:t>1</w:t>
      </w:r>
      <w:r w:rsidRPr="00D403F5">
        <w:rPr>
          <w:rFonts w:ascii="Arial" w:hAnsi="Arial" w:cs="Arial"/>
          <w:sz w:val="18"/>
          <w:szCs w:val="18"/>
          <w:lang w:val="en-IE" w:eastAsia="fr-FR"/>
        </w:rPr>
        <w:t xml:space="preserve">For confirmatory diagnoses, methods need to be carried out in combination (see Section 6). </w:t>
      </w:r>
      <w:r w:rsidRPr="00D403F5">
        <w:rPr>
          <w:rFonts w:ascii="Arial" w:hAnsi="Arial" w:cs="Arial"/>
          <w:sz w:val="18"/>
          <w:szCs w:val="18"/>
          <w:vertAlign w:val="superscript"/>
          <w:lang w:val="en-IE" w:eastAsia="fr-FR" w:bidi="en-US"/>
        </w:rPr>
        <w:t>2</w:t>
      </w:r>
      <w:r w:rsidRPr="00D403F5">
        <w:rPr>
          <w:rFonts w:ascii="Arial" w:hAnsi="Arial" w:cs="Arial"/>
          <w:sz w:val="18"/>
          <w:szCs w:val="18"/>
          <w:lang w:val="en-IE" w:eastAsia="fr-FR"/>
        </w:rPr>
        <w:t xml:space="preserve">Early and juvenile life stages have been defined in Section 2.2.4. </w:t>
      </w:r>
      <w:r w:rsidRPr="00D403F5">
        <w:rPr>
          <w:rFonts w:ascii="Arial" w:hAnsi="Arial" w:cs="Arial"/>
          <w:sz w:val="18"/>
          <w:szCs w:val="18"/>
          <w:lang w:val="en-IE" w:eastAsia="fr-FR"/>
        </w:rPr>
        <w:br/>
      </w:r>
      <w:r w:rsidRPr="00D403F5">
        <w:rPr>
          <w:rFonts w:ascii="Arial" w:hAnsi="Arial" w:cs="Arial"/>
          <w:sz w:val="18"/>
          <w:szCs w:val="18"/>
          <w:vertAlign w:val="superscript"/>
          <w:lang w:val="en-IE" w:eastAsia="fr-FR" w:bidi="en-US"/>
        </w:rPr>
        <w:t>3</w:t>
      </w:r>
      <w:r w:rsidRPr="00D403F5">
        <w:rPr>
          <w:rFonts w:ascii="Arial" w:hAnsi="Arial" w:cs="Arial"/>
          <w:sz w:val="18"/>
          <w:szCs w:val="18"/>
          <w:lang w:val="en-IE" w:eastAsia="fr-FR"/>
        </w:rPr>
        <w:t>Histopathology and cytopathology can be validated if the results from different operators have been statistically compared.</w:t>
      </w:r>
      <w:r w:rsidRPr="00D403F5">
        <w:rPr>
          <w:rFonts w:ascii="Arial" w:hAnsi="Arial" w:cs="Arial"/>
          <w:sz w:val="18"/>
          <w:szCs w:val="18"/>
          <w:vertAlign w:val="superscript"/>
          <w:lang w:eastAsia="fr-FR"/>
        </w:rPr>
        <w:t xml:space="preserve"> 4</w:t>
      </w:r>
      <w:r w:rsidRPr="00D403F5">
        <w:rPr>
          <w:rFonts w:ascii="Arial" w:hAnsi="Arial" w:cs="Arial"/>
          <w:sz w:val="18"/>
          <w:szCs w:val="18"/>
          <w:lang w:val="en-IE" w:eastAsia="fr-FR"/>
        </w:rPr>
        <w:t>Sequencing of the PCR product.</w:t>
      </w:r>
      <w:r w:rsidRPr="00D403F5">
        <w:rPr>
          <w:rFonts w:ascii="Arial" w:hAnsi="Arial" w:cs="Arial"/>
          <w:sz w:val="18"/>
          <w:szCs w:val="18"/>
          <w:lang w:val="en-IE" w:eastAsia="fr-FR"/>
        </w:rPr>
        <w:br/>
        <w:t>Shading indicates the test is inappropriate or should not be used for this purpose.</w:t>
      </w:r>
    </w:p>
    <w:p w14:paraId="6051C060" w14:textId="77777777" w:rsidR="00C7266C" w:rsidRPr="00D403F5" w:rsidRDefault="00C7266C" w:rsidP="00D403F5">
      <w:pPr>
        <w:spacing w:after="0"/>
        <w:jc w:val="both"/>
        <w:rPr>
          <w:rFonts w:ascii="Arial" w:hAnsi="Arial" w:cs="Arial"/>
          <w:sz w:val="18"/>
          <w:szCs w:val="18"/>
          <w:lang w:val="en-IE" w:bidi="en-US"/>
        </w:rPr>
        <w:sectPr w:rsidR="00C7266C" w:rsidRPr="00D403F5" w:rsidSect="00C7266C">
          <w:headerReference w:type="even" r:id="rId97"/>
          <w:headerReference w:type="default" r:id="rId98"/>
          <w:headerReference w:type="first" r:id="rId99"/>
          <w:footerReference w:type="first" r:id="rId100"/>
          <w:pgSz w:w="16838" w:h="11906" w:orient="landscape" w:code="9"/>
          <w:pgMar w:top="1418" w:right="1418" w:bottom="1418" w:left="1418" w:header="709" w:footer="709" w:gutter="0"/>
          <w:cols w:space="708"/>
          <w:titlePg/>
          <w:docGrid w:linePitch="360"/>
        </w:sectPr>
      </w:pPr>
    </w:p>
    <w:p w14:paraId="3B4E01BC" w14:textId="77777777" w:rsidR="00C7266C" w:rsidRPr="00D403F5" w:rsidRDefault="00C7266C" w:rsidP="0076436B">
      <w:pPr>
        <w:spacing w:after="480"/>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3AA5617D" w14:textId="77777777" w:rsidR="00C7266C" w:rsidRPr="00D403F5" w:rsidRDefault="00C7266C" w:rsidP="00D403F5">
      <w:pPr>
        <w:pStyle w:val="11"/>
        <w:spacing w:after="0"/>
        <w:ind w:left="425"/>
        <w:rPr>
          <w:rFonts w:cs="Arial"/>
          <w:sz w:val="18"/>
          <w:szCs w:val="18"/>
          <w:lang w:bidi="en-US"/>
        </w:rPr>
      </w:pPr>
      <w:r w:rsidRPr="00D403F5">
        <w:rPr>
          <w:rFonts w:cs="Arial"/>
          <w:sz w:val="18"/>
          <w:szCs w:val="18"/>
          <w:lang w:bidi="en-US"/>
        </w:rPr>
        <w:t>4.1.</w:t>
      </w:r>
      <w:r w:rsidRPr="00D403F5">
        <w:rPr>
          <w:rFonts w:cs="Arial"/>
          <w:sz w:val="18"/>
          <w:szCs w:val="18"/>
          <w:lang w:bidi="en-US"/>
        </w:rPr>
        <w:tab/>
        <w:t xml:space="preserve">Wet mounts </w:t>
      </w:r>
    </w:p>
    <w:p w14:paraId="7599CA3B" w14:textId="77777777" w:rsidR="00C7266C" w:rsidRPr="00D403F5" w:rsidRDefault="00C7266C" w:rsidP="00D403F5">
      <w:pPr>
        <w:spacing w:after="0"/>
        <w:ind w:left="426"/>
        <w:jc w:val="both"/>
        <w:rPr>
          <w:rFonts w:ascii="Arial" w:hAnsi="Arial" w:cs="Arial"/>
          <w:sz w:val="18"/>
          <w:szCs w:val="18"/>
          <w:lang w:val="en-IE" w:eastAsia="fr-FR" w:bidi="en-US"/>
        </w:rPr>
      </w:pPr>
      <w:r w:rsidRPr="00D403F5">
        <w:rPr>
          <w:rFonts w:ascii="Arial" w:hAnsi="Arial" w:cs="Arial"/>
          <w:sz w:val="18"/>
          <w:szCs w:val="18"/>
          <w:lang w:val="en-IE" w:eastAsia="fr-FR" w:bidi="en-US"/>
        </w:rPr>
        <w:t>Not applicable.</w:t>
      </w:r>
    </w:p>
    <w:p w14:paraId="27F020C3" w14:textId="77777777" w:rsidR="00C7266C" w:rsidRPr="00D403F5" w:rsidRDefault="00C7266C" w:rsidP="00D403F5">
      <w:pPr>
        <w:pStyle w:val="11"/>
        <w:spacing w:after="0"/>
        <w:ind w:left="425"/>
        <w:rPr>
          <w:sz w:val="18"/>
          <w:szCs w:val="18"/>
        </w:rPr>
      </w:pPr>
      <w:r w:rsidRPr="00D403F5">
        <w:rPr>
          <w:sz w:val="18"/>
          <w:szCs w:val="18"/>
        </w:rPr>
        <w:t>4.2.</w:t>
      </w:r>
      <w:r w:rsidRPr="00D403F5">
        <w:rPr>
          <w:sz w:val="18"/>
          <w:szCs w:val="18"/>
        </w:rPr>
        <w:tab/>
        <w:t>Histo- and cytopathology</w:t>
      </w:r>
    </w:p>
    <w:p w14:paraId="42259EE6" w14:textId="77777777" w:rsidR="00C7266C" w:rsidRPr="00D403F5" w:rsidRDefault="00C7266C" w:rsidP="00D403F5">
      <w:pPr>
        <w:spacing w:after="0"/>
        <w:ind w:left="426"/>
        <w:jc w:val="both"/>
        <w:rPr>
          <w:rFonts w:ascii="Arial" w:hAnsi="Arial"/>
          <w:bCs/>
          <w:sz w:val="18"/>
          <w:szCs w:val="18"/>
          <w:lang w:val="en-IE" w:eastAsia="fr-FR"/>
        </w:rPr>
      </w:pPr>
      <w:r w:rsidRPr="00D403F5">
        <w:rPr>
          <w:rFonts w:ascii="Arial" w:hAnsi="Arial"/>
          <w:bCs/>
          <w:sz w:val="18"/>
          <w:szCs w:val="18"/>
          <w:lang w:val="en-IE" w:eastAsia="fr-FR"/>
        </w:rPr>
        <w:t>Histopathological changes can be observed in all major organs. In the liver, blood vessels show oedematous perivasculitis progressing to necrosis. Liver parenchyma shows hyperaemia with multiple focal necrosis and degeneration. The heart shows pericarditis and infiltration of the myocardium progressing to focal degeneration and necrosis. The spleen shows hyperaemia with hyperplasia of the reticuloendothelium and enlarged melanomacrophage centres, and the pancreas is inflamed with multifocal necrosis. In the kidney, damage is seen to excretory and haematopoietic tissue. Renal tubules are clogged with casts and the cells undergo hyaline degeneration and vacuolation. The intestine shows perivascular inflammation, desquamation of the epithelium and atrophy of the villi. The peritoneum is inflamed, and lymph vessels are filled with detritus and macrophages. In the swim bladder, the epithelial lamina changes from a monolayer to a discontinuous multi-layer and vessels in the submucosa are dilated with nearby lymphocyte infiltration.</w:t>
      </w:r>
    </w:p>
    <w:p w14:paraId="384DB107" w14:textId="77777777" w:rsidR="00C7266C" w:rsidRPr="00D403F5" w:rsidRDefault="00C7266C" w:rsidP="00D403F5">
      <w:pPr>
        <w:spacing w:after="0"/>
        <w:ind w:left="426"/>
        <w:jc w:val="both"/>
        <w:rPr>
          <w:rFonts w:ascii="Arial" w:hAnsi="Arial" w:cs="Arial"/>
          <w:bCs/>
          <w:sz w:val="18"/>
          <w:szCs w:val="18"/>
          <w:lang w:val="en-IE" w:eastAsia="fr-FR"/>
        </w:rPr>
      </w:pPr>
      <w:r w:rsidRPr="00D403F5">
        <w:rPr>
          <w:rFonts w:ascii="Arial" w:hAnsi="Arial" w:cs="Arial"/>
          <w:bCs/>
          <w:sz w:val="18"/>
          <w:szCs w:val="18"/>
          <w:lang w:val="en-IE" w:eastAsia="fr-FR"/>
        </w:rPr>
        <w:t xml:space="preserve">As the histopathological </w:t>
      </w:r>
      <w:r w:rsidRPr="00D403F5">
        <w:rPr>
          <w:rFonts w:ascii="Arial" w:hAnsi="Arial" w:cs="Arial"/>
          <w:bCs/>
          <w:sz w:val="18"/>
          <w:szCs w:val="18"/>
          <w:u w:val="double"/>
          <w:lang w:val="en-IE" w:eastAsia="fr-FR"/>
        </w:rPr>
        <w:t>presentation</w:t>
      </w:r>
      <w:r w:rsidRPr="00D403F5">
        <w:rPr>
          <w:rFonts w:ascii="Arial" w:hAnsi="Arial" w:cs="Arial"/>
          <w:bCs/>
          <w:sz w:val="18"/>
          <w:szCs w:val="18"/>
          <w:lang w:val="en-IE" w:eastAsia="fr-FR"/>
        </w:rPr>
        <w:t xml:space="preserve"> </w:t>
      </w:r>
      <w:r w:rsidRPr="00D403F5">
        <w:rPr>
          <w:rFonts w:ascii="Arial" w:hAnsi="Arial" w:cs="Arial"/>
          <w:bCs/>
          <w:strike/>
          <w:sz w:val="18"/>
          <w:szCs w:val="18"/>
          <w:lang w:val="en-IE" w:eastAsia="fr-FR"/>
        </w:rPr>
        <w:t xml:space="preserve">picture </w:t>
      </w:r>
      <w:r w:rsidRPr="00D403F5">
        <w:rPr>
          <w:rFonts w:ascii="Arial" w:hAnsi="Arial" w:cs="Arial"/>
          <w:bCs/>
          <w:sz w:val="18"/>
          <w:szCs w:val="18"/>
          <w:lang w:val="en-IE" w:eastAsia="fr-FR"/>
        </w:rPr>
        <w:t xml:space="preserve">is not specific for the disease, and not all fish will exhibit each feature (Misk </w:t>
      </w:r>
      <w:r w:rsidRPr="00D403F5">
        <w:rPr>
          <w:rFonts w:ascii="Arial" w:hAnsi="Arial" w:cs="Arial"/>
          <w:bCs/>
          <w:i/>
          <w:sz w:val="18"/>
          <w:szCs w:val="18"/>
          <w:lang w:val="en-IE" w:eastAsia="fr-FR"/>
        </w:rPr>
        <w:t>et al.,</w:t>
      </w:r>
      <w:r w:rsidRPr="00D403F5">
        <w:rPr>
          <w:rFonts w:ascii="Arial" w:hAnsi="Arial" w:cs="Arial"/>
          <w:bCs/>
          <w:sz w:val="18"/>
          <w:szCs w:val="18"/>
          <w:lang w:val="en-IE" w:eastAsia="fr-FR"/>
        </w:rPr>
        <w:t xml:space="preserve"> 2016), microscopic methods by themselves are not recommended for diagnosis of SVC</w:t>
      </w:r>
      <w:r w:rsidRPr="00D403F5">
        <w:rPr>
          <w:rFonts w:ascii="Arial" w:hAnsi="Arial" w:cs="Arial"/>
          <w:bCs/>
          <w:strike/>
          <w:sz w:val="18"/>
          <w:szCs w:val="18"/>
          <w:lang w:val="en-IE" w:eastAsia="fr-FR"/>
        </w:rPr>
        <w:t xml:space="preserve"> as the histopathological picture is not specific for the disease</w:t>
      </w:r>
      <w:r w:rsidRPr="00D403F5">
        <w:rPr>
          <w:rFonts w:ascii="Arial" w:hAnsi="Arial" w:cs="Arial"/>
          <w:bCs/>
          <w:sz w:val="18"/>
          <w:szCs w:val="18"/>
          <w:lang w:val="en-IE" w:eastAsia="fr-FR"/>
        </w:rPr>
        <w:t xml:space="preserve">. They may, however, provide supporting evidence, particularly, when </w:t>
      </w:r>
      <w:r w:rsidRPr="00D403F5">
        <w:rPr>
          <w:rFonts w:ascii="Arial" w:hAnsi="Arial" w:cs="Arial"/>
          <w:bCs/>
          <w:sz w:val="18"/>
          <w:szCs w:val="18"/>
          <w:u w:val="double"/>
          <w:lang w:val="en-IE" w:eastAsia="fr-FR"/>
        </w:rPr>
        <w:t>immunohistochemistry</w:t>
      </w:r>
      <w:r w:rsidRPr="00D403F5">
        <w:rPr>
          <w:rFonts w:ascii="Arial" w:hAnsi="Arial" w:cs="Arial"/>
          <w:bCs/>
          <w:sz w:val="18"/>
          <w:szCs w:val="18"/>
          <w:lang w:val="en-IE" w:eastAsia="fr-FR"/>
        </w:rPr>
        <w:t xml:space="preserve"> </w:t>
      </w:r>
      <w:r w:rsidRPr="00D403F5">
        <w:rPr>
          <w:rFonts w:ascii="Arial" w:hAnsi="Arial" w:cs="Arial"/>
          <w:bCs/>
          <w:strike/>
          <w:sz w:val="18"/>
          <w:szCs w:val="18"/>
          <w:lang w:val="en-IE" w:eastAsia="fr-FR"/>
        </w:rPr>
        <w:t xml:space="preserve">immunohistological (IHC) </w:t>
      </w:r>
      <w:r w:rsidRPr="00D403F5">
        <w:rPr>
          <w:rFonts w:ascii="Arial" w:hAnsi="Arial" w:cs="Arial"/>
          <w:bCs/>
          <w:sz w:val="18"/>
          <w:szCs w:val="18"/>
          <w:lang w:val="en-IE" w:eastAsia="fr-FR"/>
        </w:rPr>
        <w:t xml:space="preserve">or </w:t>
      </w:r>
      <w:r w:rsidRPr="00D403F5">
        <w:rPr>
          <w:rFonts w:ascii="Arial" w:hAnsi="Arial" w:cs="Arial"/>
          <w:bCs/>
          <w:sz w:val="18"/>
          <w:szCs w:val="18"/>
          <w:u w:val="double"/>
          <w:lang w:val="en-IE" w:eastAsia="fr-FR"/>
        </w:rPr>
        <w:t>nucleic acid</w:t>
      </w:r>
      <w:r w:rsidRPr="00D403F5">
        <w:rPr>
          <w:rFonts w:ascii="Arial" w:hAnsi="Arial" w:cs="Arial"/>
          <w:bCs/>
          <w:sz w:val="18"/>
          <w:szCs w:val="18"/>
          <w:lang w:val="en-IE" w:eastAsia="fr-FR"/>
        </w:rPr>
        <w:t xml:space="preserve"> </w:t>
      </w:r>
      <w:r w:rsidRPr="00D403F5">
        <w:rPr>
          <w:rFonts w:ascii="Arial" w:hAnsi="Arial" w:cs="Arial"/>
          <w:bCs/>
          <w:strike/>
          <w:sz w:val="18"/>
          <w:szCs w:val="18"/>
          <w:lang w:val="en-IE" w:eastAsia="fr-FR"/>
        </w:rPr>
        <w:t xml:space="preserve">DNA </w:t>
      </w:r>
      <w:r w:rsidRPr="00D403F5">
        <w:rPr>
          <w:rFonts w:ascii="Arial" w:hAnsi="Arial" w:cs="Arial"/>
          <w:bCs/>
          <w:sz w:val="18"/>
          <w:szCs w:val="18"/>
          <w:lang w:val="en-IE" w:eastAsia="fr-FR"/>
        </w:rPr>
        <w:t xml:space="preserve">based </w:t>
      </w:r>
      <w:r w:rsidRPr="00D403F5">
        <w:rPr>
          <w:rFonts w:ascii="Arial" w:hAnsi="Arial" w:cs="Arial"/>
          <w:bCs/>
          <w:i/>
          <w:sz w:val="18"/>
          <w:szCs w:val="18"/>
          <w:lang w:val="en-IE" w:eastAsia="fr-FR"/>
        </w:rPr>
        <w:t>in-situ</w:t>
      </w:r>
      <w:r w:rsidRPr="00D403F5">
        <w:rPr>
          <w:rFonts w:ascii="Arial" w:hAnsi="Arial" w:cs="Arial"/>
          <w:bCs/>
          <w:sz w:val="18"/>
          <w:szCs w:val="18"/>
          <w:lang w:val="en-IE" w:eastAsia="fr-FR"/>
        </w:rPr>
        <w:t xml:space="preserve"> hybridisation methods are used (see the relevant Sections below).</w:t>
      </w:r>
    </w:p>
    <w:p w14:paraId="178D1A5C" w14:textId="77777777" w:rsidR="00C7266C" w:rsidRPr="00D403F5" w:rsidRDefault="00C7266C" w:rsidP="00D403F5">
      <w:pPr>
        <w:spacing w:after="0"/>
        <w:ind w:left="425"/>
        <w:jc w:val="both"/>
        <w:rPr>
          <w:rFonts w:ascii="Arial" w:hAnsi="Arial" w:cs="Arial"/>
          <w:strike/>
          <w:sz w:val="18"/>
          <w:szCs w:val="18"/>
          <w:lang w:val="en-IE"/>
        </w:rPr>
      </w:pPr>
      <w:r w:rsidRPr="00D403F5">
        <w:rPr>
          <w:rFonts w:ascii="Arial" w:hAnsi="Arial" w:cs="Arial"/>
          <w:strike/>
          <w:sz w:val="18"/>
          <w:szCs w:val="18"/>
          <w:lang w:val="en-IE"/>
        </w:rPr>
        <w:t>Fixed sections can also be used for histoimmunochemistry (but see caveats in Section 4.6.).</w:t>
      </w:r>
    </w:p>
    <w:p w14:paraId="1B38F379" w14:textId="77777777" w:rsidR="00C7266C" w:rsidRPr="00D403F5" w:rsidRDefault="00C7266C" w:rsidP="00D403F5">
      <w:pPr>
        <w:pStyle w:val="11"/>
        <w:spacing w:after="0"/>
        <w:ind w:left="425"/>
        <w:rPr>
          <w:sz w:val="18"/>
          <w:szCs w:val="18"/>
          <w:lang w:bidi="en-US"/>
        </w:rPr>
      </w:pPr>
      <w:r w:rsidRPr="00D403F5">
        <w:rPr>
          <w:sz w:val="18"/>
          <w:szCs w:val="18"/>
          <w:lang w:bidi="en-US"/>
        </w:rPr>
        <w:t>4.3.</w:t>
      </w:r>
      <w:r w:rsidRPr="00D403F5">
        <w:rPr>
          <w:sz w:val="18"/>
          <w:szCs w:val="18"/>
          <w:lang w:bidi="en-US"/>
        </w:rPr>
        <w:tab/>
        <w:t>Cell or artificial media culture for isolation</w:t>
      </w:r>
    </w:p>
    <w:p w14:paraId="72E11756"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trike/>
          <w:sz w:val="18"/>
          <w:szCs w:val="18"/>
          <w:lang w:val="en-IE"/>
        </w:rPr>
        <w:t xml:space="preserve">If culturing viruses </w:t>
      </w:r>
      <w:r w:rsidRPr="00D403F5">
        <w:rPr>
          <w:rFonts w:ascii="Arial" w:hAnsi="Arial"/>
          <w:sz w:val="18"/>
          <w:szCs w:val="18"/>
          <w:lang w:val="en-IE"/>
        </w:rPr>
        <w:t>Cell lines should be monitored to ensure that susceptibility to targeted pathogens has not changed.</w:t>
      </w:r>
    </w:p>
    <w:p w14:paraId="404928CA" w14:textId="77777777" w:rsidR="00C7266C" w:rsidRPr="00D403F5" w:rsidRDefault="00C7266C" w:rsidP="00D403F5">
      <w:pPr>
        <w:spacing w:after="0"/>
        <w:ind w:left="426"/>
        <w:jc w:val="both"/>
        <w:rPr>
          <w:rFonts w:ascii="Arial" w:hAnsi="Arial"/>
          <w:i/>
          <w:sz w:val="18"/>
          <w:szCs w:val="18"/>
          <w:lang w:val="en-IE"/>
        </w:rPr>
      </w:pPr>
      <w:r w:rsidRPr="00D403F5">
        <w:rPr>
          <w:rFonts w:ascii="Arial" w:hAnsi="Arial"/>
          <w:i/>
          <w:sz w:val="18"/>
          <w:szCs w:val="18"/>
          <w:lang w:val="en-IE"/>
        </w:rPr>
        <w:t>Cell culture</w:t>
      </w:r>
    </w:p>
    <w:p w14:paraId="51AEB276"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Cell line to be used: EPC, FHM or GCO.</w:t>
      </w:r>
    </w:p>
    <w:p w14:paraId="360133FB"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 xml:space="preserve">Virus extraction: Use the procedure described in Section </w:t>
      </w:r>
      <w:r w:rsidRPr="00D403F5">
        <w:rPr>
          <w:rFonts w:ascii="Arial" w:hAnsi="Arial"/>
          <w:strike/>
          <w:sz w:val="18"/>
          <w:szCs w:val="18"/>
          <w:lang w:val="en-IE"/>
        </w:rPr>
        <w:t>A.</w:t>
      </w:r>
      <w:r w:rsidRPr="00D403F5">
        <w:rPr>
          <w:rFonts w:ascii="Arial" w:hAnsi="Arial"/>
          <w:sz w:val="18"/>
          <w:szCs w:val="18"/>
          <w:lang w:val="en-IE"/>
        </w:rPr>
        <w:t>2.2.2 of Chapter 2.3.0.</w:t>
      </w:r>
    </w:p>
    <w:p w14:paraId="6733F93A"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Inoculation of cell monolayers: make two serial tenfold dilutions of the 1/10 organ homogenate supernatants in cell culture medium (i.e. the homogenate supernatants will be 1/100 and 1/1000 dilutions of the original organ material) and transfer an appropriate volume of each of these two dilutions on to 24-hour-old cell monolayers drained of their culture medium. Alternatively, make a single tenfold dilution of the 1/10 organ homogenate (i.e. a 1/100 dilution of the original organ material) and add an appropriate volume of both the 1/10 and 1/100 dilutions directly to undrained 24 hour-old cell monolayers, to effect 1/100 and 1/1000 final dilutions of the organ homogenate. Should toxicity of the sample be a problem, make two serial tenfold dilutions of the 1/10 organ homogenate supernatants in cell culture medium as described above and inoculate at least 2 cm</w:t>
      </w:r>
      <w:r w:rsidRPr="00D403F5">
        <w:rPr>
          <w:rFonts w:ascii="Arial" w:hAnsi="Arial"/>
          <w:sz w:val="18"/>
          <w:szCs w:val="18"/>
          <w:vertAlign w:val="superscript"/>
          <w:lang w:val="en-IE"/>
        </w:rPr>
        <w:t>2</w:t>
      </w:r>
      <w:r w:rsidRPr="00D403F5">
        <w:rPr>
          <w:rFonts w:ascii="Arial" w:hAnsi="Arial"/>
          <w:sz w:val="18"/>
          <w:szCs w:val="18"/>
          <w:lang w:val="en-IE"/>
        </w:rPr>
        <w:t xml:space="preserve"> of drained cell monolayer with 100 µl of each dilution. Allow to adsorb for 0.5–1 hour at 10–15°C, withdraw the inoculum and add cell culture medium buffered at pH 7.6 and supplemented with 2% fetal calf serum (FCS) (1 ml well</w:t>
      </w:r>
      <w:r w:rsidRPr="00D403F5">
        <w:rPr>
          <w:rFonts w:ascii="Arial" w:hAnsi="Arial"/>
          <w:sz w:val="18"/>
          <w:szCs w:val="18"/>
          <w:vertAlign w:val="superscript"/>
          <w:lang w:val="en-IE"/>
        </w:rPr>
        <w:t>–1</w:t>
      </w:r>
      <w:r w:rsidRPr="00D403F5">
        <w:rPr>
          <w:rFonts w:ascii="Arial" w:hAnsi="Arial"/>
          <w:sz w:val="18"/>
          <w:szCs w:val="18"/>
          <w:lang w:val="en-IE"/>
        </w:rPr>
        <w:t xml:space="preserve"> for 24-well cell culture plates). Incubate at </w:t>
      </w:r>
      <w:smartTag w:uri="urn:schemas-microsoft-com:office:smarttags" w:element="metricconverter">
        <w:smartTagPr>
          <w:attr w:name="ProductID" w:val="20ﾰC"/>
        </w:smartTagPr>
        <w:r w:rsidRPr="00D403F5">
          <w:rPr>
            <w:rFonts w:ascii="Arial" w:hAnsi="Arial"/>
            <w:sz w:val="18"/>
            <w:szCs w:val="18"/>
            <w:lang w:val="en-IE"/>
          </w:rPr>
          <w:t>20°C</w:t>
        </w:r>
      </w:smartTag>
      <w:r w:rsidRPr="00D403F5">
        <w:rPr>
          <w:rFonts w:ascii="Arial" w:hAnsi="Arial"/>
          <w:sz w:val="18"/>
          <w:szCs w:val="18"/>
          <w:lang w:val="en-IE"/>
        </w:rPr>
        <w:t>.</w:t>
      </w:r>
    </w:p>
    <w:p w14:paraId="4FED0621"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Monitoring incubation: Follow the course of infection in positive controls and other inoculated cell cultures by microscopic examination at ×40–100 magnification for 7 days. The use of a phase-contrast microscope is recommended.</w:t>
      </w:r>
    </w:p>
    <w:p w14:paraId="5310F495" w14:textId="77777777" w:rsidR="00C7266C" w:rsidRPr="00D403F5" w:rsidRDefault="00C7266C" w:rsidP="00D403F5">
      <w:pPr>
        <w:spacing w:after="0"/>
        <w:rPr>
          <w:rFonts w:ascii="Times New Roman" w:hAnsi="Times New Roman" w:cs="Times New Roman"/>
          <w:noProof/>
          <w:sz w:val="18"/>
          <w:szCs w:val="18"/>
          <w:lang w:val="en-US"/>
        </w:rPr>
      </w:pPr>
      <w:r w:rsidRPr="00D403F5">
        <w:rPr>
          <w:rFonts w:ascii="Times New Roman" w:hAnsi="Times New Roman" w:cs="Times New Roman"/>
          <w:noProof/>
          <w:sz w:val="18"/>
          <w:szCs w:val="18"/>
          <w:lang w:val="en-US"/>
        </w:rPr>
        <w:br w:type="page"/>
      </w:r>
    </w:p>
    <w:p w14:paraId="4C83D4BD" w14:textId="77777777" w:rsidR="00C7266C" w:rsidRPr="00D403F5" w:rsidRDefault="00C7266C" w:rsidP="0076436B">
      <w:pPr>
        <w:spacing w:after="480"/>
        <w:jc w:val="right"/>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788543FA"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 xml:space="preserve">Maintain the pH of the cell culture medium at between 7.3. and 7.6. during incubation. This can be achieved by the addition to the inoculated medium of sterile bicarbonate buffer (for tightly closed cell culture flasks) or HEPES-buffered medium (HEPES = N-2-hydroxyethyl-piperazine-N-2-ethanesulfonic acid) or </w:t>
      </w:r>
      <w:smartTag w:uri="urn:schemas-microsoft-com:office:smarttags" w:element="metricconverter">
        <w:smartTagPr>
          <w:attr w:name="ProductID" w:val="2 M"/>
        </w:smartTagPr>
        <w:r w:rsidRPr="00D403F5">
          <w:rPr>
            <w:rFonts w:ascii="Arial" w:hAnsi="Arial"/>
            <w:sz w:val="18"/>
            <w:szCs w:val="18"/>
            <w:lang w:val="en-IE"/>
          </w:rPr>
          <w:t>2 M</w:t>
        </w:r>
      </w:smartTag>
      <w:r w:rsidRPr="00D403F5">
        <w:rPr>
          <w:rFonts w:ascii="Arial" w:hAnsi="Arial"/>
          <w:sz w:val="18"/>
          <w:szCs w:val="18"/>
          <w:lang w:val="en-IE"/>
        </w:rPr>
        <w:t xml:space="preserve"> Tris (Tris [hydroxymethy]) aminomethane)/HCl buffer solution (for cell culture plates). </w:t>
      </w:r>
    </w:p>
    <w:p w14:paraId="2B8DCE8C"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If a cytopathic effect (CPE) appears in those cell cultures inoculated with the dilutions of the tested homogenate supernatants, identification procedures must be undertaken immediately</w:t>
      </w:r>
      <w:r w:rsidRPr="00D403F5">
        <w:rPr>
          <w:rFonts w:ascii="Arial" w:hAnsi="Arial"/>
          <w:strike/>
          <w:sz w:val="18"/>
          <w:szCs w:val="18"/>
          <w:lang w:val="en-IE"/>
        </w:rPr>
        <w:t xml:space="preserve"> (see Section 4.6.2.)</w:t>
      </w:r>
      <w:r w:rsidRPr="00D403F5">
        <w:rPr>
          <w:rFonts w:ascii="Arial" w:hAnsi="Arial"/>
          <w:sz w:val="18"/>
          <w:szCs w:val="18"/>
          <w:lang w:val="en-IE"/>
        </w:rPr>
        <w:t xml:space="preserve">. </w:t>
      </w:r>
    </w:p>
    <w:p w14:paraId="7A39ACF1"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 xml:space="preserve">Subcultivation procedures: Using a pipette, try to dislodge cells from the cell culture vessels and collect aliquots of cell culture medium plus cells from all inoculated monolayers, keeping different groups separate. The aliquots of the 1/100 and 1/000 dilutions are pooled and inoculated on to fresh 24 hour-old cell cultures to effect 1/10 and 1/100 final dilutions of the pooled aliquots. Incubate and monitor as described above. </w:t>
      </w:r>
      <w:r w:rsidRPr="00D403F5">
        <w:rPr>
          <w:rFonts w:ascii="Arial" w:hAnsi="Arial"/>
          <w:strike/>
          <w:sz w:val="18"/>
          <w:szCs w:val="18"/>
          <w:lang w:val="en-IE"/>
        </w:rPr>
        <w:t>If no CPE occurs, the test may be declared negative.</w:t>
      </w:r>
    </w:p>
    <w:p w14:paraId="11ACA2D3"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 xml:space="preserve">If no CPE occurs the test may be declared negative. However, if undertaking surveillance to demonstrate freedom from SVCV it would be advisable to screen the cells at the end of the 14 days using an SVCV-specific RT-PCR </w:t>
      </w:r>
      <w:r w:rsidRPr="00D403F5">
        <w:rPr>
          <w:rFonts w:ascii="Arial" w:hAnsi="Arial"/>
          <w:strike/>
          <w:sz w:val="18"/>
          <w:szCs w:val="18"/>
          <w:lang w:val="en-IE"/>
        </w:rPr>
        <w:t xml:space="preserve">or real-time RT-PCR </w:t>
      </w:r>
      <w:r w:rsidRPr="00D403F5">
        <w:rPr>
          <w:rFonts w:ascii="Arial" w:hAnsi="Arial"/>
          <w:sz w:val="18"/>
          <w:szCs w:val="18"/>
          <w:lang w:val="en-IE"/>
        </w:rPr>
        <w:t>(Section 4.4.). Following a positive result culture should be re-attempted.</w:t>
      </w:r>
    </w:p>
    <w:p w14:paraId="26EF2323" w14:textId="77777777" w:rsidR="00C7266C" w:rsidRPr="00D403F5" w:rsidRDefault="00C7266C" w:rsidP="00D403F5">
      <w:pPr>
        <w:spacing w:after="0"/>
        <w:ind w:left="426"/>
        <w:jc w:val="both"/>
        <w:rPr>
          <w:rFonts w:ascii="Arial" w:hAnsi="Arial"/>
          <w:sz w:val="18"/>
          <w:szCs w:val="18"/>
        </w:rPr>
      </w:pPr>
      <w:r w:rsidRPr="00D403F5">
        <w:rPr>
          <w:rFonts w:ascii="Arial" w:hAnsi="Arial"/>
          <w:sz w:val="18"/>
          <w:szCs w:val="18"/>
        </w:rPr>
        <w:t xml:space="preserve">Following isolation, the virus must be identified, and this can be achieved by antigen detection methods, virus neutralisation or nucleic acid identification methods. The former two methods are generally regarded as presumptive unless fully validated monoclonal or polyclonal antibodies are used, as cross reactions with other viruses occur. Commercially available kits using polyclonal antibodies may also lack specificity, and those using monoclonal antibodies may not detect all subgenogroups of SVCV (Dixon &amp; Longshaw, 2005). Nucleic acid detection methods must always be followed up by sequencing or use of a method such as reverse hybridisation (Sheppard </w:t>
      </w:r>
      <w:r w:rsidRPr="00D403F5">
        <w:rPr>
          <w:rFonts w:ascii="Arial" w:hAnsi="Arial"/>
          <w:i/>
          <w:sz w:val="18"/>
          <w:szCs w:val="18"/>
        </w:rPr>
        <w:t>et al</w:t>
      </w:r>
      <w:r w:rsidRPr="00D403F5">
        <w:rPr>
          <w:rFonts w:ascii="Arial" w:hAnsi="Arial"/>
          <w:sz w:val="18"/>
          <w:szCs w:val="18"/>
        </w:rPr>
        <w:t>., 2007) to confirm the identity of the virus.</w:t>
      </w:r>
    </w:p>
    <w:p w14:paraId="3F23CF2E" w14:textId="77777777" w:rsidR="00C7266C" w:rsidRPr="00D403F5" w:rsidRDefault="00C7266C" w:rsidP="00D403F5">
      <w:pPr>
        <w:pStyle w:val="11"/>
        <w:spacing w:after="0"/>
        <w:ind w:left="425"/>
        <w:rPr>
          <w:sz w:val="18"/>
          <w:szCs w:val="18"/>
          <w:lang w:bidi="en-US"/>
        </w:rPr>
      </w:pPr>
      <w:r w:rsidRPr="00D403F5">
        <w:rPr>
          <w:sz w:val="18"/>
          <w:szCs w:val="18"/>
          <w:lang w:bidi="en-US"/>
        </w:rPr>
        <w:t>4.4.</w:t>
      </w:r>
      <w:r w:rsidRPr="00D403F5">
        <w:rPr>
          <w:sz w:val="18"/>
          <w:szCs w:val="18"/>
          <w:lang w:bidi="en-US"/>
        </w:rPr>
        <w:tab/>
        <w:t>Nucleic acid amplification</w:t>
      </w:r>
    </w:p>
    <w:p w14:paraId="5BCFECE7" w14:textId="77777777" w:rsidR="00C7266C" w:rsidRPr="00D403F5" w:rsidRDefault="00C7266C" w:rsidP="00D403F5">
      <w:pPr>
        <w:pStyle w:val="111"/>
        <w:spacing w:after="0"/>
        <w:rPr>
          <w:sz w:val="18"/>
          <w:szCs w:val="18"/>
          <w:lang w:bidi="en-US"/>
        </w:rPr>
      </w:pPr>
      <w:r w:rsidRPr="00D403F5">
        <w:rPr>
          <w:sz w:val="18"/>
          <w:szCs w:val="18"/>
          <w:lang w:bidi="en-US"/>
        </w:rPr>
        <w:t>4.4.1.</w:t>
      </w:r>
      <w:r w:rsidRPr="00D403F5">
        <w:rPr>
          <w:sz w:val="18"/>
          <w:szCs w:val="18"/>
          <w:lang w:bidi="en-US"/>
        </w:rPr>
        <w:tab/>
        <w:t>Real-time PCR</w:t>
      </w:r>
    </w:p>
    <w:p w14:paraId="52C047E9"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The following controls should be run with each assay: negative extraction control; positive control; no template control; internal PCR control.</w:t>
      </w:r>
    </w:p>
    <w:p w14:paraId="3593A85C"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
        </w:rPr>
        <w:t xml:space="preserve">Real-time RT-PCR assays are available to detect and confirm infection with SVCV (Yue </w:t>
      </w:r>
      <w:r w:rsidRPr="00D403F5">
        <w:rPr>
          <w:rFonts w:ascii="Arial" w:hAnsi="Arial"/>
          <w:bCs/>
          <w:i/>
          <w:iCs/>
          <w:sz w:val="18"/>
          <w:szCs w:val="18"/>
          <w:lang w:val="en"/>
        </w:rPr>
        <w:t>et al</w:t>
      </w:r>
      <w:r w:rsidRPr="00D403F5">
        <w:rPr>
          <w:rFonts w:ascii="Arial" w:hAnsi="Arial"/>
          <w:bCs/>
          <w:sz w:val="18"/>
          <w:szCs w:val="18"/>
          <w:lang w:val="en"/>
        </w:rPr>
        <w:t xml:space="preserve">., 2008; Zhang </w:t>
      </w:r>
      <w:r w:rsidRPr="00D403F5">
        <w:rPr>
          <w:rFonts w:ascii="Arial" w:hAnsi="Arial"/>
          <w:bCs/>
          <w:i/>
          <w:iCs/>
          <w:sz w:val="18"/>
          <w:szCs w:val="18"/>
          <w:lang w:val="en"/>
        </w:rPr>
        <w:t>et al</w:t>
      </w:r>
      <w:r w:rsidRPr="00D403F5">
        <w:rPr>
          <w:rFonts w:ascii="Arial" w:hAnsi="Arial"/>
          <w:bCs/>
          <w:sz w:val="18"/>
          <w:szCs w:val="18"/>
          <w:lang w:val="en"/>
        </w:rPr>
        <w:t>., 2009), however, they are not currently recommended as they have not been sufficiently validated.</w:t>
      </w:r>
    </w:p>
    <w:p w14:paraId="7CAEAEC7" w14:textId="77777777" w:rsidR="00C7266C" w:rsidRPr="00D403F5" w:rsidRDefault="00C7266C" w:rsidP="00D403F5">
      <w:pPr>
        <w:pStyle w:val="111"/>
        <w:spacing w:after="0"/>
        <w:rPr>
          <w:sz w:val="18"/>
          <w:szCs w:val="18"/>
          <w:lang w:bidi="en-US"/>
        </w:rPr>
      </w:pPr>
      <w:r w:rsidRPr="00D403F5">
        <w:rPr>
          <w:sz w:val="18"/>
          <w:szCs w:val="18"/>
          <w:lang w:bidi="en-US"/>
        </w:rPr>
        <w:t>4.4.2.</w:t>
      </w:r>
      <w:r w:rsidRPr="00D403F5">
        <w:rPr>
          <w:sz w:val="18"/>
          <w:szCs w:val="18"/>
          <w:lang w:bidi="en-US"/>
        </w:rPr>
        <w:tab/>
        <w:t xml:space="preserve">Conventional PCR </w:t>
      </w:r>
    </w:p>
    <w:p w14:paraId="547414EF"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The following controls should be run with each assay: negative extraction control; positive control; no template control; internal PCR control.</w:t>
      </w:r>
    </w:p>
    <w:p w14:paraId="0453EC6B"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i/>
          <w:sz w:val="18"/>
          <w:szCs w:val="18"/>
          <w:u w:val="double"/>
          <w:lang w:val="en-IE"/>
        </w:rPr>
        <w:t>Nested</w:t>
      </w:r>
      <w:r w:rsidRPr="00D403F5">
        <w:rPr>
          <w:rFonts w:ascii="Arial" w:hAnsi="Arial"/>
          <w:bCs/>
          <w:i/>
          <w:sz w:val="18"/>
          <w:szCs w:val="18"/>
          <w:lang w:val="en-IE"/>
        </w:rPr>
        <w:t xml:space="preserve"> reverse-transcription polymerase chain reaction </w:t>
      </w:r>
      <w:r w:rsidRPr="00D403F5">
        <w:rPr>
          <w:rFonts w:ascii="Arial" w:hAnsi="Arial"/>
          <w:bCs/>
          <w:sz w:val="18"/>
          <w:szCs w:val="18"/>
          <w:lang w:val="en-IE"/>
        </w:rPr>
        <w:t>(</w:t>
      </w:r>
      <w:r w:rsidRPr="00D403F5">
        <w:rPr>
          <w:rFonts w:ascii="Arial" w:hAnsi="Arial"/>
          <w:bCs/>
          <w:i/>
          <w:sz w:val="18"/>
          <w:szCs w:val="18"/>
          <w:lang w:val="en-IE"/>
        </w:rPr>
        <w:t>RT-PCR</w:t>
      </w:r>
      <w:r w:rsidRPr="00D403F5">
        <w:rPr>
          <w:rFonts w:ascii="Arial" w:hAnsi="Arial"/>
          <w:bCs/>
          <w:sz w:val="18"/>
          <w:szCs w:val="18"/>
          <w:lang w:val="en-IE"/>
        </w:rPr>
        <w:t>)</w:t>
      </w:r>
      <w:r w:rsidRPr="00D403F5">
        <w:rPr>
          <w:rFonts w:ascii="Arial" w:hAnsi="Arial"/>
          <w:bCs/>
          <w:i/>
          <w:sz w:val="18"/>
          <w:szCs w:val="18"/>
          <w:lang w:val="en-IE"/>
        </w:rPr>
        <w:t xml:space="preserve"> </w:t>
      </w:r>
      <w:r w:rsidRPr="00D403F5">
        <w:rPr>
          <w:rFonts w:ascii="Arial" w:hAnsi="Arial"/>
          <w:bCs/>
          <w:sz w:val="18"/>
          <w:szCs w:val="18"/>
          <w:lang w:val="en-IE"/>
        </w:rPr>
        <w:t>(</w:t>
      </w:r>
      <w:r w:rsidRPr="00D403F5">
        <w:rPr>
          <w:rFonts w:ascii="Arial" w:hAnsi="Arial"/>
          <w:bCs/>
          <w:i/>
          <w:sz w:val="18"/>
          <w:szCs w:val="18"/>
          <w:lang w:val="en-IE"/>
        </w:rPr>
        <w:t xml:space="preserve">confirmation of virus identity </w:t>
      </w:r>
      <w:r w:rsidRPr="00D403F5">
        <w:rPr>
          <w:rFonts w:ascii="Arial" w:hAnsi="Arial"/>
          <w:bCs/>
          <w:i/>
          <w:sz w:val="18"/>
          <w:szCs w:val="18"/>
          <w:u w:val="double"/>
          <w:lang w:val="en-IE"/>
        </w:rPr>
        <w:t>from cell culture isolation</w:t>
      </w:r>
      <w:r w:rsidRPr="00D403F5">
        <w:rPr>
          <w:rFonts w:ascii="Arial" w:hAnsi="Arial"/>
          <w:bCs/>
          <w:i/>
          <w:sz w:val="18"/>
          <w:szCs w:val="18"/>
          <w:lang w:val="en-IE"/>
        </w:rPr>
        <w:t xml:space="preserve"> or directly from fish tissue extracts</w:t>
      </w:r>
      <w:r w:rsidRPr="00D403F5">
        <w:rPr>
          <w:rFonts w:ascii="Arial" w:hAnsi="Arial"/>
          <w:bCs/>
          <w:sz w:val="18"/>
          <w:szCs w:val="18"/>
          <w:lang w:val="en-IE"/>
        </w:rPr>
        <w:t>)</w:t>
      </w:r>
    </w:p>
    <w:p w14:paraId="22A18550"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The genome of SVCV consists of a single strand of RNA of approximately 11 kb, with negative polarity. Amplification of a 714 bp fragment of SVCV cDNA is performed using primers derived from sequences of the region coding for the glycoprotein gene: 5’-TCT-TGG-AGC-CAA-ATA-GCT-CAR*-R*TC-</w:t>
      </w:r>
      <w:smartTag w:uri="urn:schemas-microsoft-com:office:smarttags" w:element="metricconverter">
        <w:smartTagPr>
          <w:attr w:name="ProductID" w:val="3’"/>
        </w:smartTagPr>
        <w:r w:rsidRPr="00D403F5">
          <w:rPr>
            <w:rFonts w:ascii="Arial" w:hAnsi="Arial"/>
            <w:bCs/>
            <w:sz w:val="18"/>
            <w:szCs w:val="18"/>
            <w:lang w:val="en-IE"/>
          </w:rPr>
          <w:t>3’</w:t>
        </w:r>
      </w:smartTag>
      <w:r w:rsidRPr="00D403F5">
        <w:rPr>
          <w:rFonts w:ascii="Arial" w:hAnsi="Arial"/>
          <w:bCs/>
          <w:sz w:val="18"/>
          <w:szCs w:val="18"/>
          <w:lang w:val="en-IE"/>
        </w:rPr>
        <w:t xml:space="preserve"> (SVCV F1) and 5’-AGA-TGG-TAT-GGA-CCC-CAA-TAC-ATH*-ACN*-CAY*-</w:t>
      </w:r>
      <w:smartTag w:uri="urn:schemas-microsoft-com:office:smarttags" w:element="metricconverter">
        <w:smartTagPr>
          <w:attr w:name="ProductID" w:val="3’"/>
        </w:smartTagPr>
        <w:r w:rsidRPr="00D403F5">
          <w:rPr>
            <w:rFonts w:ascii="Arial" w:hAnsi="Arial"/>
            <w:bCs/>
            <w:sz w:val="18"/>
            <w:szCs w:val="18"/>
            <w:lang w:val="en-IE"/>
          </w:rPr>
          <w:t>3’</w:t>
        </w:r>
      </w:smartTag>
      <w:r w:rsidRPr="00D403F5">
        <w:rPr>
          <w:rFonts w:ascii="Arial" w:hAnsi="Arial"/>
          <w:bCs/>
          <w:sz w:val="18"/>
          <w:szCs w:val="18"/>
          <w:lang w:val="en-IE"/>
        </w:rPr>
        <w:t xml:space="preserve"> SVCV R2), using a modification of the method of Stone </w:t>
      </w:r>
      <w:r w:rsidRPr="00D403F5">
        <w:rPr>
          <w:rFonts w:ascii="Arial" w:hAnsi="Arial"/>
          <w:bCs/>
          <w:i/>
          <w:sz w:val="18"/>
          <w:szCs w:val="18"/>
          <w:lang w:val="en-IE"/>
        </w:rPr>
        <w:t>et al.</w:t>
      </w:r>
      <w:r w:rsidRPr="00D403F5">
        <w:rPr>
          <w:rFonts w:ascii="Arial" w:hAnsi="Arial"/>
          <w:bCs/>
          <w:sz w:val="18"/>
          <w:szCs w:val="18"/>
          <w:lang w:val="en-IE"/>
        </w:rPr>
        <w:t xml:space="preserve"> (2003).</w:t>
      </w:r>
    </w:p>
    <w:p w14:paraId="298409A2"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 xml:space="preserve">Total RNA is extracted from 100 µl of supernatant from cell cultures exhibiting CPE or 50 µl of fish tissue extract and dissolved in 40 µl molecular biology grade DNase- and RNase-free water. </w:t>
      </w:r>
    </w:p>
    <w:p w14:paraId="49724ED6" w14:textId="77777777" w:rsidR="00C7266C" w:rsidRPr="00D403F5" w:rsidRDefault="00C7266C" w:rsidP="00D403F5">
      <w:pPr>
        <w:spacing w:after="0"/>
        <w:rPr>
          <w:rFonts w:ascii="Times New Roman" w:hAnsi="Times New Roman" w:cs="Times New Roman"/>
          <w:noProof/>
          <w:sz w:val="18"/>
          <w:szCs w:val="18"/>
          <w:lang w:val="en-US"/>
        </w:rPr>
      </w:pPr>
      <w:r w:rsidRPr="00D403F5">
        <w:rPr>
          <w:rFonts w:ascii="Times New Roman" w:hAnsi="Times New Roman" w:cs="Times New Roman"/>
          <w:noProof/>
          <w:sz w:val="18"/>
          <w:szCs w:val="18"/>
          <w:lang w:val="en-US"/>
        </w:rPr>
        <w:br w:type="page"/>
      </w:r>
    </w:p>
    <w:p w14:paraId="4147506B" w14:textId="77777777" w:rsidR="00C7266C" w:rsidRPr="00D403F5" w:rsidRDefault="00C7266C" w:rsidP="0076436B">
      <w:pPr>
        <w:spacing w:after="480"/>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67E4E931" w14:textId="77777777" w:rsidR="00C7266C" w:rsidRPr="00D403F5" w:rsidRDefault="00C7266C" w:rsidP="00D403F5">
      <w:pPr>
        <w:spacing w:after="0"/>
        <w:ind w:left="1276"/>
        <w:jc w:val="both"/>
        <w:rPr>
          <w:rFonts w:ascii="Arial" w:hAnsi="Arial"/>
          <w:bCs/>
          <w:sz w:val="18"/>
          <w:szCs w:val="18"/>
          <w:lang w:val="en-IE"/>
        </w:rPr>
      </w:pPr>
      <w:r w:rsidRPr="00D403F5">
        <w:rPr>
          <w:rFonts w:ascii="Arial" w:hAnsi="Arial"/>
          <w:bCs/>
          <w:sz w:val="18"/>
          <w:szCs w:val="18"/>
          <w:lang w:val="en-IE"/>
        </w:rPr>
        <w:t xml:space="preserve">A number of total RNA extraction kits are available commercially that will produce high quality RNA suitable for RT-PCR. </w:t>
      </w:r>
      <w:r w:rsidRPr="00D403F5">
        <w:rPr>
          <w:rFonts w:ascii="Arial" w:hAnsi="Arial"/>
          <w:bCs/>
          <w:strike/>
          <w:sz w:val="18"/>
          <w:szCs w:val="18"/>
          <w:lang w:val="en-IE"/>
        </w:rPr>
        <w:t>Examples are Trizol ReagentT (RL, Life Technologies, Paisley, UK), SV Total RNA isolation system (Promega) and Nucleospin® RNA (AB gene), EZ virus mini kit, Ez RNA tissue mini kit (Qiagen).</w:t>
      </w:r>
    </w:p>
    <w:p w14:paraId="53D2F236"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 xml:space="preserve">For cDNA synthesis, a reverse transcription reaction is performed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 xml:space="preserve"> for 1 hour in a 20 µl volume consisting of 1 × M-MLV RT reaction buffer (</w:t>
      </w:r>
      <w:smartTag w:uri="urn:schemas-microsoft-com:office:smarttags" w:element="metricconverter">
        <w:smartTagPr>
          <w:attr w:name="ProductID" w:val="50 mM"/>
        </w:smartTagPr>
        <w:r w:rsidRPr="00D403F5">
          <w:rPr>
            <w:rFonts w:ascii="Arial" w:hAnsi="Arial"/>
            <w:bCs/>
            <w:sz w:val="18"/>
            <w:szCs w:val="18"/>
            <w:lang w:val="en-IE"/>
          </w:rPr>
          <w:t>50 mM</w:t>
        </w:r>
      </w:smartTag>
      <w:r w:rsidRPr="00D403F5">
        <w:rPr>
          <w:rFonts w:ascii="Arial" w:hAnsi="Arial"/>
          <w:bCs/>
          <w:sz w:val="18"/>
          <w:szCs w:val="18"/>
          <w:lang w:val="en-IE"/>
        </w:rPr>
        <w:t xml:space="preserve"> Tris, pH 8.3, </w:t>
      </w:r>
      <w:smartTag w:uri="urn:schemas-microsoft-com:office:smarttags" w:element="metricconverter">
        <w:smartTagPr>
          <w:attr w:name="ProductID" w:val="75 mM"/>
        </w:smartTagPr>
        <w:r w:rsidRPr="00D403F5">
          <w:rPr>
            <w:rFonts w:ascii="Arial" w:hAnsi="Arial"/>
            <w:bCs/>
            <w:sz w:val="18"/>
            <w:szCs w:val="18"/>
            <w:lang w:val="en-IE"/>
          </w:rPr>
          <w:t>75 mM</w:t>
        </w:r>
      </w:smartTag>
      <w:r w:rsidRPr="00D403F5">
        <w:rPr>
          <w:rFonts w:ascii="Arial" w:hAnsi="Arial"/>
          <w:bCs/>
          <w:sz w:val="18"/>
          <w:szCs w:val="18"/>
          <w:lang w:val="en-IE"/>
        </w:rPr>
        <w:t xml:space="preserve"> KCl, </w:t>
      </w:r>
      <w:smartTag w:uri="urn:schemas-microsoft-com:office:smarttags" w:element="metricconverter">
        <w:smartTagPr>
          <w:attr w:name="ProductID" w:val="10 mM"/>
        </w:smartTagPr>
        <w:r w:rsidRPr="00D403F5">
          <w:rPr>
            <w:rFonts w:ascii="Arial" w:hAnsi="Arial"/>
            <w:bCs/>
            <w:sz w:val="18"/>
            <w:szCs w:val="18"/>
            <w:lang w:val="en-IE"/>
          </w:rPr>
          <w:t>10 mM</w:t>
        </w:r>
      </w:smartTag>
      <w:r w:rsidRPr="00D403F5">
        <w:rPr>
          <w:rFonts w:ascii="Arial" w:hAnsi="Arial"/>
          <w:bCs/>
          <w:sz w:val="18"/>
          <w:szCs w:val="18"/>
          <w:lang w:val="en-IE"/>
        </w:rPr>
        <w:t xml:space="preserve"> DTT, </w:t>
      </w:r>
      <w:smartTag w:uri="urn:schemas-microsoft-com:office:smarttags" w:element="metricconverter">
        <w:smartTagPr>
          <w:attr w:name="ProductID" w:val="3 mM"/>
        </w:smartTagPr>
        <w:r w:rsidRPr="00D403F5">
          <w:rPr>
            <w:rFonts w:ascii="Arial" w:hAnsi="Arial"/>
            <w:bCs/>
            <w:sz w:val="18"/>
            <w:szCs w:val="18"/>
            <w:lang w:val="en-IE"/>
          </w:rPr>
          <w:t>3 mM</w:t>
        </w:r>
      </w:smartTag>
      <w:r w:rsidRPr="00D403F5">
        <w:rPr>
          <w:rFonts w:ascii="Arial" w:hAnsi="Arial"/>
          <w:bCs/>
          <w:sz w:val="18"/>
          <w:szCs w:val="18"/>
          <w:lang w:val="en-IE"/>
        </w:rPr>
        <w:t xml:space="preserve"> MgCl</w:t>
      </w:r>
      <w:r w:rsidRPr="00D403F5">
        <w:rPr>
          <w:rFonts w:ascii="Arial" w:hAnsi="Arial"/>
          <w:bCs/>
          <w:sz w:val="18"/>
          <w:szCs w:val="18"/>
          <w:vertAlign w:val="subscript"/>
          <w:lang w:val="en-IE"/>
        </w:rPr>
        <w:t>2</w:t>
      </w:r>
      <w:r w:rsidRPr="00D403F5">
        <w:rPr>
          <w:rFonts w:ascii="Arial" w:hAnsi="Arial"/>
          <w:bCs/>
          <w:sz w:val="18"/>
          <w:szCs w:val="18"/>
          <w:lang w:val="en-IE"/>
        </w:rPr>
        <w:t xml:space="preserve">) containing </w:t>
      </w:r>
      <w:smartTag w:uri="urn:schemas-microsoft-com:office:smarttags" w:element="metricconverter">
        <w:smartTagPr>
          <w:attr w:name="ProductID" w:val="1 mM"/>
        </w:smartTagPr>
        <w:r w:rsidRPr="00D403F5">
          <w:rPr>
            <w:rFonts w:ascii="Arial" w:hAnsi="Arial"/>
            <w:bCs/>
            <w:sz w:val="18"/>
            <w:szCs w:val="18"/>
            <w:lang w:val="en-IE"/>
          </w:rPr>
          <w:t>1 mM</w:t>
        </w:r>
      </w:smartTag>
      <w:r w:rsidRPr="00D403F5">
        <w:rPr>
          <w:rFonts w:ascii="Arial" w:hAnsi="Arial"/>
          <w:bCs/>
          <w:sz w:val="18"/>
          <w:szCs w:val="18"/>
          <w:lang w:val="en-IE"/>
        </w:rPr>
        <w:t xml:space="preserve"> dNTP, 100 pmol SVCV R2 primer, 20 units M-MLV reverse transcriptase (Promega, Southampton, UK) or an equivalent reverse transcriptase system and 1/10 of the total RNA extracted above.</w:t>
      </w:r>
    </w:p>
    <w:p w14:paraId="5EA2F3A8"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PCR is performed in a 50 µl reaction volume 1 × PCR buffer (</w:t>
      </w:r>
      <w:smartTag w:uri="urn:schemas-microsoft-com:office:smarttags" w:element="metricconverter">
        <w:smartTagPr>
          <w:attr w:name="ProductID" w:val="50 mM"/>
        </w:smartTagPr>
        <w:r w:rsidRPr="00D403F5">
          <w:rPr>
            <w:rFonts w:ascii="Arial" w:hAnsi="Arial"/>
            <w:bCs/>
            <w:sz w:val="18"/>
            <w:szCs w:val="18"/>
            <w:lang w:val="en-IE"/>
          </w:rPr>
          <w:t>50 mM</w:t>
        </w:r>
      </w:smartTag>
      <w:r w:rsidRPr="00D403F5">
        <w:rPr>
          <w:rFonts w:ascii="Arial" w:hAnsi="Arial"/>
          <w:bCs/>
          <w:sz w:val="18"/>
          <w:szCs w:val="18"/>
          <w:lang w:val="en-IE"/>
        </w:rPr>
        <w:t xml:space="preserve"> KCl, </w:t>
      </w:r>
      <w:smartTag w:uri="urn:schemas-microsoft-com:office:smarttags" w:element="metricconverter">
        <w:smartTagPr>
          <w:attr w:name="ProductID" w:val="10 mM"/>
        </w:smartTagPr>
        <w:r w:rsidRPr="00D403F5">
          <w:rPr>
            <w:rFonts w:ascii="Arial" w:hAnsi="Arial"/>
            <w:bCs/>
            <w:sz w:val="18"/>
            <w:szCs w:val="18"/>
            <w:lang w:val="en-IE"/>
          </w:rPr>
          <w:t>10 mM</w:t>
        </w:r>
      </w:smartTag>
      <w:r w:rsidRPr="00D403F5">
        <w:rPr>
          <w:rFonts w:ascii="Arial" w:hAnsi="Arial"/>
          <w:bCs/>
          <w:sz w:val="18"/>
          <w:szCs w:val="18"/>
          <w:lang w:val="en-IE"/>
        </w:rPr>
        <w:t xml:space="preserve"> Tris/HCl, pH 9.0, and 0.1% Triton X-100) containing </w:t>
      </w:r>
      <w:smartTag w:uri="urn:schemas-microsoft-com:office:smarttags" w:element="metricconverter">
        <w:smartTagPr>
          <w:attr w:name="ProductID" w:val="2.5 mM"/>
        </w:smartTagPr>
        <w:r w:rsidRPr="00D403F5">
          <w:rPr>
            <w:rFonts w:ascii="Arial" w:hAnsi="Arial"/>
            <w:bCs/>
            <w:sz w:val="18"/>
            <w:szCs w:val="18"/>
            <w:lang w:val="en-IE"/>
          </w:rPr>
          <w:t>2.5 mM</w:t>
        </w:r>
      </w:smartTag>
      <w:r w:rsidRPr="00D403F5">
        <w:rPr>
          <w:rFonts w:ascii="Arial" w:hAnsi="Arial"/>
          <w:bCs/>
          <w:sz w:val="18"/>
          <w:szCs w:val="18"/>
          <w:lang w:val="en-IE"/>
        </w:rPr>
        <w:t xml:space="preserve"> MgCl</w:t>
      </w:r>
      <w:r w:rsidRPr="00D403F5">
        <w:rPr>
          <w:rFonts w:ascii="Arial" w:hAnsi="Arial"/>
          <w:bCs/>
          <w:sz w:val="18"/>
          <w:szCs w:val="18"/>
          <w:vertAlign w:val="subscript"/>
          <w:lang w:val="en-IE"/>
        </w:rPr>
        <w:t>2</w:t>
      </w:r>
      <w:r w:rsidRPr="00D403F5">
        <w:rPr>
          <w:rFonts w:ascii="Arial" w:hAnsi="Arial"/>
          <w:bCs/>
          <w:sz w:val="18"/>
          <w:szCs w:val="18"/>
          <w:lang w:val="en-IE"/>
        </w:rPr>
        <w:t xml:space="preserve">, 200 µM dNTPs, 50 pmol each of the SVCV R2 and SVCV F1 primers, </w:t>
      </w:r>
      <w:smartTag w:uri="urn:schemas-microsoft-com:office:smarttags" w:element="time">
        <w:smartTagPr>
          <w:attr w:name="Hour" w:val="1"/>
          <w:attr w:name="Minute" w:val="25"/>
        </w:smartTagPr>
        <w:r w:rsidRPr="00D403F5">
          <w:rPr>
            <w:rFonts w:ascii="Arial" w:hAnsi="Arial"/>
            <w:bCs/>
            <w:sz w:val="18"/>
            <w:szCs w:val="18"/>
            <w:lang w:val="en-IE"/>
          </w:rPr>
          <w:t>1.25</w:t>
        </w:r>
      </w:smartTag>
      <w:r w:rsidRPr="00D403F5">
        <w:rPr>
          <w:rFonts w:ascii="Arial" w:hAnsi="Arial"/>
          <w:bCs/>
          <w:sz w:val="18"/>
          <w:szCs w:val="18"/>
          <w:lang w:val="en-IE"/>
        </w:rPr>
        <w:t xml:space="preserve"> units of Taq DNA polymerase, and 2.5 µl reverse transcription reaction mix. The reaction mix is subjected to 35 temperature cycles of: 1 minute at </w:t>
      </w:r>
      <w:smartTag w:uri="urn:schemas-microsoft-com:office:smarttags" w:element="metricconverter">
        <w:smartTagPr>
          <w:attr w:name="ProductID" w:val="95ﾰC"/>
        </w:smartTagPr>
        <w:r w:rsidRPr="00D403F5">
          <w:rPr>
            <w:rFonts w:ascii="Arial" w:hAnsi="Arial"/>
            <w:bCs/>
            <w:sz w:val="18"/>
            <w:szCs w:val="18"/>
            <w:lang w:val="en-IE"/>
          </w:rPr>
          <w:t>95°C</w:t>
        </w:r>
      </w:smartTag>
      <w:r w:rsidRPr="00D403F5">
        <w:rPr>
          <w:rFonts w:ascii="Arial" w:hAnsi="Arial"/>
          <w:bCs/>
          <w:sz w:val="18"/>
          <w:szCs w:val="18"/>
          <w:lang w:val="en-IE"/>
        </w:rPr>
        <w:t xml:space="preserve">, 1 minute at </w:t>
      </w:r>
      <w:smartTag w:uri="urn:schemas-microsoft-com:office:smarttags" w:element="metricconverter">
        <w:smartTagPr>
          <w:attr w:name="ProductID" w:val="55ﾰC"/>
        </w:smartTagPr>
        <w:r w:rsidRPr="00D403F5">
          <w:rPr>
            <w:rFonts w:ascii="Arial" w:hAnsi="Arial"/>
            <w:bCs/>
            <w:sz w:val="18"/>
            <w:szCs w:val="18"/>
            <w:lang w:val="en-IE"/>
          </w:rPr>
          <w:t>55°C</w:t>
        </w:r>
      </w:smartTag>
      <w:r w:rsidRPr="00D403F5">
        <w:rPr>
          <w:rFonts w:ascii="Arial" w:hAnsi="Arial"/>
          <w:bCs/>
          <w:sz w:val="18"/>
          <w:szCs w:val="18"/>
          <w:lang w:val="en-IE"/>
        </w:rPr>
        <w:t xml:space="preserve"> and 1 minute at </w:t>
      </w:r>
      <w:smartTag w:uri="urn:schemas-microsoft-com:office:smarttags" w:element="metricconverter">
        <w:smartTagPr>
          <w:attr w:name="ProductID" w:val="72ﾰC"/>
        </w:smartTagPr>
        <w:r w:rsidRPr="00D403F5">
          <w:rPr>
            <w:rFonts w:ascii="Arial" w:hAnsi="Arial"/>
            <w:bCs/>
            <w:sz w:val="18"/>
            <w:szCs w:val="18"/>
            <w:lang w:val="en-IE"/>
          </w:rPr>
          <w:t>72°C</w:t>
        </w:r>
      </w:smartTag>
      <w:r w:rsidRPr="00D403F5">
        <w:rPr>
          <w:rFonts w:ascii="Arial" w:hAnsi="Arial"/>
          <w:bCs/>
          <w:sz w:val="18"/>
          <w:szCs w:val="18"/>
          <w:lang w:val="en-IE"/>
        </w:rPr>
        <w:t xml:space="preserve"> followed by a final extension step of 10 minutes at </w:t>
      </w:r>
      <w:smartTag w:uri="urn:schemas-microsoft-com:office:smarttags" w:element="metricconverter">
        <w:smartTagPr>
          <w:attr w:name="ProductID" w:val="72ﾰC"/>
        </w:smartTagPr>
        <w:r w:rsidRPr="00D403F5">
          <w:rPr>
            <w:rFonts w:ascii="Arial" w:hAnsi="Arial"/>
            <w:bCs/>
            <w:sz w:val="18"/>
            <w:szCs w:val="18"/>
            <w:lang w:val="en-IE"/>
          </w:rPr>
          <w:t>72°C</w:t>
        </w:r>
      </w:smartTag>
      <w:r w:rsidRPr="00D403F5">
        <w:rPr>
          <w:rFonts w:ascii="Arial" w:hAnsi="Arial"/>
          <w:bCs/>
          <w:sz w:val="18"/>
          <w:szCs w:val="18"/>
          <w:lang w:val="en-IE"/>
        </w:rPr>
        <w:t>. Amplified DNA (714 bp) is analysed by agarose gel electrophoresis.</w:t>
      </w:r>
    </w:p>
    <w:p w14:paraId="2C6A5F68"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If the CPE in culture is not extensive it is possible that a visible product will not be generated using a single round of amplification. To avoid such problems, use the semi-nested assay using primers: 5’-TCT-TGG-AGC-CAA-ATA-GCT-CAR*-R*TC-</w:t>
      </w:r>
      <w:smartTag w:uri="urn:schemas-microsoft-com:office:smarttags" w:element="metricconverter">
        <w:smartTagPr>
          <w:attr w:name="ProductID" w:val="3’"/>
        </w:smartTagPr>
        <w:r w:rsidRPr="00D403F5">
          <w:rPr>
            <w:rFonts w:ascii="Arial" w:hAnsi="Arial"/>
            <w:bCs/>
            <w:sz w:val="18"/>
            <w:szCs w:val="18"/>
            <w:lang w:val="en-IE"/>
          </w:rPr>
          <w:t>3’</w:t>
        </w:r>
      </w:smartTag>
      <w:r w:rsidRPr="00D403F5">
        <w:rPr>
          <w:rFonts w:ascii="Arial" w:hAnsi="Arial"/>
          <w:bCs/>
          <w:sz w:val="18"/>
          <w:szCs w:val="18"/>
          <w:lang w:val="en-IE"/>
        </w:rPr>
        <w:t xml:space="preserve"> (SVCV F1) and 5’-CTG-GGG-TTT-CCN*-CCT-CAA-AGY*-TGY*-</w:t>
      </w:r>
      <w:smartTag w:uri="urn:schemas-microsoft-com:office:smarttags" w:element="metricconverter">
        <w:smartTagPr>
          <w:attr w:name="ProductID" w:val="3’"/>
        </w:smartTagPr>
        <w:r w:rsidRPr="00D403F5">
          <w:rPr>
            <w:rFonts w:ascii="Arial" w:hAnsi="Arial"/>
            <w:bCs/>
            <w:sz w:val="18"/>
            <w:szCs w:val="18"/>
            <w:lang w:val="en-IE"/>
          </w:rPr>
          <w:t>3’</w:t>
        </w:r>
      </w:smartTag>
      <w:r w:rsidRPr="00D403F5">
        <w:rPr>
          <w:rFonts w:ascii="Arial" w:hAnsi="Arial"/>
          <w:bCs/>
          <w:sz w:val="18"/>
          <w:szCs w:val="18"/>
          <w:lang w:val="en-IE"/>
        </w:rPr>
        <w:t xml:space="preserve"> (SVC R4) according to Stone </w:t>
      </w:r>
      <w:r w:rsidRPr="00D403F5">
        <w:rPr>
          <w:rFonts w:ascii="Arial" w:hAnsi="Arial"/>
          <w:bCs/>
          <w:i/>
          <w:sz w:val="18"/>
          <w:szCs w:val="18"/>
          <w:lang w:val="en-IE"/>
        </w:rPr>
        <w:t xml:space="preserve">et al. </w:t>
      </w:r>
      <w:r w:rsidRPr="00D403F5">
        <w:rPr>
          <w:rFonts w:ascii="Arial" w:hAnsi="Arial"/>
          <w:bCs/>
          <w:sz w:val="18"/>
          <w:szCs w:val="18"/>
          <w:lang w:val="en-IE"/>
        </w:rPr>
        <w:t>(2003).</w:t>
      </w:r>
    </w:p>
    <w:p w14:paraId="07DAD76D"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t>The second round of PCR is performed in a 50 µl reaction volume 1 × PCR buffer (</w:t>
      </w:r>
      <w:smartTag w:uri="urn:schemas-microsoft-com:office:smarttags" w:element="metricconverter">
        <w:smartTagPr>
          <w:attr w:name="ProductID" w:val="50ﾠmM"/>
        </w:smartTagPr>
        <w:r w:rsidRPr="00D403F5">
          <w:rPr>
            <w:rFonts w:ascii="Arial" w:hAnsi="Arial"/>
            <w:bCs/>
            <w:sz w:val="18"/>
            <w:szCs w:val="18"/>
            <w:lang w:val="en-IE"/>
          </w:rPr>
          <w:t>50 mM</w:t>
        </w:r>
      </w:smartTag>
      <w:r w:rsidRPr="00D403F5">
        <w:rPr>
          <w:rFonts w:ascii="Arial" w:hAnsi="Arial"/>
          <w:bCs/>
          <w:sz w:val="18"/>
          <w:szCs w:val="18"/>
          <w:lang w:val="en-IE"/>
        </w:rPr>
        <w:t xml:space="preserve"> KCl, 10 mM Tris/HCl, pH 9.0, and 0.1% Triton X-100) containing </w:t>
      </w:r>
      <w:smartTag w:uri="urn:schemas-microsoft-com:office:smarttags" w:element="metricconverter">
        <w:smartTagPr>
          <w:attr w:name="ProductID" w:val="2.5 mM"/>
        </w:smartTagPr>
        <w:r w:rsidRPr="00D403F5">
          <w:rPr>
            <w:rFonts w:ascii="Arial" w:hAnsi="Arial"/>
            <w:bCs/>
            <w:sz w:val="18"/>
            <w:szCs w:val="18"/>
            <w:lang w:val="en-IE"/>
          </w:rPr>
          <w:t>2.5 mM</w:t>
        </w:r>
      </w:smartTag>
      <w:r w:rsidRPr="00D403F5">
        <w:rPr>
          <w:rFonts w:ascii="Arial" w:hAnsi="Arial"/>
          <w:bCs/>
          <w:sz w:val="18"/>
          <w:szCs w:val="18"/>
          <w:lang w:val="en-IE"/>
        </w:rPr>
        <w:t xml:space="preserve"> MgCl</w:t>
      </w:r>
      <w:r w:rsidRPr="00D403F5">
        <w:rPr>
          <w:rFonts w:ascii="Arial" w:hAnsi="Arial"/>
          <w:bCs/>
          <w:sz w:val="18"/>
          <w:szCs w:val="18"/>
          <w:vertAlign w:val="subscript"/>
          <w:lang w:val="en-IE"/>
        </w:rPr>
        <w:t>2</w:t>
      </w:r>
      <w:r w:rsidRPr="00D403F5">
        <w:rPr>
          <w:rFonts w:ascii="Arial" w:hAnsi="Arial"/>
          <w:bCs/>
          <w:sz w:val="18"/>
          <w:szCs w:val="18"/>
          <w:lang w:val="en-IE"/>
        </w:rPr>
        <w:t xml:space="preserve">, 200 µM dNTPs, 50 pmol each of the SVCV R4 and SVCV F1 primers, </w:t>
      </w:r>
      <w:smartTag w:uri="urn:schemas-microsoft-com:office:smarttags" w:element="time">
        <w:smartTagPr>
          <w:attr w:name="Hour" w:val="1"/>
          <w:attr w:name="Minute" w:val="25"/>
        </w:smartTagPr>
        <w:r w:rsidRPr="00D403F5">
          <w:rPr>
            <w:rFonts w:ascii="Arial" w:hAnsi="Arial"/>
            <w:bCs/>
            <w:sz w:val="18"/>
            <w:szCs w:val="18"/>
            <w:lang w:val="en-IE"/>
          </w:rPr>
          <w:t>1.25 </w:t>
        </w:r>
      </w:smartTag>
      <w:r w:rsidRPr="00D403F5">
        <w:rPr>
          <w:rFonts w:ascii="Arial" w:hAnsi="Arial"/>
          <w:bCs/>
          <w:sz w:val="18"/>
          <w:szCs w:val="18"/>
          <w:lang w:val="en-IE"/>
        </w:rPr>
        <w:t xml:space="preserve">units Taq DNA polymerase, and 2.5 µl of the first round product. The reaction mix is subjected to 35 temperature cycles of: 1 minute at </w:t>
      </w:r>
      <w:smartTag w:uri="urn:schemas-microsoft-com:office:smarttags" w:element="metricconverter">
        <w:smartTagPr>
          <w:attr w:name="ProductID" w:val="95ﾰC"/>
        </w:smartTagPr>
        <w:r w:rsidRPr="00D403F5">
          <w:rPr>
            <w:rFonts w:ascii="Arial" w:hAnsi="Arial"/>
            <w:bCs/>
            <w:sz w:val="18"/>
            <w:szCs w:val="18"/>
            <w:lang w:val="en-IE"/>
          </w:rPr>
          <w:t>95°C</w:t>
        </w:r>
      </w:smartTag>
      <w:r w:rsidRPr="00D403F5">
        <w:rPr>
          <w:rFonts w:ascii="Arial" w:hAnsi="Arial"/>
          <w:bCs/>
          <w:sz w:val="18"/>
          <w:szCs w:val="18"/>
          <w:lang w:val="en-IE"/>
        </w:rPr>
        <w:t xml:space="preserve">, 1 minute at </w:t>
      </w:r>
      <w:smartTag w:uri="urn:schemas-microsoft-com:office:smarttags" w:element="metricconverter">
        <w:smartTagPr>
          <w:attr w:name="ProductID" w:val="55ﾰC"/>
        </w:smartTagPr>
        <w:r w:rsidRPr="00D403F5">
          <w:rPr>
            <w:rFonts w:ascii="Arial" w:hAnsi="Arial"/>
            <w:bCs/>
            <w:sz w:val="18"/>
            <w:szCs w:val="18"/>
            <w:lang w:val="en-IE"/>
          </w:rPr>
          <w:t>55°C</w:t>
        </w:r>
      </w:smartTag>
      <w:r w:rsidRPr="00D403F5">
        <w:rPr>
          <w:rFonts w:ascii="Arial" w:hAnsi="Arial"/>
          <w:bCs/>
          <w:sz w:val="18"/>
          <w:szCs w:val="18"/>
          <w:lang w:val="en-IE"/>
        </w:rPr>
        <w:t xml:space="preserve"> and 1 minute at </w:t>
      </w:r>
      <w:smartTag w:uri="urn:schemas-microsoft-com:office:smarttags" w:element="metricconverter">
        <w:smartTagPr>
          <w:attr w:name="ProductID" w:val="72ﾰC"/>
        </w:smartTagPr>
        <w:r w:rsidRPr="00D403F5">
          <w:rPr>
            <w:rFonts w:ascii="Arial" w:hAnsi="Arial"/>
            <w:bCs/>
            <w:sz w:val="18"/>
            <w:szCs w:val="18"/>
            <w:lang w:val="en-IE"/>
          </w:rPr>
          <w:t>72°C</w:t>
        </w:r>
      </w:smartTag>
      <w:r w:rsidRPr="00D403F5">
        <w:rPr>
          <w:rFonts w:ascii="Arial" w:hAnsi="Arial"/>
          <w:bCs/>
          <w:sz w:val="18"/>
          <w:szCs w:val="18"/>
          <w:lang w:val="en-IE"/>
        </w:rPr>
        <w:t xml:space="preserve"> followed by a final extension step of 10 minutes at </w:t>
      </w:r>
      <w:smartTag w:uri="urn:schemas-microsoft-com:office:smarttags" w:element="metricconverter">
        <w:smartTagPr>
          <w:attr w:name="ProductID" w:val="72ﾰC"/>
        </w:smartTagPr>
        <w:r w:rsidRPr="00D403F5">
          <w:rPr>
            <w:rFonts w:ascii="Arial" w:hAnsi="Arial"/>
            <w:bCs/>
            <w:sz w:val="18"/>
            <w:szCs w:val="18"/>
            <w:lang w:val="en-IE"/>
          </w:rPr>
          <w:t>72°C</w:t>
        </w:r>
      </w:smartTag>
      <w:r w:rsidRPr="00D403F5">
        <w:rPr>
          <w:rFonts w:ascii="Arial" w:hAnsi="Arial"/>
          <w:bCs/>
          <w:sz w:val="18"/>
          <w:szCs w:val="18"/>
          <w:lang w:val="en-IE"/>
        </w:rPr>
        <w:t>. Amplified DNA (606 bp) is analysed by agarose gel electrophoresis.</w:t>
      </w:r>
    </w:p>
    <w:p w14:paraId="71871E60"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All amplified products are confirmed as SVCV in origin by sequencing, and the SVCV subtype (Ia-Id) is identified using a BLAST search (</w:t>
      </w:r>
      <w:hyperlink r:id="rId101" w:history="1">
        <w:r w:rsidRPr="00D403F5">
          <w:rPr>
            <w:rFonts w:ascii="Arial" w:hAnsi="Arial"/>
            <w:bCs/>
            <w:color w:val="0000FF"/>
            <w:sz w:val="18"/>
            <w:szCs w:val="18"/>
            <w:lang w:val="en-IE"/>
          </w:rPr>
          <w:t>http://www.ebi.ac.uk/blastall/index.html</w:t>
        </w:r>
      </w:hyperlink>
      <w:r w:rsidRPr="00D403F5">
        <w:rPr>
          <w:rFonts w:ascii="Arial" w:hAnsi="Arial"/>
          <w:bCs/>
          <w:sz w:val="18"/>
          <w:szCs w:val="18"/>
          <w:lang w:val="en-IE"/>
        </w:rPr>
        <w:t>) or by phylogenetic analysis using the SVCV sequences available in public sequence databases. Phylogenetic analysis is undertaken using a 426 bp region corresponding to nucleotides 429–855 of the glycoprotein gene.</w:t>
      </w:r>
    </w:p>
    <w:p w14:paraId="67A54867"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In cases where the CPE is extensive and the virus replicates to a high titre, or where a semi-nested RT-PCR assay was used, sufficient PCR amplicon will be available for direct sequencing. Where the amplified product is weak it is recommended that the product be inserted into an appropriate sequencing vector (e.g. pGEM-T, pCR® 4-TOPO®) prior to undertaking the sequencing. At least two independent amplification and sequencing events should be undertaken to eliminate potential sequence errors introduced by the Taq polymerase.</w:t>
      </w:r>
    </w:p>
    <w:p w14:paraId="4AD7771A" w14:textId="77777777" w:rsidR="00C7266C" w:rsidRPr="00D403F5" w:rsidRDefault="00C7266C" w:rsidP="00D403F5">
      <w:pPr>
        <w:spacing w:after="0"/>
        <w:ind w:left="851"/>
        <w:jc w:val="both"/>
        <w:rPr>
          <w:rFonts w:ascii="Arial" w:hAnsi="Arial"/>
          <w:bCs/>
          <w:strike/>
          <w:sz w:val="18"/>
          <w:szCs w:val="18"/>
          <w:lang w:val="en-IE"/>
        </w:rPr>
      </w:pPr>
      <w:r w:rsidRPr="00D403F5">
        <w:rPr>
          <w:rFonts w:ascii="Arial" w:hAnsi="Arial"/>
          <w:bCs/>
          <w:strike/>
          <w:sz w:val="18"/>
          <w:szCs w:val="18"/>
          <w:lang w:val="en-IE"/>
        </w:rPr>
        <w:t>The following controls should be run with each assay: negative extraction control; positive control; no template control; internal PCR control.</w:t>
      </w:r>
    </w:p>
    <w:p w14:paraId="4700F890" w14:textId="77777777" w:rsidR="00C7266C" w:rsidRPr="00D403F5" w:rsidRDefault="00C7266C" w:rsidP="00D403F5">
      <w:pPr>
        <w:spacing w:after="0"/>
        <w:ind w:left="851"/>
        <w:jc w:val="both"/>
        <w:rPr>
          <w:rFonts w:ascii="Arial" w:hAnsi="Arial"/>
          <w:bCs/>
          <w:strike/>
          <w:sz w:val="18"/>
          <w:szCs w:val="18"/>
          <w:lang w:val="en-IE"/>
        </w:rPr>
      </w:pPr>
      <w:r w:rsidRPr="00D403F5">
        <w:rPr>
          <w:rFonts w:ascii="Arial" w:hAnsi="Arial"/>
          <w:b/>
          <w:bCs/>
          <w:strike/>
          <w:sz w:val="18"/>
          <w:szCs w:val="18"/>
          <w:lang w:val="en-IE"/>
        </w:rPr>
        <w:t>NOTE:</w:t>
      </w:r>
      <w:r w:rsidRPr="00D403F5">
        <w:rPr>
          <w:rFonts w:ascii="Arial" w:hAnsi="Arial"/>
          <w:bCs/>
          <w:strike/>
          <w:sz w:val="18"/>
          <w:szCs w:val="18"/>
          <w:lang w:val="en-IE"/>
        </w:rPr>
        <w:t xml:space="preserve"> The appropriate IUB codes have been used where appropriate and are indicated by an asterisk (*).</w:t>
      </w:r>
    </w:p>
    <w:p w14:paraId="0B4C772B" w14:textId="77777777" w:rsidR="00C7266C" w:rsidRPr="00D403F5" w:rsidRDefault="00C7266C" w:rsidP="00D403F5">
      <w:pPr>
        <w:spacing w:after="0"/>
        <w:rPr>
          <w:rFonts w:ascii="Arial" w:hAnsi="Arial"/>
          <w:bCs/>
          <w:i/>
          <w:sz w:val="18"/>
          <w:szCs w:val="18"/>
          <w:u w:val="double"/>
          <w:lang w:val="en-IE"/>
        </w:rPr>
      </w:pPr>
      <w:r w:rsidRPr="00D403F5">
        <w:rPr>
          <w:rFonts w:ascii="Arial" w:hAnsi="Arial"/>
          <w:bCs/>
          <w:i/>
          <w:sz w:val="18"/>
          <w:szCs w:val="18"/>
          <w:u w:val="double"/>
          <w:lang w:val="en-IE"/>
        </w:rPr>
        <w:br w:type="page"/>
      </w:r>
    </w:p>
    <w:p w14:paraId="0F8471B5" w14:textId="77777777" w:rsidR="00C7266C" w:rsidRPr="00D403F5" w:rsidRDefault="00C7266C" w:rsidP="0076436B">
      <w:pPr>
        <w:spacing w:after="480"/>
        <w:jc w:val="right"/>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670AF25C" w14:textId="77777777" w:rsidR="00C7266C" w:rsidRPr="00D403F5" w:rsidRDefault="00C7266C" w:rsidP="00D403F5">
      <w:pPr>
        <w:spacing w:after="0"/>
        <w:ind w:left="851"/>
        <w:jc w:val="both"/>
        <w:rPr>
          <w:rFonts w:ascii="Arial" w:hAnsi="Arial"/>
          <w:bCs/>
          <w:sz w:val="18"/>
          <w:szCs w:val="18"/>
          <w:u w:val="double"/>
          <w:lang w:val="en-IE"/>
        </w:rPr>
      </w:pPr>
      <w:r w:rsidRPr="00D403F5">
        <w:rPr>
          <w:rFonts w:ascii="Arial" w:hAnsi="Arial"/>
          <w:bCs/>
          <w:i/>
          <w:sz w:val="18"/>
          <w:szCs w:val="18"/>
          <w:u w:val="double"/>
          <w:lang w:val="en-IE"/>
        </w:rPr>
        <w:t xml:space="preserve">Reverse-transcription polymerase chain reaction </w:t>
      </w:r>
      <w:r w:rsidRPr="00D403F5">
        <w:rPr>
          <w:rFonts w:ascii="Arial" w:hAnsi="Arial"/>
          <w:bCs/>
          <w:sz w:val="18"/>
          <w:szCs w:val="18"/>
          <w:u w:val="double"/>
          <w:lang w:val="en-IE"/>
        </w:rPr>
        <w:t>(</w:t>
      </w:r>
      <w:r w:rsidRPr="00D403F5">
        <w:rPr>
          <w:rFonts w:ascii="Arial" w:hAnsi="Arial"/>
          <w:bCs/>
          <w:i/>
          <w:sz w:val="18"/>
          <w:szCs w:val="18"/>
          <w:u w:val="double"/>
          <w:lang w:val="en-IE"/>
        </w:rPr>
        <w:t>RT-PCR</w:t>
      </w:r>
      <w:r w:rsidRPr="00D403F5">
        <w:rPr>
          <w:rFonts w:ascii="Arial" w:hAnsi="Arial"/>
          <w:bCs/>
          <w:sz w:val="18"/>
          <w:szCs w:val="18"/>
          <w:u w:val="double"/>
          <w:lang w:val="en-IE"/>
        </w:rPr>
        <w:t>)</w:t>
      </w:r>
      <w:r w:rsidRPr="00D403F5">
        <w:rPr>
          <w:rFonts w:ascii="Arial" w:hAnsi="Arial"/>
          <w:bCs/>
          <w:i/>
          <w:sz w:val="18"/>
          <w:szCs w:val="18"/>
          <w:u w:val="double"/>
          <w:lang w:val="en-IE"/>
        </w:rPr>
        <w:t xml:space="preserve"> </w:t>
      </w:r>
      <w:r w:rsidRPr="00D403F5">
        <w:rPr>
          <w:rFonts w:ascii="Arial" w:hAnsi="Arial"/>
          <w:bCs/>
          <w:sz w:val="18"/>
          <w:szCs w:val="18"/>
          <w:u w:val="double"/>
          <w:lang w:val="en-IE"/>
        </w:rPr>
        <w:t>(</w:t>
      </w:r>
      <w:r w:rsidRPr="00D403F5">
        <w:rPr>
          <w:rFonts w:ascii="Arial" w:hAnsi="Arial"/>
          <w:bCs/>
          <w:i/>
          <w:sz w:val="18"/>
          <w:szCs w:val="18"/>
          <w:u w:val="double"/>
          <w:lang w:val="en-IE"/>
        </w:rPr>
        <w:t>confirmation of virus identity</w:t>
      </w:r>
      <w:r w:rsidRPr="00D403F5">
        <w:rPr>
          <w:rFonts w:ascii="Arial" w:hAnsi="Arial"/>
          <w:bCs/>
          <w:sz w:val="18"/>
          <w:szCs w:val="18"/>
          <w:u w:val="double"/>
          <w:lang w:val="en-IE"/>
        </w:rPr>
        <w:t>)</w:t>
      </w:r>
    </w:p>
    <w:p w14:paraId="2A00A9CF" w14:textId="77777777" w:rsidR="00C7266C" w:rsidRPr="00D403F5" w:rsidRDefault="00C7266C" w:rsidP="00D403F5">
      <w:pPr>
        <w:spacing w:after="0"/>
        <w:ind w:left="851"/>
        <w:jc w:val="both"/>
        <w:rPr>
          <w:rFonts w:ascii="Arial" w:hAnsi="Arial"/>
          <w:bCs/>
          <w:sz w:val="18"/>
          <w:szCs w:val="18"/>
          <w:lang w:val="en"/>
        </w:rPr>
      </w:pPr>
      <w:r w:rsidRPr="00D403F5">
        <w:rPr>
          <w:rFonts w:ascii="Arial" w:hAnsi="Arial"/>
          <w:bCs/>
          <w:sz w:val="18"/>
          <w:szCs w:val="18"/>
          <w:lang w:val="en"/>
        </w:rPr>
        <w:t xml:space="preserve">Additional conventional RT-PCR assays are available to detect and confirm SVCV infections (Koutna </w:t>
      </w:r>
      <w:r w:rsidRPr="00D403F5">
        <w:rPr>
          <w:rFonts w:ascii="Arial" w:hAnsi="Arial"/>
          <w:bCs/>
          <w:i/>
          <w:iCs/>
          <w:sz w:val="18"/>
          <w:szCs w:val="18"/>
          <w:lang w:val="en"/>
        </w:rPr>
        <w:t>et al</w:t>
      </w:r>
      <w:r w:rsidRPr="00D403F5">
        <w:rPr>
          <w:rFonts w:ascii="Arial" w:hAnsi="Arial"/>
          <w:bCs/>
          <w:sz w:val="18"/>
          <w:szCs w:val="18"/>
          <w:lang w:val="en"/>
        </w:rPr>
        <w:t xml:space="preserve">., 2003; Shimahara </w:t>
      </w:r>
      <w:r w:rsidRPr="00D403F5">
        <w:rPr>
          <w:rFonts w:ascii="Arial" w:hAnsi="Arial"/>
          <w:bCs/>
          <w:i/>
          <w:iCs/>
          <w:sz w:val="18"/>
          <w:szCs w:val="18"/>
          <w:lang w:val="en"/>
        </w:rPr>
        <w:t>et al</w:t>
      </w:r>
      <w:r w:rsidRPr="00D403F5">
        <w:rPr>
          <w:rFonts w:ascii="Arial" w:hAnsi="Arial"/>
          <w:bCs/>
          <w:sz w:val="18"/>
          <w:szCs w:val="18"/>
          <w:lang w:val="en"/>
        </w:rPr>
        <w:t xml:space="preserve">., 2016). A generic primer set based on the polymerase gene also identifies viruses from both the </w:t>
      </w:r>
      <w:r w:rsidRPr="00D403F5">
        <w:rPr>
          <w:rFonts w:ascii="Arial" w:hAnsi="Arial"/>
          <w:bCs/>
          <w:i/>
          <w:iCs/>
          <w:sz w:val="18"/>
          <w:szCs w:val="18"/>
          <w:lang w:val="en"/>
        </w:rPr>
        <w:t>Sprivivirus</w:t>
      </w:r>
      <w:r w:rsidRPr="00D403F5">
        <w:rPr>
          <w:rFonts w:ascii="Arial" w:hAnsi="Arial"/>
          <w:bCs/>
          <w:sz w:val="18"/>
          <w:szCs w:val="18"/>
          <w:lang w:val="en"/>
        </w:rPr>
        <w:t xml:space="preserve"> and </w:t>
      </w:r>
      <w:r w:rsidRPr="00D403F5">
        <w:rPr>
          <w:rFonts w:ascii="Arial" w:hAnsi="Arial"/>
          <w:bCs/>
          <w:i/>
          <w:iCs/>
          <w:sz w:val="18"/>
          <w:szCs w:val="18"/>
          <w:lang w:val="en"/>
        </w:rPr>
        <w:t xml:space="preserve">Perhabdovirus </w:t>
      </w:r>
      <w:r w:rsidRPr="00D403F5">
        <w:rPr>
          <w:rFonts w:ascii="Arial" w:hAnsi="Arial"/>
          <w:bCs/>
          <w:sz w:val="18"/>
          <w:szCs w:val="18"/>
          <w:lang w:val="en"/>
        </w:rPr>
        <w:t xml:space="preserve">genera and can be used to screen a virus culture (Ruane </w:t>
      </w:r>
      <w:r w:rsidRPr="00D403F5">
        <w:rPr>
          <w:rFonts w:ascii="Arial" w:hAnsi="Arial"/>
          <w:bCs/>
          <w:i/>
          <w:iCs/>
          <w:sz w:val="18"/>
          <w:szCs w:val="18"/>
          <w:lang w:val="en"/>
        </w:rPr>
        <w:t>et al</w:t>
      </w:r>
      <w:r w:rsidRPr="00D403F5">
        <w:rPr>
          <w:rFonts w:ascii="Arial" w:hAnsi="Arial"/>
          <w:bCs/>
          <w:sz w:val="18"/>
          <w:szCs w:val="18"/>
          <w:lang w:val="en"/>
        </w:rPr>
        <w:t xml:space="preserve">., 2014). With the exception of the conventional PCR assay developed by Shimahara </w:t>
      </w:r>
      <w:r w:rsidRPr="00D403F5">
        <w:rPr>
          <w:rFonts w:ascii="Arial" w:hAnsi="Arial"/>
          <w:bCs/>
          <w:i/>
          <w:iCs/>
          <w:sz w:val="18"/>
          <w:szCs w:val="18"/>
          <w:lang w:val="en"/>
        </w:rPr>
        <w:t>et al</w:t>
      </w:r>
      <w:r w:rsidRPr="00D403F5">
        <w:rPr>
          <w:rFonts w:ascii="Arial" w:hAnsi="Arial"/>
          <w:bCs/>
          <w:sz w:val="18"/>
          <w:szCs w:val="18"/>
          <w:lang w:val="en"/>
        </w:rPr>
        <w:t xml:space="preserve">. (2016) the other assays were not </w:t>
      </w:r>
      <w:r w:rsidRPr="00D403F5">
        <w:rPr>
          <w:rFonts w:ascii="Arial" w:hAnsi="Arial"/>
          <w:bCs/>
          <w:sz w:val="18"/>
          <w:szCs w:val="18"/>
          <w:u w:val="double"/>
          <w:lang w:val="en"/>
        </w:rPr>
        <w:t>sufficiently</w:t>
      </w:r>
      <w:r w:rsidRPr="00D403F5">
        <w:rPr>
          <w:rFonts w:ascii="Arial" w:hAnsi="Arial"/>
          <w:bCs/>
          <w:sz w:val="18"/>
          <w:szCs w:val="18"/>
          <w:lang w:val="en"/>
        </w:rPr>
        <w:t xml:space="preserve"> </w:t>
      </w:r>
      <w:r w:rsidRPr="00D403F5">
        <w:rPr>
          <w:rFonts w:ascii="Arial" w:hAnsi="Arial"/>
          <w:bCs/>
          <w:strike/>
          <w:sz w:val="18"/>
          <w:szCs w:val="18"/>
          <w:lang w:val="en"/>
        </w:rPr>
        <w:t xml:space="preserve">fully </w:t>
      </w:r>
      <w:r w:rsidRPr="00D403F5">
        <w:rPr>
          <w:rFonts w:ascii="Arial" w:hAnsi="Arial"/>
          <w:bCs/>
          <w:sz w:val="18"/>
          <w:szCs w:val="18"/>
          <w:lang w:val="en"/>
        </w:rPr>
        <w:t xml:space="preserve">validated against representatives from each of the recognised SVCV genogroups and they may fail to detect the full range of SVCV genotypes. </w:t>
      </w:r>
    </w:p>
    <w:p w14:paraId="767F43BC" w14:textId="77777777" w:rsidR="00C7266C" w:rsidRPr="00D403F5" w:rsidRDefault="00C7266C" w:rsidP="00D403F5">
      <w:pPr>
        <w:spacing w:after="0"/>
        <w:ind w:left="851"/>
        <w:jc w:val="both"/>
        <w:rPr>
          <w:rFonts w:ascii="Arial" w:hAnsi="Arial"/>
          <w:bCs/>
          <w:iCs/>
          <w:sz w:val="18"/>
          <w:szCs w:val="18"/>
          <w:u w:val="double"/>
          <w:lang w:val="en-IE"/>
        </w:rPr>
      </w:pPr>
      <w:r w:rsidRPr="00D403F5">
        <w:rPr>
          <w:rFonts w:ascii="Arial" w:hAnsi="Arial"/>
          <w:bCs/>
          <w:sz w:val="18"/>
          <w:szCs w:val="18"/>
          <w:u w:val="double"/>
          <w:lang w:val="en-IE"/>
        </w:rPr>
        <w:t xml:space="preserve">A summary of the Shimahara </w:t>
      </w:r>
      <w:r w:rsidRPr="00D403F5">
        <w:rPr>
          <w:rFonts w:ascii="Arial" w:hAnsi="Arial"/>
          <w:bCs/>
          <w:i/>
          <w:sz w:val="18"/>
          <w:szCs w:val="18"/>
          <w:u w:val="double"/>
          <w:lang w:val="en-IE"/>
        </w:rPr>
        <w:t>et al.</w:t>
      </w:r>
      <w:r w:rsidRPr="00D403F5">
        <w:rPr>
          <w:rFonts w:ascii="Arial" w:hAnsi="Arial"/>
          <w:bCs/>
          <w:sz w:val="18"/>
          <w:szCs w:val="18"/>
          <w:u w:val="double"/>
          <w:lang w:val="en-IE"/>
        </w:rPr>
        <w:t xml:space="preserve"> (2016) RT-PCR method follows. Amplification of a 369 bp fragment of SVCV glycoprotein gene is performed using primers as follows:</w:t>
      </w:r>
      <w:r w:rsidRPr="00D403F5">
        <w:rPr>
          <w:rFonts w:ascii="Arial" w:hAnsi="Arial"/>
          <w:bCs/>
          <w:iCs/>
          <w:sz w:val="18"/>
          <w:szCs w:val="18"/>
          <w:u w:val="double"/>
          <w:lang w:val="en-IE"/>
        </w:rPr>
        <w:t xml:space="preserve"> SVCV-G1: 5’-TGA-AGA-YTG-TGT-CAA-TCA-AGTC-3’ and SVCV-G2: 5’-GCG-ART-GCA-GAG-AAA-AAG-TG-3’. Preparation of RNA template is the same as nested RT-PCR above. Reverse transcription of SVCV RNA and amplification of cDNA are carried out using SuperScript III one-step RT-PCR with PlatinumR Taq (Invitrogen) according to the manufacturer’s instructions. The RT</w:t>
      </w:r>
      <w:r w:rsidRPr="00D403F5">
        <w:rPr>
          <w:rFonts w:ascii="Arial" w:hAnsi="Arial" w:hint="eastAsia"/>
          <w:bCs/>
          <w:iCs/>
          <w:sz w:val="18"/>
          <w:szCs w:val="18"/>
          <w:u w:val="double"/>
          <w:lang w:val="en-IE" w:eastAsia="zh-CN"/>
        </w:rPr>
        <w:t>-PCR</w:t>
      </w:r>
      <w:r w:rsidRPr="00D403F5">
        <w:rPr>
          <w:rFonts w:ascii="Arial" w:hAnsi="Arial"/>
          <w:bCs/>
          <w:iCs/>
          <w:sz w:val="18"/>
          <w:szCs w:val="18"/>
          <w:u w:val="double"/>
          <w:lang w:val="en-IE"/>
        </w:rPr>
        <w:t xml:space="preserve"> reaction mixture contained 10 pmol of each primer, 12.5 </w:t>
      </w:r>
      <w:r w:rsidRPr="00D403F5">
        <w:rPr>
          <w:rFonts w:ascii="Arial" w:hAnsi="Arial"/>
          <w:bCs/>
          <w:sz w:val="18"/>
          <w:szCs w:val="18"/>
          <w:u w:val="double"/>
          <w:lang w:val="en-IE"/>
        </w:rPr>
        <w:t>µl of 2</w:t>
      </w:r>
      <w:r w:rsidRPr="00D403F5">
        <w:rPr>
          <w:rFonts w:ascii="Arial" w:hAnsi="Arial" w:cs="Arial"/>
          <w:bCs/>
          <w:sz w:val="18"/>
          <w:szCs w:val="18"/>
          <w:u w:val="double"/>
          <w:lang w:val="en-IE"/>
        </w:rPr>
        <w:t>×</w:t>
      </w:r>
      <w:r w:rsidRPr="00D403F5">
        <w:rPr>
          <w:rFonts w:ascii="Arial" w:hAnsi="Arial"/>
          <w:bCs/>
          <w:sz w:val="18"/>
          <w:szCs w:val="18"/>
          <w:u w:val="double"/>
          <w:lang w:val="en-IE"/>
        </w:rPr>
        <w:t xml:space="preserve"> reaction mix, 1 µl of SuperScript III RT/</w:t>
      </w:r>
      <w:r w:rsidRPr="00D403F5">
        <w:rPr>
          <w:rFonts w:ascii="Arial" w:hAnsi="Arial" w:hint="eastAsia"/>
          <w:bCs/>
          <w:sz w:val="18"/>
          <w:szCs w:val="18"/>
          <w:u w:val="double"/>
          <w:lang w:val="en-IE" w:eastAsia="zh-CN"/>
        </w:rPr>
        <w:t>P</w:t>
      </w:r>
      <w:r w:rsidRPr="00D403F5">
        <w:rPr>
          <w:rFonts w:ascii="Arial" w:hAnsi="Arial"/>
          <w:bCs/>
          <w:sz w:val="18"/>
          <w:szCs w:val="18"/>
          <w:u w:val="double"/>
          <w:lang w:val="en-IE"/>
        </w:rPr>
        <w:t xml:space="preserve">latinum </w:t>
      </w:r>
      <w:r w:rsidRPr="00D403F5">
        <w:rPr>
          <w:rFonts w:ascii="Arial" w:hAnsi="Arial"/>
          <w:bCs/>
          <w:i/>
          <w:iCs/>
          <w:sz w:val="18"/>
          <w:szCs w:val="18"/>
          <w:u w:val="double"/>
          <w:lang w:val="en-IE"/>
        </w:rPr>
        <w:t>Taq</w:t>
      </w:r>
      <w:r w:rsidRPr="00D403F5">
        <w:rPr>
          <w:rFonts w:ascii="Arial" w:hAnsi="Arial"/>
          <w:bCs/>
          <w:sz w:val="18"/>
          <w:szCs w:val="18"/>
          <w:u w:val="double"/>
          <w:lang w:val="en-IE"/>
        </w:rPr>
        <w:t xml:space="preserve"> Mix and 2.5 µl template. After reverse transcription at 50°C for 30 minutes and 94°C for 2 minutes, 40 amplification cycles of 94°C for 15 seconds, 56°C for 30 seconds and 68°C for 1 minute followed by a final extension step at 68°C for 7 minutes is performed. </w:t>
      </w:r>
      <w:r w:rsidRPr="00D403F5">
        <w:rPr>
          <w:rFonts w:ascii="Arial" w:hAnsi="Arial"/>
          <w:bCs/>
          <w:iCs/>
          <w:sz w:val="18"/>
          <w:szCs w:val="18"/>
          <w:u w:val="double"/>
          <w:lang w:val="en-IE"/>
        </w:rPr>
        <w:t>All amplified products are confirmed as SVCV in origin by sequencing</w:t>
      </w:r>
      <w:r w:rsidRPr="00D403F5">
        <w:rPr>
          <w:rFonts w:ascii="Arial" w:hAnsi="Arial"/>
          <w:bCs/>
          <w:sz w:val="18"/>
          <w:szCs w:val="18"/>
          <w:u w:val="double"/>
          <w:lang w:val="en"/>
        </w:rPr>
        <w:t>.</w:t>
      </w:r>
    </w:p>
    <w:p w14:paraId="0B5685D3" w14:textId="77777777" w:rsidR="00C7266C" w:rsidRPr="00D403F5" w:rsidRDefault="00C7266C" w:rsidP="00D403F5">
      <w:pPr>
        <w:pStyle w:val="111"/>
        <w:spacing w:after="0"/>
        <w:rPr>
          <w:sz w:val="18"/>
          <w:szCs w:val="18"/>
          <w:lang w:bidi="en-US"/>
        </w:rPr>
      </w:pPr>
      <w:r w:rsidRPr="00D403F5">
        <w:rPr>
          <w:sz w:val="18"/>
          <w:szCs w:val="18"/>
          <w:lang w:bidi="en-US"/>
        </w:rPr>
        <w:t>4.4.3.</w:t>
      </w:r>
      <w:r w:rsidRPr="00D403F5">
        <w:rPr>
          <w:sz w:val="18"/>
          <w:szCs w:val="18"/>
          <w:lang w:bidi="en-US"/>
        </w:rPr>
        <w:tab/>
        <w:t>Other nucleic acid amplification methods</w:t>
      </w:r>
    </w:p>
    <w:p w14:paraId="1158B32A" w14:textId="77777777" w:rsidR="00C7266C" w:rsidRPr="00D403F5" w:rsidRDefault="00C7266C" w:rsidP="00D403F5">
      <w:pPr>
        <w:spacing w:after="0"/>
        <w:ind w:left="851"/>
        <w:jc w:val="both"/>
        <w:rPr>
          <w:rFonts w:ascii="Arial" w:hAnsi="Arial"/>
          <w:bCs/>
          <w:sz w:val="18"/>
          <w:szCs w:val="18"/>
          <w:lang w:val="en"/>
        </w:rPr>
      </w:pPr>
      <w:r w:rsidRPr="00D403F5">
        <w:rPr>
          <w:rFonts w:ascii="Arial" w:hAnsi="Arial"/>
          <w:bCs/>
          <w:sz w:val="18"/>
          <w:szCs w:val="18"/>
          <w:lang w:val="en"/>
        </w:rPr>
        <w:t>Loop-mediated isothermal amplification assays are available to detect and confirm SVCV infections (</w:t>
      </w:r>
      <w:r w:rsidRPr="00D403F5">
        <w:rPr>
          <w:rFonts w:ascii="Arial" w:hAnsi="Arial"/>
          <w:bCs/>
          <w:sz w:val="18"/>
          <w:szCs w:val="18"/>
          <w:lang w:val="en-IE"/>
        </w:rPr>
        <w:t xml:space="preserve">Shivappa </w:t>
      </w:r>
      <w:r w:rsidRPr="00D403F5">
        <w:rPr>
          <w:rFonts w:ascii="Arial" w:hAnsi="Arial"/>
          <w:bCs/>
          <w:i/>
          <w:sz w:val="18"/>
          <w:szCs w:val="18"/>
          <w:lang w:val="en-IE"/>
        </w:rPr>
        <w:t>et al.,</w:t>
      </w:r>
      <w:r w:rsidRPr="00D403F5">
        <w:rPr>
          <w:rFonts w:ascii="Arial" w:hAnsi="Arial"/>
          <w:bCs/>
          <w:sz w:val="18"/>
          <w:szCs w:val="18"/>
          <w:lang w:val="en-IE"/>
        </w:rPr>
        <w:t xml:space="preserve"> 2008</w:t>
      </w:r>
      <w:r w:rsidRPr="00D403F5">
        <w:rPr>
          <w:rFonts w:ascii="Arial" w:hAnsi="Arial"/>
          <w:bCs/>
          <w:sz w:val="18"/>
          <w:szCs w:val="18"/>
          <w:lang w:val="en"/>
        </w:rPr>
        <w:t xml:space="preserve">), however, they are currently not recommended as they are not sufficiently validated. </w:t>
      </w:r>
    </w:p>
    <w:p w14:paraId="12DE1EFD" w14:textId="77777777" w:rsidR="00C7266C" w:rsidRPr="00D403F5" w:rsidRDefault="00C7266C" w:rsidP="00D403F5">
      <w:pPr>
        <w:spacing w:after="0"/>
        <w:ind w:left="851"/>
        <w:jc w:val="both"/>
        <w:rPr>
          <w:rFonts w:ascii="Arial" w:hAnsi="Arial"/>
          <w:bCs/>
          <w:sz w:val="18"/>
          <w:szCs w:val="18"/>
          <w:lang w:val="en"/>
        </w:rPr>
      </w:pPr>
      <w:r w:rsidRPr="00D403F5">
        <w:rPr>
          <w:rFonts w:ascii="Arial" w:hAnsi="Arial"/>
          <w:bCs/>
          <w:sz w:val="18"/>
          <w:szCs w:val="18"/>
          <w:lang w:val="en"/>
        </w:rPr>
        <w:t xml:space="preserve">Infection with SVCV has also been confirmed using RT-PCR and hybridisation with </w:t>
      </w:r>
      <w:r w:rsidRPr="00D403F5">
        <w:rPr>
          <w:rFonts w:ascii="Arial" w:hAnsi="Arial"/>
          <w:bCs/>
          <w:sz w:val="18"/>
          <w:szCs w:val="18"/>
        </w:rPr>
        <w:t xml:space="preserve">non-radioactive probes (Oreshkova </w:t>
      </w:r>
      <w:r w:rsidRPr="00D403F5">
        <w:rPr>
          <w:rFonts w:ascii="Arial" w:hAnsi="Arial"/>
          <w:bCs/>
          <w:i/>
          <w:sz w:val="18"/>
          <w:szCs w:val="18"/>
        </w:rPr>
        <w:t>et al.,</w:t>
      </w:r>
      <w:r w:rsidRPr="00D403F5">
        <w:rPr>
          <w:rFonts w:ascii="Arial" w:hAnsi="Arial"/>
          <w:bCs/>
          <w:sz w:val="18"/>
          <w:szCs w:val="18"/>
        </w:rPr>
        <w:t xml:space="preserve"> 1999; Sheppard </w:t>
      </w:r>
      <w:r w:rsidRPr="00D403F5">
        <w:rPr>
          <w:rFonts w:ascii="Arial" w:hAnsi="Arial"/>
          <w:bCs/>
          <w:i/>
          <w:sz w:val="18"/>
          <w:szCs w:val="18"/>
        </w:rPr>
        <w:t>et al</w:t>
      </w:r>
      <w:r w:rsidRPr="00D403F5">
        <w:rPr>
          <w:rFonts w:ascii="Arial" w:hAnsi="Arial"/>
          <w:bCs/>
          <w:sz w:val="18"/>
          <w:szCs w:val="18"/>
        </w:rPr>
        <w:t>., 2007).</w:t>
      </w:r>
    </w:p>
    <w:p w14:paraId="6E578362" w14:textId="77777777" w:rsidR="00C7266C" w:rsidRPr="00D403F5" w:rsidRDefault="00C7266C" w:rsidP="00D403F5">
      <w:pPr>
        <w:pStyle w:val="11"/>
        <w:spacing w:after="0"/>
        <w:ind w:left="426" w:hanging="426"/>
        <w:rPr>
          <w:sz w:val="18"/>
          <w:szCs w:val="18"/>
          <w:lang w:bidi="en-US"/>
        </w:rPr>
      </w:pPr>
      <w:r w:rsidRPr="00D403F5">
        <w:rPr>
          <w:sz w:val="18"/>
          <w:szCs w:val="18"/>
          <w:lang w:bidi="en-US"/>
        </w:rPr>
        <w:t>4.5.</w:t>
      </w:r>
      <w:r w:rsidRPr="00D403F5">
        <w:rPr>
          <w:sz w:val="18"/>
          <w:szCs w:val="18"/>
          <w:lang w:bidi="en-US"/>
        </w:rPr>
        <w:tab/>
        <w:t xml:space="preserve">Amplicon sequencing </w:t>
      </w:r>
    </w:p>
    <w:p w14:paraId="2E583EA3" w14:textId="77777777" w:rsidR="00C7266C" w:rsidRPr="00D403F5" w:rsidRDefault="00C7266C" w:rsidP="00D403F5">
      <w:pPr>
        <w:spacing w:after="0"/>
        <w:ind w:left="426"/>
        <w:jc w:val="both"/>
        <w:rPr>
          <w:rFonts w:ascii="Arial" w:eastAsia="SimSun" w:hAnsi="Arial" w:cs="Arial"/>
          <w:sz w:val="18"/>
          <w:szCs w:val="18"/>
          <w:lang w:val="en-AU" w:eastAsia="zh-CN"/>
        </w:rPr>
      </w:pPr>
      <w:r w:rsidRPr="00D403F5">
        <w:rPr>
          <w:rFonts w:ascii="Arial" w:eastAsia="SimSun" w:hAnsi="Arial" w:cs="Arial"/>
          <w:strike/>
          <w:sz w:val="18"/>
          <w:szCs w:val="18"/>
          <w:lang w:val="en-IE" w:eastAsia="zh-CN"/>
        </w:rPr>
        <w:t xml:space="preserve">See above (Section 4.4.2). </w:t>
      </w:r>
      <w:r w:rsidRPr="00D403F5">
        <w:rPr>
          <w:rFonts w:ascii="Arial" w:eastAsia="SimSun" w:hAnsi="Arial" w:cs="Arial"/>
          <w:strike/>
          <w:sz w:val="18"/>
          <w:szCs w:val="18"/>
          <w:lang w:val="en-AU" w:eastAsia="zh-CN"/>
        </w:rPr>
        <w:t xml:space="preserve">All </w:t>
      </w:r>
      <w:r w:rsidRPr="00D403F5">
        <w:rPr>
          <w:rFonts w:ascii="Arial" w:eastAsia="SimSun" w:hAnsi="Arial" w:cs="Arial"/>
          <w:sz w:val="18"/>
          <w:szCs w:val="18"/>
          <w:u w:val="double"/>
          <w:lang w:val="en-IE" w:eastAsia="zh-CN"/>
        </w:rPr>
        <w:t>Nucleotide sequencing of all</w:t>
      </w:r>
      <w:r w:rsidRPr="00D403F5">
        <w:rPr>
          <w:rFonts w:ascii="Arial" w:eastAsia="SimSun" w:hAnsi="Arial" w:cs="Arial"/>
          <w:sz w:val="18"/>
          <w:szCs w:val="18"/>
          <w:lang w:val="en-AU" w:eastAsia="zh-CN"/>
        </w:rPr>
        <w:t xml:space="preserve"> RT-PCR amplicons </w:t>
      </w:r>
      <w:r w:rsidRPr="00D403F5">
        <w:rPr>
          <w:rFonts w:ascii="Arial" w:eastAsia="SimSun" w:hAnsi="Arial" w:cs="Arial"/>
          <w:strike/>
          <w:sz w:val="18"/>
          <w:szCs w:val="18"/>
          <w:lang w:val="en-AU" w:eastAsia="zh-CN"/>
        </w:rPr>
        <w:t xml:space="preserve">should be sequenced to confirm that they are SVCV in origin </w:t>
      </w:r>
      <w:r w:rsidRPr="00D403F5">
        <w:rPr>
          <w:rFonts w:ascii="Arial" w:eastAsia="SimSun" w:hAnsi="Arial" w:cs="Arial"/>
          <w:sz w:val="18"/>
          <w:szCs w:val="18"/>
          <w:u w:val="double"/>
          <w:lang w:val="en-AU" w:eastAsia="zh-CN"/>
        </w:rPr>
        <w:t>(Section 4.4.2) is recommended as one of the final steps for confirmatory diagnosis</w:t>
      </w:r>
      <w:r w:rsidRPr="00D403F5">
        <w:rPr>
          <w:rFonts w:ascii="Arial" w:eastAsia="SimSun" w:hAnsi="Arial" w:cs="Arial"/>
          <w:sz w:val="18"/>
          <w:szCs w:val="18"/>
          <w:lang w:val="en-AU" w:eastAsia="zh-CN"/>
        </w:rPr>
        <w:t xml:space="preserve">. SVCV-specific </w:t>
      </w:r>
      <w:r w:rsidRPr="00D403F5">
        <w:rPr>
          <w:rFonts w:ascii="Arial" w:eastAsia="SimSun" w:hAnsi="Arial" w:cs="Arial"/>
          <w:strike/>
          <w:sz w:val="18"/>
          <w:szCs w:val="18"/>
          <w:lang w:val="en-AU" w:eastAsia="zh-CN"/>
        </w:rPr>
        <w:t xml:space="preserve">products </w:t>
      </w:r>
      <w:r w:rsidRPr="00D403F5">
        <w:rPr>
          <w:rFonts w:ascii="Arial" w:eastAsia="SimSun" w:hAnsi="Arial" w:cs="Arial"/>
          <w:sz w:val="18"/>
          <w:szCs w:val="18"/>
          <w:u w:val="double"/>
          <w:lang w:val="en-AU" w:eastAsia="zh-CN"/>
        </w:rPr>
        <w:t>sequences</w:t>
      </w:r>
      <w:r w:rsidRPr="00D403F5">
        <w:rPr>
          <w:rFonts w:ascii="Arial" w:eastAsia="SimSun" w:hAnsi="Arial" w:cs="Arial"/>
          <w:sz w:val="18"/>
          <w:szCs w:val="18"/>
          <w:lang w:val="en-AU" w:eastAsia="zh-CN"/>
        </w:rPr>
        <w:t xml:space="preserve"> will share </w:t>
      </w:r>
      <w:r w:rsidRPr="00D403F5">
        <w:rPr>
          <w:rFonts w:ascii="Arial" w:eastAsia="SimSun" w:hAnsi="Arial" w:cs="Arial"/>
          <w:sz w:val="18"/>
          <w:szCs w:val="18"/>
          <w:u w:val="double"/>
          <w:lang w:val="en-AU" w:eastAsia="zh-CN"/>
        </w:rPr>
        <w:t>a</w:t>
      </w:r>
      <w:r w:rsidRPr="00D403F5">
        <w:rPr>
          <w:rFonts w:ascii="Arial" w:eastAsia="SimSun" w:hAnsi="Arial" w:cs="Arial"/>
          <w:sz w:val="18"/>
          <w:szCs w:val="18"/>
          <w:lang w:val="en-AU" w:eastAsia="zh-CN"/>
        </w:rPr>
        <w:t xml:space="preserve"> higher degree of nucleotide </w:t>
      </w:r>
      <w:r w:rsidRPr="00D403F5">
        <w:rPr>
          <w:rFonts w:ascii="Arial" w:eastAsia="SimSun" w:hAnsi="Arial" w:cs="Arial"/>
          <w:strike/>
          <w:sz w:val="18"/>
          <w:szCs w:val="18"/>
          <w:lang w:val="en-AU" w:eastAsia="zh-CN"/>
        </w:rPr>
        <w:t xml:space="preserve">identity </w:t>
      </w:r>
      <w:r w:rsidRPr="00D403F5">
        <w:rPr>
          <w:rFonts w:ascii="Arial" w:eastAsia="SimSun" w:hAnsi="Arial" w:cs="Arial"/>
          <w:sz w:val="18"/>
          <w:szCs w:val="18"/>
          <w:u w:val="double"/>
          <w:lang w:val="en-AU" w:eastAsia="zh-CN"/>
        </w:rPr>
        <w:t>similarity</w:t>
      </w:r>
      <w:r w:rsidRPr="00D403F5">
        <w:rPr>
          <w:rFonts w:ascii="Arial" w:eastAsia="SimSun" w:hAnsi="Arial" w:cs="Arial"/>
          <w:sz w:val="18"/>
          <w:szCs w:val="18"/>
          <w:lang w:val="en-AU" w:eastAsia="zh-CN"/>
        </w:rPr>
        <w:t xml:space="preserve"> to one of the published </w:t>
      </w:r>
      <w:r w:rsidRPr="00D403F5">
        <w:rPr>
          <w:rFonts w:ascii="Arial" w:eastAsia="SimSun" w:hAnsi="Arial" w:cs="Arial"/>
          <w:sz w:val="18"/>
          <w:szCs w:val="18"/>
          <w:u w:val="double"/>
          <w:lang w:val="en-AU" w:eastAsia="zh-CN"/>
        </w:rPr>
        <w:t>reference</w:t>
      </w:r>
      <w:r w:rsidRPr="00D403F5">
        <w:rPr>
          <w:rFonts w:ascii="Arial" w:eastAsia="SimSun" w:hAnsi="Arial" w:cs="Arial"/>
          <w:sz w:val="18"/>
          <w:szCs w:val="18"/>
          <w:lang w:val="en-AU" w:eastAsia="zh-CN"/>
        </w:rPr>
        <w:t xml:space="preserve"> sequences for SVCV (Genbank accession U18101, AJ318079, DQ097384 and EU177782) compared to the published </w:t>
      </w:r>
      <w:r w:rsidRPr="00D403F5">
        <w:rPr>
          <w:rFonts w:ascii="Arial" w:eastAsia="SimSun" w:hAnsi="Arial" w:cs="Arial"/>
          <w:sz w:val="18"/>
          <w:szCs w:val="18"/>
          <w:u w:val="double"/>
          <w:lang w:val="en-AU" w:eastAsia="zh-CN"/>
        </w:rPr>
        <w:t>reference</w:t>
      </w:r>
      <w:r w:rsidRPr="00D403F5">
        <w:rPr>
          <w:rFonts w:ascii="Arial" w:eastAsia="SimSun" w:hAnsi="Arial" w:cs="Arial"/>
          <w:sz w:val="18"/>
          <w:szCs w:val="18"/>
          <w:lang w:val="en-AU" w:eastAsia="zh-CN"/>
        </w:rPr>
        <w:t xml:space="preserve"> sequences for the </w:t>
      </w:r>
      <w:r w:rsidRPr="00D403F5">
        <w:rPr>
          <w:rFonts w:ascii="Arial" w:eastAsia="SimSun" w:hAnsi="Arial" w:cs="Arial"/>
          <w:i/>
          <w:sz w:val="18"/>
          <w:szCs w:val="18"/>
          <w:lang w:val="en-AU" w:eastAsia="zh-CN"/>
        </w:rPr>
        <w:t>Pike sprivivirus</w:t>
      </w:r>
      <w:r w:rsidRPr="00D403F5">
        <w:rPr>
          <w:rFonts w:ascii="Arial" w:eastAsia="SimSun" w:hAnsi="Arial" w:cs="Arial"/>
          <w:sz w:val="18"/>
          <w:szCs w:val="18"/>
          <w:lang w:val="en-AU" w:eastAsia="zh-CN"/>
        </w:rPr>
        <w:t xml:space="preserve">es (GenBank FJ872827, KC113518 and KC113517). </w:t>
      </w:r>
    </w:p>
    <w:p w14:paraId="0A67CC9C" w14:textId="77777777" w:rsidR="00C7266C" w:rsidRPr="00D403F5" w:rsidRDefault="00C7266C" w:rsidP="00D403F5">
      <w:pPr>
        <w:pStyle w:val="11"/>
        <w:spacing w:after="0"/>
        <w:ind w:left="426" w:hanging="568"/>
        <w:rPr>
          <w:sz w:val="18"/>
          <w:szCs w:val="18"/>
          <w:lang w:bidi="en-US"/>
        </w:rPr>
      </w:pPr>
      <w:r w:rsidRPr="00D403F5">
        <w:rPr>
          <w:sz w:val="18"/>
          <w:szCs w:val="18"/>
          <w:lang w:bidi="en-US"/>
        </w:rPr>
        <w:t>4.6.</w:t>
      </w:r>
      <w:r w:rsidRPr="00D403F5">
        <w:rPr>
          <w:sz w:val="18"/>
          <w:szCs w:val="18"/>
          <w:lang w:bidi="en-US"/>
        </w:rPr>
        <w:tab/>
      </w:r>
      <w:r w:rsidRPr="00D403F5">
        <w:rPr>
          <w:i/>
          <w:sz w:val="18"/>
          <w:szCs w:val="18"/>
          <w:lang w:bidi="en-US"/>
        </w:rPr>
        <w:t>In-situ</w:t>
      </w:r>
      <w:r w:rsidRPr="00D403F5">
        <w:rPr>
          <w:sz w:val="18"/>
          <w:szCs w:val="18"/>
          <w:lang w:bidi="en-US"/>
        </w:rPr>
        <w:t xml:space="preserve"> hybridisation </w:t>
      </w:r>
      <w:r w:rsidRPr="00D403F5">
        <w:rPr>
          <w:strike/>
          <w:sz w:val="18"/>
          <w:szCs w:val="18"/>
          <w:lang w:bidi="en-US"/>
        </w:rPr>
        <w:t>(and histoimmunochemistry)</w:t>
      </w:r>
    </w:p>
    <w:p w14:paraId="4B212489" w14:textId="77777777" w:rsidR="00C7266C" w:rsidRPr="00D403F5" w:rsidRDefault="00C7266C" w:rsidP="00D403F5">
      <w:pPr>
        <w:spacing w:after="0"/>
        <w:ind w:left="426"/>
        <w:jc w:val="both"/>
        <w:rPr>
          <w:rFonts w:ascii="Arial" w:eastAsia="SimSun" w:hAnsi="Arial" w:cs="Arial"/>
          <w:sz w:val="18"/>
          <w:szCs w:val="18"/>
          <w:lang w:val="en-IE" w:eastAsia="zh-CN"/>
        </w:rPr>
      </w:pPr>
      <w:r w:rsidRPr="00D403F5">
        <w:rPr>
          <w:rFonts w:ascii="Arial" w:hAnsi="Arial"/>
          <w:sz w:val="18"/>
          <w:szCs w:val="18"/>
          <w:u w:val="double"/>
          <w:lang w:val="en-IE"/>
        </w:rPr>
        <w:t>Although</w:t>
      </w:r>
      <w:r w:rsidRPr="00D403F5">
        <w:rPr>
          <w:rFonts w:ascii="Arial" w:hAnsi="Arial"/>
          <w:sz w:val="18"/>
          <w:szCs w:val="18"/>
          <w:lang w:val="en-IE"/>
        </w:rPr>
        <w:t xml:space="preserve"> </w:t>
      </w:r>
      <w:r w:rsidRPr="00D403F5">
        <w:rPr>
          <w:rFonts w:ascii="Arial" w:hAnsi="Arial"/>
          <w:i/>
          <w:sz w:val="18"/>
          <w:szCs w:val="18"/>
          <w:lang w:val="en-IE"/>
        </w:rPr>
        <w:t>In-situ</w:t>
      </w:r>
      <w:r w:rsidRPr="00D403F5">
        <w:rPr>
          <w:rFonts w:ascii="Arial" w:hAnsi="Arial"/>
          <w:sz w:val="18"/>
          <w:szCs w:val="18"/>
          <w:lang w:val="en-IE"/>
        </w:rPr>
        <w:t xml:space="preserve"> hybridisation can be used to locate </w:t>
      </w:r>
      <w:r w:rsidRPr="00D403F5">
        <w:rPr>
          <w:rFonts w:ascii="Arial" w:hAnsi="Arial"/>
          <w:sz w:val="18"/>
          <w:szCs w:val="18"/>
          <w:u w:val="double"/>
          <w:lang w:val="en-IE"/>
        </w:rPr>
        <w:t>SVCV</w:t>
      </w:r>
      <w:r w:rsidRPr="00D403F5">
        <w:rPr>
          <w:rFonts w:ascii="Arial" w:hAnsi="Arial"/>
          <w:sz w:val="18"/>
          <w:szCs w:val="18"/>
          <w:lang w:val="en-IE"/>
        </w:rPr>
        <w:t xml:space="preserve"> </w:t>
      </w:r>
      <w:r w:rsidRPr="00D403F5">
        <w:rPr>
          <w:rFonts w:ascii="Arial" w:hAnsi="Arial"/>
          <w:strike/>
          <w:sz w:val="18"/>
          <w:szCs w:val="18"/>
          <w:lang w:val="en-IE"/>
        </w:rPr>
        <w:t>the virus</w:t>
      </w:r>
      <w:r w:rsidRPr="00D403F5">
        <w:rPr>
          <w:rFonts w:ascii="Arial" w:hAnsi="Arial"/>
          <w:sz w:val="18"/>
          <w:szCs w:val="18"/>
          <w:lang w:val="en-IE"/>
        </w:rPr>
        <w:t xml:space="preserve"> in different tissues on known positive animals, but </w:t>
      </w:r>
      <w:r w:rsidRPr="00D403F5">
        <w:rPr>
          <w:rFonts w:ascii="Arial" w:hAnsi="Arial"/>
          <w:sz w:val="18"/>
          <w:szCs w:val="18"/>
          <w:u w:val="double"/>
          <w:lang w:val="en-IE"/>
        </w:rPr>
        <w:t>this assay is currently not recommended as</w:t>
      </w:r>
      <w:r w:rsidRPr="00D403F5">
        <w:rPr>
          <w:rFonts w:ascii="Arial" w:hAnsi="Arial"/>
          <w:sz w:val="18"/>
          <w:szCs w:val="18"/>
          <w:lang w:val="en-IE"/>
        </w:rPr>
        <w:t xml:space="preserve"> it has not been well validated for SVCV as a diagnostic tool. </w:t>
      </w:r>
      <w:bookmarkStart w:id="74" w:name="_Hlk20618115"/>
    </w:p>
    <w:bookmarkEnd w:id="74"/>
    <w:p w14:paraId="51836785" w14:textId="77777777" w:rsidR="00C7266C" w:rsidRPr="00D403F5" w:rsidRDefault="00C7266C" w:rsidP="00D403F5">
      <w:pPr>
        <w:pStyle w:val="Para20"/>
        <w:spacing w:after="0"/>
        <w:ind w:left="426" w:hanging="568"/>
        <w:rPr>
          <w:rFonts w:ascii="Ottawa" w:hAnsi="Ottawa"/>
          <w:b/>
          <w:bCs/>
          <w:szCs w:val="18"/>
          <w:u w:val="double"/>
          <w:lang w:val="en-GB" w:eastAsia="fr-FR"/>
        </w:rPr>
      </w:pPr>
      <w:r w:rsidRPr="00D403F5">
        <w:rPr>
          <w:rFonts w:ascii="Ottawa" w:hAnsi="Ottawa"/>
          <w:b/>
          <w:szCs w:val="18"/>
          <w:u w:val="double"/>
          <w:lang w:val="en-GB" w:eastAsia="fr-FR"/>
        </w:rPr>
        <w:t>4.7.</w:t>
      </w:r>
      <w:r w:rsidRPr="00D403F5">
        <w:rPr>
          <w:rFonts w:ascii="Ottawa" w:hAnsi="Ottawa"/>
          <w:b/>
          <w:szCs w:val="18"/>
          <w:u w:val="double"/>
          <w:lang w:val="en-GB" w:eastAsia="fr-FR"/>
        </w:rPr>
        <w:tab/>
      </w:r>
      <w:r w:rsidRPr="00D403F5">
        <w:rPr>
          <w:rFonts w:ascii="Ottawa" w:hAnsi="Ottawa"/>
          <w:b/>
          <w:bCs/>
          <w:szCs w:val="18"/>
          <w:u w:val="double"/>
          <w:lang w:val="en-GB" w:eastAsia="fr-FR"/>
        </w:rPr>
        <w:t xml:space="preserve">Immunohistochemistry </w:t>
      </w:r>
    </w:p>
    <w:p w14:paraId="39274BA8" w14:textId="77777777" w:rsidR="00C7266C" w:rsidRPr="00D403F5" w:rsidRDefault="00C7266C" w:rsidP="00D403F5">
      <w:pPr>
        <w:spacing w:after="0"/>
        <w:ind w:left="426"/>
        <w:jc w:val="both"/>
        <w:rPr>
          <w:rFonts w:ascii="Arial" w:hAnsi="Arial"/>
          <w:bCs/>
          <w:sz w:val="18"/>
          <w:szCs w:val="18"/>
          <w:lang w:val="en-IE"/>
        </w:rPr>
      </w:pPr>
      <w:r w:rsidRPr="00D403F5">
        <w:rPr>
          <w:rFonts w:ascii="Arial" w:eastAsia="SimSun" w:hAnsi="Arial" w:cs="Arial"/>
          <w:sz w:val="18"/>
          <w:szCs w:val="18"/>
          <w:lang w:val="en-IE" w:eastAsia="zh-CN"/>
        </w:rPr>
        <w:t xml:space="preserve">SVCV can be detected by immunohistochemistry, however, care must be taken with interpreting the results of serological tests for SVCV, and positive results </w:t>
      </w:r>
      <w:r w:rsidRPr="00D403F5">
        <w:rPr>
          <w:rFonts w:ascii="Arial" w:eastAsia="SimSun" w:hAnsi="Arial" w:cs="Arial"/>
          <w:strike/>
          <w:sz w:val="18"/>
          <w:szCs w:val="18"/>
          <w:lang w:val="en-IE" w:eastAsia="zh-CN"/>
        </w:rPr>
        <w:t>from antibody-based assays</w:t>
      </w:r>
      <w:r w:rsidRPr="00D403F5">
        <w:rPr>
          <w:rFonts w:ascii="Arial" w:eastAsia="SimSun" w:hAnsi="Arial" w:cs="Arial"/>
          <w:sz w:val="18"/>
          <w:szCs w:val="18"/>
          <w:lang w:val="en-IE" w:eastAsia="zh-CN"/>
        </w:rPr>
        <w:t xml:space="preserve"> should be confirmed by RT-PCR and sequencing</w:t>
      </w:r>
      <w:r w:rsidRPr="00D403F5">
        <w:rPr>
          <w:rFonts w:ascii="Arial" w:eastAsia="SimSun" w:hAnsi="Arial" w:cs="Arial"/>
          <w:strike/>
          <w:sz w:val="18"/>
          <w:szCs w:val="18"/>
          <w:lang w:val="en-IE" w:eastAsia="zh-CN"/>
        </w:rPr>
        <w:t xml:space="preserve"> (see Section 4.8.)</w:t>
      </w:r>
      <w:r w:rsidRPr="00D403F5">
        <w:rPr>
          <w:rFonts w:ascii="Arial" w:eastAsia="SimSun" w:hAnsi="Arial" w:cs="Arial"/>
          <w:sz w:val="18"/>
          <w:szCs w:val="18"/>
          <w:lang w:val="en-IE" w:eastAsia="zh-CN"/>
        </w:rPr>
        <w:t>.</w:t>
      </w:r>
    </w:p>
    <w:p w14:paraId="338E4CEA"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Bleed the fish thoroughly.</w:t>
      </w:r>
    </w:p>
    <w:p w14:paraId="75298186"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Make kidney imprints on cleaned glass slides or at the bottom of the wells of a plastic cell culture plate.</w:t>
      </w:r>
    </w:p>
    <w:p w14:paraId="545AEDAF" w14:textId="77777777" w:rsidR="00C7266C" w:rsidRPr="00D403F5" w:rsidRDefault="00C7266C" w:rsidP="00D403F5">
      <w:pPr>
        <w:spacing w:after="0"/>
        <w:rPr>
          <w:rFonts w:ascii="Times New Roman" w:hAnsi="Times New Roman" w:cs="Times New Roman"/>
          <w:noProof/>
          <w:sz w:val="18"/>
          <w:szCs w:val="18"/>
          <w:lang w:val="en-US"/>
        </w:rPr>
      </w:pPr>
      <w:r w:rsidRPr="00D403F5">
        <w:rPr>
          <w:rFonts w:ascii="Times New Roman" w:hAnsi="Times New Roman" w:cs="Times New Roman"/>
          <w:noProof/>
          <w:sz w:val="18"/>
          <w:szCs w:val="18"/>
          <w:lang w:val="en-US"/>
        </w:rPr>
        <w:br w:type="page"/>
      </w:r>
    </w:p>
    <w:p w14:paraId="3F5D4417" w14:textId="77777777" w:rsidR="00C7266C" w:rsidRPr="00D403F5" w:rsidRDefault="00C7266C" w:rsidP="0076436B">
      <w:pPr>
        <w:spacing w:after="480" w:line="240" w:lineRule="auto"/>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780A074F"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Store and transport the kidney pieces as indicated in Section 2.2.1. of Chapter 2.3.0. together with the other organs required for virus isolation.</w:t>
      </w:r>
    </w:p>
    <w:p w14:paraId="33C7638D"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Allow the imprint to air-dry for 20 minutes.</w:t>
      </w:r>
    </w:p>
    <w:p w14:paraId="0342E9D3"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t xml:space="preserve">Fix with </w:t>
      </w:r>
      <w:r w:rsidRPr="00D403F5">
        <w:rPr>
          <w:rFonts w:ascii="Arial" w:hAnsi="Arial"/>
          <w:bCs/>
          <w:sz w:val="18"/>
          <w:szCs w:val="18"/>
        </w:rPr>
        <w:t>cold acetone (stored at –20°C) for glass slides or 80% acetone in water or 30% acetone in ethanol, also at –20°C, for plastic wells. Let the fixative act for 15 minutes. Allow the imprints to air-dry for at least 30 minutes and process immediately or freeze at –20°C.</w:t>
      </w:r>
    </w:p>
    <w:p w14:paraId="3910EFB6"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 xml:space="preserve">Rehydrate the imprints if they have been stored frozen </w:t>
      </w:r>
      <w:r w:rsidRPr="00D403F5">
        <w:rPr>
          <w:rFonts w:ascii="Arial" w:hAnsi="Arial"/>
          <w:bCs/>
          <w:sz w:val="18"/>
          <w:szCs w:val="18"/>
        </w:rPr>
        <w:t xml:space="preserve">by four rinsing steps with </w:t>
      </w:r>
      <w:r w:rsidRPr="00D403F5">
        <w:rPr>
          <w:rFonts w:ascii="Arial" w:hAnsi="Arial"/>
          <w:bCs/>
          <w:sz w:val="18"/>
          <w:szCs w:val="18"/>
          <w:lang w:val="en-IE"/>
        </w:rPr>
        <w:t xml:space="preserve">PBS </w:t>
      </w:r>
      <w:r w:rsidRPr="00D403F5">
        <w:rPr>
          <w:rFonts w:ascii="Arial" w:hAnsi="Arial"/>
          <w:bCs/>
          <w:sz w:val="18"/>
          <w:szCs w:val="18"/>
          <w:u w:val="double"/>
          <w:lang w:val="en-IE"/>
        </w:rPr>
        <w:t>containing 0.05% Tween 20</w:t>
      </w:r>
      <w:r w:rsidRPr="00D403F5">
        <w:rPr>
          <w:rFonts w:ascii="Arial" w:hAnsi="Arial"/>
          <w:bCs/>
          <w:sz w:val="18"/>
          <w:szCs w:val="18"/>
          <w:lang w:val="en-IE"/>
        </w:rPr>
        <w:t xml:space="preserve"> </w:t>
      </w:r>
      <w:r w:rsidRPr="00D403F5">
        <w:rPr>
          <w:rFonts w:ascii="Arial" w:hAnsi="Arial"/>
          <w:bCs/>
          <w:sz w:val="18"/>
          <w:szCs w:val="18"/>
        </w:rPr>
        <w:t>(PBST), and remove this buffer completely after the last rinse. B</w:t>
      </w:r>
      <w:r w:rsidRPr="00D403F5">
        <w:rPr>
          <w:rFonts w:ascii="Arial" w:hAnsi="Arial"/>
          <w:bCs/>
          <w:sz w:val="18"/>
          <w:szCs w:val="18"/>
          <w:lang w:val="en-IE"/>
        </w:rPr>
        <w:t xml:space="preserve">lock with 5% skim milk or 1% bovine serum albumin, in PBST for 30 minutes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59C8EB77"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Rinse four times with PBST, 5 minutes for each rinse. The slides or plastic culture plates can be gently agitated during the rinses.</w:t>
      </w:r>
    </w:p>
    <w:p w14:paraId="0BFE169D"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Prepare a solution of purified antibody or serum to SVCV in PBST, at the appropriate dilution (which has been established previously or as given by the reagent supplier).</w:t>
      </w:r>
    </w:p>
    <w:p w14:paraId="2DB64B78"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 xml:space="preserve">Incubate the imprints with the antibody solution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 xml:space="preserve"> in a humid chamber and do not allow evaporation to occur.</w:t>
      </w:r>
    </w:p>
    <w:p w14:paraId="457A0A8B"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Rinse four times with PBST.</w:t>
      </w:r>
    </w:p>
    <w:p w14:paraId="75F34910"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 xml:space="preserve">Incubate the imprints with a solution of </w:t>
      </w:r>
      <w:r w:rsidRPr="00D403F5">
        <w:rPr>
          <w:rFonts w:ascii="Arial" w:hAnsi="Arial"/>
          <w:bCs/>
          <w:sz w:val="18"/>
          <w:szCs w:val="18"/>
          <w:u w:val="double"/>
          <w:lang w:val="en-IE"/>
        </w:rPr>
        <w:t>fluorescein isothiocyanate</w:t>
      </w:r>
      <w:r w:rsidRPr="00D403F5">
        <w:rPr>
          <w:rFonts w:ascii="Arial" w:hAnsi="Arial"/>
          <w:bCs/>
          <w:sz w:val="18"/>
          <w:szCs w:val="18"/>
          <w:lang w:val="en-IE"/>
        </w:rPr>
        <w:t xml:space="preserve"> (FITC)-conjugated antibody to the immunoglobulin used in the first layer and prepared according to the instructions of the supplier. These FITC antibodies are most often rabbit or goat antibodies.</w:t>
      </w:r>
    </w:p>
    <w:p w14:paraId="1146F176"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Rinse four times with PBST.</w:t>
      </w:r>
    </w:p>
    <w:p w14:paraId="69A9FF13"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 xml:space="preserve">View the treated imprints on plastic plates immediately, or mount the slides with cover-slips using glycerol saline at pH 8.5, or a commercially-available mountant. </w:t>
      </w:r>
    </w:p>
    <w:p w14:paraId="39AB797C"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xiv)</w:t>
      </w:r>
      <w:r w:rsidRPr="00D403F5">
        <w:rPr>
          <w:rFonts w:ascii="Arial" w:hAnsi="Arial"/>
          <w:bCs/>
          <w:sz w:val="18"/>
          <w:szCs w:val="18"/>
          <w:lang w:val="en-IE"/>
        </w:rPr>
        <w:tab/>
        <w:t>Examine under incident ultraviolet (UV) light using a microscope with ×10 eye pieces and ×20 or ×40 objective lenses having numerical aperture of &gt;0.65 and &gt;1.3, respectively. Positive and negative controls must be found to give the expected results prior to any other observation.</w:t>
      </w:r>
    </w:p>
    <w:p w14:paraId="02604E03" w14:textId="77777777" w:rsidR="00C7266C" w:rsidRPr="00D403F5" w:rsidRDefault="00C7266C" w:rsidP="00D403F5">
      <w:pPr>
        <w:pStyle w:val="11"/>
        <w:spacing w:after="0"/>
        <w:ind w:left="426" w:hanging="426"/>
        <w:rPr>
          <w:sz w:val="18"/>
          <w:szCs w:val="18"/>
          <w:lang w:bidi="en-US"/>
        </w:rPr>
      </w:pPr>
      <w:r w:rsidRPr="00D403F5">
        <w:rPr>
          <w:sz w:val="18"/>
          <w:szCs w:val="18"/>
          <w:lang w:bidi="en-US"/>
        </w:rPr>
        <w:t>4.8.</w:t>
      </w:r>
      <w:r w:rsidRPr="00D403F5">
        <w:rPr>
          <w:sz w:val="18"/>
          <w:szCs w:val="18"/>
          <w:lang w:bidi="en-US"/>
        </w:rPr>
        <w:tab/>
        <w:t>Bioassay</w:t>
      </w:r>
    </w:p>
    <w:p w14:paraId="439D72E6"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cs="Arial"/>
          <w:sz w:val="18"/>
          <w:szCs w:val="18"/>
          <w:lang w:val="en-IE"/>
        </w:rPr>
        <w:t>Not available.</w:t>
      </w:r>
    </w:p>
    <w:p w14:paraId="0A4DC909" w14:textId="77777777" w:rsidR="00C7266C" w:rsidRPr="00D403F5" w:rsidRDefault="00C7266C" w:rsidP="00D403F5">
      <w:pPr>
        <w:pStyle w:val="11"/>
        <w:spacing w:after="0"/>
        <w:ind w:left="426" w:hanging="426"/>
        <w:rPr>
          <w:sz w:val="18"/>
          <w:szCs w:val="18"/>
          <w:lang w:bidi="en-US"/>
        </w:rPr>
      </w:pPr>
      <w:r w:rsidRPr="00D403F5">
        <w:rPr>
          <w:sz w:val="18"/>
          <w:szCs w:val="18"/>
          <w:lang w:bidi="en-US"/>
        </w:rPr>
        <w:t>4.9.</w:t>
      </w:r>
      <w:r w:rsidRPr="00D403F5">
        <w:rPr>
          <w:sz w:val="18"/>
          <w:szCs w:val="18"/>
          <w:lang w:bidi="en-US"/>
        </w:rPr>
        <w:tab/>
        <w:t>Antibody</w:t>
      </w:r>
      <w:r w:rsidRPr="00D403F5">
        <w:rPr>
          <w:sz w:val="18"/>
          <w:szCs w:val="18"/>
          <w:u w:val="double"/>
          <w:lang w:bidi="en-US"/>
        </w:rPr>
        <w:t>-based</w:t>
      </w:r>
      <w:r w:rsidRPr="00D403F5">
        <w:rPr>
          <w:sz w:val="18"/>
          <w:szCs w:val="18"/>
          <w:lang w:bidi="en-US"/>
        </w:rPr>
        <w:t xml:space="preserve"> or antigen detection methods (ELISA, etc.)</w:t>
      </w:r>
    </w:p>
    <w:p w14:paraId="652622D4" w14:textId="77777777" w:rsidR="00C7266C" w:rsidRPr="00D403F5" w:rsidRDefault="00C7266C" w:rsidP="00D403F5">
      <w:pPr>
        <w:spacing w:after="0"/>
        <w:ind w:left="426"/>
        <w:jc w:val="both"/>
        <w:rPr>
          <w:rFonts w:ascii="Arial" w:hAnsi="Arial" w:cs="Arial"/>
          <w:sz w:val="18"/>
          <w:szCs w:val="18"/>
          <w:lang w:val="en-IE"/>
        </w:rPr>
      </w:pPr>
      <w:r w:rsidRPr="00D403F5">
        <w:rPr>
          <w:rFonts w:ascii="Arial" w:hAnsi="Arial"/>
          <w:sz w:val="18"/>
          <w:szCs w:val="18"/>
          <w:lang w:val="en-IE"/>
        </w:rPr>
        <w:t xml:space="preserve">Serological methods must be regarded as presumptive unless fully validated monoclonal or polyclonal antibodies are used, as cross reactions with other viruses closely related spriviviruses (PFRV, GrCRV and TenRV) may occur. Commercially available kits using polyclonal antibodies may lack specificity, and those using monoclonal antibodies may not detect all subgenogroups of </w:t>
      </w:r>
      <w:r w:rsidRPr="00D403F5">
        <w:rPr>
          <w:rFonts w:ascii="Arial" w:hAnsi="Arial" w:cs="Arial"/>
          <w:sz w:val="18"/>
          <w:szCs w:val="18"/>
          <w:lang w:val="en-IE"/>
        </w:rPr>
        <w:t>SVCV (Dixon &amp; Longshaw, 2005).</w:t>
      </w:r>
    </w:p>
    <w:p w14:paraId="03130094" w14:textId="77777777" w:rsidR="00C7266C" w:rsidRPr="00D403F5" w:rsidRDefault="00C7266C" w:rsidP="00D403F5">
      <w:pPr>
        <w:spacing w:after="0"/>
        <w:ind w:left="426"/>
        <w:jc w:val="both"/>
        <w:rPr>
          <w:rFonts w:ascii="Arial" w:hAnsi="Arial"/>
          <w:i/>
          <w:sz w:val="18"/>
          <w:szCs w:val="18"/>
          <w:lang w:val="en-IE"/>
        </w:rPr>
      </w:pPr>
      <w:r w:rsidRPr="00D403F5">
        <w:rPr>
          <w:rFonts w:ascii="Arial" w:hAnsi="Arial"/>
          <w:i/>
          <w:sz w:val="18"/>
          <w:szCs w:val="18"/>
          <w:lang w:val="en-IE"/>
        </w:rPr>
        <w:t xml:space="preserve">Virus identification by enzyme-linked immunosorbent assay </w:t>
      </w:r>
      <w:r w:rsidRPr="00D403F5">
        <w:rPr>
          <w:rFonts w:ascii="Arial" w:hAnsi="Arial"/>
          <w:bCs/>
          <w:sz w:val="18"/>
          <w:szCs w:val="18"/>
          <w:lang w:val="en-IE"/>
        </w:rPr>
        <w:t>(</w:t>
      </w:r>
      <w:r w:rsidRPr="00D403F5">
        <w:rPr>
          <w:rFonts w:ascii="Arial" w:hAnsi="Arial"/>
          <w:i/>
          <w:sz w:val="18"/>
          <w:szCs w:val="18"/>
          <w:lang w:val="en-IE"/>
        </w:rPr>
        <w:t>ELISA</w:t>
      </w:r>
      <w:r w:rsidRPr="00D403F5">
        <w:rPr>
          <w:rFonts w:ascii="Arial" w:hAnsi="Arial"/>
          <w:bCs/>
          <w:sz w:val="18"/>
          <w:szCs w:val="18"/>
          <w:lang w:val="en-IE"/>
        </w:rPr>
        <w:t>)</w:t>
      </w:r>
    </w:p>
    <w:p w14:paraId="0B09CDEA"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 xml:space="preserve">Coat the wells of microplates designed for ELISAs with appropriate dilutions of purified immunoglobulins (Ig) specific for SVCV, in </w:t>
      </w:r>
      <w:smartTag w:uri="urn:schemas-microsoft-com:office:smarttags" w:element="metricconverter">
        <w:smartTagPr>
          <w:attr w:name="ProductID" w:val="0.02 M"/>
        </w:smartTagPr>
        <w:smartTag w:uri="urn:schemas-microsoft-com:office:smarttags" w:element="time">
          <w:smartTagPr>
            <w:attr w:name="Minute" w:val="02"/>
            <w:attr w:name="Hour" w:val="0"/>
          </w:smartTagPr>
          <w:r w:rsidRPr="00D403F5">
            <w:rPr>
              <w:rFonts w:ascii="Arial" w:hAnsi="Arial"/>
              <w:bCs/>
              <w:sz w:val="18"/>
              <w:szCs w:val="18"/>
              <w:lang w:val="en-IE"/>
            </w:rPr>
            <w:t>0.02</w:t>
          </w:r>
        </w:smartTag>
        <w:r w:rsidRPr="00D403F5">
          <w:rPr>
            <w:rFonts w:ascii="Arial" w:hAnsi="Arial"/>
            <w:bCs/>
            <w:sz w:val="18"/>
            <w:szCs w:val="18"/>
            <w:lang w:val="en-IE"/>
          </w:rPr>
          <w:t xml:space="preserve"> M</w:t>
        </w:r>
      </w:smartTag>
      <w:r w:rsidRPr="00D403F5">
        <w:rPr>
          <w:rFonts w:ascii="Arial" w:hAnsi="Arial"/>
          <w:bCs/>
          <w:sz w:val="18"/>
          <w:szCs w:val="18"/>
          <w:lang w:val="en-IE"/>
        </w:rPr>
        <w:t xml:space="preserve"> carbonate buffer, pH 9.5 (200 µl well</w:t>
      </w:r>
      <w:r w:rsidRPr="00D403F5">
        <w:rPr>
          <w:rFonts w:ascii="Arial" w:hAnsi="Arial"/>
          <w:bCs/>
          <w:sz w:val="18"/>
          <w:szCs w:val="18"/>
          <w:vertAlign w:val="superscript"/>
          <w:lang w:val="en-IE"/>
        </w:rPr>
        <w:t>–1</w:t>
      </w:r>
      <w:r w:rsidRPr="00D403F5">
        <w:rPr>
          <w:rFonts w:ascii="Arial" w:hAnsi="Arial"/>
          <w:bCs/>
          <w:sz w:val="18"/>
          <w:szCs w:val="18"/>
          <w:lang w:val="en-IE"/>
        </w:rPr>
        <w:t>). Ig may be polyclonal or monoclonal Ig originating most often from rabbit or mouse, respectively. For the identification of SVCV, monoclonal antibodies (MAbs) specific for certain domains of the nucleocapsid (N) protein are suitable.</w:t>
      </w:r>
    </w:p>
    <w:p w14:paraId="165E1311" w14:textId="77777777" w:rsidR="0076436B" w:rsidRDefault="0076436B" w:rsidP="00D403F5">
      <w:pPr>
        <w:spacing w:after="0"/>
        <w:jc w:val="right"/>
        <w:rPr>
          <w:rFonts w:ascii="Times New Roman" w:hAnsi="Times New Roman" w:cs="Times New Roman"/>
          <w:noProof/>
          <w:sz w:val="18"/>
          <w:szCs w:val="18"/>
          <w:u w:val="single"/>
          <w:lang w:val="en-US"/>
        </w:rPr>
      </w:pPr>
      <w:r>
        <w:rPr>
          <w:rFonts w:ascii="Times New Roman" w:hAnsi="Times New Roman" w:cs="Times New Roman"/>
          <w:noProof/>
          <w:sz w:val="18"/>
          <w:szCs w:val="18"/>
          <w:u w:val="single"/>
          <w:lang w:val="en-US"/>
        </w:rPr>
        <w:br w:type="page"/>
      </w:r>
    </w:p>
    <w:p w14:paraId="122D3A91" w14:textId="6656433B" w:rsidR="00C7266C" w:rsidRPr="00D403F5" w:rsidRDefault="00C7266C" w:rsidP="0076436B">
      <w:pPr>
        <w:spacing w:after="480"/>
        <w:jc w:val="right"/>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6C2C8BC1"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 xml:space="preserve">Incubate overnight at </w:t>
      </w:r>
      <w:smartTag w:uri="urn:schemas-microsoft-com:office:smarttags" w:element="metricconverter">
        <w:smartTagPr>
          <w:attr w:name="ProductID" w:val="4ﾰC"/>
        </w:smartTagPr>
        <w:r w:rsidRPr="00D403F5">
          <w:rPr>
            <w:rFonts w:ascii="Arial" w:hAnsi="Arial"/>
            <w:bCs/>
            <w:sz w:val="18"/>
            <w:szCs w:val="18"/>
            <w:lang w:val="en-IE"/>
          </w:rPr>
          <w:t>4°C</w:t>
        </w:r>
      </w:smartTag>
      <w:r w:rsidRPr="00D403F5">
        <w:rPr>
          <w:rFonts w:ascii="Arial" w:hAnsi="Arial"/>
          <w:bCs/>
          <w:sz w:val="18"/>
          <w:szCs w:val="18"/>
          <w:lang w:val="en-IE"/>
        </w:rPr>
        <w:t>.</w:t>
      </w:r>
    </w:p>
    <w:p w14:paraId="03FA59D3"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Rinse four times with PBST.</w:t>
      </w:r>
    </w:p>
    <w:p w14:paraId="3654A255"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 xml:space="preserve">Block with skim milk (5% in carbonate buffer) or other blocking solution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 xml:space="preserve"> (300 µl well</w:t>
      </w:r>
      <w:r w:rsidRPr="00D403F5">
        <w:rPr>
          <w:rFonts w:ascii="Arial" w:hAnsi="Arial"/>
          <w:bCs/>
          <w:sz w:val="18"/>
          <w:szCs w:val="18"/>
          <w:vertAlign w:val="superscript"/>
          <w:lang w:val="en-IE"/>
        </w:rPr>
        <w:t>–1</w:t>
      </w:r>
      <w:r w:rsidRPr="00D403F5">
        <w:rPr>
          <w:rFonts w:ascii="Arial" w:hAnsi="Arial"/>
          <w:bCs/>
          <w:sz w:val="18"/>
          <w:szCs w:val="18"/>
          <w:lang w:val="en-IE"/>
        </w:rPr>
        <w:t xml:space="preserve">). </w:t>
      </w:r>
    </w:p>
    <w:p w14:paraId="67E476EF"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rPr>
        <w:t>v)</w:t>
      </w:r>
      <w:r w:rsidRPr="00D403F5">
        <w:rPr>
          <w:rFonts w:ascii="Arial" w:hAnsi="Arial"/>
          <w:bCs/>
          <w:sz w:val="18"/>
          <w:szCs w:val="18"/>
        </w:rPr>
        <w:tab/>
        <w:t>Rinse four times with PBST.</w:t>
      </w:r>
    </w:p>
    <w:p w14:paraId="42B3A9C8"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rPr>
        <w:t>vi)</w:t>
      </w:r>
      <w:r w:rsidRPr="00D403F5">
        <w:rPr>
          <w:rFonts w:ascii="Arial" w:hAnsi="Arial"/>
          <w:bCs/>
          <w:sz w:val="18"/>
          <w:szCs w:val="18"/>
        </w:rPr>
        <w:tab/>
        <w:t>Add 2% non-ionic detergent (Triton X-100 or Nonidet P-40) to the virus suspension to be identified</w:t>
      </w:r>
      <w:r w:rsidRPr="00D403F5">
        <w:rPr>
          <w:rFonts w:ascii="Arial" w:hAnsi="Arial"/>
          <w:bCs/>
          <w:sz w:val="18"/>
          <w:szCs w:val="18"/>
          <w:lang w:val="en-IE"/>
        </w:rPr>
        <w:t>.</w:t>
      </w:r>
    </w:p>
    <w:p w14:paraId="01853A46"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r>
      <w:r w:rsidRPr="00D403F5">
        <w:rPr>
          <w:rFonts w:ascii="Arial" w:hAnsi="Arial"/>
          <w:bCs/>
          <w:sz w:val="18"/>
          <w:szCs w:val="18"/>
        </w:rPr>
        <w:t>Dispense 100 µl well</w:t>
      </w:r>
      <w:r w:rsidRPr="00D403F5">
        <w:rPr>
          <w:rFonts w:ascii="Arial" w:hAnsi="Arial"/>
          <w:bCs/>
          <w:sz w:val="18"/>
          <w:szCs w:val="18"/>
          <w:vertAlign w:val="superscript"/>
          <w:lang w:val="en-IE"/>
        </w:rPr>
        <w:t>–1</w:t>
      </w:r>
      <w:r w:rsidRPr="00D403F5">
        <w:rPr>
          <w:rFonts w:ascii="Arial" w:hAnsi="Arial"/>
          <w:bCs/>
          <w:sz w:val="18"/>
          <w:szCs w:val="18"/>
        </w:rPr>
        <w:t xml:space="preserve"> of two- or four-step dilutions of the virus to be identified, and of the non-infected cell culture harvest (negative control). </w:t>
      </w:r>
      <w:r w:rsidRPr="00D403F5">
        <w:rPr>
          <w:rFonts w:ascii="Arial" w:hAnsi="Arial"/>
          <w:bCs/>
          <w:sz w:val="18"/>
          <w:szCs w:val="18"/>
          <w:lang w:val="en-IE"/>
        </w:rPr>
        <w:t xml:space="preserve">Also include SVCV positive control virus. Incubate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6F193005"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Rinse four times with PBST.</w:t>
      </w:r>
    </w:p>
    <w:p w14:paraId="3454308C"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 xml:space="preserve">Add to the wells, 200 µl of horseradish peroxidase (HRPO)-conjugated MAb or polyclonal antibody to SVCV; or polyclonal IgG to SVCV. An MAb to N protein specific for a domain different from the one of the coating MAb and previously conjugated with biotin can also be used. Incubate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1CD72C20"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Rinse four times with PBST.</w:t>
      </w:r>
    </w:p>
    <w:p w14:paraId="05C4831F"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 xml:space="preserve">If HRPO-conjugated antibody has been used, go to step xiii. Otherwise, add 200 µl of HRPO-conjugated streptavidin or ExtrAvidin (Sigma) to those wells that have received the biotin-conjugated antibody and incubate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5EE6F847"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Rinse four times with PBST.</w:t>
      </w:r>
    </w:p>
    <w:p w14:paraId="5DCFA896"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Add 200 µl of a suitable substrate and chromogen, such as tetramethylbenzidine dihydrochloride. Stop the course of the test when positive controls react, and read the results.</w:t>
      </w:r>
    </w:p>
    <w:p w14:paraId="028378CF" w14:textId="77777777" w:rsidR="00C7266C" w:rsidRPr="00D403F5" w:rsidRDefault="00C7266C" w:rsidP="00D403F5">
      <w:pPr>
        <w:spacing w:after="0"/>
        <w:ind w:left="426"/>
        <w:jc w:val="both"/>
        <w:rPr>
          <w:rFonts w:ascii="Arial" w:hAnsi="Arial"/>
          <w:bCs/>
          <w:i/>
          <w:sz w:val="18"/>
          <w:szCs w:val="18"/>
          <w:lang w:val="en-IE"/>
        </w:rPr>
      </w:pPr>
      <w:r w:rsidRPr="00D403F5">
        <w:rPr>
          <w:rFonts w:ascii="Arial" w:hAnsi="Arial"/>
          <w:bCs/>
          <w:i/>
          <w:sz w:val="18"/>
          <w:szCs w:val="18"/>
          <w:lang w:val="en-IE"/>
        </w:rPr>
        <w:t xml:space="preserve">Enzyme-linked immunosorbent assay </w:t>
      </w:r>
      <w:r w:rsidRPr="00D403F5">
        <w:rPr>
          <w:rFonts w:ascii="Arial" w:hAnsi="Arial"/>
          <w:bCs/>
          <w:sz w:val="18"/>
          <w:szCs w:val="18"/>
          <w:lang w:val="en-IE"/>
        </w:rPr>
        <w:t>(</w:t>
      </w:r>
      <w:r w:rsidRPr="00D403F5">
        <w:rPr>
          <w:rFonts w:ascii="Arial" w:hAnsi="Arial"/>
          <w:bCs/>
          <w:i/>
          <w:sz w:val="18"/>
          <w:szCs w:val="18"/>
          <w:lang w:val="en-IE"/>
        </w:rPr>
        <w:t>ELISA</w:t>
      </w:r>
      <w:r w:rsidRPr="00D403F5">
        <w:rPr>
          <w:rFonts w:ascii="Arial" w:hAnsi="Arial"/>
          <w:bCs/>
          <w:sz w:val="18"/>
          <w:szCs w:val="18"/>
          <w:lang w:val="en-IE"/>
        </w:rPr>
        <w:t xml:space="preserve">) </w:t>
      </w:r>
      <w:r w:rsidRPr="00D403F5">
        <w:rPr>
          <w:rFonts w:ascii="Arial" w:hAnsi="Arial"/>
          <w:bCs/>
          <w:i/>
          <w:sz w:val="18"/>
          <w:szCs w:val="18"/>
          <w:lang w:val="en-IE"/>
        </w:rPr>
        <w:t>using tissue homogenates</w:t>
      </w:r>
    </w:p>
    <w:p w14:paraId="08BE4969" w14:textId="77777777" w:rsidR="00C7266C" w:rsidRPr="00D403F5" w:rsidRDefault="00C7266C" w:rsidP="00D403F5">
      <w:pPr>
        <w:spacing w:after="0"/>
        <w:ind w:left="426"/>
        <w:jc w:val="both"/>
        <w:rPr>
          <w:rFonts w:ascii="Arial" w:hAnsi="Arial"/>
          <w:bCs/>
          <w:sz w:val="18"/>
          <w:szCs w:val="18"/>
          <w:lang w:val="en-IE"/>
        </w:rPr>
      </w:pPr>
      <w:r w:rsidRPr="00D403F5">
        <w:rPr>
          <w:rFonts w:ascii="Arial" w:hAnsi="Arial"/>
          <w:bCs/>
          <w:sz w:val="18"/>
          <w:szCs w:val="18"/>
          <w:lang w:val="en-IE"/>
        </w:rPr>
        <w:t xml:space="preserve">See Section </w:t>
      </w:r>
      <w:r w:rsidRPr="00D403F5">
        <w:rPr>
          <w:rFonts w:ascii="Arial" w:hAnsi="Arial"/>
          <w:bCs/>
          <w:strike/>
          <w:sz w:val="18"/>
          <w:szCs w:val="18"/>
          <w:lang w:val="en-IE"/>
        </w:rPr>
        <w:t>A.</w:t>
      </w:r>
      <w:r w:rsidRPr="00D403F5">
        <w:rPr>
          <w:rFonts w:ascii="Arial" w:hAnsi="Arial"/>
          <w:bCs/>
          <w:sz w:val="18"/>
          <w:szCs w:val="18"/>
          <w:lang w:val="en-IE"/>
        </w:rPr>
        <w:t>2.2.2 of Chapter 2.3.0, for obtaining organ homogenates.</w:t>
      </w:r>
    </w:p>
    <w:p w14:paraId="0712FB12"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 xml:space="preserve">Coat the wells of microplates designed for ELISAs with appropriate dilutions of purified immunoglobulins (Ig) specific for SVCV, in </w:t>
      </w:r>
      <w:smartTag w:uri="urn:schemas-microsoft-com:office:smarttags" w:element="metricconverter">
        <w:smartTagPr>
          <w:attr w:name="ProductID" w:val="0.02 M"/>
        </w:smartTagPr>
        <w:smartTag w:uri="urn:schemas-microsoft-com:office:smarttags" w:element="time">
          <w:smartTagPr>
            <w:attr w:name="Minute" w:val="02"/>
            <w:attr w:name="Hour" w:val="0"/>
          </w:smartTagPr>
          <w:r w:rsidRPr="00D403F5">
            <w:rPr>
              <w:rFonts w:ascii="Arial" w:hAnsi="Arial"/>
              <w:bCs/>
              <w:sz w:val="18"/>
              <w:szCs w:val="18"/>
              <w:lang w:val="en-IE"/>
            </w:rPr>
            <w:t>0.02</w:t>
          </w:r>
        </w:smartTag>
        <w:r w:rsidRPr="00D403F5">
          <w:rPr>
            <w:rFonts w:ascii="Arial" w:hAnsi="Arial"/>
            <w:bCs/>
            <w:sz w:val="18"/>
            <w:szCs w:val="18"/>
            <w:lang w:val="en-IE"/>
          </w:rPr>
          <w:t xml:space="preserve"> M</w:t>
        </w:r>
      </w:smartTag>
      <w:r w:rsidRPr="00D403F5">
        <w:rPr>
          <w:rFonts w:ascii="Arial" w:hAnsi="Arial"/>
          <w:bCs/>
          <w:sz w:val="18"/>
          <w:szCs w:val="18"/>
          <w:lang w:val="en-IE"/>
        </w:rPr>
        <w:t xml:space="preserve"> carbonate buffer, pH 9.5 (200 µl well</w:t>
      </w:r>
      <w:r w:rsidRPr="00D403F5">
        <w:rPr>
          <w:rFonts w:ascii="Arial" w:hAnsi="Arial"/>
          <w:bCs/>
          <w:sz w:val="18"/>
          <w:szCs w:val="18"/>
          <w:vertAlign w:val="superscript"/>
          <w:lang w:val="en-IE"/>
        </w:rPr>
        <w:t>–1</w:t>
      </w:r>
      <w:r w:rsidRPr="00D403F5">
        <w:rPr>
          <w:rFonts w:ascii="Arial" w:hAnsi="Arial"/>
          <w:bCs/>
          <w:sz w:val="18"/>
          <w:szCs w:val="18"/>
          <w:lang w:val="en-IE"/>
        </w:rPr>
        <w:t>). Ig may be polyclonal or monoclonal Ig originating most often from rabbit or mouse, respectively. For the identification of SVCV, monoclonal antibodies (MAbs) specific for certain domains of the nucleocapsid (N) protein are suitable.</w:t>
      </w:r>
    </w:p>
    <w:p w14:paraId="7E36954D"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 xml:space="preserve">Incubate overnight at </w:t>
      </w:r>
      <w:smartTag w:uri="urn:schemas-microsoft-com:office:smarttags" w:element="metricconverter">
        <w:smartTagPr>
          <w:attr w:name="ProductID" w:val="4ﾰC"/>
        </w:smartTagPr>
        <w:r w:rsidRPr="00D403F5">
          <w:rPr>
            <w:rFonts w:ascii="Arial" w:hAnsi="Arial"/>
            <w:bCs/>
            <w:sz w:val="18"/>
            <w:szCs w:val="18"/>
            <w:lang w:val="en-IE"/>
          </w:rPr>
          <w:t>4°C</w:t>
        </w:r>
      </w:smartTag>
      <w:r w:rsidRPr="00D403F5">
        <w:rPr>
          <w:rFonts w:ascii="Arial" w:hAnsi="Arial"/>
          <w:bCs/>
          <w:sz w:val="18"/>
          <w:szCs w:val="18"/>
          <w:lang w:val="en-IE"/>
        </w:rPr>
        <w:t>.</w:t>
      </w:r>
    </w:p>
    <w:p w14:paraId="0F0AAFA1"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Rinse four times with PBST.</w:t>
      </w:r>
    </w:p>
    <w:p w14:paraId="28005B47"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 xml:space="preserve">Block with skim milk (5% in carbonate buffer) or other blocking solution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 xml:space="preserve"> (300 µl well</w:t>
      </w:r>
      <w:r w:rsidRPr="00D403F5">
        <w:rPr>
          <w:rFonts w:ascii="Arial" w:hAnsi="Arial"/>
          <w:bCs/>
          <w:sz w:val="18"/>
          <w:szCs w:val="18"/>
          <w:vertAlign w:val="superscript"/>
          <w:lang w:val="en-IE"/>
        </w:rPr>
        <w:t>–1</w:t>
      </w:r>
      <w:r w:rsidRPr="00D403F5">
        <w:rPr>
          <w:rFonts w:ascii="Arial" w:hAnsi="Arial"/>
          <w:bCs/>
          <w:sz w:val="18"/>
          <w:szCs w:val="18"/>
          <w:lang w:val="en-IE"/>
        </w:rPr>
        <w:t>).</w:t>
      </w:r>
      <w:r w:rsidRPr="00D403F5">
        <w:rPr>
          <w:rFonts w:ascii="Arial" w:hAnsi="Arial"/>
          <w:bCs/>
          <w:sz w:val="18"/>
          <w:szCs w:val="18"/>
        </w:rPr>
        <w:t xml:space="preserve"> </w:t>
      </w:r>
    </w:p>
    <w:p w14:paraId="30BA7794"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r>
      <w:r w:rsidRPr="00D403F5">
        <w:rPr>
          <w:rFonts w:ascii="Arial" w:hAnsi="Arial"/>
          <w:bCs/>
          <w:sz w:val="18"/>
          <w:szCs w:val="18"/>
        </w:rPr>
        <w:t>Rinse four times with PBST.</w:t>
      </w:r>
    </w:p>
    <w:p w14:paraId="7C8A38DC"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 xml:space="preserve">Store a 1/4 aliquot of each homogenate at </w:t>
      </w:r>
      <w:smartTag w:uri="urn:schemas-microsoft-com:office:smarttags" w:element="metricconverter">
        <w:smartTagPr>
          <w:attr w:name="ProductID" w:val="4ﾰC"/>
        </w:smartTagPr>
        <w:r w:rsidRPr="00D403F5">
          <w:rPr>
            <w:rFonts w:ascii="Arial" w:hAnsi="Arial"/>
            <w:bCs/>
            <w:sz w:val="18"/>
            <w:szCs w:val="18"/>
            <w:lang w:val="en-IE"/>
          </w:rPr>
          <w:t>4°C</w:t>
        </w:r>
      </w:smartTag>
      <w:r w:rsidRPr="00D403F5">
        <w:rPr>
          <w:rFonts w:ascii="Arial" w:hAnsi="Arial"/>
          <w:bCs/>
          <w:sz w:val="18"/>
          <w:szCs w:val="18"/>
          <w:lang w:val="en-IE"/>
        </w:rPr>
        <w:t>, in case the test is negative and virus isolation in cell culture is required.</w:t>
      </w:r>
    </w:p>
    <w:p w14:paraId="5DB456CB"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 xml:space="preserve">Treat the remaining part of the homogenate with 2% Triton X-100 or Nonidet P-40 and </w:t>
      </w:r>
      <w:smartTag w:uri="urn:schemas-microsoft-com:office:smarttags" w:element="metricconverter">
        <w:smartTagPr>
          <w:attr w:name="ProductID" w:val="2 mM"/>
        </w:smartTagPr>
        <w:r w:rsidRPr="00D403F5">
          <w:rPr>
            <w:rFonts w:ascii="Arial" w:hAnsi="Arial"/>
            <w:bCs/>
            <w:sz w:val="18"/>
            <w:szCs w:val="18"/>
            <w:lang w:val="en-IE"/>
          </w:rPr>
          <w:t>2 mM</w:t>
        </w:r>
      </w:smartTag>
      <w:r w:rsidRPr="00D403F5">
        <w:rPr>
          <w:rFonts w:ascii="Arial" w:hAnsi="Arial"/>
          <w:bCs/>
          <w:sz w:val="18"/>
          <w:szCs w:val="18"/>
          <w:lang w:val="en-IE"/>
        </w:rPr>
        <w:t xml:space="preserve"> of phenyl methyl sulphonide fluoride; mix gently.</w:t>
      </w:r>
    </w:p>
    <w:p w14:paraId="6A7281C9"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 xml:space="preserve">Dispense 100 µl well–1 of two- or four-step dilutions of the sample to be identified, and of negative control tissues. Also include an SVCV positive control virus. Incubate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4605BA13" w14:textId="77777777" w:rsidR="0076436B" w:rsidRDefault="0076436B" w:rsidP="00D403F5">
      <w:pPr>
        <w:spacing w:after="0"/>
        <w:rPr>
          <w:rFonts w:ascii="Times New Roman" w:hAnsi="Times New Roman" w:cs="Times New Roman"/>
          <w:noProof/>
          <w:sz w:val="18"/>
          <w:szCs w:val="18"/>
          <w:u w:val="single"/>
          <w:lang w:val="en-US"/>
        </w:rPr>
      </w:pPr>
      <w:r>
        <w:rPr>
          <w:rFonts w:ascii="Times New Roman" w:hAnsi="Times New Roman" w:cs="Times New Roman"/>
          <w:noProof/>
          <w:sz w:val="18"/>
          <w:szCs w:val="18"/>
          <w:u w:val="single"/>
          <w:lang w:val="en-US"/>
        </w:rPr>
        <w:br w:type="page"/>
      </w:r>
    </w:p>
    <w:p w14:paraId="45E9E645" w14:textId="11C4CD54" w:rsidR="00C7266C" w:rsidRPr="00D403F5" w:rsidRDefault="00C7266C" w:rsidP="0076436B">
      <w:pPr>
        <w:spacing w:after="480"/>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3933AE46"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Rinse four times with PBST.</w:t>
      </w:r>
    </w:p>
    <w:p w14:paraId="0EB178AB"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 xml:space="preserve">Add to the wells, 200 µl of horseradish peroxidase (HRPO)-conjugated MAb or polyclonal antibody to SVCV; or polyclonal IgG to SVCV. A MAb to N protein specific for a domain different from the one of the coating MAb and previously conjugated with biotin can also be used. Incubate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496EE54D"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Rinse four times with PBST.</w:t>
      </w:r>
    </w:p>
    <w:p w14:paraId="3E5FA91E"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 xml:space="preserve">If HRPO-conjugated antibody has been used, go to step xiv. Otherwise, add 200 µl of HRPO-conjugated streptavidin or ExtrAvidin (Sigma) to those wells that have received the biotin-conjugated antibody and incubate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76E7BE2F"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Rinse four times with PBST.</w:t>
      </w:r>
    </w:p>
    <w:p w14:paraId="33780C8F"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xiv)</w:t>
      </w:r>
      <w:r w:rsidRPr="00D403F5">
        <w:rPr>
          <w:rFonts w:ascii="Arial" w:hAnsi="Arial"/>
          <w:bCs/>
          <w:sz w:val="18"/>
          <w:szCs w:val="18"/>
          <w:lang w:val="en-IE"/>
        </w:rPr>
        <w:tab/>
        <w:t>Add 200 µl of a suitable substrate and chromogen, such as tetramethylbenzidine dihydrochloride. Stop the course of the test when positive controls react, and read the results.</w:t>
      </w:r>
    </w:p>
    <w:p w14:paraId="1F868A9D" w14:textId="77777777" w:rsidR="00C7266C" w:rsidRPr="00D403F5" w:rsidRDefault="00C7266C" w:rsidP="00D403F5">
      <w:pPr>
        <w:spacing w:after="0" w:line="240" w:lineRule="auto"/>
        <w:ind w:left="850" w:hanging="425"/>
        <w:jc w:val="both"/>
        <w:rPr>
          <w:rFonts w:ascii="Arial" w:hAnsi="Arial"/>
          <w:sz w:val="18"/>
          <w:szCs w:val="18"/>
          <w:lang w:val="en-IE"/>
        </w:rPr>
      </w:pPr>
      <w:r w:rsidRPr="00D403F5">
        <w:rPr>
          <w:rFonts w:ascii="Arial" w:hAnsi="Arial"/>
          <w:sz w:val="18"/>
          <w:szCs w:val="18"/>
          <w:lang w:val="en-IE"/>
        </w:rPr>
        <w:t>xv)</w:t>
      </w:r>
      <w:r w:rsidRPr="00D403F5">
        <w:rPr>
          <w:rFonts w:ascii="Arial" w:hAnsi="Arial"/>
          <w:sz w:val="18"/>
          <w:szCs w:val="18"/>
          <w:lang w:val="en-IE"/>
        </w:rPr>
        <w:tab/>
        <w:t xml:space="preserve">If the test is negative, process the organ samples stored at </w:t>
      </w:r>
      <w:smartTag w:uri="urn:schemas-microsoft-com:office:smarttags" w:element="metricconverter">
        <w:smartTagPr>
          <w:attr w:name="ProductID" w:val="4ﾰC"/>
        </w:smartTagPr>
        <w:r w:rsidRPr="00D403F5">
          <w:rPr>
            <w:rFonts w:ascii="Arial" w:hAnsi="Arial"/>
            <w:sz w:val="18"/>
            <w:szCs w:val="18"/>
            <w:lang w:val="en-IE"/>
          </w:rPr>
          <w:t>4°C</w:t>
        </w:r>
      </w:smartTag>
      <w:r w:rsidRPr="00D403F5">
        <w:rPr>
          <w:rFonts w:ascii="Arial" w:hAnsi="Arial"/>
          <w:sz w:val="18"/>
          <w:szCs w:val="18"/>
          <w:lang w:val="en-IE"/>
        </w:rPr>
        <w:t>, for virus isolation in cell culture as described in Section 4.3.</w:t>
      </w:r>
    </w:p>
    <w:p w14:paraId="07807983" w14:textId="77777777" w:rsidR="00C7266C" w:rsidRPr="00D403F5" w:rsidRDefault="00C7266C" w:rsidP="00D403F5">
      <w:pPr>
        <w:spacing w:after="0"/>
        <w:ind w:left="426"/>
        <w:jc w:val="both"/>
        <w:rPr>
          <w:rFonts w:ascii="Arial" w:hAnsi="Arial"/>
          <w:bCs/>
          <w:i/>
          <w:sz w:val="18"/>
          <w:szCs w:val="18"/>
          <w:lang w:val="en-IE"/>
        </w:rPr>
      </w:pPr>
      <w:r w:rsidRPr="00D403F5">
        <w:rPr>
          <w:rFonts w:ascii="Arial" w:hAnsi="Arial"/>
          <w:i/>
          <w:sz w:val="18"/>
          <w:szCs w:val="18"/>
          <w:u w:val="double"/>
          <w:lang w:val="en-IE"/>
        </w:rPr>
        <w:t>Virus identification</w:t>
      </w:r>
      <w:r w:rsidRPr="00D403F5">
        <w:rPr>
          <w:rFonts w:ascii="Arial" w:hAnsi="Arial"/>
          <w:i/>
          <w:sz w:val="18"/>
          <w:szCs w:val="18"/>
          <w:lang w:val="en-IE"/>
        </w:rPr>
        <w:t xml:space="preserve"> </w:t>
      </w:r>
      <w:r w:rsidRPr="00D403F5">
        <w:rPr>
          <w:rFonts w:ascii="Arial" w:hAnsi="Arial"/>
          <w:i/>
          <w:strike/>
          <w:sz w:val="18"/>
          <w:szCs w:val="18"/>
          <w:lang w:val="en-IE"/>
        </w:rPr>
        <w:t xml:space="preserve">Confirmation of virus identity </w:t>
      </w:r>
      <w:r w:rsidRPr="00D403F5">
        <w:rPr>
          <w:rFonts w:ascii="Arial" w:hAnsi="Arial"/>
          <w:i/>
          <w:sz w:val="18"/>
          <w:szCs w:val="18"/>
          <w:lang w:val="en-IE"/>
        </w:rPr>
        <w:t xml:space="preserve">by the indirect fluorescent antibody test </w:t>
      </w:r>
      <w:r w:rsidRPr="00D403F5">
        <w:rPr>
          <w:rFonts w:ascii="Arial" w:hAnsi="Arial"/>
          <w:bCs/>
          <w:sz w:val="18"/>
          <w:szCs w:val="18"/>
          <w:lang w:val="en-IE"/>
        </w:rPr>
        <w:t>(</w:t>
      </w:r>
      <w:r w:rsidRPr="00D403F5">
        <w:rPr>
          <w:rFonts w:ascii="Arial" w:hAnsi="Arial"/>
          <w:i/>
          <w:sz w:val="18"/>
          <w:szCs w:val="18"/>
          <w:lang w:val="en-IE"/>
        </w:rPr>
        <w:t>IFAT</w:t>
      </w:r>
      <w:r w:rsidRPr="00D403F5">
        <w:rPr>
          <w:rFonts w:ascii="Arial" w:hAnsi="Arial"/>
          <w:bCs/>
          <w:sz w:val="18"/>
          <w:szCs w:val="18"/>
          <w:lang w:val="en-IE"/>
        </w:rPr>
        <w:t>)</w:t>
      </w:r>
    </w:p>
    <w:p w14:paraId="66C24D36"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Prepare monolayers of cells in 2 cm</w:t>
      </w:r>
      <w:r w:rsidRPr="00D403F5">
        <w:rPr>
          <w:rFonts w:ascii="Arial" w:hAnsi="Arial"/>
          <w:bCs/>
          <w:sz w:val="18"/>
          <w:szCs w:val="18"/>
          <w:vertAlign w:val="superscript"/>
          <w:lang w:val="en-IE"/>
        </w:rPr>
        <w:t>2</w:t>
      </w:r>
      <w:r w:rsidRPr="00D403F5">
        <w:rPr>
          <w:rFonts w:ascii="Arial" w:hAnsi="Arial"/>
          <w:bCs/>
          <w:sz w:val="18"/>
          <w:szCs w:val="18"/>
          <w:lang w:val="en-IE"/>
        </w:rPr>
        <w:t xml:space="preserve"> wells of plastic cell culture plates, flasks or on cover-slips or glass slides in order to reach approximately 80% confluency within 24 hours of incubation at </w:t>
      </w:r>
      <w:smartTag w:uri="urn:schemas-microsoft-com:office:smarttags" w:element="metricconverter">
        <w:smartTagPr>
          <w:attr w:name="ProductID" w:val="25ﾰC"/>
        </w:smartTagPr>
        <w:r w:rsidRPr="00D403F5">
          <w:rPr>
            <w:rFonts w:ascii="Arial" w:hAnsi="Arial"/>
            <w:bCs/>
            <w:sz w:val="18"/>
            <w:szCs w:val="18"/>
            <w:lang w:val="en-IE"/>
          </w:rPr>
          <w:t>25°C</w:t>
        </w:r>
      </w:smartTag>
      <w:r w:rsidRPr="00D403F5">
        <w:rPr>
          <w:rFonts w:ascii="Arial" w:hAnsi="Arial"/>
          <w:bCs/>
          <w:sz w:val="18"/>
          <w:szCs w:val="18"/>
          <w:lang w:val="en-IE"/>
        </w:rPr>
        <w:t xml:space="preserve"> (seed six cell monolayers per virus isolate to be identified, plus two for positive and two for negative controls). The FCS content of the cell culture medium can be reduced to 2–4%. If numerous virus isolates have to be identified, the use of Terasaki plates is strongly recommended.</w:t>
      </w:r>
    </w:p>
    <w:p w14:paraId="4718FA6A"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w:t>
      </w:r>
      <w:r w:rsidRPr="00D403F5">
        <w:rPr>
          <w:rFonts w:ascii="Arial" w:hAnsi="Arial"/>
          <w:bCs/>
          <w:sz w:val="18"/>
          <w:szCs w:val="18"/>
          <w:lang w:val="en-IE"/>
        </w:rPr>
        <w:tab/>
        <w:t xml:space="preserve">When the cell monolayers are ready for infection, i.e. on the same day or on the day after seeding, inoculate the virus suspensions to be identified by making tenfold dilution steps directly in the cell culture wells or flasks. For tests using cells cultured on glass cover-slips or slides, the dilutions are made in sterile containers and then used to inoculate the cells. </w:t>
      </w:r>
    </w:p>
    <w:p w14:paraId="244BA0A2"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iii)</w:t>
      </w:r>
      <w:r w:rsidRPr="00D403F5">
        <w:rPr>
          <w:rFonts w:ascii="Arial" w:hAnsi="Arial"/>
          <w:bCs/>
          <w:sz w:val="18"/>
          <w:szCs w:val="18"/>
          <w:lang w:val="en-IE"/>
        </w:rPr>
        <w:tab/>
        <w:t>Dilute the control virus suspension of SVCV in a similar way, in order to obtain a virus titre of about 5000–10,000 PFU ml</w:t>
      </w:r>
      <w:r w:rsidRPr="00D403F5">
        <w:rPr>
          <w:rFonts w:ascii="Arial" w:hAnsi="Arial"/>
          <w:bCs/>
          <w:sz w:val="18"/>
          <w:szCs w:val="18"/>
          <w:vertAlign w:val="superscript"/>
          <w:lang w:val="en-IE"/>
        </w:rPr>
        <w:t>–1</w:t>
      </w:r>
      <w:r w:rsidRPr="00D403F5">
        <w:rPr>
          <w:rFonts w:ascii="Arial" w:hAnsi="Arial"/>
          <w:bCs/>
          <w:sz w:val="18"/>
          <w:szCs w:val="18"/>
          <w:lang w:val="en-IE"/>
        </w:rPr>
        <w:t xml:space="preserve"> in the cell culture medium.</w:t>
      </w:r>
    </w:p>
    <w:p w14:paraId="045E1E74"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iv)</w:t>
      </w:r>
      <w:r w:rsidRPr="00D403F5">
        <w:rPr>
          <w:rFonts w:ascii="Arial" w:hAnsi="Arial"/>
          <w:bCs/>
          <w:sz w:val="18"/>
          <w:szCs w:val="18"/>
          <w:lang w:val="en-IE"/>
        </w:rPr>
        <w:tab/>
        <w:t xml:space="preserve">Incubate at </w:t>
      </w:r>
      <w:smartTag w:uri="urn:schemas-microsoft-com:office:smarttags" w:element="metricconverter">
        <w:smartTagPr>
          <w:attr w:name="ProductID" w:val="20ﾰC"/>
        </w:smartTagPr>
        <w:r w:rsidRPr="00D403F5">
          <w:rPr>
            <w:rFonts w:ascii="Arial" w:hAnsi="Arial"/>
            <w:bCs/>
            <w:sz w:val="18"/>
            <w:szCs w:val="18"/>
            <w:lang w:val="en-IE"/>
          </w:rPr>
          <w:t>20°C</w:t>
        </w:r>
      </w:smartTag>
      <w:r w:rsidRPr="00D403F5">
        <w:rPr>
          <w:rFonts w:ascii="Arial" w:hAnsi="Arial"/>
          <w:bCs/>
          <w:sz w:val="18"/>
          <w:szCs w:val="18"/>
          <w:lang w:val="en-IE"/>
        </w:rPr>
        <w:t xml:space="preserve"> for 24 hours.</w:t>
      </w:r>
    </w:p>
    <w:p w14:paraId="29C2F314"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w:t>
      </w:r>
      <w:r w:rsidRPr="00D403F5">
        <w:rPr>
          <w:rFonts w:ascii="Arial" w:hAnsi="Arial"/>
          <w:bCs/>
          <w:sz w:val="18"/>
          <w:szCs w:val="18"/>
          <w:lang w:val="en-IE"/>
        </w:rPr>
        <w:tab/>
        <w:t xml:space="preserve">Remove the cell culture medium, rinse once with </w:t>
      </w:r>
      <w:smartTag w:uri="urn:schemas-microsoft-com:office:smarttags" w:element="metricconverter">
        <w:smartTagPr>
          <w:attr w:name="ProductID" w:val="0.01 M"/>
        </w:smartTagPr>
        <w:r w:rsidRPr="00D403F5">
          <w:rPr>
            <w:rFonts w:ascii="Arial" w:hAnsi="Arial"/>
            <w:bCs/>
            <w:sz w:val="18"/>
            <w:szCs w:val="18"/>
            <w:lang w:val="en-IE"/>
          </w:rPr>
          <w:t>0.01 M</w:t>
        </w:r>
      </w:smartTag>
      <w:r w:rsidRPr="00D403F5">
        <w:rPr>
          <w:rFonts w:ascii="Arial" w:hAnsi="Arial"/>
          <w:bCs/>
          <w:sz w:val="18"/>
          <w:szCs w:val="18"/>
          <w:lang w:val="en-IE"/>
        </w:rPr>
        <w:t xml:space="preserve"> phosphate-buffered saline (PBS), pH 7.2, then three times briefly with cold acetone (stored at –20°C) for slides or cover-slips or 80% acetone in water or 30% acetone in ethanol, also at –20°C, for cells on plastic substrates. Let the fixative act for 15 minutes. A volume of 0.5 ml is adequate for 2 cm</w:t>
      </w:r>
      <w:r w:rsidRPr="00D403F5">
        <w:rPr>
          <w:rFonts w:ascii="Arial" w:hAnsi="Arial"/>
          <w:bCs/>
          <w:sz w:val="18"/>
          <w:szCs w:val="18"/>
          <w:vertAlign w:val="superscript"/>
          <w:lang w:val="en-IE"/>
        </w:rPr>
        <w:t>2</w:t>
      </w:r>
      <w:r w:rsidRPr="00D403F5">
        <w:rPr>
          <w:rFonts w:ascii="Arial" w:hAnsi="Arial"/>
          <w:bCs/>
          <w:sz w:val="18"/>
          <w:szCs w:val="18"/>
          <w:lang w:val="en-IE"/>
        </w:rPr>
        <w:t xml:space="preserve"> of cell monolayer.</w:t>
      </w:r>
    </w:p>
    <w:p w14:paraId="36F3FCD0"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w:t>
      </w:r>
      <w:r w:rsidRPr="00D403F5">
        <w:rPr>
          <w:rFonts w:ascii="Arial" w:hAnsi="Arial"/>
          <w:bCs/>
          <w:sz w:val="18"/>
          <w:szCs w:val="18"/>
          <w:lang w:val="en-IE"/>
        </w:rPr>
        <w:tab/>
        <w:t>Allow the cell monolayers to air-dry for at least 30 minutes and process immediately or freeze at –20°C.</w:t>
      </w:r>
    </w:p>
    <w:p w14:paraId="49369A65"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w:t>
      </w:r>
      <w:r w:rsidRPr="00D403F5">
        <w:rPr>
          <w:rFonts w:ascii="Arial" w:hAnsi="Arial"/>
          <w:bCs/>
          <w:sz w:val="18"/>
          <w:szCs w:val="18"/>
          <w:lang w:val="en-IE"/>
        </w:rPr>
        <w:tab/>
        <w:t xml:space="preserve">Rehydrate the dried cell monolayers, if they have been stored frozen, by four rinsing steps with </w:t>
      </w:r>
      <w:r w:rsidRPr="00D403F5">
        <w:rPr>
          <w:rFonts w:ascii="Arial" w:hAnsi="Arial"/>
          <w:bCs/>
          <w:strike/>
          <w:sz w:val="18"/>
          <w:szCs w:val="18"/>
          <w:lang w:val="en-IE"/>
        </w:rPr>
        <w:t xml:space="preserve">PBS containing 0.05% Tween 20 </w:t>
      </w:r>
      <w:r w:rsidRPr="00D403F5">
        <w:rPr>
          <w:rFonts w:ascii="Arial" w:hAnsi="Arial"/>
          <w:bCs/>
          <w:sz w:val="18"/>
          <w:szCs w:val="18"/>
          <w:lang w:val="en-IE"/>
        </w:rPr>
        <w:t xml:space="preserve">PBST and remove this buffer completely after the last rinse. Block with 5% skim milk or 1% bovine serum albumin, in PBST for 30 minutes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w:t>
      </w:r>
    </w:p>
    <w:p w14:paraId="4ECDDE92"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viii)</w:t>
      </w:r>
      <w:r w:rsidRPr="00D403F5">
        <w:rPr>
          <w:rFonts w:ascii="Arial" w:hAnsi="Arial"/>
          <w:bCs/>
          <w:sz w:val="18"/>
          <w:szCs w:val="18"/>
          <w:lang w:val="en-IE"/>
        </w:rPr>
        <w:tab/>
        <w:t>Rinse four times with PBST, 5 minutes for each rinse. The slides or plastic culture plates can be gently agitated during the rinses.</w:t>
      </w:r>
    </w:p>
    <w:p w14:paraId="4AE064A0" w14:textId="77777777" w:rsidR="00C7266C" w:rsidRPr="00D403F5" w:rsidRDefault="00C7266C" w:rsidP="00D403F5">
      <w:pPr>
        <w:spacing w:after="0" w:line="240" w:lineRule="auto"/>
        <w:ind w:left="850" w:hanging="425"/>
        <w:jc w:val="both"/>
        <w:rPr>
          <w:rFonts w:ascii="Arial" w:hAnsi="Arial"/>
          <w:bCs/>
          <w:sz w:val="18"/>
          <w:szCs w:val="18"/>
          <w:lang w:val="en-IE"/>
        </w:rPr>
      </w:pPr>
      <w:r w:rsidRPr="00D403F5">
        <w:rPr>
          <w:rFonts w:ascii="Arial" w:hAnsi="Arial"/>
          <w:bCs/>
          <w:sz w:val="18"/>
          <w:szCs w:val="18"/>
          <w:lang w:val="en-IE"/>
        </w:rPr>
        <w:t>ix)</w:t>
      </w:r>
      <w:r w:rsidRPr="00D403F5">
        <w:rPr>
          <w:rFonts w:ascii="Arial" w:hAnsi="Arial"/>
          <w:bCs/>
          <w:sz w:val="18"/>
          <w:szCs w:val="18"/>
          <w:lang w:val="en-IE"/>
        </w:rPr>
        <w:tab/>
        <w:t>Prepare a solution of purified antibody or serum to SVCV in PBST, at the appropriate dilution (which has been established previously or as given by the reagent supplier).</w:t>
      </w:r>
    </w:p>
    <w:p w14:paraId="1D8122F2" w14:textId="77777777" w:rsidR="00C7266C" w:rsidRPr="00D403F5" w:rsidRDefault="00C7266C" w:rsidP="00D403F5">
      <w:pPr>
        <w:spacing w:after="0"/>
        <w:rPr>
          <w:rFonts w:ascii="Times New Roman" w:hAnsi="Times New Roman" w:cs="Times New Roman"/>
          <w:noProof/>
          <w:sz w:val="18"/>
          <w:szCs w:val="18"/>
          <w:lang w:val="en-IE"/>
        </w:rPr>
      </w:pPr>
      <w:r w:rsidRPr="00D403F5">
        <w:rPr>
          <w:rFonts w:ascii="Times New Roman" w:hAnsi="Times New Roman" w:cs="Times New Roman"/>
          <w:noProof/>
          <w:sz w:val="18"/>
          <w:szCs w:val="18"/>
          <w:lang w:val="en-IE"/>
        </w:rPr>
        <w:br w:type="page"/>
      </w:r>
    </w:p>
    <w:p w14:paraId="7E266910" w14:textId="77777777" w:rsidR="00C7266C" w:rsidRPr="00D403F5" w:rsidRDefault="00C7266C" w:rsidP="0076436B">
      <w:pPr>
        <w:spacing w:after="480"/>
        <w:jc w:val="right"/>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22999223" w14:textId="77777777" w:rsidR="00C7266C" w:rsidRPr="00D403F5" w:rsidRDefault="00C7266C" w:rsidP="0076436B">
      <w:pPr>
        <w:spacing w:after="240" w:line="240" w:lineRule="auto"/>
        <w:ind w:left="850" w:hanging="425"/>
        <w:jc w:val="both"/>
        <w:rPr>
          <w:rFonts w:ascii="Arial" w:hAnsi="Arial"/>
          <w:bCs/>
          <w:sz w:val="18"/>
          <w:szCs w:val="18"/>
          <w:lang w:val="en-IE"/>
        </w:rPr>
      </w:pPr>
      <w:r w:rsidRPr="00D403F5">
        <w:rPr>
          <w:rFonts w:ascii="Arial" w:hAnsi="Arial"/>
          <w:bCs/>
          <w:sz w:val="18"/>
          <w:szCs w:val="18"/>
          <w:lang w:val="en-IE"/>
        </w:rPr>
        <w:t>x)</w:t>
      </w:r>
      <w:r w:rsidRPr="00D403F5">
        <w:rPr>
          <w:rFonts w:ascii="Arial" w:hAnsi="Arial"/>
          <w:bCs/>
          <w:sz w:val="18"/>
          <w:szCs w:val="18"/>
          <w:lang w:val="en-IE"/>
        </w:rPr>
        <w:tab/>
        <w:t xml:space="preserve">Incubate the cell monolayers with the antibody solution for 1 hour at </w:t>
      </w:r>
      <w:smartTag w:uri="urn:schemas-microsoft-com:office:smarttags" w:element="metricconverter">
        <w:smartTagPr>
          <w:attr w:name="ProductID" w:val="37ﾰC"/>
        </w:smartTagPr>
        <w:r w:rsidRPr="00D403F5">
          <w:rPr>
            <w:rFonts w:ascii="Arial" w:hAnsi="Arial"/>
            <w:bCs/>
            <w:sz w:val="18"/>
            <w:szCs w:val="18"/>
            <w:lang w:val="en-IE"/>
          </w:rPr>
          <w:t>37°C</w:t>
        </w:r>
      </w:smartTag>
      <w:r w:rsidRPr="00D403F5">
        <w:rPr>
          <w:rFonts w:ascii="Arial" w:hAnsi="Arial"/>
          <w:bCs/>
          <w:sz w:val="18"/>
          <w:szCs w:val="18"/>
          <w:lang w:val="en-IE"/>
        </w:rPr>
        <w:t xml:space="preserve"> in a humid chamber and do not allow evaporation to occur.</w:t>
      </w:r>
    </w:p>
    <w:p w14:paraId="7887FDD6" w14:textId="77777777" w:rsidR="00C7266C" w:rsidRPr="00D403F5" w:rsidRDefault="00C7266C" w:rsidP="0076436B">
      <w:pPr>
        <w:spacing w:after="240" w:line="240" w:lineRule="auto"/>
        <w:ind w:left="850" w:hanging="425"/>
        <w:jc w:val="both"/>
        <w:rPr>
          <w:rFonts w:ascii="Arial" w:hAnsi="Arial"/>
          <w:bCs/>
          <w:sz w:val="18"/>
          <w:szCs w:val="18"/>
          <w:lang w:val="en-IE"/>
        </w:rPr>
      </w:pPr>
      <w:r w:rsidRPr="00D403F5">
        <w:rPr>
          <w:rFonts w:ascii="Arial" w:hAnsi="Arial"/>
          <w:bCs/>
          <w:sz w:val="18"/>
          <w:szCs w:val="18"/>
          <w:lang w:val="en-IE"/>
        </w:rPr>
        <w:t>xi)</w:t>
      </w:r>
      <w:r w:rsidRPr="00D403F5">
        <w:rPr>
          <w:rFonts w:ascii="Arial" w:hAnsi="Arial"/>
          <w:bCs/>
          <w:sz w:val="18"/>
          <w:szCs w:val="18"/>
          <w:lang w:val="en-IE"/>
        </w:rPr>
        <w:tab/>
        <w:t>Rinse four times with PBST.</w:t>
      </w:r>
    </w:p>
    <w:p w14:paraId="1421F2A1" w14:textId="77777777" w:rsidR="00C7266C" w:rsidRPr="00D403F5" w:rsidRDefault="00C7266C" w:rsidP="0076436B">
      <w:pPr>
        <w:spacing w:after="240" w:line="240" w:lineRule="auto"/>
        <w:ind w:left="850" w:hanging="425"/>
        <w:jc w:val="both"/>
        <w:rPr>
          <w:rFonts w:ascii="Arial" w:hAnsi="Arial"/>
          <w:bCs/>
          <w:sz w:val="18"/>
          <w:szCs w:val="18"/>
          <w:lang w:val="en-IE"/>
        </w:rPr>
      </w:pPr>
      <w:r w:rsidRPr="00D403F5">
        <w:rPr>
          <w:rFonts w:ascii="Arial" w:hAnsi="Arial"/>
          <w:bCs/>
          <w:sz w:val="18"/>
          <w:szCs w:val="18"/>
          <w:lang w:val="en-IE"/>
        </w:rPr>
        <w:t>xii)</w:t>
      </w:r>
      <w:r w:rsidRPr="00D403F5">
        <w:rPr>
          <w:rFonts w:ascii="Arial" w:hAnsi="Arial"/>
          <w:bCs/>
          <w:sz w:val="18"/>
          <w:szCs w:val="18"/>
          <w:lang w:val="en-IE"/>
        </w:rPr>
        <w:tab/>
        <w:t>Incubate the cell monolayers with a solution of fluorescein isothiocyanate (FITC)-conjugated antibody to the immunoglobulin used in the first layer and prepared according to the instructions of the supplier. These FITC antibodies are most often rabbit or goat antibodies.</w:t>
      </w:r>
    </w:p>
    <w:p w14:paraId="7565D5F0" w14:textId="77777777" w:rsidR="00C7266C" w:rsidRPr="00D403F5" w:rsidRDefault="00C7266C" w:rsidP="0076436B">
      <w:pPr>
        <w:spacing w:after="240" w:line="240" w:lineRule="auto"/>
        <w:ind w:left="850" w:hanging="425"/>
        <w:jc w:val="both"/>
        <w:rPr>
          <w:rFonts w:ascii="Arial" w:hAnsi="Arial"/>
          <w:bCs/>
          <w:sz w:val="18"/>
          <w:szCs w:val="18"/>
          <w:lang w:val="en-IE"/>
        </w:rPr>
      </w:pPr>
      <w:r w:rsidRPr="00D403F5">
        <w:rPr>
          <w:rFonts w:ascii="Arial" w:hAnsi="Arial"/>
          <w:bCs/>
          <w:sz w:val="18"/>
          <w:szCs w:val="18"/>
          <w:lang w:val="en-IE"/>
        </w:rPr>
        <w:t>xiii)</w:t>
      </w:r>
      <w:r w:rsidRPr="00D403F5">
        <w:rPr>
          <w:rFonts w:ascii="Arial" w:hAnsi="Arial"/>
          <w:bCs/>
          <w:sz w:val="18"/>
          <w:szCs w:val="18"/>
          <w:lang w:val="en-IE"/>
        </w:rPr>
        <w:tab/>
        <w:t>Rinse four times with PBST.</w:t>
      </w:r>
    </w:p>
    <w:p w14:paraId="5ECD5504" w14:textId="77777777" w:rsidR="00C7266C" w:rsidRPr="00D403F5" w:rsidRDefault="00C7266C" w:rsidP="0076436B">
      <w:pPr>
        <w:spacing w:after="240" w:line="240" w:lineRule="auto"/>
        <w:ind w:left="850" w:hanging="425"/>
        <w:jc w:val="both"/>
        <w:rPr>
          <w:rFonts w:ascii="Arial" w:hAnsi="Arial"/>
          <w:bCs/>
          <w:sz w:val="18"/>
          <w:szCs w:val="18"/>
          <w:lang w:val="en-IE"/>
        </w:rPr>
      </w:pPr>
      <w:r w:rsidRPr="00D403F5">
        <w:rPr>
          <w:rFonts w:ascii="Arial" w:hAnsi="Arial"/>
          <w:bCs/>
          <w:sz w:val="18"/>
          <w:szCs w:val="18"/>
          <w:lang w:val="en-IE"/>
        </w:rPr>
        <w:t>xiv)</w:t>
      </w:r>
      <w:r w:rsidRPr="00D403F5">
        <w:rPr>
          <w:rFonts w:ascii="Arial" w:hAnsi="Arial"/>
          <w:bCs/>
          <w:sz w:val="18"/>
          <w:szCs w:val="18"/>
          <w:lang w:val="en-IE"/>
        </w:rPr>
        <w:tab/>
        <w:t xml:space="preserve">View the treated cell monolayers on plastic substrates immediately, or mount the slides or cover-slips using glycerol saline at pH 8.5, or a commercially available mountant. </w:t>
      </w:r>
    </w:p>
    <w:p w14:paraId="06436BD3" w14:textId="77777777" w:rsidR="00C7266C" w:rsidRPr="00D403F5" w:rsidRDefault="00C7266C" w:rsidP="0076436B">
      <w:pPr>
        <w:spacing w:after="240" w:line="240" w:lineRule="auto"/>
        <w:ind w:left="850" w:hanging="425"/>
        <w:jc w:val="both"/>
        <w:rPr>
          <w:rFonts w:ascii="Arial" w:hAnsi="Arial"/>
          <w:bCs/>
          <w:sz w:val="18"/>
          <w:szCs w:val="18"/>
          <w:lang w:val="en-IE"/>
        </w:rPr>
      </w:pPr>
      <w:r w:rsidRPr="00D403F5">
        <w:rPr>
          <w:rFonts w:ascii="Arial" w:hAnsi="Arial"/>
          <w:bCs/>
          <w:sz w:val="18"/>
          <w:szCs w:val="18"/>
          <w:lang w:val="en-IE"/>
        </w:rPr>
        <w:t>xv)</w:t>
      </w:r>
      <w:r w:rsidRPr="00D403F5">
        <w:rPr>
          <w:rFonts w:ascii="Arial" w:hAnsi="Arial"/>
          <w:bCs/>
          <w:sz w:val="18"/>
          <w:szCs w:val="18"/>
          <w:lang w:val="en-IE"/>
        </w:rPr>
        <w:tab/>
        <w:t>Examine under incident ultraviolet (UV) light using a microscope with ×10 eye pieces and ×20 or ×40 objective lenses having numerical apertures of &gt;0.65 and &gt;1.3, respectively. Positive and negative controls must be found to give the expected results prior to any other observation.</w:t>
      </w:r>
    </w:p>
    <w:p w14:paraId="638C2A4F" w14:textId="77777777" w:rsidR="00C7266C" w:rsidRPr="00D403F5" w:rsidRDefault="00C7266C" w:rsidP="0076436B">
      <w:pPr>
        <w:pStyle w:val="11"/>
        <w:ind w:left="426" w:hanging="426"/>
        <w:rPr>
          <w:sz w:val="18"/>
          <w:szCs w:val="18"/>
          <w:lang w:bidi="en-US"/>
        </w:rPr>
      </w:pPr>
      <w:r w:rsidRPr="00D403F5">
        <w:rPr>
          <w:sz w:val="18"/>
          <w:szCs w:val="18"/>
          <w:lang w:bidi="en-US"/>
        </w:rPr>
        <w:t>4.10.</w:t>
      </w:r>
      <w:r w:rsidRPr="00D403F5">
        <w:rPr>
          <w:sz w:val="18"/>
          <w:szCs w:val="18"/>
          <w:lang w:bidi="en-US"/>
        </w:rPr>
        <w:tab/>
        <w:t>Other serological methods</w:t>
      </w:r>
    </w:p>
    <w:p w14:paraId="133FFC6F" w14:textId="77777777" w:rsidR="00C7266C" w:rsidRPr="00D403F5" w:rsidRDefault="00C7266C" w:rsidP="0076436B">
      <w:pPr>
        <w:spacing w:after="240"/>
        <w:ind w:left="426"/>
        <w:jc w:val="both"/>
        <w:rPr>
          <w:rFonts w:ascii="Arial" w:hAnsi="Arial"/>
          <w:bCs/>
          <w:sz w:val="18"/>
          <w:szCs w:val="18"/>
          <w:lang w:val="en-IE" w:bidi="en-US"/>
        </w:rPr>
      </w:pPr>
      <w:r w:rsidRPr="00D403F5">
        <w:rPr>
          <w:rFonts w:ascii="Arial" w:hAnsi="Arial"/>
          <w:bCs/>
          <w:sz w:val="18"/>
          <w:szCs w:val="18"/>
          <w:lang w:val="en-IE" w:bidi="en-US"/>
        </w:rPr>
        <w:t>Not applicable</w:t>
      </w:r>
    </w:p>
    <w:p w14:paraId="18C3D8BD" w14:textId="77777777" w:rsidR="00C7266C" w:rsidRPr="00D403F5" w:rsidRDefault="00C7266C" w:rsidP="0076436B">
      <w:pPr>
        <w:pStyle w:val="13"/>
        <w:rPr>
          <w:sz w:val="18"/>
          <w:szCs w:val="18"/>
        </w:rPr>
      </w:pPr>
      <w:r w:rsidRPr="00D403F5">
        <w:rPr>
          <w:sz w:val="18"/>
          <w:szCs w:val="18"/>
        </w:rPr>
        <w:t>5.</w:t>
      </w:r>
      <w:r w:rsidRPr="00D403F5">
        <w:rPr>
          <w:sz w:val="18"/>
          <w:szCs w:val="18"/>
        </w:rPr>
        <w:tab/>
        <w:t>Test(s) recommended for surveillance to demonstrate freedom in apparently healthy populations</w:t>
      </w:r>
    </w:p>
    <w:p w14:paraId="2C5E76CB" w14:textId="77777777" w:rsidR="00C7266C" w:rsidRPr="00D403F5" w:rsidRDefault="00C7266C" w:rsidP="0076436B">
      <w:pPr>
        <w:spacing w:after="240"/>
        <w:jc w:val="both"/>
        <w:rPr>
          <w:rFonts w:ascii="Arial" w:hAnsi="Arial" w:cs="Arial"/>
          <w:sz w:val="18"/>
          <w:szCs w:val="18"/>
          <w:lang w:val="en-IE" w:bidi="en-US"/>
        </w:rPr>
      </w:pPr>
      <w:r w:rsidRPr="00D403F5">
        <w:rPr>
          <w:rFonts w:ascii="Arial" w:hAnsi="Arial" w:cs="Arial"/>
          <w:sz w:val="18"/>
          <w:szCs w:val="18"/>
          <w:lang w:val="en-IE" w:bidi="en-US"/>
        </w:rPr>
        <w:t xml:space="preserve">The method for surveillance of susceptible fish populations for declaration of freedom from infection with SVCV is inoculation of cell culture with tissue </w:t>
      </w:r>
      <w:r w:rsidRPr="00D403F5">
        <w:rPr>
          <w:rFonts w:ascii="Arial" w:hAnsi="Arial" w:cs="Arial"/>
          <w:sz w:val="18"/>
          <w:szCs w:val="18"/>
          <w:u w:val="double"/>
          <w:lang w:val="en-IE" w:bidi="en-US"/>
        </w:rPr>
        <w:t>homogenates</w:t>
      </w:r>
      <w:r w:rsidRPr="00D403F5">
        <w:rPr>
          <w:rFonts w:ascii="Arial" w:hAnsi="Arial" w:cs="Arial"/>
          <w:sz w:val="18"/>
          <w:szCs w:val="18"/>
          <w:lang w:val="en-IE" w:bidi="en-US"/>
        </w:rPr>
        <w:t xml:space="preserve"> </w:t>
      </w:r>
      <w:r w:rsidRPr="00D403F5">
        <w:rPr>
          <w:rFonts w:ascii="Arial" w:hAnsi="Arial" w:cs="Arial"/>
          <w:strike/>
          <w:sz w:val="18"/>
          <w:szCs w:val="18"/>
          <w:lang w:val="en-IE" w:bidi="en-US"/>
        </w:rPr>
        <w:t xml:space="preserve">extracts </w:t>
      </w:r>
      <w:r w:rsidRPr="00D403F5">
        <w:rPr>
          <w:rFonts w:ascii="Arial" w:hAnsi="Arial" w:cs="Arial"/>
          <w:sz w:val="18"/>
          <w:szCs w:val="18"/>
          <w:lang w:val="en-IE" w:bidi="en-US"/>
        </w:rPr>
        <w:t xml:space="preserve">(as described in Section </w:t>
      </w:r>
      <w:r w:rsidRPr="00D403F5">
        <w:rPr>
          <w:rFonts w:ascii="Arial" w:hAnsi="Arial" w:cs="Arial"/>
          <w:sz w:val="18"/>
          <w:szCs w:val="18"/>
          <w:u w:val="double"/>
          <w:lang w:val="en-IE" w:bidi="en-US"/>
        </w:rPr>
        <w:t>4.3</w:t>
      </w:r>
      <w:r w:rsidRPr="00D403F5">
        <w:rPr>
          <w:rFonts w:ascii="Arial" w:hAnsi="Arial" w:cs="Arial"/>
          <w:sz w:val="18"/>
          <w:szCs w:val="18"/>
          <w:lang w:val="en-IE" w:bidi="en-US"/>
        </w:rPr>
        <w:t>.</w:t>
      </w:r>
      <w:r w:rsidRPr="00D403F5">
        <w:rPr>
          <w:rFonts w:ascii="Arial" w:hAnsi="Arial" w:cs="Arial"/>
          <w:strike/>
          <w:sz w:val="18"/>
          <w:szCs w:val="18"/>
          <w:lang w:val="en-IE" w:bidi="en-US"/>
        </w:rPr>
        <w:t xml:space="preserve"> 4.5</w:t>
      </w:r>
      <w:r w:rsidRPr="00D403F5">
        <w:rPr>
          <w:rFonts w:ascii="Arial" w:hAnsi="Arial" w:cs="Arial"/>
          <w:sz w:val="18"/>
          <w:szCs w:val="18"/>
          <w:lang w:val="en-IE" w:bidi="en-US"/>
        </w:rPr>
        <w:t xml:space="preserve">) </w:t>
      </w:r>
      <w:r w:rsidRPr="00D403F5">
        <w:rPr>
          <w:rFonts w:ascii="Arial" w:hAnsi="Arial" w:cs="Arial"/>
          <w:strike/>
          <w:sz w:val="18"/>
          <w:szCs w:val="18"/>
          <w:lang w:val="en-IE" w:bidi="en-US"/>
        </w:rPr>
        <w:t>to demonstrate absence of the virus</w:t>
      </w:r>
      <w:r w:rsidRPr="00D403F5">
        <w:rPr>
          <w:rFonts w:ascii="Arial" w:hAnsi="Arial" w:cs="Arial"/>
          <w:sz w:val="18"/>
          <w:szCs w:val="18"/>
          <w:lang w:val="en-IE" w:bidi="en-US"/>
        </w:rPr>
        <w:t>.</w:t>
      </w:r>
    </w:p>
    <w:p w14:paraId="3F002310" w14:textId="77777777" w:rsidR="00C7266C" w:rsidRPr="00D403F5" w:rsidRDefault="00C7266C" w:rsidP="0076436B">
      <w:pPr>
        <w:pStyle w:val="13"/>
        <w:rPr>
          <w:sz w:val="18"/>
          <w:szCs w:val="18"/>
        </w:rPr>
      </w:pPr>
      <w:r w:rsidRPr="00D403F5">
        <w:rPr>
          <w:sz w:val="18"/>
          <w:szCs w:val="18"/>
        </w:rPr>
        <w:t>6.</w:t>
      </w:r>
      <w:r w:rsidRPr="00D403F5">
        <w:rPr>
          <w:sz w:val="18"/>
          <w:szCs w:val="18"/>
        </w:rPr>
        <w:tab/>
      </w:r>
      <w:bookmarkStart w:id="75" w:name="_Hlk20833055"/>
      <w:r w:rsidRPr="00D403F5">
        <w:rPr>
          <w:sz w:val="18"/>
          <w:szCs w:val="18"/>
        </w:rPr>
        <w:t>Corroborative diagnostic criteria</w:t>
      </w:r>
      <w:bookmarkEnd w:id="75"/>
    </w:p>
    <w:p w14:paraId="034DE413" w14:textId="77777777" w:rsidR="00C7266C" w:rsidRPr="00D403F5" w:rsidRDefault="00C7266C" w:rsidP="0076436B">
      <w:pPr>
        <w:spacing w:after="240"/>
        <w:jc w:val="both"/>
        <w:rPr>
          <w:rFonts w:ascii="Arial" w:hAnsi="Arial" w:cs="Arial"/>
          <w:sz w:val="18"/>
          <w:szCs w:val="18"/>
          <w:lang w:val="en-IE" w:bidi="en-US"/>
        </w:rPr>
      </w:pPr>
      <w:bookmarkStart w:id="76" w:name="_Hlk20931792"/>
      <w:r w:rsidRPr="00D403F5">
        <w:rPr>
          <w:rFonts w:ascii="Arial" w:hAnsi="Arial" w:cs="Arial"/>
          <w:sz w:val="18"/>
          <w:szCs w:val="18"/>
          <w:lang w:val="en-IE" w:bidi="en-US"/>
        </w:rPr>
        <w:t xml:space="preserve">This Section only addresses the diagnostic test results for detection of infection in the </w:t>
      </w:r>
      <w:r w:rsidRPr="00D403F5">
        <w:rPr>
          <w:rFonts w:ascii="Arial" w:hAnsi="Arial" w:cs="Arial"/>
          <w:strike/>
          <w:sz w:val="18"/>
          <w:szCs w:val="18"/>
          <w:lang w:val="en-IE" w:bidi="en-US"/>
        </w:rPr>
        <w:t>presence</w:t>
      </w:r>
      <w:r w:rsidRPr="00D403F5">
        <w:rPr>
          <w:rFonts w:ascii="Arial" w:hAnsi="Arial" w:cs="Arial"/>
          <w:sz w:val="18"/>
          <w:szCs w:val="18"/>
          <w:lang w:val="en-IE" w:bidi="en-US"/>
        </w:rPr>
        <w:t xml:space="preserve"> </w:t>
      </w:r>
      <w:r w:rsidRPr="00D403F5">
        <w:rPr>
          <w:rFonts w:ascii="Arial" w:hAnsi="Arial" w:cs="Arial"/>
          <w:sz w:val="18"/>
          <w:szCs w:val="18"/>
          <w:u w:val="double"/>
          <w:lang w:val="en-IE" w:bidi="en-US"/>
        </w:rPr>
        <w:t>absence</w:t>
      </w:r>
      <w:r w:rsidRPr="00D403F5">
        <w:rPr>
          <w:rFonts w:ascii="Arial" w:hAnsi="Arial" w:cs="Arial"/>
          <w:sz w:val="18"/>
          <w:szCs w:val="18"/>
          <w:lang w:val="en-IE" w:bidi="en-US"/>
        </w:rPr>
        <w:t xml:space="preserve"> (Section 6.1.) or in the </w:t>
      </w:r>
      <w:r w:rsidRPr="00D403F5">
        <w:rPr>
          <w:rFonts w:ascii="Arial" w:hAnsi="Arial" w:cs="Arial"/>
          <w:sz w:val="18"/>
          <w:szCs w:val="18"/>
          <w:u w:val="double"/>
          <w:lang w:val="en-IE" w:bidi="en-US"/>
        </w:rPr>
        <w:t>presence</w:t>
      </w:r>
      <w:r w:rsidRPr="00D403F5">
        <w:rPr>
          <w:rFonts w:ascii="Arial" w:hAnsi="Arial" w:cs="Arial"/>
          <w:sz w:val="18"/>
          <w:szCs w:val="18"/>
          <w:lang w:val="en-IE" w:bidi="en-US"/>
        </w:rPr>
        <w:t xml:space="preserve"> </w:t>
      </w:r>
      <w:r w:rsidRPr="00D403F5">
        <w:rPr>
          <w:rFonts w:ascii="Arial" w:hAnsi="Arial" w:cs="Arial"/>
          <w:strike/>
          <w:sz w:val="18"/>
          <w:szCs w:val="18"/>
          <w:lang w:val="en-IE" w:bidi="en-US"/>
        </w:rPr>
        <w:t>absence</w:t>
      </w:r>
      <w:r w:rsidRPr="00D403F5">
        <w:rPr>
          <w:rFonts w:ascii="Arial" w:hAnsi="Arial" w:cs="Arial"/>
          <w:sz w:val="18"/>
          <w:szCs w:val="18"/>
          <w:lang w:val="en-IE" w:bidi="en-US"/>
        </w:rPr>
        <w:t xml:space="preserve"> of clinical signs (Section 6.2.) but does not evaluate whether the infectious agent is the cause of the clinical event</w:t>
      </w:r>
      <w:bookmarkEnd w:id="76"/>
      <w:r w:rsidRPr="00D403F5">
        <w:rPr>
          <w:rFonts w:ascii="Arial" w:hAnsi="Arial" w:cs="Arial"/>
          <w:sz w:val="18"/>
          <w:szCs w:val="18"/>
          <w:lang w:val="en-IE" w:bidi="en-US"/>
        </w:rPr>
        <w:t>.</w:t>
      </w:r>
    </w:p>
    <w:p w14:paraId="5E335669" w14:textId="77777777" w:rsidR="00C7266C" w:rsidRPr="00D403F5" w:rsidRDefault="00C7266C" w:rsidP="0076436B">
      <w:pPr>
        <w:spacing w:after="240"/>
        <w:jc w:val="both"/>
        <w:rPr>
          <w:rFonts w:ascii="Arial" w:hAnsi="Arial" w:cs="Arial"/>
          <w:sz w:val="18"/>
          <w:szCs w:val="18"/>
          <w:lang w:val="en-IE" w:bidi="en-US"/>
        </w:rPr>
      </w:pPr>
      <w:r w:rsidRPr="00D403F5">
        <w:rPr>
          <w:rFonts w:ascii="Arial" w:hAnsi="Arial" w:cs="Arial"/>
          <w:sz w:val="18"/>
          <w:szCs w:val="18"/>
          <w:lang w:val="en-IE" w:bidi="en-US"/>
        </w:rPr>
        <w:t>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7286EC1C" w14:textId="77777777" w:rsidR="00C7266C" w:rsidRPr="00D403F5" w:rsidRDefault="00C7266C" w:rsidP="0076436B">
      <w:pPr>
        <w:pStyle w:val="11"/>
        <w:ind w:left="426" w:hanging="426"/>
        <w:rPr>
          <w:sz w:val="18"/>
          <w:szCs w:val="18"/>
        </w:rPr>
      </w:pPr>
      <w:r w:rsidRPr="00D403F5">
        <w:rPr>
          <w:sz w:val="18"/>
          <w:szCs w:val="18"/>
          <w:lang w:val="en-IE"/>
        </w:rPr>
        <w:t>6</w:t>
      </w:r>
      <w:r w:rsidRPr="00D403F5">
        <w:rPr>
          <w:sz w:val="18"/>
          <w:szCs w:val="18"/>
        </w:rPr>
        <w:t>.1.</w:t>
      </w:r>
      <w:r w:rsidRPr="00D403F5">
        <w:rPr>
          <w:sz w:val="18"/>
          <w:szCs w:val="18"/>
        </w:rPr>
        <w:tab/>
        <w:t>Apparently healthy animals or animals of unknown health</w:t>
      </w:r>
      <w:r w:rsidRPr="00D403F5">
        <w:rPr>
          <w:sz w:val="18"/>
          <w:szCs w:val="18"/>
          <w:lang w:val="en-IE"/>
        </w:rPr>
        <w:t xml:space="preserve"> status</w:t>
      </w:r>
      <w:r w:rsidRPr="00D403F5">
        <w:rPr>
          <w:sz w:val="18"/>
          <w:szCs w:val="18"/>
          <w:vertAlign w:val="superscript"/>
        </w:rPr>
        <w:footnoteReference w:id="8"/>
      </w:r>
    </w:p>
    <w:p w14:paraId="3D1CE994" w14:textId="77777777" w:rsidR="00C7266C" w:rsidRPr="00D403F5" w:rsidRDefault="00C7266C" w:rsidP="0076436B">
      <w:pPr>
        <w:spacing w:after="240"/>
        <w:ind w:left="426"/>
        <w:jc w:val="both"/>
        <w:rPr>
          <w:rFonts w:ascii="Arial" w:hAnsi="Arial" w:cs="Arial"/>
          <w:sz w:val="18"/>
          <w:szCs w:val="18"/>
          <w:lang w:val="en-IE"/>
        </w:rPr>
      </w:pPr>
      <w:r w:rsidRPr="00D403F5">
        <w:rPr>
          <w:rFonts w:ascii="Arial" w:hAnsi="Arial" w:cs="Arial"/>
          <w:sz w:val="18"/>
          <w:szCs w:val="18"/>
          <w:lang w:val="en-IE"/>
        </w:rPr>
        <w:t xml:space="preserve">Apparently healthy populations may fall under suspicion, and therefore be sampled, if there is an epidemiological link(s) to an infected population. </w:t>
      </w:r>
      <w:r w:rsidRPr="00D403F5">
        <w:rPr>
          <w:rFonts w:ascii="Arial" w:hAnsi="Arial"/>
          <w:sz w:val="18"/>
          <w:szCs w:val="18"/>
          <w:lang w:val="en-IE"/>
        </w:rPr>
        <w:t xml:space="preserve">Geographical proximity to, or movement of animals or animal products or equipment, etc., from a known infected population equate to an epidemiological link. Alternatively, healthy populations are sampled in surveys to demonstrate disease freedom. </w:t>
      </w:r>
    </w:p>
    <w:p w14:paraId="1939B2E7" w14:textId="77777777" w:rsidR="00C7266C" w:rsidRPr="00D403F5" w:rsidRDefault="00C7266C" w:rsidP="00D403F5">
      <w:pPr>
        <w:spacing w:after="0"/>
        <w:rPr>
          <w:rFonts w:ascii="Times New Roman" w:hAnsi="Times New Roman" w:cs="Times New Roman"/>
          <w:noProof/>
          <w:sz w:val="18"/>
          <w:szCs w:val="18"/>
          <w:lang w:val="en-US"/>
        </w:rPr>
      </w:pPr>
      <w:r w:rsidRPr="00D403F5">
        <w:rPr>
          <w:rFonts w:ascii="Times New Roman" w:hAnsi="Times New Roman" w:cs="Times New Roman"/>
          <w:noProof/>
          <w:sz w:val="18"/>
          <w:szCs w:val="18"/>
          <w:lang w:val="en-US"/>
        </w:rPr>
        <w:br w:type="page"/>
      </w:r>
    </w:p>
    <w:p w14:paraId="5590FD1E" w14:textId="77777777" w:rsidR="00C7266C" w:rsidRPr="00D403F5" w:rsidRDefault="00C7266C" w:rsidP="0076436B">
      <w:pPr>
        <w:spacing w:after="480"/>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364B4064" w14:textId="77777777" w:rsidR="00C7266C" w:rsidRPr="00D403F5" w:rsidRDefault="00C7266C" w:rsidP="00D403F5">
      <w:pPr>
        <w:pStyle w:val="111"/>
        <w:spacing w:after="0"/>
        <w:rPr>
          <w:sz w:val="18"/>
          <w:szCs w:val="18"/>
        </w:rPr>
      </w:pPr>
      <w:r w:rsidRPr="00D403F5">
        <w:rPr>
          <w:sz w:val="18"/>
          <w:szCs w:val="18"/>
        </w:rPr>
        <w:t>6.1.1.</w:t>
      </w:r>
      <w:r w:rsidRPr="00D403F5">
        <w:rPr>
          <w:sz w:val="18"/>
          <w:szCs w:val="18"/>
        </w:rPr>
        <w:tab/>
        <w:t>Definition of suspect case in apparently healthy animals</w:t>
      </w:r>
    </w:p>
    <w:p w14:paraId="7FF203A8"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The presence of infection shall be suspected if</w:t>
      </w:r>
      <w:r w:rsidRPr="00D403F5">
        <w:rPr>
          <w:rFonts w:ascii="Arial" w:hAnsi="Arial"/>
          <w:bCs/>
          <w:strike/>
          <w:sz w:val="18"/>
          <w:szCs w:val="18"/>
          <w:lang w:val="en-IE"/>
        </w:rPr>
        <w:t>: a positive result has been obtained on at least one animal from</w:t>
      </w:r>
      <w:r w:rsidRPr="00D403F5">
        <w:rPr>
          <w:rFonts w:ascii="Arial" w:hAnsi="Arial"/>
          <w:bCs/>
          <w:sz w:val="18"/>
          <w:szCs w:val="18"/>
          <w:lang w:val="en-IE"/>
        </w:rPr>
        <w:t xml:space="preserve"> at least one of the following </w:t>
      </w:r>
      <w:r w:rsidRPr="00D403F5">
        <w:rPr>
          <w:rFonts w:ascii="Arial" w:hAnsi="Arial"/>
          <w:bCs/>
          <w:strike/>
          <w:sz w:val="18"/>
          <w:szCs w:val="18"/>
          <w:lang w:val="en-IE"/>
        </w:rPr>
        <w:t>diagnostic tests</w:t>
      </w:r>
      <w:r w:rsidRPr="00D403F5">
        <w:rPr>
          <w:rFonts w:ascii="Arial" w:hAnsi="Arial"/>
          <w:bCs/>
          <w:sz w:val="18"/>
          <w:szCs w:val="18"/>
          <w:lang w:val="en-IE"/>
        </w:rPr>
        <w:t xml:space="preserve"> </w:t>
      </w:r>
      <w:r w:rsidRPr="00D403F5">
        <w:rPr>
          <w:rFonts w:ascii="Arial" w:hAnsi="Arial"/>
          <w:bCs/>
          <w:sz w:val="18"/>
          <w:szCs w:val="18"/>
          <w:u w:val="double"/>
          <w:lang w:val="en-IE"/>
        </w:rPr>
        <w:t>criteria is met</w:t>
      </w:r>
      <w:r w:rsidRPr="00D403F5">
        <w:rPr>
          <w:rFonts w:ascii="Arial" w:hAnsi="Arial"/>
          <w:bCs/>
          <w:sz w:val="18"/>
          <w:szCs w:val="18"/>
          <w:lang w:val="en-IE"/>
        </w:rPr>
        <w:t>:</w:t>
      </w:r>
    </w:p>
    <w:p w14:paraId="0283413E" w14:textId="77777777" w:rsidR="00C7266C" w:rsidRPr="00D403F5" w:rsidRDefault="00C7266C" w:rsidP="00D403F5">
      <w:pPr>
        <w:spacing w:after="0"/>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 xml:space="preserve">Positive result by </w:t>
      </w:r>
      <w:r w:rsidRPr="00D403F5">
        <w:rPr>
          <w:rFonts w:ascii="Arial" w:eastAsia="MS Mincho" w:hAnsi="Arial" w:cs="Arial"/>
          <w:sz w:val="18"/>
          <w:szCs w:val="18"/>
          <w:u w:val="double"/>
          <w:lang w:val="en-IE"/>
        </w:rPr>
        <w:t>conventional RT-PCR</w:t>
      </w:r>
      <w:r w:rsidRPr="00D403F5">
        <w:rPr>
          <w:rFonts w:ascii="Arial" w:eastAsia="MS Mincho" w:hAnsi="Arial" w:cs="Arial"/>
          <w:sz w:val="18"/>
          <w:szCs w:val="18"/>
          <w:lang w:val="en-IE"/>
        </w:rPr>
        <w:t xml:space="preserve"> </w:t>
      </w:r>
      <w:r w:rsidRPr="00D403F5">
        <w:rPr>
          <w:rFonts w:ascii="Arial" w:eastAsia="MS Mincho" w:hAnsi="Arial" w:cs="Arial"/>
          <w:strike/>
          <w:sz w:val="18"/>
          <w:szCs w:val="18"/>
          <w:lang w:val="en-IE"/>
        </w:rPr>
        <w:t>a recommended molecular or antigen or antibody detection test</w:t>
      </w:r>
    </w:p>
    <w:p w14:paraId="006A88B9" w14:textId="77777777" w:rsidR="00C7266C" w:rsidRPr="00D403F5" w:rsidRDefault="00C7266C" w:rsidP="00D403F5">
      <w:pPr>
        <w:spacing w:after="0"/>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 xml:space="preserve">Cytopathic effect in cell culture </w:t>
      </w:r>
      <w:r w:rsidRPr="00D403F5">
        <w:rPr>
          <w:rFonts w:ascii="Arial" w:eastAsia="MS Mincho" w:hAnsi="Arial" w:cs="Arial"/>
          <w:strike/>
          <w:sz w:val="18"/>
          <w:szCs w:val="18"/>
          <w:lang w:val="en-IE"/>
        </w:rPr>
        <w:t>(viruses)</w:t>
      </w:r>
    </w:p>
    <w:p w14:paraId="120BC03C" w14:textId="77777777" w:rsidR="00C7266C" w:rsidRPr="00D403F5" w:rsidRDefault="00C7266C" w:rsidP="00D403F5">
      <w:pPr>
        <w:pStyle w:val="111"/>
        <w:spacing w:after="0"/>
        <w:rPr>
          <w:sz w:val="18"/>
          <w:szCs w:val="18"/>
        </w:rPr>
      </w:pPr>
      <w:r w:rsidRPr="00D403F5">
        <w:rPr>
          <w:sz w:val="18"/>
          <w:szCs w:val="18"/>
        </w:rPr>
        <w:t>6.1.2.</w:t>
      </w:r>
      <w:r w:rsidRPr="00D403F5">
        <w:rPr>
          <w:sz w:val="18"/>
          <w:szCs w:val="18"/>
        </w:rPr>
        <w:tab/>
        <w:t>Definition of confirmed case in apparently healthy animals</w:t>
      </w:r>
    </w:p>
    <w:p w14:paraId="67DA698C"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 xml:space="preserve">The presence of infection shall be confirmed if </w:t>
      </w:r>
      <w:r w:rsidRPr="00D403F5">
        <w:rPr>
          <w:rFonts w:ascii="Arial" w:hAnsi="Arial"/>
          <w:bCs/>
          <w:strike/>
          <w:sz w:val="18"/>
          <w:szCs w:val="18"/>
          <w:lang w:val="en-IE"/>
        </w:rPr>
        <w:t>positive results has been obtained on at least one animal from two test used in the following combination</w:t>
      </w:r>
      <w:r w:rsidRPr="00D403F5">
        <w:rPr>
          <w:rFonts w:ascii="Arial" w:hAnsi="Arial"/>
          <w:bCs/>
          <w:sz w:val="18"/>
          <w:szCs w:val="18"/>
          <w:lang w:val="en-IE"/>
        </w:rPr>
        <w:t xml:space="preserve"> </w:t>
      </w:r>
      <w:r w:rsidRPr="00D403F5">
        <w:rPr>
          <w:rFonts w:ascii="Arial" w:hAnsi="Arial"/>
          <w:bCs/>
          <w:sz w:val="18"/>
          <w:szCs w:val="18"/>
          <w:u w:val="double"/>
          <w:lang w:val="en-IE"/>
        </w:rPr>
        <w:t>the following criterion is met</w:t>
      </w:r>
      <w:r w:rsidRPr="00D403F5">
        <w:rPr>
          <w:rFonts w:ascii="Arial" w:hAnsi="Arial"/>
          <w:bCs/>
          <w:sz w:val="18"/>
          <w:szCs w:val="18"/>
          <w:lang w:val="en-IE"/>
        </w:rPr>
        <w:t>:</w:t>
      </w:r>
    </w:p>
    <w:p w14:paraId="41100FEF"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r>
      <w:bookmarkStart w:id="77" w:name="_Hlk20729784"/>
      <w:r w:rsidRPr="00D403F5">
        <w:rPr>
          <w:rFonts w:ascii="Arial" w:hAnsi="Arial"/>
          <w:bCs/>
          <w:sz w:val="18"/>
          <w:szCs w:val="18"/>
          <w:lang w:val="en-IE"/>
        </w:rPr>
        <w:t xml:space="preserve">Pathogen isolation </w:t>
      </w:r>
      <w:r w:rsidRPr="00D403F5">
        <w:rPr>
          <w:rFonts w:ascii="Arial" w:hAnsi="Arial"/>
          <w:bCs/>
          <w:strike/>
          <w:sz w:val="18"/>
          <w:szCs w:val="18"/>
          <w:lang w:val="en-IE"/>
        </w:rPr>
        <w:t>AND Conventional</w:t>
      </w:r>
      <w:r w:rsidRPr="00D403F5">
        <w:rPr>
          <w:rFonts w:ascii="Arial" w:hAnsi="Arial"/>
          <w:bCs/>
          <w:sz w:val="18"/>
          <w:szCs w:val="18"/>
          <w:lang w:val="en-IE"/>
        </w:rPr>
        <w:t xml:space="preserve"> </w:t>
      </w:r>
      <w:r w:rsidRPr="00D403F5">
        <w:rPr>
          <w:rFonts w:ascii="Arial" w:hAnsi="Arial"/>
          <w:bCs/>
          <w:sz w:val="18"/>
          <w:szCs w:val="18"/>
          <w:u w:val="double"/>
          <w:lang w:val="en-IE"/>
        </w:rPr>
        <w:t>in cell culture, virus identification by conventional RT-</w:t>
      </w:r>
      <w:r w:rsidRPr="00D403F5">
        <w:rPr>
          <w:rFonts w:ascii="Arial" w:hAnsi="Arial"/>
          <w:bCs/>
          <w:sz w:val="18"/>
          <w:szCs w:val="18"/>
          <w:lang w:val="en-IE"/>
        </w:rPr>
        <w:t xml:space="preserve">PCR test </w:t>
      </w:r>
      <w:r w:rsidRPr="00D403F5">
        <w:rPr>
          <w:rFonts w:ascii="Arial" w:hAnsi="Arial"/>
          <w:bCs/>
          <w:sz w:val="18"/>
          <w:szCs w:val="18"/>
          <w:u w:val="double"/>
          <w:lang w:val="en-IE"/>
        </w:rPr>
        <w:t>followed by</w:t>
      </w:r>
      <w:r w:rsidRPr="00D403F5">
        <w:rPr>
          <w:rFonts w:ascii="Arial" w:hAnsi="Arial"/>
          <w:bCs/>
          <w:sz w:val="18"/>
          <w:szCs w:val="18"/>
          <w:lang w:val="en-IE"/>
        </w:rPr>
        <w:t xml:space="preserve"> </w:t>
      </w:r>
      <w:r w:rsidRPr="00D403F5">
        <w:rPr>
          <w:rFonts w:ascii="Arial" w:hAnsi="Arial"/>
          <w:bCs/>
          <w:strike/>
          <w:sz w:val="18"/>
          <w:szCs w:val="18"/>
          <w:lang w:val="en-IE"/>
        </w:rPr>
        <w:t xml:space="preserve">and </w:t>
      </w:r>
      <w:r w:rsidRPr="00D403F5">
        <w:rPr>
          <w:rFonts w:ascii="Arial" w:hAnsi="Arial"/>
          <w:bCs/>
          <w:sz w:val="18"/>
          <w:szCs w:val="18"/>
          <w:lang w:val="en-IE"/>
        </w:rPr>
        <w:t>amplicon sequencing</w:t>
      </w:r>
      <w:bookmarkEnd w:id="77"/>
    </w:p>
    <w:p w14:paraId="20401B58"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Reference Laboratories should be contacted for specimen referral when testing laboratories cannot undertake any of the recommended test methods and testing is being undertaken that will result in notification to the OIE.</w:t>
      </w:r>
    </w:p>
    <w:p w14:paraId="5665B870" w14:textId="77777777" w:rsidR="00C7266C" w:rsidRPr="00D403F5" w:rsidRDefault="00C7266C" w:rsidP="00D403F5">
      <w:pPr>
        <w:pStyle w:val="11"/>
        <w:spacing w:after="0"/>
        <w:ind w:left="426" w:hanging="426"/>
        <w:rPr>
          <w:sz w:val="18"/>
          <w:szCs w:val="18"/>
        </w:rPr>
      </w:pPr>
      <w:r w:rsidRPr="00D403F5">
        <w:rPr>
          <w:sz w:val="18"/>
          <w:szCs w:val="18"/>
        </w:rPr>
        <w:t>6.2.</w:t>
      </w:r>
      <w:r w:rsidRPr="00D403F5">
        <w:rPr>
          <w:sz w:val="18"/>
          <w:szCs w:val="18"/>
        </w:rPr>
        <w:tab/>
        <w:t>Clinically affected animals</w:t>
      </w:r>
    </w:p>
    <w:p w14:paraId="176186BE" w14:textId="77777777" w:rsidR="00C7266C" w:rsidRPr="00D403F5" w:rsidRDefault="00C7266C" w:rsidP="00D403F5">
      <w:pPr>
        <w:spacing w:after="0"/>
        <w:ind w:left="426"/>
        <w:jc w:val="both"/>
        <w:rPr>
          <w:rFonts w:ascii="Arial" w:hAnsi="Arial"/>
          <w:sz w:val="18"/>
          <w:szCs w:val="18"/>
          <w:lang w:val="en-IE"/>
        </w:rPr>
      </w:pPr>
      <w:r w:rsidRPr="00D403F5">
        <w:rPr>
          <w:rFonts w:ascii="Arial" w:hAnsi="Arial"/>
          <w:sz w:val="18"/>
          <w:szCs w:val="18"/>
          <w:lang w:val="en-IE"/>
        </w:rPr>
        <w:t xml:space="preserve">Clinical signs are not pathognomonic for </w:t>
      </w:r>
      <w:r w:rsidRPr="00D403F5">
        <w:rPr>
          <w:rFonts w:ascii="Arial" w:hAnsi="Arial"/>
          <w:sz w:val="18"/>
          <w:szCs w:val="18"/>
          <w:u w:val="double"/>
          <w:lang w:val="en-IE"/>
        </w:rPr>
        <w:t>infection with SVCV</w:t>
      </w:r>
      <w:r w:rsidRPr="00D403F5">
        <w:rPr>
          <w:rFonts w:ascii="Arial" w:hAnsi="Arial"/>
          <w:strike/>
          <w:sz w:val="18"/>
          <w:szCs w:val="18"/>
          <w:lang w:val="en-IE"/>
        </w:rPr>
        <w:t xml:space="preserve"> a single disease</w:t>
      </w:r>
      <w:r w:rsidRPr="00D403F5">
        <w:rPr>
          <w:rFonts w:ascii="Arial" w:hAnsi="Arial"/>
          <w:sz w:val="18"/>
          <w:szCs w:val="18"/>
          <w:lang w:val="en-IE"/>
        </w:rPr>
        <w:t xml:space="preserve">; however they may narrow the range of possible diagnoses. </w:t>
      </w:r>
      <w:r w:rsidRPr="00D403F5">
        <w:rPr>
          <w:rFonts w:ascii="Arial" w:hAnsi="Arial"/>
          <w:strike/>
          <w:sz w:val="18"/>
          <w:szCs w:val="18"/>
          <w:lang w:val="en-IE"/>
        </w:rPr>
        <w:t>[For many diseases, especially those affecting mollusc, ‘clinical signs’ are extremely limited and mortality may be the only or most dominant observation.]</w:t>
      </w:r>
    </w:p>
    <w:p w14:paraId="137AE9A3" w14:textId="77777777" w:rsidR="00C7266C" w:rsidRPr="00D403F5" w:rsidRDefault="00C7266C" w:rsidP="00D403F5">
      <w:pPr>
        <w:pStyle w:val="111"/>
        <w:spacing w:after="0"/>
        <w:rPr>
          <w:sz w:val="18"/>
          <w:szCs w:val="18"/>
        </w:rPr>
      </w:pPr>
      <w:r w:rsidRPr="00D403F5">
        <w:rPr>
          <w:sz w:val="18"/>
          <w:szCs w:val="18"/>
        </w:rPr>
        <w:t>6.2.1.</w:t>
      </w:r>
      <w:r w:rsidRPr="00D403F5">
        <w:rPr>
          <w:sz w:val="18"/>
          <w:szCs w:val="18"/>
        </w:rPr>
        <w:tab/>
        <w:t>Definition of suspect case in clinically affected animals</w:t>
      </w:r>
    </w:p>
    <w:p w14:paraId="6D61D80C"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 xml:space="preserve">The presence of infection shall be suspected if at least one of the following criteria </w:t>
      </w:r>
      <w:r w:rsidRPr="00D403F5">
        <w:rPr>
          <w:rFonts w:ascii="Arial" w:hAnsi="Arial"/>
          <w:bCs/>
          <w:sz w:val="18"/>
          <w:szCs w:val="18"/>
          <w:u w:val="double"/>
          <w:lang w:val="en-IE"/>
        </w:rPr>
        <w:t>is</w:t>
      </w:r>
      <w:r w:rsidRPr="00D403F5">
        <w:rPr>
          <w:rFonts w:ascii="Arial" w:hAnsi="Arial"/>
          <w:bCs/>
          <w:sz w:val="18"/>
          <w:szCs w:val="18"/>
          <w:lang w:val="en-IE"/>
        </w:rPr>
        <w:t xml:space="preserve"> </w:t>
      </w:r>
      <w:r w:rsidRPr="00D403F5">
        <w:rPr>
          <w:rFonts w:ascii="Arial" w:hAnsi="Arial"/>
          <w:bCs/>
          <w:strike/>
          <w:sz w:val="18"/>
          <w:szCs w:val="18"/>
          <w:lang w:val="en-IE"/>
        </w:rPr>
        <w:t>are</w:t>
      </w:r>
      <w:r w:rsidRPr="00D403F5">
        <w:rPr>
          <w:rFonts w:ascii="Arial" w:hAnsi="Arial"/>
          <w:bCs/>
          <w:sz w:val="18"/>
          <w:szCs w:val="18"/>
          <w:lang w:val="en-IE"/>
        </w:rPr>
        <w:t xml:space="preserve"> met:</w:t>
      </w:r>
    </w:p>
    <w:p w14:paraId="5DAA2949" w14:textId="77777777" w:rsidR="00C7266C" w:rsidRPr="00D403F5" w:rsidRDefault="00C7266C" w:rsidP="00D403F5">
      <w:pPr>
        <w:spacing w:after="0"/>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r>
      <w:r w:rsidRPr="00D403F5">
        <w:rPr>
          <w:rFonts w:ascii="Arial" w:eastAsia="MS Mincho" w:hAnsi="Arial" w:cs="Arial"/>
          <w:sz w:val="18"/>
          <w:szCs w:val="18"/>
          <w:lang w:val="en-IE" w:bidi="en-US"/>
        </w:rPr>
        <w:t>Gross pathology or clinical signs associated with the disease as described in this chapter, with or without elevated mortality</w:t>
      </w:r>
    </w:p>
    <w:p w14:paraId="63FEC922" w14:textId="77777777" w:rsidR="00C7266C" w:rsidRPr="00D403F5" w:rsidRDefault="00C7266C" w:rsidP="00D403F5">
      <w:pPr>
        <w:spacing w:after="0"/>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 xml:space="preserve">Positive result by </w:t>
      </w:r>
      <w:r w:rsidRPr="00D403F5">
        <w:rPr>
          <w:rFonts w:ascii="Arial" w:eastAsia="MS Mincho" w:hAnsi="Arial" w:cs="Arial"/>
          <w:sz w:val="18"/>
          <w:szCs w:val="18"/>
          <w:u w:val="double"/>
          <w:lang w:val="en-IE"/>
        </w:rPr>
        <w:t>conventional PCR</w:t>
      </w:r>
      <w:r w:rsidRPr="00D403F5">
        <w:rPr>
          <w:rFonts w:ascii="Arial" w:eastAsia="MS Mincho" w:hAnsi="Arial" w:cs="Arial"/>
          <w:sz w:val="18"/>
          <w:szCs w:val="18"/>
          <w:lang w:val="en-IE"/>
        </w:rPr>
        <w:t xml:space="preserve"> </w:t>
      </w:r>
      <w:r w:rsidRPr="00D403F5">
        <w:rPr>
          <w:rFonts w:ascii="Arial" w:eastAsia="MS Mincho" w:hAnsi="Arial" w:cs="Arial"/>
          <w:strike/>
          <w:sz w:val="18"/>
          <w:szCs w:val="18"/>
          <w:lang w:val="en-IE"/>
        </w:rPr>
        <w:t>a recommended molecular or antigen or antibody detection test on at least one animal</w:t>
      </w:r>
    </w:p>
    <w:p w14:paraId="4077019B" w14:textId="77777777" w:rsidR="00C7266C" w:rsidRPr="00D403F5" w:rsidRDefault="00C7266C" w:rsidP="00D403F5">
      <w:pPr>
        <w:spacing w:after="0"/>
        <w:ind w:left="1276" w:hanging="425"/>
        <w:jc w:val="both"/>
        <w:rPr>
          <w:rFonts w:ascii="Arial" w:eastAsia="MS Mincho" w:hAnsi="Arial" w:cs="Arial"/>
          <w:sz w:val="18"/>
          <w:szCs w:val="18"/>
          <w:u w:val="double"/>
          <w:lang w:val="en-IE"/>
        </w:rPr>
      </w:pPr>
      <w:r w:rsidRPr="00D403F5">
        <w:rPr>
          <w:rFonts w:ascii="Arial" w:eastAsia="MS Mincho" w:hAnsi="Arial" w:cs="Arial"/>
          <w:sz w:val="18"/>
          <w:szCs w:val="18"/>
          <w:u w:val="double"/>
          <w:lang w:val="en-IE"/>
        </w:rPr>
        <w:t>iii)</w:t>
      </w:r>
      <w:r w:rsidRPr="00D403F5">
        <w:rPr>
          <w:rFonts w:ascii="Arial" w:eastAsia="MS Mincho" w:hAnsi="Arial" w:cs="Arial"/>
          <w:sz w:val="18"/>
          <w:szCs w:val="18"/>
          <w:u w:val="double"/>
          <w:lang w:val="en-IE"/>
        </w:rPr>
        <w:tab/>
        <w:t>Positives result by antigen ELISA or IFAT or immunohistochemistry</w:t>
      </w:r>
    </w:p>
    <w:p w14:paraId="3085727F" w14:textId="77777777" w:rsidR="00C7266C" w:rsidRPr="00D403F5" w:rsidRDefault="00C7266C" w:rsidP="00D403F5">
      <w:pPr>
        <w:spacing w:after="0"/>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Cytopathic effect in cell culture.</w:t>
      </w:r>
    </w:p>
    <w:p w14:paraId="0A864E27" w14:textId="77777777" w:rsidR="00C7266C" w:rsidRPr="00D403F5" w:rsidRDefault="00C7266C" w:rsidP="00D403F5">
      <w:pPr>
        <w:spacing w:after="0"/>
        <w:ind w:left="851" w:hanging="567"/>
        <w:jc w:val="both"/>
        <w:rPr>
          <w:rFonts w:ascii="Ottawa" w:hAnsi="Ottawa"/>
          <w:b/>
          <w:bCs/>
          <w:sz w:val="18"/>
          <w:szCs w:val="18"/>
          <w:lang w:eastAsia="fr-FR"/>
        </w:rPr>
      </w:pPr>
      <w:r w:rsidRPr="00D403F5">
        <w:rPr>
          <w:rFonts w:ascii="Ottawa" w:hAnsi="Ottawa"/>
          <w:b/>
          <w:bCs/>
          <w:sz w:val="18"/>
          <w:szCs w:val="18"/>
          <w:lang w:eastAsia="fr-FR"/>
        </w:rPr>
        <w:t>6.2.2.</w:t>
      </w:r>
      <w:r w:rsidRPr="00D403F5">
        <w:rPr>
          <w:rFonts w:ascii="Ottawa" w:hAnsi="Ottawa"/>
          <w:b/>
          <w:bCs/>
          <w:sz w:val="18"/>
          <w:szCs w:val="18"/>
          <w:lang w:eastAsia="fr-FR"/>
        </w:rPr>
        <w:tab/>
        <w:t>Definition of confirmed case in clinically affected animals</w:t>
      </w:r>
    </w:p>
    <w:p w14:paraId="5D70E3BD"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 xml:space="preserve">The presence of infection shall be confirmed if </w:t>
      </w:r>
      <w:r w:rsidRPr="00D403F5">
        <w:rPr>
          <w:rFonts w:ascii="Arial" w:hAnsi="Arial"/>
          <w:bCs/>
          <w:strike/>
          <w:sz w:val="18"/>
          <w:szCs w:val="18"/>
          <w:lang w:val="en-IE"/>
        </w:rPr>
        <w:t xml:space="preserve">positive results has been obtained on at least one animal from two test used in the following combination </w:t>
      </w:r>
      <w:r w:rsidRPr="00D403F5">
        <w:rPr>
          <w:rFonts w:ascii="Arial" w:hAnsi="Arial"/>
          <w:bCs/>
          <w:sz w:val="18"/>
          <w:szCs w:val="18"/>
          <w:u w:val="double"/>
          <w:lang w:val="en-IE"/>
        </w:rPr>
        <w:t>the following criterion is met</w:t>
      </w:r>
      <w:r w:rsidRPr="00D403F5">
        <w:rPr>
          <w:rFonts w:ascii="Arial" w:hAnsi="Arial"/>
          <w:bCs/>
          <w:sz w:val="18"/>
          <w:szCs w:val="18"/>
          <w:lang w:val="en-IE"/>
        </w:rPr>
        <w:t>:</w:t>
      </w:r>
    </w:p>
    <w:p w14:paraId="4EDDC4FE" w14:textId="77777777" w:rsidR="00C7266C" w:rsidRPr="00D403F5" w:rsidRDefault="00C7266C" w:rsidP="00D403F5">
      <w:pPr>
        <w:spacing w:after="0"/>
        <w:ind w:left="1276" w:hanging="425"/>
        <w:jc w:val="both"/>
        <w:rPr>
          <w:rFonts w:ascii="Arial" w:hAnsi="Arial"/>
          <w:bCs/>
          <w:sz w:val="18"/>
          <w:szCs w:val="18"/>
          <w:lang w:val="en-IE"/>
        </w:rPr>
      </w:pPr>
      <w:r w:rsidRPr="00D403F5">
        <w:rPr>
          <w:rFonts w:ascii="Arial" w:hAnsi="Arial"/>
          <w:bCs/>
          <w:sz w:val="18"/>
          <w:szCs w:val="18"/>
          <w:lang w:val="en-IE"/>
        </w:rPr>
        <w:t>i)</w:t>
      </w:r>
      <w:r w:rsidRPr="00D403F5">
        <w:rPr>
          <w:rFonts w:ascii="Arial" w:hAnsi="Arial"/>
          <w:bCs/>
          <w:sz w:val="18"/>
          <w:szCs w:val="18"/>
          <w:lang w:val="en-IE"/>
        </w:rPr>
        <w:tab/>
        <w:t xml:space="preserve">Pathogen isolation </w:t>
      </w:r>
      <w:r w:rsidRPr="00D403F5">
        <w:rPr>
          <w:rFonts w:ascii="Arial" w:hAnsi="Arial"/>
          <w:bCs/>
          <w:strike/>
          <w:sz w:val="18"/>
          <w:szCs w:val="18"/>
          <w:lang w:val="en-IE"/>
        </w:rPr>
        <w:t xml:space="preserve">AND Conventional </w:t>
      </w:r>
      <w:r w:rsidRPr="00D403F5">
        <w:rPr>
          <w:rFonts w:ascii="Arial" w:hAnsi="Arial"/>
          <w:bCs/>
          <w:sz w:val="18"/>
          <w:szCs w:val="18"/>
          <w:u w:val="double"/>
          <w:lang w:val="en-IE"/>
        </w:rPr>
        <w:t>in cell culture, virus identification by conventional RT-</w:t>
      </w:r>
      <w:r w:rsidRPr="00D403F5">
        <w:rPr>
          <w:rFonts w:ascii="Arial" w:hAnsi="Arial"/>
          <w:bCs/>
          <w:sz w:val="18"/>
          <w:szCs w:val="18"/>
          <w:lang w:val="en-IE"/>
        </w:rPr>
        <w:t xml:space="preserve">PCR test </w:t>
      </w:r>
      <w:r w:rsidRPr="00D403F5">
        <w:rPr>
          <w:rFonts w:ascii="Arial" w:hAnsi="Arial"/>
          <w:bCs/>
          <w:sz w:val="18"/>
          <w:szCs w:val="18"/>
          <w:u w:val="double"/>
          <w:lang w:val="en-IE"/>
        </w:rPr>
        <w:t>followed by</w:t>
      </w:r>
      <w:r w:rsidRPr="00D403F5">
        <w:rPr>
          <w:rFonts w:ascii="Arial" w:hAnsi="Arial"/>
          <w:bCs/>
          <w:sz w:val="18"/>
          <w:szCs w:val="18"/>
          <w:lang w:val="en-IE"/>
        </w:rPr>
        <w:t xml:space="preserve"> </w:t>
      </w:r>
      <w:r w:rsidRPr="00D403F5">
        <w:rPr>
          <w:rFonts w:ascii="Arial" w:hAnsi="Arial"/>
          <w:bCs/>
          <w:strike/>
          <w:sz w:val="18"/>
          <w:szCs w:val="18"/>
          <w:lang w:val="en-IE"/>
        </w:rPr>
        <w:t>and</w:t>
      </w:r>
      <w:r w:rsidRPr="00D403F5">
        <w:rPr>
          <w:rFonts w:ascii="Arial" w:hAnsi="Arial"/>
          <w:bCs/>
          <w:sz w:val="18"/>
          <w:szCs w:val="18"/>
          <w:lang w:val="en-IE"/>
        </w:rPr>
        <w:t xml:space="preserve"> amplicon sequencing</w:t>
      </w:r>
    </w:p>
    <w:p w14:paraId="2CDB1D5D" w14:textId="77777777" w:rsidR="00C7266C" w:rsidRPr="00D403F5" w:rsidRDefault="00C7266C" w:rsidP="00D403F5">
      <w:pPr>
        <w:spacing w:after="0"/>
        <w:ind w:left="851"/>
        <w:jc w:val="both"/>
        <w:rPr>
          <w:rFonts w:ascii="Arial" w:hAnsi="Arial"/>
          <w:bCs/>
          <w:sz w:val="18"/>
          <w:szCs w:val="18"/>
          <w:lang w:val="en-IE"/>
        </w:rPr>
      </w:pPr>
      <w:r w:rsidRPr="00D403F5">
        <w:rPr>
          <w:rFonts w:ascii="Arial" w:hAnsi="Arial"/>
          <w:bCs/>
          <w:sz w:val="18"/>
          <w:szCs w:val="18"/>
          <w:lang w:val="en-IE"/>
        </w:rPr>
        <w:t>Reference Laboratories should be contacted for specimen referral when testing laboratories cannot undertake any of the recommended test methods and testing is being undertaken that will result in notification to the OIE.</w:t>
      </w:r>
    </w:p>
    <w:p w14:paraId="6D02517F" w14:textId="77777777" w:rsidR="00C7266C" w:rsidRPr="00D403F5" w:rsidRDefault="00C7266C" w:rsidP="00D403F5">
      <w:pPr>
        <w:spacing w:after="0"/>
        <w:rPr>
          <w:rFonts w:ascii="Ottawa" w:hAnsi="Ottawa"/>
          <w:b/>
          <w:bCs/>
          <w:sz w:val="18"/>
          <w:szCs w:val="18"/>
          <w:lang w:eastAsia="fr-FR"/>
        </w:rPr>
      </w:pPr>
      <w:r w:rsidRPr="00D403F5">
        <w:rPr>
          <w:rFonts w:ascii="Ottawa" w:hAnsi="Ottawa"/>
          <w:b/>
          <w:bCs/>
          <w:sz w:val="18"/>
          <w:szCs w:val="18"/>
          <w:lang w:eastAsia="fr-FR"/>
        </w:rPr>
        <w:br w:type="page"/>
      </w:r>
    </w:p>
    <w:p w14:paraId="0CFD77BD" w14:textId="77777777" w:rsidR="00C7266C" w:rsidRPr="00D403F5" w:rsidRDefault="00C7266C" w:rsidP="0076436B">
      <w:pPr>
        <w:spacing w:after="480"/>
        <w:jc w:val="right"/>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72E75836" w14:textId="77777777" w:rsidR="00C7266C" w:rsidRPr="00D403F5" w:rsidRDefault="00C7266C" w:rsidP="00D403F5">
      <w:pPr>
        <w:keepNext/>
        <w:keepLines/>
        <w:spacing w:after="0"/>
        <w:ind w:left="425" w:hanging="425"/>
        <w:jc w:val="both"/>
        <w:rPr>
          <w:rFonts w:ascii="Ottawa" w:hAnsi="Ottawa"/>
          <w:b/>
          <w:bCs/>
          <w:sz w:val="18"/>
          <w:szCs w:val="18"/>
          <w:lang w:eastAsia="fr-FR"/>
        </w:rPr>
      </w:pPr>
      <w:r w:rsidRPr="00D403F5">
        <w:rPr>
          <w:rFonts w:ascii="Ottawa" w:hAnsi="Ottawa"/>
          <w:b/>
          <w:bCs/>
          <w:sz w:val="18"/>
          <w:szCs w:val="18"/>
          <w:lang w:eastAsia="fr-FR"/>
        </w:rPr>
        <w:t>6.3.</w:t>
      </w:r>
      <w:r w:rsidRPr="00D403F5">
        <w:rPr>
          <w:rFonts w:ascii="Ottawa" w:hAnsi="Ottawa"/>
          <w:b/>
          <w:bCs/>
          <w:sz w:val="18"/>
          <w:szCs w:val="18"/>
          <w:lang w:eastAsia="fr-FR"/>
        </w:rPr>
        <w:tab/>
        <w:t xml:space="preserve">Diagnostic sensitivity and specificity for diagnostic tests </w:t>
      </w:r>
    </w:p>
    <w:tbl>
      <w:tblPr>
        <w:tblW w:w="91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134"/>
        <w:gridCol w:w="1134"/>
        <w:gridCol w:w="1276"/>
        <w:gridCol w:w="850"/>
        <w:gridCol w:w="993"/>
        <w:gridCol w:w="1020"/>
        <w:gridCol w:w="850"/>
      </w:tblGrid>
      <w:tr w:rsidR="00C7266C" w:rsidRPr="00D403F5" w14:paraId="5BE05116" w14:textId="77777777" w:rsidTr="00C7266C">
        <w:tc>
          <w:tcPr>
            <w:tcW w:w="709" w:type="dxa"/>
            <w:shd w:val="clear" w:color="auto" w:fill="auto"/>
          </w:tcPr>
          <w:p w14:paraId="3030058E"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Test type</w:t>
            </w:r>
          </w:p>
        </w:tc>
        <w:tc>
          <w:tcPr>
            <w:tcW w:w="1134" w:type="dxa"/>
            <w:shd w:val="clear" w:color="auto" w:fill="auto"/>
          </w:tcPr>
          <w:p w14:paraId="3D51EEAE"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Test purpose</w:t>
            </w:r>
          </w:p>
        </w:tc>
        <w:tc>
          <w:tcPr>
            <w:tcW w:w="1134" w:type="dxa"/>
            <w:shd w:val="clear" w:color="auto" w:fill="auto"/>
          </w:tcPr>
          <w:p w14:paraId="0B3E57BD"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Source population</w:t>
            </w:r>
          </w:p>
        </w:tc>
        <w:tc>
          <w:tcPr>
            <w:tcW w:w="1134" w:type="dxa"/>
            <w:shd w:val="clear" w:color="auto" w:fill="auto"/>
          </w:tcPr>
          <w:p w14:paraId="71B8AEEC"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Tissue/ sample type</w:t>
            </w:r>
          </w:p>
        </w:tc>
        <w:tc>
          <w:tcPr>
            <w:tcW w:w="1276" w:type="dxa"/>
            <w:shd w:val="clear" w:color="auto" w:fill="auto"/>
          </w:tcPr>
          <w:p w14:paraId="551B7597"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Species</w:t>
            </w:r>
          </w:p>
        </w:tc>
        <w:tc>
          <w:tcPr>
            <w:tcW w:w="850" w:type="dxa"/>
            <w:shd w:val="clear" w:color="auto" w:fill="auto"/>
          </w:tcPr>
          <w:p w14:paraId="197B043D"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DSe (</w:t>
            </w:r>
            <w:r w:rsidRPr="00D403F5">
              <w:rPr>
                <w:rFonts w:ascii="Arial Narrow" w:hAnsi="Arial Narrow" w:cs="Arial"/>
                <w:b/>
                <w:i/>
                <w:sz w:val="18"/>
                <w:szCs w:val="18"/>
              </w:rPr>
              <w:t>n</w:t>
            </w:r>
            <w:r w:rsidRPr="00D403F5">
              <w:rPr>
                <w:rFonts w:ascii="Arial Narrow" w:hAnsi="Arial Narrow" w:cs="Arial"/>
                <w:b/>
                <w:sz w:val="18"/>
                <w:szCs w:val="18"/>
              </w:rPr>
              <w:t>)</w:t>
            </w:r>
          </w:p>
        </w:tc>
        <w:tc>
          <w:tcPr>
            <w:tcW w:w="993" w:type="dxa"/>
            <w:shd w:val="clear" w:color="auto" w:fill="auto"/>
          </w:tcPr>
          <w:p w14:paraId="1F5E5E98"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DSp (</w:t>
            </w:r>
            <w:r w:rsidRPr="00D403F5">
              <w:rPr>
                <w:rFonts w:ascii="Arial Narrow" w:hAnsi="Arial Narrow" w:cs="Arial"/>
                <w:b/>
                <w:i/>
                <w:sz w:val="18"/>
                <w:szCs w:val="18"/>
              </w:rPr>
              <w:t>n</w:t>
            </w:r>
            <w:r w:rsidRPr="00D403F5">
              <w:rPr>
                <w:rFonts w:ascii="Arial Narrow" w:hAnsi="Arial Narrow" w:cs="Arial"/>
                <w:b/>
                <w:sz w:val="18"/>
                <w:szCs w:val="18"/>
              </w:rPr>
              <w:t>)</w:t>
            </w:r>
          </w:p>
        </w:tc>
        <w:tc>
          <w:tcPr>
            <w:tcW w:w="1020" w:type="dxa"/>
            <w:shd w:val="clear" w:color="auto" w:fill="auto"/>
          </w:tcPr>
          <w:p w14:paraId="025FBD2C"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Reference test</w:t>
            </w:r>
          </w:p>
        </w:tc>
        <w:tc>
          <w:tcPr>
            <w:tcW w:w="850" w:type="dxa"/>
            <w:shd w:val="clear" w:color="auto" w:fill="auto"/>
          </w:tcPr>
          <w:p w14:paraId="2DE8ED32" w14:textId="77777777" w:rsidR="00C7266C" w:rsidRPr="00D403F5" w:rsidRDefault="00C7266C" w:rsidP="00D403F5">
            <w:pPr>
              <w:spacing w:after="0"/>
              <w:rPr>
                <w:rFonts w:ascii="Arial Narrow" w:hAnsi="Arial Narrow" w:cs="Arial"/>
                <w:b/>
                <w:sz w:val="18"/>
                <w:szCs w:val="18"/>
              </w:rPr>
            </w:pPr>
            <w:r w:rsidRPr="00D403F5">
              <w:rPr>
                <w:rFonts w:ascii="Arial Narrow" w:hAnsi="Arial Narrow" w:cs="Arial"/>
                <w:b/>
                <w:sz w:val="18"/>
                <w:szCs w:val="18"/>
              </w:rPr>
              <w:t>Citation</w:t>
            </w:r>
          </w:p>
        </w:tc>
      </w:tr>
      <w:tr w:rsidR="00C7266C" w:rsidRPr="00D403F5" w14:paraId="2BB1BC0C" w14:textId="77777777" w:rsidTr="00C7266C">
        <w:tc>
          <w:tcPr>
            <w:tcW w:w="709" w:type="dxa"/>
            <w:shd w:val="clear" w:color="auto" w:fill="auto"/>
          </w:tcPr>
          <w:p w14:paraId="47939321"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Cell culture</w:t>
            </w:r>
          </w:p>
        </w:tc>
        <w:tc>
          <w:tcPr>
            <w:tcW w:w="1134" w:type="dxa"/>
            <w:shd w:val="clear" w:color="auto" w:fill="auto"/>
          </w:tcPr>
          <w:p w14:paraId="0380468A"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Surveillance, diagnosis</w:t>
            </w:r>
          </w:p>
        </w:tc>
        <w:tc>
          <w:tcPr>
            <w:tcW w:w="1134" w:type="dxa"/>
            <w:shd w:val="clear" w:color="auto" w:fill="auto"/>
          </w:tcPr>
          <w:p w14:paraId="6B1EBEAC"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1134" w:type="dxa"/>
            <w:shd w:val="clear" w:color="auto" w:fill="auto"/>
          </w:tcPr>
          <w:p w14:paraId="1585C293"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Tissue homogenates</w:t>
            </w:r>
          </w:p>
        </w:tc>
        <w:tc>
          <w:tcPr>
            <w:tcW w:w="1276" w:type="dxa"/>
            <w:shd w:val="clear" w:color="auto" w:fill="auto"/>
          </w:tcPr>
          <w:p w14:paraId="47863F11"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042E5BD3"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Not available</w:t>
            </w:r>
          </w:p>
        </w:tc>
        <w:tc>
          <w:tcPr>
            <w:tcW w:w="993" w:type="dxa"/>
            <w:shd w:val="clear" w:color="auto" w:fill="auto"/>
          </w:tcPr>
          <w:p w14:paraId="01856FAB"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Not available</w:t>
            </w:r>
          </w:p>
        </w:tc>
        <w:tc>
          <w:tcPr>
            <w:tcW w:w="1020" w:type="dxa"/>
            <w:shd w:val="clear" w:color="auto" w:fill="auto"/>
          </w:tcPr>
          <w:p w14:paraId="7719A791"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2E3E6B93"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r>
      <w:tr w:rsidR="00C7266C" w:rsidRPr="00D403F5" w14:paraId="68E6D61F" w14:textId="77777777" w:rsidTr="00C7266C">
        <w:tc>
          <w:tcPr>
            <w:tcW w:w="709" w:type="dxa"/>
            <w:shd w:val="clear" w:color="auto" w:fill="auto"/>
          </w:tcPr>
          <w:p w14:paraId="5C87E370"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RT-PCR</w:t>
            </w:r>
          </w:p>
        </w:tc>
        <w:tc>
          <w:tcPr>
            <w:tcW w:w="1134" w:type="dxa"/>
            <w:shd w:val="clear" w:color="auto" w:fill="auto"/>
          </w:tcPr>
          <w:p w14:paraId="642D19AD"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Surveillance, diagnosis</w:t>
            </w:r>
          </w:p>
        </w:tc>
        <w:tc>
          <w:tcPr>
            <w:tcW w:w="1134" w:type="dxa"/>
            <w:shd w:val="clear" w:color="auto" w:fill="auto"/>
          </w:tcPr>
          <w:p w14:paraId="313EE175"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1134" w:type="dxa"/>
            <w:shd w:val="clear" w:color="auto" w:fill="auto"/>
          </w:tcPr>
          <w:p w14:paraId="545C16A6"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Tissue homogenates</w:t>
            </w:r>
          </w:p>
        </w:tc>
        <w:tc>
          <w:tcPr>
            <w:tcW w:w="1276" w:type="dxa"/>
            <w:shd w:val="clear" w:color="auto" w:fill="auto"/>
          </w:tcPr>
          <w:p w14:paraId="6BDDD3A4"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380D25A7"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Not available</w:t>
            </w:r>
          </w:p>
        </w:tc>
        <w:tc>
          <w:tcPr>
            <w:tcW w:w="993" w:type="dxa"/>
            <w:shd w:val="clear" w:color="auto" w:fill="auto"/>
          </w:tcPr>
          <w:p w14:paraId="6B6A40DF"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Not available</w:t>
            </w:r>
          </w:p>
        </w:tc>
        <w:tc>
          <w:tcPr>
            <w:tcW w:w="1020" w:type="dxa"/>
            <w:shd w:val="clear" w:color="auto" w:fill="auto"/>
          </w:tcPr>
          <w:p w14:paraId="6647969B"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6369B237"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r>
      <w:tr w:rsidR="00C7266C" w:rsidRPr="00D403F5" w14:paraId="71F094E9" w14:textId="77777777" w:rsidTr="00C7266C">
        <w:tc>
          <w:tcPr>
            <w:tcW w:w="709" w:type="dxa"/>
            <w:shd w:val="clear" w:color="auto" w:fill="auto"/>
          </w:tcPr>
          <w:p w14:paraId="7AB163E9"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RT-PCR</w:t>
            </w:r>
          </w:p>
        </w:tc>
        <w:tc>
          <w:tcPr>
            <w:tcW w:w="1134" w:type="dxa"/>
            <w:shd w:val="clear" w:color="auto" w:fill="auto"/>
          </w:tcPr>
          <w:p w14:paraId="0252DD21"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Surveillance, diagnosis</w:t>
            </w:r>
          </w:p>
        </w:tc>
        <w:tc>
          <w:tcPr>
            <w:tcW w:w="1134" w:type="dxa"/>
            <w:shd w:val="clear" w:color="auto" w:fill="auto"/>
          </w:tcPr>
          <w:p w14:paraId="3FF9FBA7"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1134" w:type="dxa"/>
            <w:shd w:val="clear" w:color="auto" w:fill="auto"/>
          </w:tcPr>
          <w:p w14:paraId="74380624"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 xml:space="preserve">Cell culture </w:t>
            </w:r>
          </w:p>
        </w:tc>
        <w:tc>
          <w:tcPr>
            <w:tcW w:w="1276" w:type="dxa"/>
            <w:shd w:val="clear" w:color="auto" w:fill="auto"/>
          </w:tcPr>
          <w:p w14:paraId="24508712"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405A77E9"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Not available</w:t>
            </w:r>
          </w:p>
        </w:tc>
        <w:tc>
          <w:tcPr>
            <w:tcW w:w="993" w:type="dxa"/>
            <w:shd w:val="clear" w:color="auto" w:fill="auto"/>
          </w:tcPr>
          <w:p w14:paraId="69B6EC3A"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Not available</w:t>
            </w:r>
          </w:p>
        </w:tc>
        <w:tc>
          <w:tcPr>
            <w:tcW w:w="1020" w:type="dxa"/>
            <w:shd w:val="clear" w:color="auto" w:fill="auto"/>
          </w:tcPr>
          <w:p w14:paraId="29914AF5"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c>
          <w:tcPr>
            <w:tcW w:w="850" w:type="dxa"/>
            <w:shd w:val="clear" w:color="auto" w:fill="auto"/>
          </w:tcPr>
          <w:p w14:paraId="45F56355" w14:textId="77777777" w:rsidR="00C7266C" w:rsidRPr="00D403F5" w:rsidRDefault="00C7266C" w:rsidP="00D403F5">
            <w:pPr>
              <w:spacing w:after="0"/>
              <w:rPr>
                <w:rFonts w:ascii="Arial Narrow" w:hAnsi="Arial Narrow" w:cs="Arial"/>
                <w:sz w:val="18"/>
                <w:szCs w:val="18"/>
                <w:u w:val="double"/>
              </w:rPr>
            </w:pPr>
            <w:r w:rsidRPr="00D403F5">
              <w:rPr>
                <w:rFonts w:ascii="Arial Narrow" w:hAnsi="Arial Narrow" w:cs="Arial"/>
                <w:sz w:val="18"/>
                <w:szCs w:val="18"/>
                <w:u w:val="double"/>
              </w:rPr>
              <w:t>–</w:t>
            </w:r>
          </w:p>
        </w:tc>
      </w:tr>
      <w:tr w:rsidR="00C7266C" w:rsidRPr="00D403F5" w14:paraId="4F5473E5" w14:textId="77777777" w:rsidTr="00C7266C">
        <w:tc>
          <w:tcPr>
            <w:tcW w:w="709" w:type="dxa"/>
            <w:shd w:val="clear" w:color="auto" w:fill="auto"/>
          </w:tcPr>
          <w:p w14:paraId="358D911A"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RT-LAMP*</w:t>
            </w:r>
          </w:p>
        </w:tc>
        <w:tc>
          <w:tcPr>
            <w:tcW w:w="1134" w:type="dxa"/>
            <w:shd w:val="clear" w:color="auto" w:fill="auto"/>
          </w:tcPr>
          <w:p w14:paraId="13045FD9"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Surveillance</w:t>
            </w:r>
          </w:p>
        </w:tc>
        <w:tc>
          <w:tcPr>
            <w:tcW w:w="1134" w:type="dxa"/>
            <w:shd w:val="clear" w:color="auto" w:fill="auto"/>
          </w:tcPr>
          <w:p w14:paraId="29DDD3A9"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Live imported fish</w:t>
            </w:r>
          </w:p>
        </w:tc>
        <w:tc>
          <w:tcPr>
            <w:tcW w:w="1134" w:type="dxa"/>
            <w:shd w:val="clear" w:color="auto" w:fill="auto"/>
          </w:tcPr>
          <w:p w14:paraId="3E0DCD57"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Spleen, kidney and brain homogenate</w:t>
            </w:r>
          </w:p>
        </w:tc>
        <w:tc>
          <w:tcPr>
            <w:tcW w:w="1276" w:type="dxa"/>
            <w:shd w:val="clear" w:color="auto" w:fill="auto"/>
          </w:tcPr>
          <w:p w14:paraId="328B5F5E"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Common carp, koi, goldfish</w:t>
            </w:r>
          </w:p>
        </w:tc>
        <w:tc>
          <w:tcPr>
            <w:tcW w:w="850" w:type="dxa"/>
            <w:shd w:val="clear" w:color="auto" w:fill="auto"/>
          </w:tcPr>
          <w:p w14:paraId="27D66E0B"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92.6 (27)</w:t>
            </w:r>
          </w:p>
        </w:tc>
        <w:tc>
          <w:tcPr>
            <w:tcW w:w="993" w:type="dxa"/>
            <w:shd w:val="clear" w:color="auto" w:fill="auto"/>
          </w:tcPr>
          <w:p w14:paraId="68486E1E"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98.2 (445)</w:t>
            </w:r>
          </w:p>
        </w:tc>
        <w:tc>
          <w:tcPr>
            <w:tcW w:w="1020" w:type="dxa"/>
            <w:shd w:val="clear" w:color="auto" w:fill="auto"/>
          </w:tcPr>
          <w:p w14:paraId="3DB551BC"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Virus isolation</w:t>
            </w:r>
          </w:p>
        </w:tc>
        <w:tc>
          <w:tcPr>
            <w:tcW w:w="850" w:type="dxa"/>
            <w:shd w:val="clear" w:color="auto" w:fill="auto"/>
          </w:tcPr>
          <w:p w14:paraId="700D7528" w14:textId="77777777" w:rsidR="00C7266C" w:rsidRPr="00D403F5" w:rsidRDefault="00C7266C" w:rsidP="00D403F5">
            <w:pPr>
              <w:spacing w:after="0"/>
              <w:rPr>
                <w:rFonts w:ascii="Arial Narrow" w:hAnsi="Arial Narrow" w:cs="Arial"/>
                <w:strike/>
                <w:sz w:val="18"/>
                <w:szCs w:val="18"/>
              </w:rPr>
            </w:pPr>
            <w:r w:rsidRPr="00D403F5">
              <w:rPr>
                <w:rFonts w:ascii="Arial Narrow" w:hAnsi="Arial Narrow" w:cs="Arial"/>
                <w:strike/>
                <w:sz w:val="18"/>
                <w:szCs w:val="18"/>
              </w:rPr>
              <w:t xml:space="preserve">Liu </w:t>
            </w:r>
            <w:r w:rsidRPr="00D403F5">
              <w:rPr>
                <w:rFonts w:ascii="Arial Narrow" w:hAnsi="Arial Narrow" w:cs="Arial"/>
                <w:i/>
                <w:strike/>
                <w:sz w:val="18"/>
                <w:szCs w:val="18"/>
              </w:rPr>
              <w:t>et al.,</w:t>
            </w:r>
            <w:r w:rsidRPr="00D403F5">
              <w:rPr>
                <w:rFonts w:ascii="Arial Narrow" w:hAnsi="Arial Narrow" w:cs="Arial"/>
                <w:strike/>
                <w:sz w:val="18"/>
                <w:szCs w:val="18"/>
              </w:rPr>
              <w:t xml:space="preserve"> 2008</w:t>
            </w:r>
          </w:p>
        </w:tc>
      </w:tr>
    </w:tbl>
    <w:p w14:paraId="75EEF579" w14:textId="77777777" w:rsidR="00C7266C" w:rsidRPr="00D403F5" w:rsidRDefault="00C7266C" w:rsidP="00D403F5">
      <w:pPr>
        <w:spacing w:after="0"/>
        <w:jc w:val="center"/>
        <w:rPr>
          <w:rFonts w:ascii="Arial" w:hAnsi="Arial" w:cs="Arial"/>
          <w:b/>
          <w:sz w:val="18"/>
          <w:szCs w:val="18"/>
        </w:rPr>
      </w:pPr>
      <w:r w:rsidRPr="00D403F5">
        <w:rPr>
          <w:rFonts w:ascii="Arial" w:hAnsi="Arial" w:cs="Arial"/>
          <w:sz w:val="18"/>
          <w:szCs w:val="18"/>
        </w:rPr>
        <w:t xml:space="preserve">DSe: = diagnostic sensitivity, DSp = diagnostic specificity, </w:t>
      </w:r>
      <w:r w:rsidRPr="00D403F5">
        <w:rPr>
          <w:rFonts w:ascii="Arial" w:hAnsi="Arial" w:cs="Arial"/>
          <w:sz w:val="18"/>
          <w:szCs w:val="18"/>
        </w:rPr>
        <w:br/>
        <w:t xml:space="preserve">RT-LAMP: = real-time </w:t>
      </w:r>
      <w:r w:rsidRPr="00D403F5">
        <w:rPr>
          <w:rFonts w:ascii="Arial" w:hAnsi="Arial" w:cs="Arial"/>
          <w:sz w:val="18"/>
          <w:szCs w:val="18"/>
          <w:lang w:val="en-IE"/>
        </w:rPr>
        <w:t>loop mediated isothermal amplification</w:t>
      </w:r>
      <w:r w:rsidRPr="00D403F5">
        <w:rPr>
          <w:rFonts w:ascii="Arial" w:hAnsi="Arial" w:cs="Arial"/>
          <w:sz w:val="18"/>
          <w:szCs w:val="18"/>
        </w:rPr>
        <w:t>. *Listed as suitable test</w:t>
      </w:r>
    </w:p>
    <w:p w14:paraId="6B4C28A0" w14:textId="77777777" w:rsidR="00C7266C" w:rsidRPr="00D403F5" w:rsidRDefault="00C7266C" w:rsidP="00D403F5">
      <w:pPr>
        <w:pStyle w:val="13"/>
        <w:spacing w:after="0"/>
        <w:rPr>
          <w:sz w:val="18"/>
          <w:szCs w:val="18"/>
          <w:lang w:bidi="en-US"/>
        </w:rPr>
      </w:pPr>
      <w:r w:rsidRPr="00D403F5">
        <w:rPr>
          <w:sz w:val="18"/>
          <w:szCs w:val="18"/>
          <w:lang w:bidi="en-US"/>
        </w:rPr>
        <w:t>7.</w:t>
      </w:r>
      <w:r w:rsidRPr="00D403F5">
        <w:rPr>
          <w:sz w:val="18"/>
          <w:szCs w:val="18"/>
          <w:lang w:bidi="en-US"/>
        </w:rPr>
        <w:tab/>
        <w:t>References</w:t>
      </w:r>
    </w:p>
    <w:p w14:paraId="63BF8420" w14:textId="77777777" w:rsidR="00C7266C" w:rsidRPr="00D403F5" w:rsidRDefault="00C7266C" w:rsidP="00D403F5">
      <w:pPr>
        <w:tabs>
          <w:tab w:val="left" w:pos="0"/>
        </w:tabs>
        <w:spacing w:after="0"/>
        <w:jc w:val="both"/>
        <w:rPr>
          <w:rFonts w:ascii="Arial" w:hAnsi="Arial"/>
          <w:sz w:val="18"/>
          <w:szCs w:val="18"/>
          <w:lang w:val="en-US" w:eastAsia="en-GB"/>
        </w:rPr>
      </w:pPr>
      <w:r w:rsidRPr="00D403F5">
        <w:rPr>
          <w:rFonts w:ascii="Arial" w:hAnsi="Arial"/>
          <w:smallCaps/>
          <w:sz w:val="18"/>
          <w:szCs w:val="18"/>
          <w:lang w:val="en-US" w:eastAsia="en-GB"/>
        </w:rPr>
        <w:t>Ahne</w:t>
      </w:r>
      <w:r w:rsidRPr="00D403F5">
        <w:rPr>
          <w:rFonts w:ascii="Arial" w:hAnsi="Arial"/>
          <w:sz w:val="18"/>
          <w:szCs w:val="18"/>
          <w:lang w:val="en-US" w:eastAsia="en-GB"/>
        </w:rPr>
        <w:t xml:space="preserve"> W. (1976). Untersuchungen über die Stabilität des karpfenpathogenen Virusstammes 10/3. </w:t>
      </w:r>
      <w:r w:rsidRPr="00D403F5">
        <w:rPr>
          <w:rFonts w:ascii="Arial" w:hAnsi="Arial"/>
          <w:i/>
          <w:iCs/>
          <w:sz w:val="18"/>
          <w:szCs w:val="18"/>
          <w:lang w:val="en-US" w:eastAsia="en-GB"/>
        </w:rPr>
        <w:t>Fisch und Umwelt</w:t>
      </w:r>
      <w:r w:rsidRPr="00D403F5">
        <w:rPr>
          <w:rFonts w:ascii="Arial" w:hAnsi="Arial"/>
          <w:sz w:val="18"/>
          <w:szCs w:val="18"/>
          <w:lang w:val="en-US" w:eastAsia="en-GB"/>
        </w:rPr>
        <w:t>,</w:t>
      </w:r>
      <w:r w:rsidRPr="00D403F5">
        <w:rPr>
          <w:rFonts w:ascii="Arial" w:hAnsi="Arial"/>
          <w:i/>
          <w:iCs/>
          <w:sz w:val="18"/>
          <w:szCs w:val="18"/>
          <w:lang w:val="en-US" w:eastAsia="en-GB"/>
        </w:rPr>
        <w:t xml:space="preserve"> </w:t>
      </w:r>
      <w:r w:rsidRPr="00D403F5">
        <w:rPr>
          <w:rFonts w:ascii="Arial" w:hAnsi="Arial"/>
          <w:b/>
          <w:bCs/>
          <w:sz w:val="18"/>
          <w:szCs w:val="18"/>
          <w:lang w:val="en-US" w:eastAsia="en-GB"/>
        </w:rPr>
        <w:t>2</w:t>
      </w:r>
      <w:r w:rsidRPr="00D403F5">
        <w:rPr>
          <w:rFonts w:ascii="Arial" w:hAnsi="Arial"/>
          <w:bCs/>
          <w:sz w:val="18"/>
          <w:szCs w:val="18"/>
          <w:lang w:val="en-US" w:eastAsia="en-GB"/>
        </w:rPr>
        <w:t>,</w:t>
      </w:r>
      <w:r w:rsidRPr="00D403F5">
        <w:rPr>
          <w:rFonts w:ascii="Arial" w:hAnsi="Arial"/>
          <w:i/>
          <w:iCs/>
          <w:sz w:val="18"/>
          <w:szCs w:val="18"/>
          <w:lang w:val="en-US" w:eastAsia="en-GB"/>
        </w:rPr>
        <w:t xml:space="preserve"> </w:t>
      </w:r>
      <w:r w:rsidRPr="00D403F5">
        <w:rPr>
          <w:rFonts w:ascii="Arial" w:hAnsi="Arial"/>
          <w:sz w:val="18"/>
          <w:szCs w:val="18"/>
          <w:lang w:val="en-US" w:eastAsia="en-GB"/>
        </w:rPr>
        <w:t>121–127.</w:t>
      </w:r>
    </w:p>
    <w:p w14:paraId="453C9F29" w14:textId="77777777" w:rsidR="00C7266C" w:rsidRPr="00D403F5" w:rsidRDefault="00C7266C" w:rsidP="00D403F5">
      <w:pPr>
        <w:tabs>
          <w:tab w:val="left" w:pos="0"/>
        </w:tabs>
        <w:spacing w:after="0"/>
        <w:jc w:val="both"/>
        <w:rPr>
          <w:rFonts w:ascii="Arial" w:hAnsi="Arial" w:cs="Arial"/>
          <w:noProof/>
          <w:sz w:val="18"/>
          <w:szCs w:val="18"/>
          <w:lang w:val="en-US" w:bidi="en-US"/>
        </w:rPr>
      </w:pPr>
      <w:r w:rsidRPr="00D403F5">
        <w:rPr>
          <w:rFonts w:ascii="Arial" w:hAnsi="Arial"/>
          <w:smallCaps/>
          <w:sz w:val="18"/>
          <w:szCs w:val="18"/>
          <w:lang w:val="en-US" w:bidi="en-US"/>
        </w:rPr>
        <w:t>Ahne</w:t>
      </w:r>
      <w:r w:rsidRPr="00D403F5">
        <w:rPr>
          <w:rFonts w:ascii="Arial" w:hAnsi="Arial"/>
          <w:sz w:val="18"/>
          <w:szCs w:val="18"/>
          <w:lang w:val="en-US" w:bidi="en-US"/>
        </w:rPr>
        <w:t xml:space="preserve"> W. (1982). Vergleichende Untersuchungen über die Stabilität von vier fischpathogenen Viren (VHSV, PFR, SVCV, IPNV). </w:t>
      </w:r>
      <w:r w:rsidRPr="00D403F5">
        <w:rPr>
          <w:rFonts w:ascii="Arial" w:hAnsi="Arial"/>
          <w:i/>
          <w:iCs/>
          <w:sz w:val="18"/>
          <w:szCs w:val="18"/>
          <w:lang w:val="en-US" w:bidi="en-US"/>
        </w:rPr>
        <w:t>Zbl. Vet. Med. B</w:t>
      </w:r>
      <w:r w:rsidRPr="00D403F5">
        <w:rPr>
          <w:rFonts w:ascii="Arial" w:hAnsi="Arial"/>
          <w:sz w:val="18"/>
          <w:szCs w:val="18"/>
          <w:lang w:val="en-US" w:bidi="en-US"/>
        </w:rPr>
        <w:t xml:space="preserve">, </w:t>
      </w:r>
      <w:r w:rsidRPr="00D403F5">
        <w:rPr>
          <w:rFonts w:ascii="Arial" w:hAnsi="Arial"/>
          <w:b/>
          <w:bCs/>
          <w:sz w:val="18"/>
          <w:szCs w:val="18"/>
          <w:lang w:val="en-US" w:bidi="en-US"/>
        </w:rPr>
        <w:t>29</w:t>
      </w:r>
      <w:r w:rsidRPr="00D403F5">
        <w:rPr>
          <w:rFonts w:ascii="Arial" w:hAnsi="Arial"/>
          <w:sz w:val="18"/>
          <w:szCs w:val="18"/>
          <w:lang w:val="en-US" w:bidi="en-US"/>
        </w:rPr>
        <w:t>, 457–476.</w:t>
      </w:r>
    </w:p>
    <w:p w14:paraId="41B2B213" w14:textId="77777777" w:rsidR="00C7266C" w:rsidRPr="00D403F5" w:rsidRDefault="00C7266C" w:rsidP="00D403F5">
      <w:pPr>
        <w:tabs>
          <w:tab w:val="left" w:pos="0"/>
        </w:tabs>
        <w:spacing w:after="0"/>
        <w:jc w:val="both"/>
        <w:rPr>
          <w:rFonts w:ascii="Arial" w:hAnsi="Arial" w:cs="Arial"/>
          <w:noProof/>
          <w:sz w:val="18"/>
          <w:szCs w:val="18"/>
          <w:lang w:val="en-US" w:bidi="en-US"/>
        </w:rPr>
      </w:pPr>
      <w:r w:rsidRPr="00D403F5">
        <w:rPr>
          <w:rFonts w:ascii="Arial" w:hAnsi="Arial"/>
          <w:smallCaps/>
          <w:sz w:val="18"/>
          <w:szCs w:val="18"/>
          <w:lang w:val="en-US" w:bidi="en-US"/>
        </w:rPr>
        <w:t>Ahne</w:t>
      </w:r>
      <w:r w:rsidRPr="00D403F5">
        <w:rPr>
          <w:rFonts w:ascii="Arial" w:hAnsi="Arial"/>
          <w:sz w:val="18"/>
          <w:szCs w:val="18"/>
          <w:lang w:val="en-US" w:bidi="en-US"/>
        </w:rPr>
        <w:t xml:space="preserve"> </w:t>
      </w:r>
      <w:r w:rsidRPr="00D403F5">
        <w:rPr>
          <w:rFonts w:ascii="Arial" w:hAnsi="Arial" w:cs="Arial"/>
          <w:noProof/>
          <w:sz w:val="18"/>
          <w:szCs w:val="18"/>
          <w:lang w:val="en-US" w:bidi="en-US"/>
        </w:rPr>
        <w:t xml:space="preserve">W. (1986). Unterschiedliche biologische Eigenschaften 4 cyprinidenpathogener Rhabdovirusisolate. </w:t>
      </w:r>
      <w:r w:rsidRPr="00D403F5">
        <w:rPr>
          <w:rFonts w:ascii="Arial" w:hAnsi="Arial" w:cs="Arial"/>
          <w:i/>
          <w:noProof/>
          <w:sz w:val="18"/>
          <w:szCs w:val="18"/>
          <w:lang w:val="en-US" w:bidi="en-US"/>
        </w:rPr>
        <w:t>J. Vet. Med. B</w:t>
      </w:r>
      <w:r w:rsidRPr="00D403F5">
        <w:rPr>
          <w:rFonts w:ascii="Arial" w:hAnsi="Arial" w:cs="Arial"/>
          <w:noProof/>
          <w:sz w:val="18"/>
          <w:szCs w:val="18"/>
          <w:lang w:val="en-US" w:bidi="en-US"/>
        </w:rPr>
        <w:t>,</w:t>
      </w:r>
      <w:r w:rsidRPr="00D403F5">
        <w:rPr>
          <w:rFonts w:ascii="Arial" w:hAnsi="Arial" w:cs="Arial"/>
          <w:i/>
          <w:noProof/>
          <w:sz w:val="18"/>
          <w:szCs w:val="18"/>
          <w:lang w:val="en-US" w:bidi="en-US"/>
        </w:rPr>
        <w:t xml:space="preserve"> </w:t>
      </w:r>
      <w:r w:rsidRPr="00D403F5">
        <w:rPr>
          <w:rFonts w:ascii="Arial" w:hAnsi="Arial" w:cs="Arial"/>
          <w:b/>
          <w:noProof/>
          <w:sz w:val="18"/>
          <w:szCs w:val="18"/>
          <w:lang w:val="en-US" w:bidi="en-US"/>
        </w:rPr>
        <w:t>33</w:t>
      </w:r>
      <w:r w:rsidRPr="00D403F5">
        <w:rPr>
          <w:rFonts w:ascii="Arial" w:hAnsi="Arial" w:cs="Arial"/>
          <w:noProof/>
          <w:sz w:val="18"/>
          <w:szCs w:val="18"/>
          <w:lang w:val="en-US" w:bidi="en-US"/>
        </w:rPr>
        <w:t>,</w:t>
      </w:r>
      <w:r w:rsidRPr="00D403F5">
        <w:rPr>
          <w:rFonts w:ascii="Arial" w:hAnsi="Arial" w:cs="Arial"/>
          <w:i/>
          <w:noProof/>
          <w:sz w:val="18"/>
          <w:szCs w:val="18"/>
          <w:lang w:val="en-US" w:bidi="en-US"/>
        </w:rPr>
        <w:t xml:space="preserve"> </w:t>
      </w:r>
      <w:r w:rsidRPr="00D403F5">
        <w:rPr>
          <w:rFonts w:ascii="Arial" w:hAnsi="Arial" w:cs="Arial"/>
          <w:noProof/>
          <w:sz w:val="18"/>
          <w:szCs w:val="18"/>
          <w:lang w:val="en-US" w:bidi="en-US"/>
        </w:rPr>
        <w:t xml:space="preserve">253–259. </w:t>
      </w:r>
    </w:p>
    <w:p w14:paraId="7F6655FF" w14:textId="77777777" w:rsidR="00C7266C" w:rsidRPr="00D403F5" w:rsidRDefault="00C7266C" w:rsidP="00D403F5">
      <w:pPr>
        <w:tabs>
          <w:tab w:val="left" w:pos="0"/>
        </w:tabs>
        <w:spacing w:after="0"/>
        <w:jc w:val="both"/>
        <w:rPr>
          <w:rFonts w:ascii="Arial" w:hAnsi="Arial" w:cs="Arial"/>
          <w:noProof/>
          <w:sz w:val="18"/>
          <w:szCs w:val="18"/>
          <w:lang w:bidi="en-US"/>
        </w:rPr>
      </w:pPr>
      <w:r w:rsidRPr="00D403F5">
        <w:rPr>
          <w:rFonts w:ascii="Arial" w:hAnsi="Arial"/>
          <w:sz w:val="18"/>
          <w:szCs w:val="18"/>
          <w:lang w:val="en-US" w:bidi="en-US"/>
        </w:rPr>
        <w:t>A</w:t>
      </w:r>
      <w:r w:rsidRPr="00D403F5">
        <w:rPr>
          <w:rFonts w:ascii="Arial" w:hAnsi="Arial"/>
          <w:smallCaps/>
          <w:sz w:val="18"/>
          <w:szCs w:val="18"/>
          <w:lang w:val="en-US" w:bidi="en-US"/>
        </w:rPr>
        <w:t>hne W., Bjorklund H.V., Essbauer S., Fijan N., Kurath G. &amp; Winton J.R.</w:t>
      </w:r>
      <w:r w:rsidRPr="00D403F5">
        <w:rPr>
          <w:rFonts w:ascii="Arial" w:hAnsi="Arial"/>
          <w:sz w:val="18"/>
          <w:szCs w:val="18"/>
          <w:lang w:val="en-US" w:bidi="en-US"/>
        </w:rPr>
        <w:t xml:space="preserve"> (2002). </w:t>
      </w:r>
      <w:r w:rsidRPr="00D403F5">
        <w:rPr>
          <w:rFonts w:ascii="Arial" w:hAnsi="Arial"/>
          <w:sz w:val="18"/>
          <w:szCs w:val="18"/>
          <w:lang w:val="en-IE" w:bidi="en-US"/>
        </w:rPr>
        <w:t xml:space="preserve">Spring viremia of carp (SVC). </w:t>
      </w:r>
      <w:r w:rsidRPr="00D403F5">
        <w:rPr>
          <w:rFonts w:ascii="Arial" w:hAnsi="Arial"/>
          <w:i/>
          <w:iCs/>
          <w:sz w:val="18"/>
          <w:szCs w:val="18"/>
          <w:lang w:val="en-IE" w:bidi="en-US"/>
        </w:rPr>
        <w:t>Dis. aquat. Org.</w:t>
      </w:r>
      <w:r w:rsidRPr="00D403F5">
        <w:rPr>
          <w:rFonts w:ascii="Arial" w:hAnsi="Arial"/>
          <w:sz w:val="18"/>
          <w:szCs w:val="18"/>
          <w:lang w:val="en-IE" w:bidi="en-US"/>
        </w:rPr>
        <w:t xml:space="preserve">, </w:t>
      </w:r>
      <w:r w:rsidRPr="00D403F5">
        <w:rPr>
          <w:rFonts w:ascii="Arial" w:hAnsi="Arial"/>
          <w:b/>
          <w:bCs/>
          <w:sz w:val="18"/>
          <w:szCs w:val="18"/>
          <w:lang w:val="en-IE" w:bidi="en-US"/>
        </w:rPr>
        <w:t>52</w:t>
      </w:r>
      <w:r w:rsidRPr="00D403F5">
        <w:rPr>
          <w:rFonts w:ascii="Arial" w:hAnsi="Arial"/>
          <w:sz w:val="18"/>
          <w:szCs w:val="18"/>
          <w:lang w:val="en-IE" w:bidi="en-US"/>
        </w:rPr>
        <w:t>, 261–272.</w:t>
      </w:r>
    </w:p>
    <w:p w14:paraId="13FE0256" w14:textId="77777777" w:rsidR="00C7266C" w:rsidRPr="00D403F5" w:rsidRDefault="00C7266C" w:rsidP="00D403F5">
      <w:pPr>
        <w:tabs>
          <w:tab w:val="left" w:pos="0"/>
        </w:tabs>
        <w:spacing w:after="0"/>
        <w:jc w:val="both"/>
        <w:rPr>
          <w:rFonts w:ascii="Arial" w:hAnsi="Arial" w:cs="Arial"/>
          <w:noProof/>
          <w:sz w:val="18"/>
          <w:szCs w:val="18"/>
          <w:lang w:val="de-DE" w:bidi="en-US"/>
        </w:rPr>
      </w:pPr>
      <w:r w:rsidRPr="00D403F5">
        <w:rPr>
          <w:rFonts w:ascii="Arial" w:hAnsi="Arial"/>
          <w:smallCaps/>
          <w:sz w:val="18"/>
          <w:szCs w:val="18"/>
          <w:lang w:val="de-DE" w:bidi="en-US"/>
        </w:rPr>
        <w:t xml:space="preserve">Ahne W. &amp; Held C. </w:t>
      </w:r>
      <w:r w:rsidRPr="00D403F5">
        <w:rPr>
          <w:rFonts w:ascii="Arial" w:hAnsi="Arial"/>
          <w:sz w:val="18"/>
          <w:szCs w:val="18"/>
          <w:lang w:val="de-DE" w:bidi="en-US"/>
        </w:rPr>
        <w:t>(1980). Untersuchungen über die viruzide Wirkung von Actomar</w:t>
      </w:r>
      <w:r w:rsidRPr="00D403F5">
        <w:rPr>
          <w:rFonts w:ascii="Arial" w:hAnsi="Arial"/>
          <w:bCs/>
          <w:position w:val="6"/>
          <w:sz w:val="18"/>
          <w:szCs w:val="18"/>
          <w:lang w:val="de-DE" w:bidi="en-US"/>
        </w:rPr>
        <w:t>®</w:t>
      </w:r>
      <w:r w:rsidRPr="00D403F5">
        <w:rPr>
          <w:rFonts w:ascii="Arial" w:hAnsi="Arial"/>
          <w:sz w:val="18"/>
          <w:szCs w:val="18"/>
          <w:lang w:val="de-DE" w:bidi="en-US"/>
        </w:rPr>
        <w:t xml:space="preserve"> K</w:t>
      </w:r>
      <w:r w:rsidRPr="00D403F5">
        <w:rPr>
          <w:rFonts w:ascii="Arial" w:hAnsi="Arial"/>
          <w:position w:val="-6"/>
          <w:sz w:val="18"/>
          <w:szCs w:val="18"/>
          <w:lang w:val="de-DE" w:bidi="en-US"/>
        </w:rPr>
        <w:t>30</w:t>
      </w:r>
      <w:r w:rsidRPr="00D403F5">
        <w:rPr>
          <w:rFonts w:ascii="Arial" w:hAnsi="Arial"/>
          <w:sz w:val="18"/>
          <w:szCs w:val="18"/>
          <w:lang w:val="de-DE" w:bidi="en-US"/>
        </w:rPr>
        <w:t xml:space="preserve"> auf fischpathogene Viren. </w:t>
      </w:r>
      <w:r w:rsidRPr="00D403F5">
        <w:rPr>
          <w:rFonts w:ascii="Arial" w:hAnsi="Arial"/>
          <w:i/>
          <w:iCs/>
          <w:sz w:val="18"/>
          <w:szCs w:val="18"/>
          <w:lang w:val="de-DE" w:bidi="en-US"/>
        </w:rPr>
        <w:t>Tierärztl. Umsch.</w:t>
      </w:r>
      <w:r w:rsidRPr="00D403F5">
        <w:rPr>
          <w:rFonts w:ascii="Arial" w:hAnsi="Arial"/>
          <w:sz w:val="18"/>
          <w:szCs w:val="18"/>
          <w:lang w:val="de-DE" w:bidi="en-US"/>
        </w:rPr>
        <w:t xml:space="preserve">, </w:t>
      </w:r>
      <w:r w:rsidRPr="00D403F5">
        <w:rPr>
          <w:rFonts w:ascii="Arial" w:hAnsi="Arial"/>
          <w:b/>
          <w:bCs/>
          <w:sz w:val="18"/>
          <w:szCs w:val="18"/>
          <w:lang w:val="de-DE" w:bidi="en-US"/>
        </w:rPr>
        <w:t>35</w:t>
      </w:r>
      <w:r w:rsidRPr="00D403F5">
        <w:rPr>
          <w:rFonts w:ascii="Arial" w:hAnsi="Arial"/>
          <w:sz w:val="18"/>
          <w:szCs w:val="18"/>
          <w:lang w:val="de-DE" w:bidi="en-US"/>
        </w:rPr>
        <w:t>, 308–318.</w:t>
      </w:r>
    </w:p>
    <w:p w14:paraId="12AC69E6" w14:textId="77777777" w:rsidR="00C7266C" w:rsidRPr="00D403F5" w:rsidRDefault="00C7266C" w:rsidP="00D403F5">
      <w:pPr>
        <w:tabs>
          <w:tab w:val="left" w:pos="0"/>
        </w:tabs>
        <w:spacing w:after="0"/>
        <w:jc w:val="both"/>
        <w:rPr>
          <w:rFonts w:ascii="Arial" w:hAnsi="Arial"/>
          <w:smallCaps/>
          <w:sz w:val="18"/>
          <w:szCs w:val="18"/>
          <w:lang w:val="en-US" w:eastAsia="en-GB"/>
        </w:rPr>
      </w:pPr>
      <w:r w:rsidRPr="00D403F5">
        <w:rPr>
          <w:rFonts w:ascii="Arial" w:hAnsi="Arial"/>
          <w:smallCaps/>
          <w:sz w:val="18"/>
          <w:szCs w:val="18"/>
          <w:lang w:val="de-DE" w:eastAsia="en-GB"/>
        </w:rPr>
        <w:t xml:space="preserve">Alikin Y.S., Shchelkunov I.S., Shchelkunova T.I., Kupinskaya O.A., Masycheva V.I., Klimenko V.P. &amp; Fadina V.A. (1996). </w:t>
      </w:r>
      <w:r w:rsidRPr="00D403F5">
        <w:rPr>
          <w:rFonts w:ascii="Arial" w:hAnsi="Arial"/>
          <w:smallCaps/>
          <w:sz w:val="18"/>
          <w:szCs w:val="18"/>
          <w:lang w:val="en-US" w:eastAsia="en-GB"/>
        </w:rPr>
        <w:t>P</w:t>
      </w:r>
      <w:r w:rsidRPr="00D403F5">
        <w:rPr>
          <w:rFonts w:ascii="Arial" w:hAnsi="Arial"/>
          <w:sz w:val="18"/>
          <w:szCs w:val="18"/>
          <w:lang w:val="en-IE" w:bidi="en-US"/>
        </w:rPr>
        <w:t xml:space="preserve">rophylactic treatment of viral diseases in fish using native RNA linked to soluble and corpuscular carriers. </w:t>
      </w:r>
      <w:r w:rsidRPr="00D403F5">
        <w:rPr>
          <w:rFonts w:ascii="Arial" w:hAnsi="Arial"/>
          <w:i/>
          <w:sz w:val="18"/>
          <w:szCs w:val="18"/>
          <w:lang w:val="en-IE" w:bidi="en-US"/>
        </w:rPr>
        <w:t>J. Fish Biol</w:t>
      </w:r>
      <w:r w:rsidRPr="00D403F5">
        <w:rPr>
          <w:rFonts w:ascii="Arial" w:hAnsi="Arial"/>
          <w:sz w:val="18"/>
          <w:szCs w:val="18"/>
          <w:lang w:val="en-IE" w:bidi="en-US"/>
        </w:rPr>
        <w:t xml:space="preserve">., </w:t>
      </w:r>
      <w:r w:rsidRPr="00D403F5">
        <w:rPr>
          <w:rFonts w:ascii="Arial" w:hAnsi="Arial"/>
          <w:b/>
          <w:sz w:val="18"/>
          <w:szCs w:val="18"/>
          <w:lang w:val="en-IE" w:bidi="en-US"/>
        </w:rPr>
        <w:t>49</w:t>
      </w:r>
      <w:r w:rsidRPr="00D403F5">
        <w:rPr>
          <w:rFonts w:ascii="Arial" w:hAnsi="Arial"/>
          <w:smallCaps/>
          <w:sz w:val="18"/>
          <w:szCs w:val="18"/>
          <w:lang w:val="en-US" w:eastAsia="en-GB"/>
        </w:rPr>
        <w:t xml:space="preserve">, 195–205. </w:t>
      </w:r>
    </w:p>
    <w:p w14:paraId="7B67490F" w14:textId="77777777" w:rsidR="00C7266C" w:rsidRPr="00D403F5" w:rsidRDefault="00C7266C" w:rsidP="00D403F5">
      <w:pPr>
        <w:tabs>
          <w:tab w:val="left" w:pos="0"/>
        </w:tabs>
        <w:spacing w:after="0"/>
        <w:jc w:val="both"/>
        <w:rPr>
          <w:rFonts w:ascii="Arial" w:hAnsi="Arial"/>
          <w:smallCaps/>
          <w:sz w:val="18"/>
          <w:szCs w:val="18"/>
          <w:lang w:val="en-IE" w:bidi="en-US"/>
        </w:rPr>
      </w:pPr>
      <w:r w:rsidRPr="00D403F5">
        <w:rPr>
          <w:rFonts w:ascii="Arial" w:hAnsi="Arial"/>
          <w:smallCaps/>
          <w:sz w:val="18"/>
          <w:szCs w:val="18"/>
          <w:lang w:val="en-IE" w:bidi="en-US"/>
        </w:rPr>
        <w:t xml:space="preserve">Bekesi L. &amp; Csontos L. (1985). </w:t>
      </w:r>
      <w:r w:rsidRPr="00D403F5">
        <w:rPr>
          <w:rFonts w:ascii="Arial" w:hAnsi="Arial"/>
          <w:sz w:val="18"/>
          <w:szCs w:val="18"/>
          <w:lang w:val="de-DE" w:bidi="en-US"/>
        </w:rPr>
        <w:t>Isolation of spring viraemia of carp virus from asymptomatic broodstock carp, cyprinus carpio l. J. Fish Dis.,</w:t>
      </w:r>
      <w:r w:rsidRPr="00D403F5">
        <w:rPr>
          <w:rFonts w:ascii="Arial" w:hAnsi="Arial"/>
          <w:smallCaps/>
          <w:sz w:val="18"/>
          <w:szCs w:val="18"/>
          <w:lang w:val="en-IE" w:bidi="en-US"/>
        </w:rPr>
        <w:t xml:space="preserve"> </w:t>
      </w:r>
      <w:r w:rsidRPr="00D403F5">
        <w:rPr>
          <w:rFonts w:ascii="Arial" w:hAnsi="Arial"/>
          <w:b/>
          <w:smallCaps/>
          <w:sz w:val="18"/>
          <w:szCs w:val="18"/>
          <w:lang w:val="en-IE" w:bidi="en-US"/>
        </w:rPr>
        <w:t>8</w:t>
      </w:r>
      <w:r w:rsidRPr="00D403F5">
        <w:rPr>
          <w:rFonts w:ascii="Arial" w:hAnsi="Arial"/>
          <w:smallCaps/>
          <w:sz w:val="18"/>
          <w:szCs w:val="18"/>
          <w:lang w:val="en-IE" w:bidi="en-US"/>
        </w:rPr>
        <w:t>, 471–472.</w:t>
      </w:r>
    </w:p>
    <w:p w14:paraId="446AC09B" w14:textId="77777777" w:rsidR="00C7266C" w:rsidRPr="00D403F5" w:rsidRDefault="00C7266C" w:rsidP="00D403F5">
      <w:pPr>
        <w:tabs>
          <w:tab w:val="left" w:pos="0"/>
        </w:tabs>
        <w:spacing w:after="0"/>
        <w:jc w:val="both"/>
        <w:rPr>
          <w:rFonts w:ascii="Arial" w:hAnsi="Arial"/>
          <w:sz w:val="18"/>
          <w:szCs w:val="18"/>
          <w:u w:val="double"/>
          <w:lang w:val="en-IE" w:bidi="en-US"/>
        </w:rPr>
      </w:pPr>
      <w:r w:rsidRPr="00D403F5">
        <w:rPr>
          <w:rFonts w:ascii="Arial" w:hAnsi="Arial"/>
          <w:smallCaps/>
          <w:sz w:val="18"/>
          <w:szCs w:val="18"/>
          <w:u w:val="double"/>
          <w:lang w:val="en-IE" w:bidi="en-US"/>
        </w:rPr>
        <w:t xml:space="preserve">Billard R. &amp; Berni P. (2004). </w:t>
      </w:r>
      <w:r w:rsidRPr="00D403F5">
        <w:rPr>
          <w:rFonts w:ascii="Arial" w:hAnsi="Arial"/>
          <w:sz w:val="18"/>
          <w:szCs w:val="18"/>
          <w:u w:val="double"/>
          <w:lang w:val="en-IE" w:bidi="en-US"/>
        </w:rPr>
        <w:t xml:space="preserve">Trends in cyprinid polyculture. </w:t>
      </w:r>
      <w:r w:rsidRPr="00D403F5">
        <w:rPr>
          <w:rFonts w:ascii="Arial" w:hAnsi="Arial"/>
          <w:i/>
          <w:sz w:val="18"/>
          <w:szCs w:val="18"/>
          <w:u w:val="double"/>
          <w:lang w:val="en-IE" w:bidi="en-US"/>
        </w:rPr>
        <w:t>Cybium</w:t>
      </w:r>
      <w:r w:rsidRPr="00D403F5">
        <w:rPr>
          <w:rFonts w:ascii="Arial" w:hAnsi="Arial"/>
          <w:sz w:val="18"/>
          <w:szCs w:val="18"/>
          <w:u w:val="double"/>
          <w:lang w:val="en-IE" w:bidi="en-US"/>
        </w:rPr>
        <w:t xml:space="preserve">, </w:t>
      </w:r>
      <w:r w:rsidRPr="00D403F5">
        <w:rPr>
          <w:rFonts w:ascii="Arial" w:hAnsi="Arial"/>
          <w:b/>
          <w:sz w:val="18"/>
          <w:szCs w:val="18"/>
          <w:u w:val="double"/>
          <w:lang w:val="en-IE" w:bidi="en-US"/>
        </w:rPr>
        <w:t>28</w:t>
      </w:r>
      <w:r w:rsidRPr="00D403F5">
        <w:rPr>
          <w:rFonts w:ascii="Arial" w:hAnsi="Arial"/>
          <w:sz w:val="18"/>
          <w:szCs w:val="18"/>
          <w:u w:val="double"/>
          <w:lang w:val="en-IE" w:bidi="en-US"/>
        </w:rPr>
        <w:t>, 255–261.</w:t>
      </w:r>
    </w:p>
    <w:p w14:paraId="4E6BD366" w14:textId="77777777" w:rsidR="00C7266C" w:rsidRPr="00D403F5" w:rsidRDefault="00C7266C" w:rsidP="00D403F5">
      <w:pPr>
        <w:tabs>
          <w:tab w:val="left" w:pos="0"/>
        </w:tabs>
        <w:spacing w:after="0"/>
        <w:jc w:val="both"/>
        <w:rPr>
          <w:rFonts w:ascii="Arial" w:hAnsi="Arial" w:cs="Arial"/>
          <w:noProof/>
          <w:sz w:val="18"/>
          <w:szCs w:val="18"/>
          <w:lang w:bidi="en-US"/>
        </w:rPr>
      </w:pPr>
      <w:r w:rsidRPr="00D403F5">
        <w:rPr>
          <w:rFonts w:ascii="Arial" w:hAnsi="Arial"/>
          <w:smallCaps/>
          <w:sz w:val="18"/>
          <w:szCs w:val="18"/>
          <w:lang w:val="en-IE" w:bidi="en-US"/>
        </w:rPr>
        <w:t>Bjorklund H.V., Higman K.H. &amp; Kurath G.</w:t>
      </w:r>
      <w:r w:rsidRPr="00D403F5">
        <w:rPr>
          <w:rFonts w:ascii="Arial" w:hAnsi="Arial"/>
          <w:sz w:val="18"/>
          <w:szCs w:val="18"/>
          <w:lang w:val="en-IE" w:bidi="en-US"/>
        </w:rPr>
        <w:t xml:space="preserve"> (1996). The glycoprotein genes and gene junctions of the fish rhabdoviruses spring viremia of carp virus and hirame rhabdovirus – analysis of relationships with other rhabdoviruses. </w:t>
      </w:r>
      <w:r w:rsidRPr="00D403F5">
        <w:rPr>
          <w:rFonts w:ascii="Arial" w:hAnsi="Arial"/>
          <w:i/>
          <w:iCs/>
          <w:sz w:val="18"/>
          <w:szCs w:val="18"/>
          <w:lang w:val="en-IE" w:bidi="en-US"/>
        </w:rPr>
        <w:t>Virus Res.</w:t>
      </w:r>
      <w:r w:rsidRPr="00D403F5">
        <w:rPr>
          <w:rFonts w:ascii="Arial" w:hAnsi="Arial"/>
          <w:sz w:val="18"/>
          <w:szCs w:val="18"/>
          <w:lang w:val="en-IE" w:bidi="en-US"/>
        </w:rPr>
        <w:t xml:space="preserve">, </w:t>
      </w:r>
      <w:r w:rsidRPr="00D403F5">
        <w:rPr>
          <w:rFonts w:ascii="Arial" w:hAnsi="Arial"/>
          <w:b/>
          <w:bCs/>
          <w:sz w:val="18"/>
          <w:szCs w:val="18"/>
          <w:lang w:val="en-IE" w:bidi="en-US"/>
        </w:rPr>
        <w:t>42</w:t>
      </w:r>
      <w:r w:rsidRPr="00D403F5">
        <w:rPr>
          <w:rFonts w:ascii="Arial" w:hAnsi="Arial"/>
          <w:sz w:val="18"/>
          <w:szCs w:val="18"/>
          <w:lang w:val="en-IE" w:bidi="en-US"/>
        </w:rPr>
        <w:t>, 65–80.</w:t>
      </w:r>
    </w:p>
    <w:p w14:paraId="23CF4E82" w14:textId="77777777" w:rsidR="00983DC1" w:rsidRPr="00D403F5" w:rsidRDefault="00983DC1" w:rsidP="00D403F5">
      <w:pPr>
        <w:spacing w:after="0"/>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br w:type="page"/>
      </w:r>
    </w:p>
    <w:p w14:paraId="1999C8C6" w14:textId="58392863" w:rsidR="00C7266C" w:rsidRPr="00D403F5" w:rsidRDefault="00C7266C" w:rsidP="0076436B">
      <w:pPr>
        <w:spacing w:after="480"/>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3BB809CE" w14:textId="77777777" w:rsidR="00C7266C" w:rsidRPr="00D403F5" w:rsidRDefault="00C7266C" w:rsidP="00D403F5">
      <w:pPr>
        <w:tabs>
          <w:tab w:val="left" w:pos="0"/>
        </w:tabs>
        <w:spacing w:after="0"/>
        <w:jc w:val="both"/>
        <w:rPr>
          <w:rFonts w:ascii="Arial" w:hAnsi="Arial"/>
          <w:smallCaps/>
          <w:sz w:val="18"/>
          <w:szCs w:val="18"/>
          <w:lang w:val="en-IE" w:bidi="en-US"/>
        </w:rPr>
      </w:pPr>
      <w:r w:rsidRPr="00D403F5">
        <w:rPr>
          <w:rFonts w:ascii="Arial" w:hAnsi="Arial"/>
          <w:smallCaps/>
          <w:sz w:val="18"/>
          <w:szCs w:val="18"/>
          <w:lang w:val="en-IE" w:bidi="en-US"/>
        </w:rPr>
        <w:t xml:space="preserve">Dikkeboom A.L., Radi C., Toohey-Kurth K., Marcquenski S., Engel M., Goodwin A.E., Way K., Stone D.M. &amp; Longshaw C. (2004). </w:t>
      </w:r>
      <w:r w:rsidRPr="00D403F5">
        <w:rPr>
          <w:rFonts w:ascii="Arial" w:hAnsi="Arial"/>
          <w:sz w:val="18"/>
          <w:szCs w:val="18"/>
          <w:lang w:val="en-IE" w:bidi="en-US"/>
        </w:rPr>
        <w:t xml:space="preserve">First Report of Spring Viremia of Carp Virus (SVCV) in Wild Common Carp in North America. </w:t>
      </w:r>
      <w:r w:rsidRPr="00D403F5">
        <w:rPr>
          <w:rFonts w:ascii="Arial" w:hAnsi="Arial"/>
          <w:i/>
          <w:sz w:val="18"/>
          <w:szCs w:val="18"/>
          <w:lang w:val="en-IE" w:bidi="en-US"/>
        </w:rPr>
        <w:t>J. Aquat. Anim. Health</w:t>
      </w:r>
      <w:r w:rsidRPr="00D403F5">
        <w:rPr>
          <w:rFonts w:ascii="Arial" w:hAnsi="Arial"/>
          <w:sz w:val="18"/>
          <w:szCs w:val="18"/>
          <w:lang w:val="en-IE" w:bidi="en-US"/>
        </w:rPr>
        <w:t xml:space="preserve">, </w:t>
      </w:r>
      <w:r w:rsidRPr="00D403F5">
        <w:rPr>
          <w:rFonts w:ascii="Arial" w:hAnsi="Arial"/>
          <w:b/>
          <w:sz w:val="18"/>
          <w:szCs w:val="18"/>
          <w:lang w:val="en-IE" w:bidi="en-US"/>
        </w:rPr>
        <w:t>16</w:t>
      </w:r>
      <w:r w:rsidRPr="00D403F5">
        <w:rPr>
          <w:rFonts w:ascii="Arial" w:hAnsi="Arial"/>
          <w:smallCaps/>
          <w:sz w:val="18"/>
          <w:szCs w:val="18"/>
          <w:lang w:val="en-IE" w:bidi="en-US"/>
        </w:rPr>
        <w:t xml:space="preserve">, 169–178. </w:t>
      </w:r>
    </w:p>
    <w:p w14:paraId="1E5CEE51" w14:textId="77777777" w:rsidR="00C7266C" w:rsidRPr="00D403F5" w:rsidRDefault="00C7266C" w:rsidP="00D403F5">
      <w:pPr>
        <w:tabs>
          <w:tab w:val="left" w:pos="0"/>
        </w:tabs>
        <w:spacing w:after="0"/>
        <w:jc w:val="both"/>
        <w:rPr>
          <w:rFonts w:ascii="Arial" w:hAnsi="Arial" w:cs="Arial"/>
          <w:noProof/>
          <w:sz w:val="18"/>
          <w:szCs w:val="18"/>
          <w:lang w:bidi="en-US"/>
        </w:rPr>
      </w:pPr>
      <w:r w:rsidRPr="00D403F5">
        <w:rPr>
          <w:rFonts w:ascii="Arial" w:hAnsi="Arial"/>
          <w:smallCaps/>
          <w:sz w:val="18"/>
          <w:szCs w:val="18"/>
          <w:lang w:val="en-US" w:bidi="en-US"/>
        </w:rPr>
        <w:t>Dixon</w:t>
      </w:r>
      <w:r w:rsidRPr="00D403F5">
        <w:rPr>
          <w:rFonts w:ascii="Arial" w:hAnsi="Arial"/>
          <w:sz w:val="18"/>
          <w:szCs w:val="18"/>
          <w:lang w:val="en-US" w:bidi="en-US"/>
        </w:rPr>
        <w:t xml:space="preserve"> P.F.</w:t>
      </w:r>
      <w:r w:rsidRPr="00D403F5">
        <w:rPr>
          <w:rFonts w:ascii="Arial" w:hAnsi="Arial" w:cs="Arial"/>
          <w:sz w:val="18"/>
          <w:szCs w:val="18"/>
          <w:lang w:val="en-US" w:bidi="en-US"/>
        </w:rPr>
        <w:t xml:space="preserve"> (2008). </w:t>
      </w:r>
      <w:r w:rsidRPr="00D403F5">
        <w:rPr>
          <w:rFonts w:ascii="Arial" w:hAnsi="Arial"/>
          <w:sz w:val="18"/>
          <w:szCs w:val="18"/>
          <w:lang w:val="en-IE" w:bidi="en-US"/>
        </w:rPr>
        <w:t>Virus diseases of cyprinids</w:t>
      </w:r>
      <w:r w:rsidRPr="00D403F5">
        <w:rPr>
          <w:rFonts w:ascii="Arial" w:hAnsi="Arial" w:cs="Arial"/>
          <w:sz w:val="18"/>
          <w:szCs w:val="18"/>
          <w:lang w:val="en-IE" w:bidi="en-US"/>
        </w:rPr>
        <w:t xml:space="preserve">. </w:t>
      </w:r>
      <w:r w:rsidRPr="00D403F5">
        <w:rPr>
          <w:rFonts w:ascii="Arial" w:hAnsi="Arial" w:cs="Arial"/>
          <w:i/>
          <w:iCs/>
          <w:sz w:val="18"/>
          <w:szCs w:val="18"/>
          <w:lang w:val="en-IE" w:bidi="en-US"/>
        </w:rPr>
        <w:t>In</w:t>
      </w:r>
      <w:r w:rsidRPr="00D403F5">
        <w:rPr>
          <w:rFonts w:ascii="Arial" w:hAnsi="Arial" w:cs="Arial"/>
          <w:sz w:val="18"/>
          <w:szCs w:val="18"/>
          <w:lang w:val="en-IE" w:bidi="en-US"/>
        </w:rPr>
        <w:t xml:space="preserve">: </w:t>
      </w:r>
      <w:r w:rsidRPr="00D403F5">
        <w:rPr>
          <w:rFonts w:ascii="Arial" w:hAnsi="Arial"/>
          <w:sz w:val="18"/>
          <w:szCs w:val="18"/>
          <w:lang w:val="en-IE" w:bidi="en-US"/>
        </w:rPr>
        <w:t>Fish Diseases</w:t>
      </w:r>
      <w:r w:rsidRPr="00D403F5">
        <w:rPr>
          <w:rFonts w:ascii="Arial" w:hAnsi="Arial" w:cs="Arial"/>
          <w:sz w:val="18"/>
          <w:szCs w:val="18"/>
          <w:lang w:val="en-IE" w:bidi="en-US"/>
        </w:rPr>
        <w:t xml:space="preserve">, Vol. 1. </w:t>
      </w:r>
      <w:r w:rsidRPr="00D403F5">
        <w:rPr>
          <w:rFonts w:ascii="Arial" w:hAnsi="Arial"/>
          <w:sz w:val="18"/>
          <w:szCs w:val="18"/>
          <w:lang w:val="en-IE" w:bidi="en-US"/>
        </w:rPr>
        <w:t>Eiras J.C.</w:t>
      </w:r>
      <w:r w:rsidRPr="00D403F5">
        <w:rPr>
          <w:rFonts w:ascii="Arial" w:hAnsi="Arial" w:cs="Arial"/>
          <w:sz w:val="18"/>
          <w:szCs w:val="18"/>
          <w:lang w:val="en-IE" w:bidi="en-US"/>
        </w:rPr>
        <w:t>, Segner H., Wahli, T. &amp; Kapoor, B.G. eds. Science Publishers, Enfield, New Hampshire, USA, 87–184.</w:t>
      </w:r>
    </w:p>
    <w:p w14:paraId="6E2F6207" w14:textId="77777777" w:rsidR="00C7266C" w:rsidRPr="00D403F5" w:rsidRDefault="00C7266C" w:rsidP="00D403F5">
      <w:pPr>
        <w:spacing w:after="0"/>
        <w:jc w:val="both"/>
        <w:rPr>
          <w:rFonts w:ascii="Arial" w:hAnsi="Arial"/>
          <w:sz w:val="18"/>
          <w:szCs w:val="18"/>
          <w:lang w:val="en-US" w:bidi="en-US"/>
        </w:rPr>
      </w:pPr>
      <w:r w:rsidRPr="00D403F5">
        <w:rPr>
          <w:rFonts w:ascii="Arial" w:hAnsi="Arial"/>
          <w:smallCaps/>
          <w:sz w:val="18"/>
          <w:szCs w:val="18"/>
          <w:lang w:val="en-IE" w:bidi="en-US"/>
        </w:rPr>
        <w:t>Dixon P.F. &amp; Longshaw C.B.</w:t>
      </w:r>
      <w:r w:rsidRPr="00D403F5">
        <w:rPr>
          <w:rFonts w:ascii="Arial" w:hAnsi="Arial"/>
          <w:sz w:val="18"/>
          <w:szCs w:val="18"/>
          <w:lang w:val="en-IE" w:bidi="en-US"/>
        </w:rPr>
        <w:t xml:space="preserve"> (2005). Assessment of commercial test kits for identification of spring viraemia of carp virus. </w:t>
      </w:r>
      <w:r w:rsidRPr="00D403F5">
        <w:rPr>
          <w:rFonts w:ascii="Arial" w:hAnsi="Arial"/>
          <w:i/>
          <w:iCs/>
          <w:sz w:val="18"/>
          <w:szCs w:val="18"/>
          <w:lang w:val="en-US" w:bidi="en-US"/>
        </w:rPr>
        <w:t>Dis. Aquat. Org.</w:t>
      </w:r>
      <w:r w:rsidRPr="00D403F5">
        <w:rPr>
          <w:rFonts w:ascii="Arial" w:hAnsi="Arial"/>
          <w:sz w:val="18"/>
          <w:szCs w:val="18"/>
          <w:lang w:val="en-US" w:bidi="en-US"/>
        </w:rPr>
        <w:t xml:space="preserve">, </w:t>
      </w:r>
      <w:r w:rsidRPr="00D403F5">
        <w:rPr>
          <w:rFonts w:ascii="Arial" w:hAnsi="Arial"/>
          <w:b/>
          <w:bCs/>
          <w:sz w:val="18"/>
          <w:szCs w:val="18"/>
          <w:lang w:val="en-US" w:bidi="en-US"/>
        </w:rPr>
        <w:t>67</w:t>
      </w:r>
      <w:r w:rsidRPr="00D403F5">
        <w:rPr>
          <w:rFonts w:ascii="Arial" w:hAnsi="Arial"/>
          <w:sz w:val="18"/>
          <w:szCs w:val="18"/>
          <w:lang w:val="en-US" w:bidi="en-US"/>
        </w:rPr>
        <w:t>, 25–29.</w:t>
      </w:r>
    </w:p>
    <w:p w14:paraId="2AD0A71F" w14:textId="77777777" w:rsidR="00C7266C" w:rsidRPr="00D403F5" w:rsidRDefault="00C7266C" w:rsidP="00D403F5">
      <w:pPr>
        <w:tabs>
          <w:tab w:val="left" w:pos="0"/>
        </w:tabs>
        <w:spacing w:after="0"/>
        <w:jc w:val="both"/>
        <w:rPr>
          <w:rFonts w:ascii="Arial" w:hAnsi="Arial" w:cs="Arial"/>
          <w:noProof/>
          <w:sz w:val="18"/>
          <w:szCs w:val="18"/>
          <w:lang w:bidi="en-US"/>
        </w:rPr>
      </w:pPr>
      <w:r w:rsidRPr="00D403F5">
        <w:rPr>
          <w:rFonts w:ascii="Arial" w:hAnsi="Arial"/>
          <w:smallCaps/>
          <w:sz w:val="18"/>
          <w:szCs w:val="18"/>
          <w:lang w:val="en-US" w:eastAsia="en-GB"/>
        </w:rPr>
        <w:t>Emmenegger E.J. &amp; Kurath</w:t>
      </w:r>
      <w:r w:rsidRPr="00D403F5">
        <w:rPr>
          <w:rFonts w:ascii="Arial" w:hAnsi="Arial"/>
          <w:sz w:val="18"/>
          <w:szCs w:val="18"/>
          <w:lang w:val="en-US" w:eastAsia="en-GB"/>
        </w:rPr>
        <w:t xml:space="preserve"> G. (2008). </w:t>
      </w:r>
      <w:r w:rsidRPr="00D403F5">
        <w:rPr>
          <w:rFonts w:ascii="Arial" w:hAnsi="Arial"/>
          <w:sz w:val="18"/>
          <w:szCs w:val="18"/>
          <w:lang w:val="en-IE" w:eastAsia="en-GB"/>
        </w:rPr>
        <w:t>DNA vaccine protects ornamental koi (</w:t>
      </w:r>
      <w:r w:rsidRPr="00D403F5">
        <w:rPr>
          <w:rFonts w:ascii="Arial" w:hAnsi="Arial"/>
          <w:i/>
          <w:sz w:val="18"/>
          <w:szCs w:val="18"/>
          <w:lang w:val="en-IE" w:eastAsia="en-GB"/>
        </w:rPr>
        <w:t>Cyprinus carpio koi</w:t>
      </w:r>
      <w:r w:rsidRPr="00D403F5">
        <w:rPr>
          <w:rFonts w:ascii="Arial" w:hAnsi="Arial"/>
          <w:sz w:val="18"/>
          <w:szCs w:val="18"/>
          <w:lang w:val="en-IE" w:eastAsia="en-GB"/>
        </w:rPr>
        <w:t xml:space="preserve">) against North American spring viremia of carp virus. </w:t>
      </w:r>
      <w:r w:rsidRPr="00D403F5">
        <w:rPr>
          <w:rFonts w:ascii="Arial" w:hAnsi="Arial"/>
          <w:i/>
          <w:iCs/>
          <w:sz w:val="18"/>
          <w:szCs w:val="18"/>
          <w:lang w:val="en-IE" w:eastAsia="en-GB"/>
        </w:rPr>
        <w:t>Vaccine</w:t>
      </w:r>
      <w:r w:rsidRPr="00D403F5">
        <w:rPr>
          <w:rFonts w:ascii="Arial" w:hAnsi="Arial"/>
          <w:sz w:val="18"/>
          <w:szCs w:val="18"/>
          <w:lang w:val="en-IE" w:eastAsia="en-GB"/>
        </w:rPr>
        <w:t>,</w:t>
      </w:r>
      <w:r w:rsidRPr="00D403F5">
        <w:rPr>
          <w:rFonts w:ascii="Arial" w:hAnsi="Arial"/>
          <w:i/>
          <w:iCs/>
          <w:sz w:val="18"/>
          <w:szCs w:val="18"/>
          <w:lang w:val="en-IE" w:eastAsia="en-GB"/>
        </w:rPr>
        <w:t xml:space="preserve"> </w:t>
      </w:r>
      <w:r w:rsidRPr="00D403F5">
        <w:rPr>
          <w:rFonts w:ascii="Arial" w:hAnsi="Arial"/>
          <w:b/>
          <w:bCs/>
          <w:sz w:val="18"/>
          <w:szCs w:val="18"/>
          <w:lang w:val="en-IE" w:eastAsia="en-GB"/>
        </w:rPr>
        <w:t>26</w:t>
      </w:r>
      <w:r w:rsidRPr="00D403F5">
        <w:rPr>
          <w:rFonts w:ascii="Arial" w:hAnsi="Arial"/>
          <w:bCs/>
          <w:sz w:val="18"/>
          <w:szCs w:val="18"/>
          <w:lang w:val="en-IE" w:eastAsia="en-GB"/>
        </w:rPr>
        <w:t>,</w:t>
      </w:r>
      <w:r w:rsidRPr="00D403F5">
        <w:rPr>
          <w:rFonts w:ascii="Arial" w:hAnsi="Arial"/>
          <w:i/>
          <w:iCs/>
          <w:sz w:val="18"/>
          <w:szCs w:val="18"/>
          <w:lang w:val="en-IE" w:eastAsia="en-GB"/>
        </w:rPr>
        <w:t xml:space="preserve"> </w:t>
      </w:r>
      <w:r w:rsidRPr="00D403F5">
        <w:rPr>
          <w:rFonts w:ascii="Arial" w:hAnsi="Arial"/>
          <w:sz w:val="18"/>
          <w:szCs w:val="18"/>
          <w:lang w:val="en-IE" w:eastAsia="en-GB"/>
        </w:rPr>
        <w:t>6415–6421.</w:t>
      </w:r>
      <w:r w:rsidRPr="00D403F5">
        <w:rPr>
          <w:rFonts w:ascii="Arial" w:hAnsi="Arial" w:cs="Arial"/>
          <w:noProof/>
          <w:sz w:val="18"/>
          <w:szCs w:val="18"/>
          <w:lang w:bidi="en-US"/>
        </w:rPr>
        <w:t xml:space="preserve"> </w:t>
      </w:r>
    </w:p>
    <w:p w14:paraId="21A81E6A" w14:textId="77777777" w:rsidR="00C7266C" w:rsidRPr="00D403F5" w:rsidRDefault="00C7266C" w:rsidP="00D403F5">
      <w:pPr>
        <w:tabs>
          <w:tab w:val="left" w:pos="0"/>
        </w:tabs>
        <w:spacing w:after="0"/>
        <w:jc w:val="both"/>
        <w:rPr>
          <w:rFonts w:ascii="Arial" w:hAnsi="Arial" w:cs="Arial"/>
          <w:sz w:val="18"/>
          <w:szCs w:val="18"/>
          <w:lang w:val="en-IE" w:bidi="en-US"/>
        </w:rPr>
      </w:pPr>
      <w:r w:rsidRPr="00D403F5">
        <w:rPr>
          <w:rFonts w:ascii="Arial" w:hAnsi="Arial"/>
          <w:smallCaps/>
          <w:sz w:val="18"/>
          <w:szCs w:val="18"/>
          <w:lang w:val="en-IE" w:bidi="en-US"/>
        </w:rPr>
        <w:t>Fijan</w:t>
      </w:r>
      <w:r w:rsidRPr="00D403F5">
        <w:rPr>
          <w:rFonts w:ascii="Arial" w:hAnsi="Arial"/>
          <w:sz w:val="18"/>
          <w:szCs w:val="18"/>
          <w:lang w:val="en-IE" w:bidi="en-US"/>
        </w:rPr>
        <w:t xml:space="preserve"> N.</w:t>
      </w:r>
      <w:r w:rsidRPr="00D403F5">
        <w:rPr>
          <w:rFonts w:ascii="Arial" w:hAnsi="Arial" w:cs="Arial"/>
          <w:sz w:val="18"/>
          <w:szCs w:val="18"/>
          <w:lang w:val="en-IE" w:bidi="en-US"/>
        </w:rPr>
        <w:t xml:space="preserve"> (1988). </w:t>
      </w:r>
      <w:r w:rsidRPr="00D403F5">
        <w:rPr>
          <w:rFonts w:ascii="Arial" w:hAnsi="Arial"/>
          <w:sz w:val="18"/>
          <w:szCs w:val="18"/>
          <w:lang w:val="en-IE" w:bidi="en-US"/>
        </w:rPr>
        <w:t>Vaccination against spring viraemia of carp</w:t>
      </w:r>
      <w:r w:rsidRPr="00D403F5">
        <w:rPr>
          <w:rFonts w:ascii="Arial" w:hAnsi="Arial" w:cs="Arial"/>
          <w:sz w:val="18"/>
          <w:szCs w:val="18"/>
          <w:lang w:val="en-IE" w:bidi="en-US"/>
        </w:rPr>
        <w:t xml:space="preserve">. </w:t>
      </w:r>
      <w:r w:rsidRPr="00D403F5">
        <w:rPr>
          <w:rFonts w:ascii="Arial" w:hAnsi="Arial" w:cs="Arial"/>
          <w:i/>
          <w:iCs/>
          <w:sz w:val="18"/>
          <w:szCs w:val="18"/>
          <w:lang w:val="en-IE" w:bidi="en-US"/>
        </w:rPr>
        <w:t>In</w:t>
      </w:r>
      <w:r w:rsidRPr="00D403F5">
        <w:rPr>
          <w:rFonts w:ascii="Arial" w:hAnsi="Arial" w:cs="Arial"/>
          <w:sz w:val="18"/>
          <w:szCs w:val="18"/>
          <w:lang w:val="en-IE" w:bidi="en-US"/>
        </w:rPr>
        <w:t xml:space="preserve">: </w:t>
      </w:r>
      <w:r w:rsidRPr="00D403F5">
        <w:rPr>
          <w:rFonts w:ascii="Arial" w:hAnsi="Arial"/>
          <w:sz w:val="18"/>
          <w:szCs w:val="18"/>
          <w:lang w:val="en-IE" w:bidi="en-US"/>
        </w:rPr>
        <w:t>Fish Vaccination</w:t>
      </w:r>
      <w:r w:rsidRPr="00D403F5">
        <w:rPr>
          <w:rFonts w:ascii="Arial" w:hAnsi="Arial" w:cs="Arial"/>
          <w:sz w:val="18"/>
          <w:szCs w:val="18"/>
          <w:lang w:val="en-IE" w:bidi="en-US"/>
        </w:rPr>
        <w:t xml:space="preserve">, </w:t>
      </w:r>
      <w:r w:rsidRPr="00D403F5">
        <w:rPr>
          <w:rFonts w:ascii="Arial" w:hAnsi="Arial"/>
          <w:sz w:val="18"/>
          <w:szCs w:val="18"/>
          <w:lang w:val="en-IE" w:bidi="en-US"/>
        </w:rPr>
        <w:t>Ellis A.E.</w:t>
      </w:r>
      <w:r w:rsidRPr="00D403F5">
        <w:rPr>
          <w:rFonts w:ascii="Arial" w:hAnsi="Arial" w:cs="Arial"/>
          <w:sz w:val="18"/>
          <w:szCs w:val="18"/>
          <w:lang w:val="en-IE" w:bidi="en-US"/>
        </w:rPr>
        <w:t xml:space="preserve">, ed. </w:t>
      </w:r>
      <w:r w:rsidRPr="00D403F5">
        <w:rPr>
          <w:rFonts w:ascii="Arial" w:hAnsi="Arial"/>
          <w:sz w:val="18"/>
          <w:szCs w:val="18"/>
          <w:lang w:val="en-IE" w:bidi="en-US"/>
        </w:rPr>
        <w:t>Academic Press</w:t>
      </w:r>
      <w:r w:rsidRPr="00D403F5">
        <w:rPr>
          <w:rFonts w:ascii="Arial" w:hAnsi="Arial" w:cs="Arial"/>
          <w:sz w:val="18"/>
          <w:szCs w:val="18"/>
          <w:lang w:val="en-IE" w:bidi="en-US"/>
        </w:rPr>
        <w:t xml:space="preserve">, </w:t>
      </w:r>
      <w:r w:rsidRPr="00D403F5">
        <w:rPr>
          <w:rFonts w:ascii="Arial" w:hAnsi="Arial"/>
          <w:sz w:val="18"/>
          <w:szCs w:val="18"/>
          <w:lang w:val="en-IE" w:bidi="en-US"/>
        </w:rPr>
        <w:t>London</w:t>
      </w:r>
      <w:r w:rsidRPr="00D403F5">
        <w:rPr>
          <w:rFonts w:ascii="Arial" w:hAnsi="Arial" w:cs="Arial"/>
          <w:sz w:val="18"/>
          <w:szCs w:val="18"/>
          <w:lang w:val="en-IE" w:bidi="en-US"/>
        </w:rPr>
        <w:t xml:space="preserve">, UK, </w:t>
      </w:r>
      <w:r w:rsidRPr="00D403F5">
        <w:rPr>
          <w:rFonts w:ascii="Arial" w:hAnsi="Arial"/>
          <w:sz w:val="18"/>
          <w:szCs w:val="18"/>
          <w:lang w:val="en-IE" w:bidi="en-US"/>
        </w:rPr>
        <w:t>204</w:t>
      </w:r>
      <w:r w:rsidRPr="00D403F5">
        <w:rPr>
          <w:rFonts w:ascii="Arial" w:hAnsi="Arial" w:cs="Arial"/>
          <w:sz w:val="18"/>
          <w:szCs w:val="18"/>
          <w:lang w:val="en-IE" w:bidi="en-US"/>
        </w:rPr>
        <w:t>–</w:t>
      </w:r>
      <w:r w:rsidRPr="00D403F5">
        <w:rPr>
          <w:rFonts w:ascii="Arial" w:hAnsi="Arial"/>
          <w:sz w:val="18"/>
          <w:szCs w:val="18"/>
          <w:lang w:val="en-IE" w:bidi="en-US"/>
        </w:rPr>
        <w:t>215</w:t>
      </w:r>
      <w:r w:rsidRPr="00D403F5">
        <w:rPr>
          <w:rFonts w:ascii="Arial" w:hAnsi="Arial" w:cs="Arial"/>
          <w:sz w:val="18"/>
          <w:szCs w:val="18"/>
          <w:lang w:val="en-IE" w:bidi="en-US"/>
        </w:rPr>
        <w:t>.</w:t>
      </w:r>
    </w:p>
    <w:p w14:paraId="49A38D4B" w14:textId="77777777" w:rsidR="00C7266C" w:rsidRPr="00D403F5" w:rsidRDefault="00C7266C" w:rsidP="00D403F5">
      <w:pPr>
        <w:tabs>
          <w:tab w:val="left" w:pos="0"/>
        </w:tabs>
        <w:spacing w:after="0"/>
        <w:jc w:val="both"/>
        <w:rPr>
          <w:rFonts w:ascii="Arial" w:hAnsi="Arial"/>
          <w:sz w:val="18"/>
          <w:szCs w:val="18"/>
          <w:lang w:val="en" w:bidi="en-US"/>
        </w:rPr>
      </w:pPr>
      <w:r w:rsidRPr="00D403F5">
        <w:rPr>
          <w:rFonts w:ascii="Arial" w:hAnsi="Arial"/>
          <w:smallCaps/>
          <w:sz w:val="18"/>
          <w:szCs w:val="18"/>
          <w:lang w:val="en-IE" w:bidi="en-US"/>
        </w:rPr>
        <w:t>Fijan</w:t>
      </w:r>
      <w:r w:rsidRPr="00D403F5" w:rsidDel="006E7BDE">
        <w:rPr>
          <w:rFonts w:ascii="Arial" w:hAnsi="Arial"/>
          <w:sz w:val="18"/>
          <w:szCs w:val="18"/>
          <w:lang w:val="en" w:bidi="en-US"/>
        </w:rPr>
        <w:t xml:space="preserve"> </w:t>
      </w:r>
      <w:r w:rsidRPr="00D403F5">
        <w:rPr>
          <w:rFonts w:ascii="Arial" w:hAnsi="Arial"/>
          <w:sz w:val="18"/>
          <w:szCs w:val="18"/>
          <w:lang w:val="en" w:bidi="en-US"/>
        </w:rPr>
        <w:t>N. (1999) Spring viraemia of carp and other viral diseases and agents of warm</w:t>
      </w:r>
      <w:r w:rsidRPr="00D403F5">
        <w:rPr>
          <w:rFonts w:ascii="Cambria Math" w:hAnsi="Cambria Math" w:cs="Cambria Math"/>
          <w:sz w:val="18"/>
          <w:szCs w:val="18"/>
          <w:lang w:val="en" w:bidi="en-US"/>
        </w:rPr>
        <w:t>‐</w:t>
      </w:r>
      <w:r w:rsidRPr="00D403F5">
        <w:rPr>
          <w:rFonts w:ascii="Arial" w:hAnsi="Arial"/>
          <w:sz w:val="18"/>
          <w:szCs w:val="18"/>
          <w:lang w:val="en" w:bidi="en-US"/>
        </w:rPr>
        <w:t xml:space="preserve">water fish. </w:t>
      </w:r>
      <w:r w:rsidRPr="00D403F5">
        <w:rPr>
          <w:rFonts w:ascii="Arial" w:hAnsi="Arial"/>
          <w:i/>
          <w:sz w:val="18"/>
          <w:szCs w:val="18"/>
          <w:lang w:val="en" w:bidi="en-US"/>
        </w:rPr>
        <w:t>In:</w:t>
      </w:r>
      <w:r w:rsidRPr="00D403F5">
        <w:rPr>
          <w:rFonts w:ascii="Arial" w:hAnsi="Arial"/>
          <w:sz w:val="18"/>
          <w:szCs w:val="18"/>
          <w:lang w:val="en" w:bidi="en-US"/>
        </w:rPr>
        <w:t xml:space="preserve"> Fish Diseases and Disorders Vol. 3: Viral, Bacterial, and Fungal Infections, Woo P.T.K. &amp; Bruno D.W., eds. CAB International, London, UK, pp. 177–244.</w:t>
      </w:r>
    </w:p>
    <w:p w14:paraId="22704659" w14:textId="77777777" w:rsidR="00C7266C" w:rsidRPr="00D403F5" w:rsidRDefault="00C7266C" w:rsidP="00D403F5">
      <w:pPr>
        <w:spacing w:after="0"/>
        <w:jc w:val="both"/>
        <w:rPr>
          <w:rFonts w:ascii="Arial" w:hAnsi="Arial" w:cs="Arial"/>
          <w:sz w:val="18"/>
          <w:szCs w:val="18"/>
        </w:rPr>
      </w:pPr>
      <w:r w:rsidRPr="00D403F5">
        <w:rPr>
          <w:rFonts w:ascii="Arial" w:hAnsi="Arial" w:cs="Arial"/>
          <w:smallCaps/>
          <w:sz w:val="18"/>
          <w:szCs w:val="18"/>
          <w:lang w:val="en"/>
        </w:rPr>
        <w:t>Garver K.A., Dwilow A.G., Richard J., Booth T.F., Beniac D.R. &amp; Souter B.W.</w:t>
      </w:r>
      <w:r w:rsidRPr="00D403F5">
        <w:rPr>
          <w:rFonts w:ascii="Arial" w:hAnsi="Arial" w:cs="Arial"/>
          <w:sz w:val="18"/>
          <w:szCs w:val="18"/>
          <w:lang w:val="en"/>
        </w:rPr>
        <w:t xml:space="preserve"> (2007). First detection and confirmation of spring viraemia of carp virus in common carp, </w:t>
      </w:r>
      <w:r w:rsidRPr="00D403F5">
        <w:rPr>
          <w:rFonts w:ascii="Arial" w:hAnsi="Arial" w:cs="Arial"/>
          <w:i/>
          <w:sz w:val="18"/>
          <w:szCs w:val="18"/>
          <w:lang w:val="en"/>
        </w:rPr>
        <w:t>Cyprinus carpio</w:t>
      </w:r>
      <w:r w:rsidRPr="00D403F5">
        <w:rPr>
          <w:rFonts w:ascii="Arial" w:hAnsi="Arial" w:cs="Arial"/>
          <w:sz w:val="18"/>
          <w:szCs w:val="18"/>
          <w:lang w:val="en"/>
        </w:rPr>
        <w:t xml:space="preserve"> L., from Hamilton Harbour, Lake Ontario, Canada. </w:t>
      </w:r>
      <w:r w:rsidRPr="00D403F5">
        <w:rPr>
          <w:rFonts w:ascii="Arial" w:hAnsi="Arial" w:cs="Arial"/>
          <w:i/>
          <w:sz w:val="18"/>
          <w:szCs w:val="18"/>
          <w:lang w:val="en"/>
        </w:rPr>
        <w:t>J. Fish Dis.,</w:t>
      </w:r>
      <w:r w:rsidRPr="00D403F5">
        <w:rPr>
          <w:rFonts w:ascii="Arial" w:hAnsi="Arial" w:cs="Arial"/>
          <w:sz w:val="18"/>
          <w:szCs w:val="18"/>
          <w:lang w:val="en"/>
        </w:rPr>
        <w:t xml:space="preserve"> </w:t>
      </w:r>
      <w:r w:rsidRPr="00D403F5">
        <w:rPr>
          <w:rFonts w:ascii="Arial" w:hAnsi="Arial" w:cs="Arial"/>
          <w:b/>
          <w:sz w:val="18"/>
          <w:szCs w:val="18"/>
          <w:lang w:val="en"/>
        </w:rPr>
        <w:t>30</w:t>
      </w:r>
      <w:r w:rsidRPr="00D403F5">
        <w:rPr>
          <w:rFonts w:ascii="Arial" w:hAnsi="Arial" w:cs="Arial"/>
          <w:sz w:val="18"/>
          <w:szCs w:val="18"/>
          <w:lang w:val="en"/>
        </w:rPr>
        <w:t>, 665–671.</w:t>
      </w:r>
    </w:p>
    <w:p w14:paraId="48477E7A" w14:textId="77777777" w:rsidR="00C7266C" w:rsidRPr="00D403F5" w:rsidRDefault="00C7266C" w:rsidP="00D403F5">
      <w:pPr>
        <w:tabs>
          <w:tab w:val="left" w:pos="0"/>
        </w:tabs>
        <w:spacing w:after="0"/>
        <w:jc w:val="both"/>
        <w:rPr>
          <w:rFonts w:ascii="Arial" w:hAnsi="Arial" w:cs="Arial"/>
          <w:noProof/>
          <w:sz w:val="18"/>
          <w:szCs w:val="18"/>
          <w:lang w:val="fr-FR" w:bidi="en-US"/>
        </w:rPr>
      </w:pPr>
      <w:r w:rsidRPr="00D403F5">
        <w:rPr>
          <w:rFonts w:ascii="Arial" w:hAnsi="Arial"/>
          <w:smallCaps/>
          <w:sz w:val="18"/>
          <w:szCs w:val="18"/>
          <w:lang w:val="de-DE" w:bidi="en-US"/>
        </w:rPr>
        <w:t>Hoffmann B., Schütze H. &amp; Mettenleiter T.C.</w:t>
      </w:r>
      <w:r w:rsidRPr="00D403F5">
        <w:rPr>
          <w:rFonts w:ascii="Arial" w:hAnsi="Arial"/>
          <w:sz w:val="18"/>
          <w:szCs w:val="18"/>
          <w:lang w:val="de-DE" w:bidi="en-US"/>
        </w:rPr>
        <w:t xml:space="preserve"> (2002). </w:t>
      </w:r>
      <w:r w:rsidRPr="00D403F5">
        <w:rPr>
          <w:rFonts w:ascii="Arial" w:hAnsi="Arial"/>
          <w:sz w:val="18"/>
          <w:szCs w:val="18"/>
          <w:lang w:val="en-IE" w:bidi="en-US"/>
        </w:rPr>
        <w:t xml:space="preserve">Determination of the complete genomic sequence and analysis of the gene products of the virus of Spring Viremia of Carp, a fish rhabdovirus. </w:t>
      </w:r>
      <w:r w:rsidRPr="00D403F5">
        <w:rPr>
          <w:rFonts w:ascii="Arial" w:hAnsi="Arial"/>
          <w:i/>
          <w:iCs/>
          <w:sz w:val="18"/>
          <w:szCs w:val="18"/>
          <w:lang w:val="fr-FR" w:bidi="en-US"/>
        </w:rPr>
        <w:t>Virus Res.</w:t>
      </w:r>
      <w:r w:rsidRPr="00D403F5">
        <w:rPr>
          <w:rFonts w:ascii="Arial" w:hAnsi="Arial"/>
          <w:sz w:val="18"/>
          <w:szCs w:val="18"/>
          <w:lang w:val="fr-FR" w:bidi="en-US"/>
        </w:rPr>
        <w:t xml:space="preserve">, </w:t>
      </w:r>
      <w:r w:rsidRPr="00D403F5">
        <w:rPr>
          <w:rFonts w:ascii="Arial" w:hAnsi="Arial"/>
          <w:b/>
          <w:bCs/>
          <w:sz w:val="18"/>
          <w:szCs w:val="18"/>
          <w:lang w:val="fr-FR" w:bidi="en-US"/>
        </w:rPr>
        <w:t>84</w:t>
      </w:r>
      <w:r w:rsidRPr="00D403F5">
        <w:rPr>
          <w:rFonts w:ascii="Arial" w:hAnsi="Arial"/>
          <w:sz w:val="18"/>
          <w:szCs w:val="18"/>
          <w:lang w:val="fr-FR" w:bidi="en-US"/>
        </w:rPr>
        <w:t>, 89–100</w:t>
      </w:r>
      <w:r w:rsidRPr="00D403F5">
        <w:rPr>
          <w:rFonts w:ascii="Arial" w:hAnsi="Arial" w:cs="Arial"/>
          <w:noProof/>
          <w:sz w:val="18"/>
          <w:szCs w:val="18"/>
          <w:lang w:val="fr-FR" w:bidi="en-US"/>
        </w:rPr>
        <w:t xml:space="preserve">. </w:t>
      </w:r>
    </w:p>
    <w:p w14:paraId="79CBE65C" w14:textId="77777777" w:rsidR="00C7266C" w:rsidRPr="00D403F5" w:rsidRDefault="00C7266C" w:rsidP="00D403F5">
      <w:pPr>
        <w:spacing w:after="0"/>
        <w:jc w:val="both"/>
        <w:rPr>
          <w:rFonts w:ascii="Arial" w:hAnsi="Arial"/>
          <w:sz w:val="18"/>
          <w:szCs w:val="18"/>
          <w:lang w:val="fr-FR" w:eastAsia="en-GB"/>
        </w:rPr>
      </w:pPr>
      <w:r w:rsidRPr="00D403F5">
        <w:rPr>
          <w:rFonts w:ascii="Arial" w:hAnsi="Arial"/>
          <w:smallCaps/>
          <w:sz w:val="18"/>
          <w:szCs w:val="18"/>
          <w:lang w:val="fr-FR" w:eastAsia="en-GB"/>
        </w:rPr>
        <w:t>Kinkelin P.de &amp; Le Berre M</w:t>
      </w:r>
      <w:r w:rsidRPr="00D403F5">
        <w:rPr>
          <w:rFonts w:ascii="Arial" w:hAnsi="Arial"/>
          <w:sz w:val="18"/>
          <w:szCs w:val="18"/>
          <w:lang w:val="fr-FR" w:eastAsia="en-GB"/>
        </w:rPr>
        <w:t xml:space="preserve">. (1974). Rhabdovirus des poissons II. Propriétés </w:t>
      </w:r>
      <w:r w:rsidRPr="00D403F5">
        <w:rPr>
          <w:rFonts w:ascii="Arial" w:hAnsi="Arial"/>
          <w:i/>
          <w:iCs/>
          <w:sz w:val="18"/>
          <w:szCs w:val="18"/>
          <w:lang w:val="fr-FR" w:eastAsia="en-GB"/>
        </w:rPr>
        <w:t>in vitro</w:t>
      </w:r>
      <w:r w:rsidRPr="00D403F5">
        <w:rPr>
          <w:rFonts w:ascii="Arial" w:hAnsi="Arial"/>
          <w:sz w:val="18"/>
          <w:szCs w:val="18"/>
          <w:lang w:val="fr-FR" w:eastAsia="en-GB"/>
        </w:rPr>
        <w:t xml:space="preserve"> du virus de la virémie printanière de la carpe. </w:t>
      </w:r>
      <w:r w:rsidRPr="00D403F5">
        <w:rPr>
          <w:rFonts w:ascii="Arial" w:hAnsi="Arial"/>
          <w:i/>
          <w:iCs/>
          <w:sz w:val="18"/>
          <w:szCs w:val="18"/>
          <w:lang w:val="fr-FR" w:eastAsia="en-GB"/>
        </w:rPr>
        <w:t xml:space="preserve">Ann. Microbiol. </w:t>
      </w:r>
      <w:r w:rsidRPr="00D403F5">
        <w:rPr>
          <w:rFonts w:ascii="Arial" w:hAnsi="Arial"/>
          <w:iCs/>
          <w:sz w:val="18"/>
          <w:szCs w:val="18"/>
          <w:lang w:val="fr-FR" w:eastAsia="en-GB"/>
        </w:rPr>
        <w:t>(</w:t>
      </w:r>
      <w:r w:rsidRPr="00D403F5">
        <w:rPr>
          <w:rFonts w:ascii="Arial" w:hAnsi="Arial"/>
          <w:i/>
          <w:iCs/>
          <w:sz w:val="18"/>
          <w:szCs w:val="18"/>
          <w:lang w:val="fr-FR" w:eastAsia="en-GB"/>
        </w:rPr>
        <w:t>Inst. Pasteur</w:t>
      </w:r>
      <w:r w:rsidRPr="00D403F5">
        <w:rPr>
          <w:rFonts w:ascii="Arial" w:hAnsi="Arial"/>
          <w:iCs/>
          <w:sz w:val="18"/>
          <w:szCs w:val="18"/>
          <w:lang w:val="fr-FR" w:eastAsia="en-GB"/>
        </w:rPr>
        <w:t>)</w:t>
      </w:r>
      <w:r w:rsidRPr="00D403F5">
        <w:rPr>
          <w:rFonts w:ascii="Arial" w:hAnsi="Arial"/>
          <w:sz w:val="18"/>
          <w:szCs w:val="18"/>
          <w:lang w:val="fr-FR" w:eastAsia="en-GB"/>
        </w:rPr>
        <w:t>,</w:t>
      </w:r>
      <w:r w:rsidRPr="00D403F5">
        <w:rPr>
          <w:rFonts w:ascii="Arial" w:hAnsi="Arial"/>
          <w:i/>
          <w:iCs/>
          <w:sz w:val="18"/>
          <w:szCs w:val="18"/>
          <w:lang w:val="fr-FR" w:eastAsia="en-GB"/>
        </w:rPr>
        <w:t xml:space="preserve"> </w:t>
      </w:r>
      <w:smartTag w:uri="urn:schemas-microsoft-com:office:smarttags" w:element="metricconverter">
        <w:smartTagPr>
          <w:attr w:name="ProductID" w:val="125 A"/>
        </w:smartTagPr>
        <w:r w:rsidRPr="00D403F5">
          <w:rPr>
            <w:rFonts w:ascii="Arial" w:hAnsi="Arial"/>
            <w:b/>
            <w:bCs/>
            <w:sz w:val="18"/>
            <w:szCs w:val="18"/>
            <w:lang w:val="fr-FR" w:eastAsia="en-GB"/>
          </w:rPr>
          <w:t>125</w:t>
        </w:r>
        <w:r w:rsidRPr="00D403F5">
          <w:rPr>
            <w:rFonts w:ascii="Arial" w:hAnsi="Arial"/>
            <w:bCs/>
            <w:sz w:val="18"/>
            <w:szCs w:val="18"/>
            <w:lang w:val="fr-FR" w:eastAsia="en-GB"/>
          </w:rPr>
          <w:t xml:space="preserve"> </w:t>
        </w:r>
        <w:r w:rsidRPr="00D403F5">
          <w:rPr>
            <w:rFonts w:ascii="Arial" w:hAnsi="Arial"/>
            <w:b/>
            <w:bCs/>
            <w:sz w:val="18"/>
            <w:szCs w:val="18"/>
            <w:lang w:val="fr-FR" w:eastAsia="en-GB"/>
          </w:rPr>
          <w:t>A</w:t>
        </w:r>
      </w:smartTag>
      <w:r w:rsidRPr="00D403F5">
        <w:rPr>
          <w:rFonts w:ascii="Arial" w:hAnsi="Arial"/>
          <w:bCs/>
          <w:sz w:val="18"/>
          <w:szCs w:val="18"/>
          <w:lang w:val="fr-FR" w:eastAsia="en-GB"/>
        </w:rPr>
        <w:t>,</w:t>
      </w:r>
      <w:r w:rsidRPr="00D403F5">
        <w:rPr>
          <w:rFonts w:ascii="Arial" w:hAnsi="Arial"/>
          <w:i/>
          <w:iCs/>
          <w:sz w:val="18"/>
          <w:szCs w:val="18"/>
          <w:lang w:val="fr-FR" w:eastAsia="en-GB"/>
        </w:rPr>
        <w:t xml:space="preserve"> </w:t>
      </w:r>
      <w:r w:rsidRPr="00D403F5">
        <w:rPr>
          <w:rFonts w:ascii="Arial" w:hAnsi="Arial"/>
          <w:sz w:val="18"/>
          <w:szCs w:val="18"/>
          <w:lang w:val="fr-FR" w:eastAsia="en-GB"/>
        </w:rPr>
        <w:t>113–124.</w:t>
      </w:r>
    </w:p>
    <w:p w14:paraId="1E5141AC" w14:textId="77777777" w:rsidR="00C7266C" w:rsidRPr="00D403F5" w:rsidRDefault="00C7266C" w:rsidP="00D403F5">
      <w:pPr>
        <w:spacing w:after="0"/>
        <w:jc w:val="both"/>
        <w:rPr>
          <w:rFonts w:ascii="Arial" w:hAnsi="Arial"/>
          <w:sz w:val="18"/>
          <w:szCs w:val="18"/>
          <w:lang w:val="nb-NO" w:eastAsia="en-GB"/>
        </w:rPr>
      </w:pPr>
      <w:r w:rsidRPr="00D403F5">
        <w:rPr>
          <w:rFonts w:ascii="Arial" w:hAnsi="Arial"/>
          <w:smallCaps/>
          <w:sz w:val="18"/>
          <w:szCs w:val="18"/>
          <w:lang w:val="fr-FR" w:eastAsia="en-GB"/>
        </w:rPr>
        <w:t xml:space="preserve">Kirpichnikov V.S., Ilyasov I., Shart L.A., Vikhman A.A., Ganchenko M.V, Ostashevsky A.L., Simonov V.M., Tikhonov G.F. &amp; Tjurin V.V. (1993). </w:t>
      </w:r>
      <w:r w:rsidRPr="00D403F5">
        <w:rPr>
          <w:rFonts w:ascii="Arial" w:hAnsi="Arial"/>
          <w:sz w:val="18"/>
          <w:szCs w:val="18"/>
          <w:lang w:eastAsia="en-GB"/>
        </w:rPr>
        <w:t>Selection of Krasnodar common carp (</w:t>
      </w:r>
      <w:r w:rsidRPr="00D403F5">
        <w:rPr>
          <w:rFonts w:ascii="Arial" w:hAnsi="Arial"/>
          <w:i/>
          <w:sz w:val="18"/>
          <w:szCs w:val="18"/>
          <w:lang w:eastAsia="en-GB"/>
        </w:rPr>
        <w:t>Cyprinus carpio</w:t>
      </w:r>
      <w:r w:rsidRPr="00D403F5">
        <w:rPr>
          <w:rFonts w:ascii="Arial" w:hAnsi="Arial"/>
          <w:sz w:val="18"/>
          <w:szCs w:val="18"/>
          <w:lang w:eastAsia="en-GB"/>
        </w:rPr>
        <w:t xml:space="preserve"> L.) for resistance to dropsy: principal results and prospect. </w:t>
      </w:r>
      <w:r w:rsidRPr="00D403F5">
        <w:rPr>
          <w:rFonts w:ascii="Arial" w:hAnsi="Arial"/>
          <w:i/>
          <w:sz w:val="18"/>
          <w:szCs w:val="18"/>
          <w:lang w:eastAsia="en-GB"/>
        </w:rPr>
        <w:t>In:</w:t>
      </w:r>
      <w:r w:rsidRPr="00D403F5">
        <w:rPr>
          <w:rFonts w:ascii="Arial" w:hAnsi="Arial"/>
          <w:sz w:val="18"/>
          <w:szCs w:val="18"/>
          <w:lang w:eastAsia="en-GB"/>
        </w:rPr>
        <w:t xml:space="preserve"> Genetics in Aquatculture, </w:t>
      </w:r>
      <w:r w:rsidRPr="00D403F5">
        <w:rPr>
          <w:rFonts w:ascii="Arial" w:hAnsi="Arial" w:cs="Arial"/>
          <w:color w:val="2E2E2E"/>
          <w:sz w:val="18"/>
          <w:szCs w:val="18"/>
          <w:lang w:val="en-IE"/>
        </w:rPr>
        <w:t>Proceedings of the Fourth International Symposium on Genetics in Aquaculture,</w:t>
      </w:r>
      <w:r w:rsidRPr="00D403F5">
        <w:rPr>
          <w:rFonts w:ascii="Arial" w:hAnsi="Arial"/>
          <w:sz w:val="18"/>
          <w:szCs w:val="18"/>
          <w:lang w:eastAsia="en-GB"/>
        </w:rPr>
        <w:t xml:space="preserve"> Graham A.E. &amp; Gall G.A.E., eds. </w:t>
      </w:r>
      <w:r w:rsidRPr="00D403F5">
        <w:rPr>
          <w:rFonts w:ascii="Arial" w:hAnsi="Arial"/>
          <w:sz w:val="18"/>
          <w:szCs w:val="18"/>
          <w:lang w:val="nb-NO" w:eastAsia="en-GB"/>
        </w:rPr>
        <w:t>Elsevier, Amsterdam, Netherlands, 7–20.</w:t>
      </w:r>
    </w:p>
    <w:p w14:paraId="2E512CB1" w14:textId="77777777" w:rsidR="00C7266C" w:rsidRPr="00D403F5" w:rsidRDefault="00C7266C" w:rsidP="00D403F5">
      <w:pPr>
        <w:spacing w:after="0" w:line="240" w:lineRule="auto"/>
        <w:jc w:val="both"/>
        <w:rPr>
          <w:rFonts w:ascii="Arial" w:hAnsi="Arial"/>
          <w:sz w:val="18"/>
          <w:szCs w:val="18"/>
          <w:lang w:val="en-IE" w:bidi="en-US"/>
        </w:rPr>
      </w:pPr>
      <w:r w:rsidRPr="00D403F5">
        <w:rPr>
          <w:rFonts w:ascii="Arial" w:hAnsi="Arial"/>
          <w:smallCaps/>
          <w:sz w:val="18"/>
          <w:szCs w:val="18"/>
          <w:lang w:val="nb-NO" w:bidi="en-US"/>
        </w:rPr>
        <w:t>Kiryu I., Sakai T., Kurita J. &amp; Iida T.</w:t>
      </w:r>
      <w:r w:rsidRPr="00D403F5">
        <w:rPr>
          <w:rFonts w:ascii="Arial" w:hAnsi="Arial"/>
          <w:sz w:val="18"/>
          <w:szCs w:val="18"/>
          <w:lang w:val="nb-NO" w:bidi="en-US"/>
        </w:rPr>
        <w:t xml:space="preserve"> (2007). </w:t>
      </w:r>
      <w:r w:rsidRPr="00D403F5">
        <w:rPr>
          <w:rFonts w:ascii="Arial" w:hAnsi="Arial"/>
          <w:sz w:val="18"/>
          <w:szCs w:val="18"/>
          <w:lang w:val="en-IE" w:bidi="en-US"/>
        </w:rPr>
        <w:t xml:space="preserve">Virucidal effect of disinfectants on spring viremia of carp virus. </w:t>
      </w:r>
      <w:r w:rsidRPr="00D403F5">
        <w:rPr>
          <w:rFonts w:ascii="Arial" w:hAnsi="Arial"/>
          <w:i/>
          <w:iCs/>
          <w:sz w:val="18"/>
          <w:szCs w:val="18"/>
          <w:lang w:val="en-IE" w:bidi="en-US"/>
        </w:rPr>
        <w:t>Fish Pathol.</w:t>
      </w:r>
      <w:r w:rsidRPr="00D403F5">
        <w:rPr>
          <w:rFonts w:ascii="Arial" w:hAnsi="Arial"/>
          <w:sz w:val="18"/>
          <w:szCs w:val="18"/>
          <w:lang w:val="en-IE" w:bidi="en-US"/>
        </w:rPr>
        <w:t xml:space="preserve">, </w:t>
      </w:r>
      <w:r w:rsidRPr="00D403F5">
        <w:rPr>
          <w:rFonts w:ascii="Arial" w:hAnsi="Arial"/>
          <w:b/>
          <w:bCs/>
          <w:sz w:val="18"/>
          <w:szCs w:val="18"/>
          <w:lang w:val="en-IE" w:bidi="en-US"/>
        </w:rPr>
        <w:t>42</w:t>
      </w:r>
      <w:r w:rsidRPr="00D403F5">
        <w:rPr>
          <w:rFonts w:ascii="Arial" w:hAnsi="Arial"/>
          <w:sz w:val="18"/>
          <w:szCs w:val="18"/>
          <w:lang w:val="en-IE" w:bidi="en-US"/>
        </w:rPr>
        <w:t>, 111–113.</w:t>
      </w:r>
    </w:p>
    <w:p w14:paraId="7B2C4788" w14:textId="77777777" w:rsidR="00C7266C" w:rsidRPr="00D403F5" w:rsidRDefault="00C7266C" w:rsidP="00D403F5">
      <w:pPr>
        <w:spacing w:after="0" w:line="240" w:lineRule="auto"/>
        <w:jc w:val="both"/>
        <w:rPr>
          <w:rFonts w:ascii="Arial" w:hAnsi="Arial"/>
          <w:sz w:val="18"/>
          <w:szCs w:val="18"/>
          <w:lang w:val="en-IE" w:bidi="en-US"/>
        </w:rPr>
      </w:pPr>
      <w:r w:rsidRPr="00D403F5">
        <w:rPr>
          <w:rFonts w:ascii="Arial" w:hAnsi="Arial"/>
          <w:smallCaps/>
          <w:sz w:val="18"/>
          <w:szCs w:val="18"/>
          <w:lang w:val="en-IE" w:bidi="en-US"/>
        </w:rPr>
        <w:t xml:space="preserve">Koutna M., Vesely T., Psikal I. &amp; Hulová J. </w:t>
      </w:r>
      <w:r w:rsidRPr="00D403F5">
        <w:rPr>
          <w:rFonts w:ascii="Arial" w:hAnsi="Arial"/>
          <w:sz w:val="18"/>
          <w:szCs w:val="18"/>
          <w:lang w:val="en-IE" w:bidi="en-US"/>
        </w:rPr>
        <w:t xml:space="preserve">(2003). Identification of spring viraemia of carp virus (SVCV) by combined RT-PCR and nested PCR. </w:t>
      </w:r>
      <w:r w:rsidRPr="00D403F5">
        <w:rPr>
          <w:rFonts w:ascii="Arial" w:hAnsi="Arial"/>
          <w:i/>
          <w:iCs/>
          <w:sz w:val="18"/>
          <w:szCs w:val="18"/>
          <w:lang w:val="en-IE" w:bidi="en-US"/>
        </w:rPr>
        <w:t>Dis. Aquat. Org.</w:t>
      </w:r>
      <w:r w:rsidRPr="00D403F5">
        <w:rPr>
          <w:rFonts w:ascii="Arial" w:hAnsi="Arial"/>
          <w:sz w:val="18"/>
          <w:szCs w:val="18"/>
          <w:lang w:val="en-IE" w:bidi="en-US"/>
        </w:rPr>
        <w:t xml:space="preserve">, </w:t>
      </w:r>
      <w:r w:rsidRPr="00D403F5">
        <w:rPr>
          <w:rFonts w:ascii="Arial" w:hAnsi="Arial"/>
          <w:b/>
          <w:bCs/>
          <w:sz w:val="18"/>
          <w:szCs w:val="18"/>
          <w:lang w:val="en-IE" w:bidi="en-US"/>
        </w:rPr>
        <w:t>55</w:t>
      </w:r>
      <w:r w:rsidRPr="00D403F5">
        <w:rPr>
          <w:rFonts w:ascii="Arial" w:hAnsi="Arial"/>
          <w:sz w:val="18"/>
          <w:szCs w:val="18"/>
          <w:lang w:val="en-IE" w:bidi="en-US"/>
        </w:rPr>
        <w:t>, 229–235.</w:t>
      </w:r>
    </w:p>
    <w:p w14:paraId="6CC12650" w14:textId="77777777" w:rsidR="00C7266C" w:rsidRPr="00D403F5" w:rsidRDefault="00C7266C" w:rsidP="00D403F5">
      <w:pPr>
        <w:spacing w:after="0" w:line="240" w:lineRule="auto"/>
        <w:jc w:val="both"/>
        <w:rPr>
          <w:rFonts w:ascii="Arial" w:hAnsi="Arial"/>
          <w:sz w:val="18"/>
          <w:szCs w:val="18"/>
          <w:lang w:val="en" w:bidi="en-US"/>
        </w:rPr>
      </w:pPr>
      <w:r w:rsidRPr="00D403F5">
        <w:rPr>
          <w:rFonts w:ascii="Arial" w:hAnsi="Arial"/>
          <w:smallCaps/>
          <w:sz w:val="18"/>
          <w:szCs w:val="18"/>
          <w:lang w:val="en" w:bidi="en-US"/>
        </w:rPr>
        <w:t>Liu H., Gao L., Shi X., Gu T., Jiang Y. &amp; Chen H</w:t>
      </w:r>
      <w:r w:rsidRPr="00D403F5">
        <w:rPr>
          <w:rFonts w:ascii="Arial" w:hAnsi="Arial"/>
          <w:sz w:val="18"/>
          <w:szCs w:val="18"/>
          <w:lang w:val="en" w:bidi="en-US"/>
        </w:rPr>
        <w:t>. (2004). Isolation of spring viraemia of carp virus (SVCV) from cultured koi (</w:t>
      </w:r>
      <w:r w:rsidRPr="00D403F5">
        <w:rPr>
          <w:rFonts w:ascii="Arial" w:hAnsi="Arial"/>
          <w:i/>
          <w:iCs/>
          <w:sz w:val="18"/>
          <w:szCs w:val="18"/>
          <w:lang w:val="en" w:bidi="en-US"/>
        </w:rPr>
        <w:t>Cyprinus carpio koi</w:t>
      </w:r>
      <w:r w:rsidRPr="00D403F5">
        <w:rPr>
          <w:rFonts w:ascii="Arial" w:hAnsi="Arial"/>
          <w:sz w:val="18"/>
          <w:szCs w:val="18"/>
          <w:lang w:val="en" w:bidi="en-US"/>
        </w:rPr>
        <w:t>) and common carp (</w:t>
      </w:r>
      <w:r w:rsidRPr="00D403F5">
        <w:rPr>
          <w:rFonts w:ascii="Arial" w:hAnsi="Arial"/>
          <w:i/>
          <w:iCs/>
          <w:sz w:val="18"/>
          <w:szCs w:val="18"/>
          <w:lang w:val="en" w:bidi="en-US"/>
        </w:rPr>
        <w:t>C. carpio carpio</w:t>
      </w:r>
      <w:r w:rsidRPr="00D403F5">
        <w:rPr>
          <w:rFonts w:ascii="Arial" w:hAnsi="Arial"/>
          <w:sz w:val="18"/>
          <w:szCs w:val="18"/>
          <w:lang w:val="en" w:bidi="en-US"/>
        </w:rPr>
        <w:t xml:space="preserve">) in PR </w:t>
      </w:r>
      <w:r w:rsidRPr="00D403F5">
        <w:rPr>
          <w:rFonts w:ascii="Arial" w:hAnsi="Arial"/>
          <w:i/>
          <w:iCs/>
          <w:sz w:val="18"/>
          <w:szCs w:val="18"/>
          <w:lang w:val="en" w:bidi="en-US"/>
        </w:rPr>
        <w:t>China</w:t>
      </w:r>
      <w:r w:rsidRPr="00D403F5">
        <w:rPr>
          <w:rFonts w:ascii="Arial" w:hAnsi="Arial"/>
          <w:sz w:val="18"/>
          <w:szCs w:val="18"/>
          <w:lang w:val="en" w:bidi="en-US"/>
        </w:rPr>
        <w:t xml:space="preserve">. </w:t>
      </w:r>
      <w:r w:rsidRPr="00D403F5">
        <w:rPr>
          <w:rFonts w:ascii="Arial" w:hAnsi="Arial"/>
          <w:i/>
          <w:iCs/>
          <w:sz w:val="18"/>
          <w:szCs w:val="18"/>
          <w:lang w:val="en" w:bidi="en-US"/>
        </w:rPr>
        <w:t>Bull. Eur. Assoc. Fish Pathol.,</w:t>
      </w:r>
      <w:r w:rsidRPr="00D403F5">
        <w:rPr>
          <w:rFonts w:ascii="Arial" w:hAnsi="Arial"/>
          <w:sz w:val="18"/>
          <w:szCs w:val="18"/>
          <w:lang w:val="en" w:bidi="en-US"/>
        </w:rPr>
        <w:t xml:space="preserve"> </w:t>
      </w:r>
      <w:r w:rsidRPr="00D403F5">
        <w:rPr>
          <w:rFonts w:ascii="Arial" w:hAnsi="Arial"/>
          <w:b/>
          <w:sz w:val="18"/>
          <w:szCs w:val="18"/>
          <w:lang w:val="en" w:bidi="en-US"/>
        </w:rPr>
        <w:t>24</w:t>
      </w:r>
      <w:r w:rsidRPr="00D403F5">
        <w:rPr>
          <w:rFonts w:ascii="Arial" w:hAnsi="Arial"/>
          <w:sz w:val="18"/>
          <w:szCs w:val="18"/>
          <w:lang w:val="en" w:bidi="en-US"/>
        </w:rPr>
        <w:t xml:space="preserve">, 194–202. </w:t>
      </w:r>
    </w:p>
    <w:p w14:paraId="48E7B948" w14:textId="77777777" w:rsidR="00C7266C" w:rsidRPr="00D403F5" w:rsidRDefault="00C7266C" w:rsidP="00D403F5">
      <w:pPr>
        <w:spacing w:after="0" w:line="240" w:lineRule="auto"/>
        <w:jc w:val="both"/>
        <w:rPr>
          <w:rFonts w:ascii="Arial" w:hAnsi="Arial"/>
          <w:smallCaps/>
          <w:sz w:val="18"/>
          <w:szCs w:val="18"/>
          <w:lang w:val="en-IE" w:eastAsia="en-GB"/>
        </w:rPr>
      </w:pPr>
      <w:r w:rsidRPr="00D403F5">
        <w:rPr>
          <w:rFonts w:ascii="Arial" w:hAnsi="Arial"/>
          <w:smallCaps/>
          <w:sz w:val="18"/>
          <w:szCs w:val="18"/>
          <w:lang w:val="en" w:eastAsia="en-GB"/>
        </w:rPr>
        <w:t xml:space="preserve">Liu Z., Teng Y., Xie X., Li H., Lv J., Gao L., Tian F., Jiang Y., Chu Z., Xie C. &amp; Liu H. (2008). </w:t>
      </w:r>
      <w:r w:rsidRPr="00D403F5">
        <w:rPr>
          <w:rFonts w:ascii="Arial" w:hAnsi="Arial"/>
          <w:sz w:val="18"/>
          <w:szCs w:val="18"/>
          <w:lang w:val="en-IE" w:bidi="en-US"/>
        </w:rPr>
        <w:t>Development and evaluation of a one-step loop-mediated isothermal amplification for detection of spring viraemia of carp virus</w:t>
      </w:r>
      <w:r w:rsidRPr="00D403F5">
        <w:rPr>
          <w:rFonts w:ascii="Arial" w:hAnsi="Arial"/>
          <w:i/>
          <w:sz w:val="18"/>
          <w:szCs w:val="18"/>
          <w:lang w:val="en-IE" w:bidi="en-US"/>
        </w:rPr>
        <w:t>. J. Appl. Microbiol</w:t>
      </w:r>
      <w:r w:rsidRPr="00D403F5">
        <w:rPr>
          <w:rFonts w:ascii="Arial" w:hAnsi="Arial"/>
          <w:sz w:val="18"/>
          <w:szCs w:val="18"/>
          <w:lang w:val="en-IE" w:bidi="en-US"/>
        </w:rPr>
        <w:t xml:space="preserve">., </w:t>
      </w:r>
      <w:r w:rsidRPr="00D403F5">
        <w:rPr>
          <w:rFonts w:ascii="Arial" w:hAnsi="Arial"/>
          <w:b/>
          <w:sz w:val="18"/>
          <w:szCs w:val="18"/>
          <w:lang w:val="en-IE" w:bidi="en-US"/>
        </w:rPr>
        <w:t>105</w:t>
      </w:r>
      <w:r w:rsidRPr="00D403F5">
        <w:rPr>
          <w:rFonts w:ascii="Arial" w:hAnsi="Arial"/>
          <w:sz w:val="18"/>
          <w:szCs w:val="18"/>
          <w:lang w:val="en-IE" w:bidi="en-US"/>
        </w:rPr>
        <w:t>, 1220–1226.</w:t>
      </w:r>
      <w:r w:rsidRPr="00D403F5">
        <w:rPr>
          <w:rFonts w:ascii="Arial" w:hAnsi="Arial"/>
          <w:smallCaps/>
          <w:sz w:val="18"/>
          <w:szCs w:val="18"/>
          <w:lang w:val="en-IE" w:eastAsia="en-GB"/>
        </w:rPr>
        <w:t xml:space="preserve"> </w:t>
      </w:r>
    </w:p>
    <w:p w14:paraId="7CBBE07C" w14:textId="77777777" w:rsidR="00C7266C" w:rsidRPr="00D403F5" w:rsidRDefault="00C7266C" w:rsidP="00D403F5">
      <w:pPr>
        <w:spacing w:after="0"/>
        <w:jc w:val="both"/>
        <w:rPr>
          <w:rFonts w:ascii="Arial" w:hAnsi="Arial"/>
          <w:smallCaps/>
          <w:sz w:val="18"/>
          <w:szCs w:val="18"/>
          <w:lang w:val="en-IE" w:bidi="en-US"/>
        </w:rPr>
      </w:pPr>
      <w:r w:rsidRPr="00D403F5">
        <w:rPr>
          <w:rFonts w:ascii="Arial" w:hAnsi="Arial"/>
          <w:smallCaps/>
          <w:sz w:val="18"/>
          <w:szCs w:val="18"/>
          <w:lang w:val="en-IE" w:bidi="en-US"/>
        </w:rPr>
        <w:t xml:space="preserve">Misk E., Garver K., Nagy E., Isaac S., Tubbs L., Huber P., Al-Hussinee L. &amp; Lumsden J.S. (2016). </w:t>
      </w:r>
      <w:r w:rsidRPr="00D403F5">
        <w:rPr>
          <w:rFonts w:ascii="Arial" w:hAnsi="Arial"/>
          <w:sz w:val="18"/>
          <w:szCs w:val="18"/>
          <w:lang w:val="en-IE" w:bidi="en-US"/>
        </w:rPr>
        <w:t xml:space="preserve">Pathogenesis of spring viremia of carp virus in emerald shiner </w:t>
      </w:r>
      <w:r w:rsidRPr="00D403F5">
        <w:rPr>
          <w:rFonts w:ascii="Arial" w:hAnsi="Arial"/>
          <w:i/>
          <w:sz w:val="18"/>
          <w:szCs w:val="18"/>
          <w:lang w:val="en-IE" w:bidi="en-US"/>
        </w:rPr>
        <w:t>Notropis atherinoides</w:t>
      </w:r>
      <w:r w:rsidRPr="00D403F5">
        <w:rPr>
          <w:rFonts w:ascii="Arial" w:hAnsi="Arial"/>
          <w:sz w:val="18"/>
          <w:szCs w:val="18"/>
          <w:lang w:val="en-IE" w:bidi="en-US"/>
        </w:rPr>
        <w:t xml:space="preserve"> Rafinesque, fathead minnow </w:t>
      </w:r>
      <w:r w:rsidRPr="00D403F5">
        <w:rPr>
          <w:rFonts w:ascii="Arial" w:hAnsi="Arial"/>
          <w:i/>
          <w:sz w:val="18"/>
          <w:szCs w:val="18"/>
          <w:lang w:val="en-IE" w:bidi="en-US"/>
        </w:rPr>
        <w:t>Pimephales</w:t>
      </w:r>
      <w:r w:rsidRPr="00D403F5">
        <w:rPr>
          <w:rFonts w:ascii="Arial" w:hAnsi="Arial"/>
          <w:sz w:val="18"/>
          <w:szCs w:val="18"/>
          <w:lang w:val="en-IE" w:bidi="en-US"/>
        </w:rPr>
        <w:t xml:space="preserve"> </w:t>
      </w:r>
      <w:r w:rsidRPr="00D403F5">
        <w:rPr>
          <w:rFonts w:ascii="Arial" w:hAnsi="Arial"/>
          <w:i/>
          <w:sz w:val="18"/>
          <w:szCs w:val="18"/>
          <w:lang w:val="en-IE" w:bidi="en-US"/>
        </w:rPr>
        <w:t>promelas</w:t>
      </w:r>
      <w:r w:rsidRPr="00D403F5">
        <w:rPr>
          <w:rFonts w:ascii="Arial" w:hAnsi="Arial"/>
          <w:sz w:val="18"/>
          <w:szCs w:val="18"/>
          <w:lang w:val="en-IE" w:bidi="en-US"/>
        </w:rPr>
        <w:t xml:space="preserve"> Rafinesque and white sucker </w:t>
      </w:r>
      <w:r w:rsidRPr="00D403F5">
        <w:rPr>
          <w:rFonts w:ascii="Arial" w:hAnsi="Arial"/>
          <w:i/>
          <w:sz w:val="18"/>
          <w:szCs w:val="18"/>
          <w:lang w:val="en-IE" w:bidi="en-US"/>
        </w:rPr>
        <w:t>Catostomus commersonii</w:t>
      </w:r>
      <w:r w:rsidRPr="00D403F5">
        <w:rPr>
          <w:rFonts w:ascii="Arial" w:hAnsi="Arial"/>
          <w:sz w:val="18"/>
          <w:szCs w:val="18"/>
          <w:lang w:val="en-IE" w:bidi="en-US"/>
        </w:rPr>
        <w:t xml:space="preserve"> (Lacepede). </w:t>
      </w:r>
      <w:r w:rsidRPr="00D403F5">
        <w:rPr>
          <w:rFonts w:ascii="Arial" w:hAnsi="Arial"/>
          <w:i/>
          <w:sz w:val="18"/>
          <w:szCs w:val="18"/>
          <w:lang w:val="en-IE" w:bidi="en-US"/>
        </w:rPr>
        <w:t>J. Fish Di</w:t>
      </w:r>
      <w:r w:rsidRPr="00D403F5">
        <w:rPr>
          <w:rFonts w:ascii="Arial" w:hAnsi="Arial"/>
          <w:sz w:val="18"/>
          <w:szCs w:val="18"/>
          <w:lang w:val="en-IE" w:bidi="en-US"/>
        </w:rPr>
        <w:t xml:space="preserve">s., </w:t>
      </w:r>
      <w:r w:rsidRPr="00D403F5">
        <w:rPr>
          <w:rFonts w:ascii="Arial" w:hAnsi="Arial"/>
          <w:b/>
          <w:sz w:val="18"/>
          <w:szCs w:val="18"/>
          <w:lang w:val="en-IE" w:bidi="en-US"/>
        </w:rPr>
        <w:t>39</w:t>
      </w:r>
      <w:r w:rsidRPr="00D403F5">
        <w:rPr>
          <w:rFonts w:ascii="Arial" w:hAnsi="Arial"/>
          <w:sz w:val="18"/>
          <w:szCs w:val="18"/>
          <w:lang w:val="en-IE" w:bidi="en-US"/>
        </w:rPr>
        <w:t>, 729–739.</w:t>
      </w:r>
    </w:p>
    <w:p w14:paraId="68C6A159" w14:textId="77777777" w:rsidR="00C7266C" w:rsidRPr="00D403F5" w:rsidRDefault="00C7266C" w:rsidP="00D403F5">
      <w:pPr>
        <w:spacing w:after="0"/>
        <w:jc w:val="right"/>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br w:type="page"/>
      </w:r>
    </w:p>
    <w:p w14:paraId="4E9FF360" w14:textId="40B487B2" w:rsidR="00C7266C" w:rsidRPr="00D403F5" w:rsidRDefault="00C7266C" w:rsidP="0076436B">
      <w:pPr>
        <w:spacing w:after="480"/>
        <w:jc w:val="right"/>
        <w:rPr>
          <w:rFonts w:ascii="Times New Roman" w:hAnsi="Times New Roman" w:cs="Times New Roman"/>
          <w:noProof/>
          <w:sz w:val="18"/>
          <w:szCs w:val="18"/>
          <w:lang w:val="en-US"/>
        </w:rPr>
      </w:pPr>
      <w:r w:rsidRPr="00D403F5">
        <w:rPr>
          <w:rFonts w:ascii="Times New Roman" w:hAnsi="Times New Roman" w:cs="Times New Roman"/>
          <w:noProof/>
          <w:sz w:val="18"/>
          <w:szCs w:val="18"/>
          <w:u w:val="single"/>
          <w:lang w:val="en-US"/>
        </w:rPr>
        <w:t>Annex 10</w:t>
      </w:r>
      <w:r w:rsidRPr="00D403F5">
        <w:rPr>
          <w:rFonts w:ascii="Times New Roman" w:hAnsi="Times New Roman" w:cs="Times New Roman"/>
          <w:noProof/>
          <w:sz w:val="18"/>
          <w:szCs w:val="18"/>
          <w:lang w:val="en-US"/>
        </w:rPr>
        <w:t xml:space="preserve"> (contd)</w:t>
      </w:r>
    </w:p>
    <w:p w14:paraId="69488D27" w14:textId="77777777" w:rsidR="00C7266C" w:rsidRPr="00D403F5" w:rsidRDefault="00C7266C" w:rsidP="00D403F5">
      <w:pPr>
        <w:tabs>
          <w:tab w:val="left" w:pos="0"/>
        </w:tabs>
        <w:spacing w:after="0"/>
        <w:jc w:val="both"/>
        <w:rPr>
          <w:rFonts w:ascii="Arial" w:hAnsi="Arial"/>
          <w:smallCaps/>
          <w:sz w:val="18"/>
          <w:szCs w:val="18"/>
          <w:lang w:val="en-IE" w:bidi="en-US"/>
        </w:rPr>
      </w:pPr>
      <w:r w:rsidRPr="00D403F5">
        <w:rPr>
          <w:rFonts w:ascii="Arial" w:hAnsi="Arial"/>
          <w:smallCaps/>
          <w:sz w:val="18"/>
          <w:szCs w:val="18"/>
          <w:lang w:val="en-IE" w:bidi="en-US"/>
        </w:rPr>
        <w:t xml:space="preserve">Oreshkova S.F., Shchelkunov I.S., Tikunova N. V, Shchelkunova T.I., Puzyrev A.T. &amp; Ilyichev A.A. (1999). </w:t>
      </w:r>
      <w:r w:rsidRPr="00D403F5">
        <w:rPr>
          <w:rFonts w:ascii="Arial" w:hAnsi="Arial"/>
          <w:sz w:val="18"/>
          <w:szCs w:val="18"/>
          <w:lang w:val="en-IE" w:bidi="en-US"/>
        </w:rPr>
        <w:t xml:space="preserve">Detection of spring viremia of carp virus isolates by hybridization with non-radioactive probes and amplification by polymerase chain reaction. </w:t>
      </w:r>
      <w:r w:rsidRPr="00D403F5">
        <w:rPr>
          <w:rFonts w:ascii="Arial" w:hAnsi="Arial"/>
          <w:i/>
          <w:sz w:val="18"/>
          <w:szCs w:val="18"/>
          <w:lang w:val="en-IE" w:bidi="en-US"/>
        </w:rPr>
        <w:t>Virus Res</w:t>
      </w:r>
      <w:r w:rsidRPr="00D403F5">
        <w:rPr>
          <w:rFonts w:ascii="Arial" w:hAnsi="Arial"/>
          <w:sz w:val="18"/>
          <w:szCs w:val="18"/>
          <w:lang w:val="en-IE" w:bidi="en-US"/>
        </w:rPr>
        <w:t xml:space="preserve">., </w:t>
      </w:r>
      <w:r w:rsidRPr="00D403F5">
        <w:rPr>
          <w:rFonts w:ascii="Arial" w:hAnsi="Arial"/>
          <w:b/>
          <w:sz w:val="18"/>
          <w:szCs w:val="18"/>
          <w:lang w:val="en-IE" w:bidi="en-US"/>
        </w:rPr>
        <w:t>63</w:t>
      </w:r>
      <w:r w:rsidRPr="00D403F5">
        <w:rPr>
          <w:rFonts w:ascii="Arial" w:hAnsi="Arial"/>
          <w:sz w:val="18"/>
          <w:szCs w:val="18"/>
          <w:lang w:val="en-IE" w:bidi="en-US"/>
        </w:rPr>
        <w:t>, 3–10.</w:t>
      </w:r>
      <w:r w:rsidRPr="00D403F5">
        <w:rPr>
          <w:rFonts w:ascii="Arial" w:hAnsi="Arial"/>
          <w:smallCaps/>
          <w:sz w:val="18"/>
          <w:szCs w:val="18"/>
          <w:lang w:val="en-IE" w:bidi="en-US"/>
        </w:rPr>
        <w:t xml:space="preserve"> </w:t>
      </w:r>
    </w:p>
    <w:p w14:paraId="1F5C04DC" w14:textId="77777777" w:rsidR="00C7266C" w:rsidRPr="00D403F5" w:rsidRDefault="00C7266C" w:rsidP="00D403F5">
      <w:pPr>
        <w:spacing w:after="0"/>
        <w:jc w:val="both"/>
        <w:rPr>
          <w:rFonts w:ascii="Arial" w:hAnsi="Arial"/>
          <w:bCs/>
          <w:sz w:val="18"/>
          <w:szCs w:val="18"/>
          <w:lang w:bidi="en-US"/>
        </w:rPr>
      </w:pPr>
      <w:r w:rsidRPr="00D403F5">
        <w:rPr>
          <w:rFonts w:ascii="Arial" w:hAnsi="Arial"/>
          <w:bCs/>
          <w:smallCaps/>
          <w:sz w:val="18"/>
          <w:szCs w:val="18"/>
          <w:lang w:val="en-IE" w:bidi="en-US"/>
        </w:rPr>
        <w:t>Peters F. &amp; Neukirch M</w:t>
      </w:r>
      <w:r w:rsidRPr="00D403F5">
        <w:rPr>
          <w:rFonts w:ascii="Arial" w:hAnsi="Arial"/>
          <w:bCs/>
          <w:sz w:val="18"/>
          <w:szCs w:val="18"/>
          <w:lang w:val="en-IE" w:bidi="en-US"/>
        </w:rPr>
        <w:t>. (1986) Transmission of some fish pathogenic vir</w:t>
      </w:r>
      <w:r w:rsidRPr="00D403F5">
        <w:rPr>
          <w:rFonts w:ascii="Arial" w:hAnsi="Arial"/>
          <w:bCs/>
          <w:sz w:val="18"/>
          <w:szCs w:val="18"/>
          <w:lang w:bidi="en-US"/>
        </w:rPr>
        <w:t xml:space="preserve">uses by the heron, </w:t>
      </w:r>
      <w:r w:rsidRPr="00D403F5">
        <w:rPr>
          <w:rFonts w:ascii="Arial" w:hAnsi="Arial"/>
          <w:bCs/>
          <w:i/>
          <w:iCs/>
          <w:sz w:val="18"/>
          <w:szCs w:val="18"/>
          <w:lang w:bidi="en-US"/>
        </w:rPr>
        <w:t>Ardea cinerea</w:t>
      </w:r>
      <w:r w:rsidRPr="00D403F5">
        <w:rPr>
          <w:rFonts w:ascii="Arial" w:hAnsi="Arial"/>
          <w:bCs/>
          <w:sz w:val="18"/>
          <w:szCs w:val="18"/>
          <w:lang w:bidi="en-US"/>
        </w:rPr>
        <w:t>.</w:t>
      </w:r>
      <w:r w:rsidRPr="00D403F5">
        <w:rPr>
          <w:rFonts w:ascii="Arial" w:hAnsi="Arial"/>
          <w:bCs/>
          <w:i/>
          <w:sz w:val="18"/>
          <w:szCs w:val="18"/>
          <w:lang w:bidi="en-US"/>
        </w:rPr>
        <w:t>J</w:t>
      </w:r>
      <w:r w:rsidRPr="00D403F5">
        <w:rPr>
          <w:rFonts w:ascii="Arial" w:hAnsi="Arial"/>
          <w:bCs/>
          <w:sz w:val="18"/>
          <w:szCs w:val="18"/>
          <w:lang w:bidi="en-US"/>
        </w:rPr>
        <w:t>.</w:t>
      </w:r>
      <w:r w:rsidRPr="00D403F5">
        <w:rPr>
          <w:rFonts w:ascii="Arial" w:hAnsi="Arial"/>
          <w:bCs/>
          <w:i/>
          <w:iCs/>
          <w:sz w:val="18"/>
          <w:szCs w:val="18"/>
          <w:lang w:bidi="en-US"/>
        </w:rPr>
        <w:t xml:space="preserve"> Fish Dis., </w:t>
      </w:r>
      <w:r w:rsidRPr="00D403F5">
        <w:rPr>
          <w:rFonts w:ascii="Arial" w:hAnsi="Arial"/>
          <w:b/>
          <w:bCs/>
          <w:sz w:val="18"/>
          <w:szCs w:val="18"/>
          <w:lang w:bidi="en-US"/>
        </w:rPr>
        <w:t>9</w:t>
      </w:r>
      <w:r w:rsidRPr="00D403F5">
        <w:rPr>
          <w:rFonts w:ascii="Arial" w:hAnsi="Arial"/>
          <w:bCs/>
          <w:sz w:val="18"/>
          <w:szCs w:val="18"/>
          <w:lang w:bidi="en-US"/>
        </w:rPr>
        <w:t>, 539</w:t>
      </w:r>
      <w:r w:rsidRPr="00D403F5">
        <w:rPr>
          <w:rFonts w:ascii="Arial" w:hAnsi="Arial" w:hint="eastAsia"/>
          <w:bCs/>
          <w:sz w:val="18"/>
          <w:szCs w:val="18"/>
          <w:lang w:bidi="en-US"/>
        </w:rPr>
        <w:t>–</w:t>
      </w:r>
      <w:r w:rsidRPr="00D403F5">
        <w:rPr>
          <w:rFonts w:ascii="Arial" w:hAnsi="Arial"/>
          <w:bCs/>
          <w:sz w:val="18"/>
          <w:szCs w:val="18"/>
          <w:lang w:bidi="en-US"/>
        </w:rPr>
        <w:t>544.</w:t>
      </w:r>
    </w:p>
    <w:p w14:paraId="283330C8" w14:textId="77777777" w:rsidR="00C7266C" w:rsidRPr="00D403F5" w:rsidRDefault="00C7266C" w:rsidP="00D403F5">
      <w:pPr>
        <w:tabs>
          <w:tab w:val="left" w:pos="0"/>
        </w:tabs>
        <w:spacing w:after="0"/>
        <w:jc w:val="both"/>
        <w:rPr>
          <w:rFonts w:ascii="Arial" w:hAnsi="Arial"/>
          <w:smallCaps/>
          <w:sz w:val="18"/>
          <w:szCs w:val="18"/>
          <w:lang w:val="en-IE" w:bidi="en-US"/>
        </w:rPr>
      </w:pPr>
      <w:r w:rsidRPr="00D403F5">
        <w:rPr>
          <w:rFonts w:ascii="Arial" w:hAnsi="Arial"/>
          <w:smallCaps/>
          <w:sz w:val="18"/>
          <w:szCs w:val="18"/>
          <w:lang w:val="en-IE" w:bidi="en-US"/>
        </w:rPr>
        <w:t xml:space="preserve">Ruane N.M., Rodger H.D., McCarthy L.J., Swords D., Dodge M., Kerr R.C., Henshilwood K. &amp; Stone D.M. (2014). </w:t>
      </w:r>
      <w:r w:rsidRPr="00D403F5">
        <w:rPr>
          <w:rFonts w:ascii="Arial" w:hAnsi="Arial"/>
          <w:sz w:val="18"/>
          <w:szCs w:val="18"/>
          <w:lang w:val="en-IE" w:bidi="en-US"/>
        </w:rPr>
        <w:t xml:space="preserve">Genetic diversity and associated pathology of rhabdovirus infections in farmed and wild perch </w:t>
      </w:r>
      <w:r w:rsidRPr="00D403F5">
        <w:rPr>
          <w:rFonts w:ascii="Arial" w:hAnsi="Arial"/>
          <w:i/>
          <w:sz w:val="18"/>
          <w:szCs w:val="18"/>
          <w:lang w:val="en-IE" w:bidi="en-US"/>
        </w:rPr>
        <w:t>Perca fluviatilis</w:t>
      </w:r>
      <w:r w:rsidRPr="00D403F5">
        <w:rPr>
          <w:rFonts w:ascii="Arial" w:hAnsi="Arial"/>
          <w:sz w:val="18"/>
          <w:szCs w:val="18"/>
          <w:lang w:val="en-IE" w:bidi="en-US"/>
        </w:rPr>
        <w:t xml:space="preserve"> in Ireland. </w:t>
      </w:r>
      <w:r w:rsidRPr="00D403F5">
        <w:rPr>
          <w:rFonts w:ascii="Arial" w:hAnsi="Arial"/>
          <w:i/>
          <w:sz w:val="18"/>
          <w:szCs w:val="18"/>
          <w:lang w:val="en-IE" w:bidi="en-US"/>
        </w:rPr>
        <w:t>Dis. Aquat. Org</w:t>
      </w:r>
      <w:r w:rsidRPr="00D403F5">
        <w:rPr>
          <w:rFonts w:ascii="Arial" w:hAnsi="Arial"/>
          <w:sz w:val="18"/>
          <w:szCs w:val="18"/>
          <w:lang w:val="en-IE" w:bidi="en-US"/>
        </w:rPr>
        <w:t xml:space="preserve">., </w:t>
      </w:r>
      <w:r w:rsidRPr="00D403F5">
        <w:rPr>
          <w:rFonts w:ascii="Arial" w:hAnsi="Arial"/>
          <w:b/>
          <w:sz w:val="18"/>
          <w:szCs w:val="18"/>
          <w:lang w:val="en-IE" w:bidi="en-US"/>
        </w:rPr>
        <w:t>112</w:t>
      </w:r>
      <w:r w:rsidRPr="00D403F5">
        <w:rPr>
          <w:rFonts w:ascii="Arial" w:hAnsi="Arial"/>
          <w:sz w:val="18"/>
          <w:szCs w:val="18"/>
          <w:lang w:val="en-IE" w:bidi="en-US"/>
        </w:rPr>
        <w:t>, 121–130.</w:t>
      </w:r>
    </w:p>
    <w:p w14:paraId="4EE33FB9" w14:textId="77777777" w:rsidR="00C7266C" w:rsidRPr="00D403F5" w:rsidRDefault="00C7266C" w:rsidP="00D403F5">
      <w:pPr>
        <w:tabs>
          <w:tab w:val="left" w:pos="0"/>
        </w:tabs>
        <w:spacing w:after="0"/>
        <w:jc w:val="both"/>
        <w:rPr>
          <w:rFonts w:ascii="Arial" w:hAnsi="Arial" w:cs="Arial"/>
          <w:noProof/>
          <w:sz w:val="18"/>
          <w:szCs w:val="18"/>
          <w:lang w:bidi="en-US"/>
        </w:rPr>
      </w:pPr>
      <w:r w:rsidRPr="00D403F5">
        <w:rPr>
          <w:rFonts w:ascii="Arial" w:hAnsi="Arial"/>
          <w:smallCaps/>
          <w:sz w:val="18"/>
          <w:szCs w:val="18"/>
          <w:lang w:val="en-IE" w:bidi="en-US"/>
        </w:rPr>
        <w:t xml:space="preserve">Sheppard A.M., LeDeuff R.-M., Martin P.D., Woolford G., Way K. &amp; Stone D.M. </w:t>
      </w:r>
      <w:r w:rsidRPr="00D403F5">
        <w:rPr>
          <w:rFonts w:ascii="Arial" w:hAnsi="Arial"/>
          <w:sz w:val="18"/>
          <w:szCs w:val="18"/>
          <w:lang w:val="en-IE" w:bidi="en-US"/>
        </w:rPr>
        <w:t xml:space="preserve">(2007). Genotyping spring viraemia of carp virus and other piscine vesiculo-like viruses using reverse hybridisation. </w:t>
      </w:r>
      <w:r w:rsidRPr="00D403F5">
        <w:rPr>
          <w:rFonts w:ascii="Arial" w:hAnsi="Arial"/>
          <w:i/>
          <w:iCs/>
          <w:sz w:val="18"/>
          <w:szCs w:val="18"/>
          <w:lang w:val="en-IE" w:bidi="en-US"/>
        </w:rPr>
        <w:t>Dis. Aquat. Org.</w:t>
      </w:r>
      <w:r w:rsidRPr="00D403F5">
        <w:rPr>
          <w:rFonts w:ascii="Arial" w:hAnsi="Arial"/>
          <w:sz w:val="18"/>
          <w:szCs w:val="18"/>
          <w:lang w:val="en-IE" w:bidi="en-US"/>
        </w:rPr>
        <w:t xml:space="preserve">, </w:t>
      </w:r>
      <w:r w:rsidRPr="00D403F5">
        <w:rPr>
          <w:rFonts w:ascii="Arial" w:hAnsi="Arial"/>
          <w:b/>
          <w:bCs/>
          <w:sz w:val="18"/>
          <w:szCs w:val="18"/>
          <w:lang w:val="en-IE" w:bidi="en-US"/>
        </w:rPr>
        <w:t>76</w:t>
      </w:r>
      <w:r w:rsidRPr="00D403F5">
        <w:rPr>
          <w:rFonts w:ascii="Arial" w:hAnsi="Arial"/>
          <w:sz w:val="18"/>
          <w:szCs w:val="18"/>
          <w:lang w:val="en-IE" w:bidi="en-US"/>
        </w:rPr>
        <w:t>, 163–168.</w:t>
      </w:r>
    </w:p>
    <w:p w14:paraId="7F107897" w14:textId="77777777" w:rsidR="00C7266C" w:rsidRPr="00D403F5" w:rsidRDefault="00C7266C" w:rsidP="00D403F5">
      <w:pPr>
        <w:tabs>
          <w:tab w:val="left" w:pos="0"/>
        </w:tabs>
        <w:spacing w:after="0"/>
        <w:jc w:val="both"/>
        <w:rPr>
          <w:rFonts w:ascii="Arial" w:hAnsi="Arial"/>
          <w:smallCaps/>
          <w:sz w:val="18"/>
          <w:szCs w:val="18"/>
          <w:lang w:val="nb-NO" w:bidi="en-US"/>
        </w:rPr>
      </w:pPr>
      <w:r w:rsidRPr="00D403F5">
        <w:rPr>
          <w:rFonts w:ascii="Arial" w:hAnsi="Arial"/>
          <w:smallCaps/>
          <w:sz w:val="18"/>
          <w:szCs w:val="18"/>
          <w:lang w:val="en-IE" w:bidi="en-US"/>
        </w:rPr>
        <w:t xml:space="preserve">Shimahara Y., Kurita J., Nishioka T., Kiryu I., Yuasa K., Sakai T., Oseko N., Sano M. &amp; Dixon P. (2016). </w:t>
      </w:r>
      <w:r w:rsidRPr="00D403F5">
        <w:rPr>
          <w:rFonts w:ascii="Arial" w:hAnsi="Arial"/>
          <w:sz w:val="18"/>
          <w:szCs w:val="18"/>
          <w:lang w:val="en-IE" w:bidi="en-US"/>
        </w:rPr>
        <w:t xml:space="preserve">Development of an improved RT-PCR for specific detection of spring viraemia of carp virus. </w:t>
      </w:r>
      <w:r w:rsidRPr="00D403F5">
        <w:rPr>
          <w:rFonts w:ascii="Arial" w:hAnsi="Arial"/>
          <w:i/>
          <w:sz w:val="18"/>
          <w:szCs w:val="18"/>
          <w:lang w:val="nb-NO" w:bidi="en-US"/>
        </w:rPr>
        <w:t>J. Fish Dis</w:t>
      </w:r>
      <w:r w:rsidRPr="00D403F5">
        <w:rPr>
          <w:rFonts w:ascii="Arial" w:hAnsi="Arial"/>
          <w:sz w:val="18"/>
          <w:szCs w:val="18"/>
          <w:lang w:val="nb-NO" w:bidi="en-US"/>
        </w:rPr>
        <w:t xml:space="preserve">., </w:t>
      </w:r>
      <w:r w:rsidRPr="00D403F5">
        <w:rPr>
          <w:rFonts w:ascii="Arial" w:hAnsi="Arial"/>
          <w:b/>
          <w:sz w:val="18"/>
          <w:szCs w:val="18"/>
          <w:lang w:val="nb-NO" w:bidi="en-US"/>
        </w:rPr>
        <w:t>39</w:t>
      </w:r>
      <w:r w:rsidRPr="00D403F5">
        <w:rPr>
          <w:rFonts w:ascii="Arial" w:hAnsi="Arial"/>
          <w:sz w:val="18"/>
          <w:szCs w:val="18"/>
          <w:lang w:val="nb-NO" w:bidi="en-US"/>
        </w:rPr>
        <w:t>, 269–275.</w:t>
      </w:r>
    </w:p>
    <w:p w14:paraId="35EF37A3" w14:textId="77777777" w:rsidR="00C7266C" w:rsidRPr="00D403F5" w:rsidRDefault="00C7266C" w:rsidP="00D403F5">
      <w:pPr>
        <w:autoSpaceDE w:val="0"/>
        <w:autoSpaceDN w:val="0"/>
        <w:adjustRightInd w:val="0"/>
        <w:spacing w:after="0"/>
        <w:jc w:val="both"/>
        <w:rPr>
          <w:rFonts w:ascii="Arial" w:eastAsia="Calibri" w:hAnsi="Arial" w:cs="Arial"/>
          <w:sz w:val="18"/>
          <w:szCs w:val="18"/>
        </w:rPr>
      </w:pPr>
      <w:r w:rsidRPr="00D403F5">
        <w:rPr>
          <w:rFonts w:ascii="Arial" w:hAnsi="Arial"/>
          <w:smallCaps/>
          <w:sz w:val="18"/>
          <w:szCs w:val="18"/>
          <w:lang w:val="nb-NO" w:bidi="en-US"/>
        </w:rPr>
        <w:t>Shivappa R.B., Savan R., Kono T., Sakai M., Emmenegger E., Kurath G. &amp; Levine J F (</w:t>
      </w:r>
      <w:r w:rsidRPr="00D403F5">
        <w:rPr>
          <w:rFonts w:ascii="Arial" w:eastAsia="Calibri" w:hAnsi="Arial" w:cs="Arial"/>
          <w:sz w:val="18"/>
          <w:szCs w:val="18"/>
          <w:lang w:val="nb-NO"/>
        </w:rPr>
        <w:t xml:space="preserve">2008). </w:t>
      </w:r>
      <w:r w:rsidRPr="00D403F5">
        <w:rPr>
          <w:rFonts w:ascii="Arial" w:eastAsia="Calibri" w:hAnsi="Arial" w:cs="Arial"/>
          <w:sz w:val="18"/>
          <w:szCs w:val="18"/>
        </w:rPr>
        <w:t xml:space="preserve">Detection of spring viraemia of carp virus (SVCV) by loop-mediated isothermal amplification (LAMP) in koi carp, </w:t>
      </w:r>
      <w:r w:rsidRPr="00D403F5">
        <w:rPr>
          <w:rFonts w:ascii="Arial" w:eastAsia="Calibri" w:hAnsi="Arial" w:cs="Arial"/>
          <w:i/>
          <w:sz w:val="18"/>
          <w:szCs w:val="18"/>
        </w:rPr>
        <w:t>Cyprinus carpio</w:t>
      </w:r>
      <w:r w:rsidRPr="00D403F5">
        <w:rPr>
          <w:rFonts w:ascii="Arial" w:eastAsia="Calibri" w:hAnsi="Arial" w:cs="Arial"/>
          <w:sz w:val="18"/>
          <w:szCs w:val="18"/>
        </w:rPr>
        <w:t xml:space="preserve"> L </w:t>
      </w:r>
      <w:r w:rsidRPr="00D403F5">
        <w:rPr>
          <w:rFonts w:ascii="Arial" w:eastAsia="Calibri" w:hAnsi="Arial" w:cs="Arial"/>
          <w:i/>
          <w:sz w:val="18"/>
          <w:szCs w:val="18"/>
        </w:rPr>
        <w:t>J. Fish Dis.,</w:t>
      </w:r>
      <w:r w:rsidRPr="00D403F5">
        <w:rPr>
          <w:rFonts w:ascii="Arial" w:eastAsia="Calibri" w:hAnsi="Arial" w:cs="Arial"/>
          <w:sz w:val="18"/>
          <w:szCs w:val="18"/>
        </w:rPr>
        <w:t xml:space="preserve"> </w:t>
      </w:r>
      <w:r w:rsidRPr="00D403F5">
        <w:rPr>
          <w:rFonts w:ascii="Arial" w:eastAsia="Calibri" w:hAnsi="Arial" w:cs="Arial"/>
          <w:b/>
          <w:sz w:val="18"/>
          <w:szCs w:val="18"/>
        </w:rPr>
        <w:t>31</w:t>
      </w:r>
      <w:r w:rsidRPr="00D403F5">
        <w:rPr>
          <w:rFonts w:ascii="Arial" w:eastAsia="Calibri" w:hAnsi="Arial" w:cs="Arial"/>
          <w:sz w:val="18"/>
          <w:szCs w:val="18"/>
        </w:rPr>
        <w:t>, 249–258.</w:t>
      </w:r>
    </w:p>
    <w:p w14:paraId="35362894" w14:textId="77777777" w:rsidR="00C7266C" w:rsidRPr="00D403F5" w:rsidRDefault="00C7266C" w:rsidP="00D403F5">
      <w:pPr>
        <w:tabs>
          <w:tab w:val="left" w:pos="0"/>
        </w:tabs>
        <w:spacing w:after="0"/>
        <w:jc w:val="both"/>
        <w:rPr>
          <w:rFonts w:ascii="Arial" w:hAnsi="Arial" w:cs="Arial"/>
          <w:noProof/>
          <w:sz w:val="18"/>
          <w:szCs w:val="18"/>
          <w:lang w:val="pt-BR" w:bidi="en-US"/>
        </w:rPr>
      </w:pPr>
      <w:r w:rsidRPr="00D403F5">
        <w:rPr>
          <w:rFonts w:ascii="Arial" w:hAnsi="Arial"/>
          <w:smallCaps/>
          <w:sz w:val="18"/>
          <w:szCs w:val="18"/>
          <w:lang w:val="en-IE" w:bidi="en-US"/>
        </w:rPr>
        <w:t xml:space="preserve">Stone D.M., Ahne W., Denham K.D., Dixon P.F., Liu C.T.Y., Sheppard A.M., Taylor G.R. &amp; Way K. </w:t>
      </w:r>
      <w:r w:rsidRPr="00D403F5">
        <w:rPr>
          <w:rFonts w:ascii="Arial" w:hAnsi="Arial"/>
          <w:sz w:val="18"/>
          <w:szCs w:val="18"/>
          <w:lang w:val="en-IE" w:bidi="en-US"/>
        </w:rPr>
        <w:t xml:space="preserve">(2003). Nucleotide sequence analysis of the glycoprotein gene of putative spring viraemia of carp virus and pike fry rhabdovirus isolates reveals four genogroups. </w:t>
      </w:r>
      <w:r w:rsidRPr="00D403F5">
        <w:rPr>
          <w:rFonts w:ascii="Arial" w:hAnsi="Arial"/>
          <w:i/>
          <w:iCs/>
          <w:sz w:val="18"/>
          <w:szCs w:val="18"/>
          <w:lang w:val="pt-BR" w:bidi="en-US"/>
        </w:rPr>
        <w:t>Dis. Aquat. Org.</w:t>
      </w:r>
      <w:r w:rsidRPr="00D403F5">
        <w:rPr>
          <w:rFonts w:ascii="Arial" w:hAnsi="Arial"/>
          <w:sz w:val="18"/>
          <w:szCs w:val="18"/>
          <w:lang w:val="pt-BR" w:bidi="en-US"/>
        </w:rPr>
        <w:t xml:space="preserve">, </w:t>
      </w:r>
      <w:r w:rsidRPr="00D403F5">
        <w:rPr>
          <w:rFonts w:ascii="Arial" w:hAnsi="Arial"/>
          <w:b/>
          <w:bCs/>
          <w:sz w:val="18"/>
          <w:szCs w:val="18"/>
          <w:lang w:val="pt-BR" w:bidi="en-US"/>
        </w:rPr>
        <w:t>53</w:t>
      </w:r>
      <w:r w:rsidRPr="00D403F5">
        <w:rPr>
          <w:rFonts w:ascii="Arial" w:hAnsi="Arial"/>
          <w:sz w:val="18"/>
          <w:szCs w:val="18"/>
          <w:lang w:val="pt-BR" w:bidi="en-US"/>
        </w:rPr>
        <w:t>, 203–210</w:t>
      </w:r>
      <w:r w:rsidRPr="00D403F5">
        <w:rPr>
          <w:rFonts w:ascii="Arial" w:hAnsi="Arial" w:cs="Arial"/>
          <w:noProof/>
          <w:sz w:val="18"/>
          <w:szCs w:val="18"/>
          <w:lang w:val="pt-BR" w:bidi="en-US"/>
        </w:rPr>
        <w:t xml:space="preserve">. </w:t>
      </w:r>
    </w:p>
    <w:p w14:paraId="79BF90BA" w14:textId="77777777" w:rsidR="00C7266C" w:rsidRPr="00D403F5" w:rsidRDefault="00C7266C" w:rsidP="00D403F5">
      <w:pPr>
        <w:spacing w:after="0"/>
        <w:jc w:val="both"/>
        <w:rPr>
          <w:rFonts w:ascii="Arial" w:eastAsia="Calibri" w:hAnsi="Arial" w:cs="Arial"/>
          <w:sz w:val="18"/>
          <w:szCs w:val="18"/>
          <w:lang w:val="en-IE" w:bidi="en-US"/>
        </w:rPr>
      </w:pPr>
      <w:r w:rsidRPr="00D403F5">
        <w:rPr>
          <w:rFonts w:ascii="Arial" w:eastAsia="Calibri" w:hAnsi="Arial" w:cs="Arial"/>
          <w:smallCaps/>
          <w:sz w:val="18"/>
          <w:szCs w:val="18"/>
          <w:lang w:val="pt-BR" w:bidi="en-US"/>
        </w:rPr>
        <w:t>Svetlana J,, Dobrila J.-D. &amp; Radosavljevi V</w:t>
      </w:r>
      <w:r w:rsidRPr="00D403F5">
        <w:rPr>
          <w:rFonts w:ascii="Arial" w:eastAsia="Calibri" w:hAnsi="Arial" w:cs="Arial"/>
          <w:sz w:val="18"/>
          <w:szCs w:val="18"/>
          <w:lang w:val="pt-BR" w:bidi="en-US"/>
        </w:rPr>
        <w:t xml:space="preserve">. (2004). </w:t>
      </w:r>
      <w:r w:rsidRPr="00D403F5">
        <w:rPr>
          <w:rFonts w:ascii="Arial" w:eastAsia="Calibri" w:hAnsi="Arial" w:cs="Arial"/>
          <w:bCs/>
          <w:sz w:val="18"/>
          <w:szCs w:val="18"/>
          <w:lang w:val="en-IE" w:bidi="en-US"/>
        </w:rPr>
        <w:t xml:space="preserve">Dissemination of spring viraemia of carp (svc) in serbia during the period 1992–2002. </w:t>
      </w:r>
      <w:r w:rsidRPr="00D403F5">
        <w:rPr>
          <w:rFonts w:ascii="Arial" w:eastAsia="Calibri" w:hAnsi="Arial" w:cs="Arial"/>
          <w:i/>
          <w:sz w:val="18"/>
          <w:szCs w:val="18"/>
          <w:lang w:val="en-IE" w:bidi="en-US"/>
        </w:rPr>
        <w:t>Acta Veterinaria</w:t>
      </w:r>
      <w:r w:rsidRPr="00D403F5">
        <w:rPr>
          <w:rFonts w:ascii="Arial" w:eastAsia="Calibri" w:hAnsi="Arial" w:cs="Arial"/>
          <w:sz w:val="18"/>
          <w:szCs w:val="18"/>
          <w:lang w:val="en-IE" w:bidi="en-US"/>
        </w:rPr>
        <w:t xml:space="preserve"> (Beograd), </w:t>
      </w:r>
      <w:r w:rsidRPr="00D403F5">
        <w:rPr>
          <w:rFonts w:ascii="Arial" w:eastAsia="Calibri" w:hAnsi="Arial" w:cs="Arial"/>
          <w:b/>
          <w:sz w:val="18"/>
          <w:szCs w:val="18"/>
          <w:lang w:val="en-IE" w:bidi="en-US"/>
        </w:rPr>
        <w:t>54</w:t>
      </w:r>
      <w:r w:rsidRPr="00D403F5">
        <w:rPr>
          <w:rFonts w:ascii="Arial" w:eastAsia="Calibri" w:hAnsi="Arial" w:cs="Arial"/>
          <w:sz w:val="18"/>
          <w:szCs w:val="18"/>
          <w:lang w:val="en-IE" w:bidi="en-US"/>
        </w:rPr>
        <w:t>, 289–299.</w:t>
      </w:r>
    </w:p>
    <w:p w14:paraId="45201D0A" w14:textId="77777777" w:rsidR="00C7266C" w:rsidRPr="00D403F5" w:rsidRDefault="00C7266C" w:rsidP="00D403F5">
      <w:pPr>
        <w:spacing w:after="0"/>
        <w:jc w:val="both"/>
        <w:rPr>
          <w:rFonts w:ascii="Arial" w:hAnsi="Arial"/>
          <w:sz w:val="18"/>
          <w:szCs w:val="18"/>
          <w:lang w:val="en-IE" w:bidi="en-US"/>
        </w:rPr>
      </w:pPr>
      <w:r w:rsidRPr="00D403F5">
        <w:rPr>
          <w:rFonts w:ascii="Arial" w:hAnsi="Arial"/>
          <w:smallCaps/>
          <w:sz w:val="18"/>
          <w:szCs w:val="18"/>
          <w:lang w:val="en-IE" w:bidi="en-US"/>
        </w:rPr>
        <w:t xml:space="preserve">Teng Y., Liu H., Lv J.Q., Fan W.H., Zhang Q.Y. &amp; Qin Q.W. </w:t>
      </w:r>
      <w:r w:rsidRPr="00D403F5">
        <w:rPr>
          <w:rFonts w:ascii="Arial" w:hAnsi="Arial"/>
          <w:sz w:val="18"/>
          <w:szCs w:val="18"/>
          <w:lang w:val="en-IE" w:bidi="en-US"/>
        </w:rPr>
        <w:t>(2007). Characterization of complete genome sequence of the spring viremia of carp virus isolated from common carp (</w:t>
      </w:r>
      <w:r w:rsidRPr="00D403F5">
        <w:rPr>
          <w:rFonts w:ascii="Arial" w:hAnsi="Arial"/>
          <w:i/>
          <w:iCs/>
          <w:sz w:val="18"/>
          <w:szCs w:val="18"/>
          <w:lang w:val="en-IE" w:bidi="en-US"/>
        </w:rPr>
        <w:t>Cyprinus carpio</w:t>
      </w:r>
      <w:r w:rsidRPr="00D403F5">
        <w:rPr>
          <w:rFonts w:ascii="Arial" w:hAnsi="Arial"/>
          <w:sz w:val="18"/>
          <w:szCs w:val="18"/>
          <w:lang w:val="en-IE" w:bidi="en-US"/>
        </w:rPr>
        <w:t xml:space="preserve">) in China. </w:t>
      </w:r>
      <w:r w:rsidRPr="00D403F5">
        <w:rPr>
          <w:rFonts w:ascii="Arial" w:hAnsi="Arial"/>
          <w:i/>
          <w:iCs/>
          <w:sz w:val="18"/>
          <w:szCs w:val="18"/>
          <w:lang w:val="en-IE" w:bidi="en-US"/>
        </w:rPr>
        <w:t>Arch. Virol.</w:t>
      </w:r>
      <w:r w:rsidRPr="00D403F5">
        <w:rPr>
          <w:rFonts w:ascii="Arial" w:hAnsi="Arial"/>
          <w:sz w:val="18"/>
          <w:szCs w:val="18"/>
          <w:lang w:val="en-IE" w:bidi="en-US"/>
        </w:rPr>
        <w:t xml:space="preserve">, </w:t>
      </w:r>
      <w:r w:rsidRPr="00D403F5">
        <w:rPr>
          <w:rFonts w:ascii="Arial" w:hAnsi="Arial"/>
          <w:b/>
          <w:bCs/>
          <w:sz w:val="18"/>
          <w:szCs w:val="18"/>
          <w:lang w:val="en-IE" w:bidi="en-US"/>
        </w:rPr>
        <w:t>152</w:t>
      </w:r>
      <w:r w:rsidRPr="00D403F5">
        <w:rPr>
          <w:rFonts w:ascii="Arial" w:hAnsi="Arial"/>
          <w:sz w:val="18"/>
          <w:szCs w:val="18"/>
          <w:lang w:val="en-IE" w:bidi="en-US"/>
        </w:rPr>
        <w:t>, 1457–1465.</w:t>
      </w:r>
    </w:p>
    <w:p w14:paraId="7C06F101" w14:textId="77777777" w:rsidR="00C7266C" w:rsidRPr="00D403F5" w:rsidRDefault="00C7266C" w:rsidP="00D403F5">
      <w:pPr>
        <w:tabs>
          <w:tab w:val="left" w:pos="0"/>
        </w:tabs>
        <w:spacing w:after="0"/>
        <w:jc w:val="both"/>
        <w:rPr>
          <w:rFonts w:ascii="Arial" w:hAnsi="Arial" w:cs="Arial"/>
          <w:bCs/>
          <w:noProof/>
          <w:sz w:val="18"/>
          <w:szCs w:val="18"/>
          <w:lang w:val="en-US" w:bidi="en-US"/>
        </w:rPr>
      </w:pPr>
      <w:r w:rsidRPr="00D403F5">
        <w:rPr>
          <w:rFonts w:ascii="Arial" w:hAnsi="Arial" w:hint="eastAsia"/>
          <w:smallCaps/>
          <w:sz w:val="18"/>
          <w:szCs w:val="18"/>
          <w:lang w:val="en-US" w:eastAsia="en-GB"/>
        </w:rPr>
        <w:t>Yue Z</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Teng Y</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Liang C</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Xie X</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Xu B</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Zhu L</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Lei Z</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He J</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Liu Z</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Jiang Y</w:t>
      </w:r>
      <w:r w:rsidRPr="00D403F5">
        <w:rPr>
          <w:rFonts w:ascii="Arial" w:hAnsi="Arial"/>
          <w:smallCaps/>
          <w:sz w:val="18"/>
          <w:szCs w:val="18"/>
          <w:lang w:val="en-US" w:eastAsia="en-GB"/>
        </w:rPr>
        <w:t>.</w:t>
      </w:r>
      <w:r w:rsidRPr="00D403F5">
        <w:rPr>
          <w:rFonts w:ascii="Arial" w:hAnsi="Arial" w:hint="eastAsia"/>
          <w:smallCaps/>
          <w:sz w:val="18"/>
          <w:szCs w:val="18"/>
          <w:lang w:val="en-US" w:eastAsia="en-GB"/>
        </w:rPr>
        <w:t>, Liu H</w:t>
      </w:r>
      <w:r w:rsidRPr="00D403F5">
        <w:rPr>
          <w:rFonts w:ascii="Arial" w:hAnsi="Arial"/>
          <w:smallCaps/>
          <w:sz w:val="18"/>
          <w:szCs w:val="18"/>
          <w:lang w:val="en-US" w:eastAsia="en-GB"/>
        </w:rPr>
        <w:t>. &amp;</w:t>
      </w:r>
      <w:r w:rsidRPr="00D403F5">
        <w:rPr>
          <w:rFonts w:ascii="Arial" w:hAnsi="Arial" w:hint="eastAsia"/>
          <w:smallCaps/>
          <w:sz w:val="18"/>
          <w:szCs w:val="18"/>
          <w:lang w:val="en-US" w:eastAsia="en-GB"/>
        </w:rPr>
        <w:t xml:space="preserve"> Qin Q</w:t>
      </w:r>
      <w:r w:rsidRPr="00D403F5">
        <w:rPr>
          <w:rFonts w:ascii="Arial" w:hAnsi="Arial"/>
          <w:smallCaps/>
          <w:sz w:val="18"/>
          <w:szCs w:val="18"/>
          <w:lang w:val="en-US" w:eastAsia="en-GB"/>
        </w:rPr>
        <w:t>.</w:t>
      </w:r>
      <w:r w:rsidRPr="00D403F5">
        <w:rPr>
          <w:rFonts w:ascii="Arial" w:hAnsi="Arial"/>
          <w:sz w:val="18"/>
          <w:szCs w:val="18"/>
          <w:lang w:val="en-US" w:eastAsia="en-GB"/>
        </w:rPr>
        <w:t xml:space="preserve"> (</w:t>
      </w:r>
      <w:r w:rsidRPr="00D403F5">
        <w:rPr>
          <w:rFonts w:ascii="Arial" w:hAnsi="Arial" w:hint="eastAsia"/>
          <w:sz w:val="18"/>
          <w:szCs w:val="18"/>
          <w:lang w:val="en-US" w:eastAsia="en-GB"/>
        </w:rPr>
        <w:t>2008</w:t>
      </w:r>
      <w:r w:rsidRPr="00D403F5">
        <w:rPr>
          <w:rFonts w:ascii="Arial" w:hAnsi="Arial"/>
          <w:sz w:val="18"/>
          <w:szCs w:val="18"/>
          <w:lang w:val="en-US" w:eastAsia="en-GB"/>
        </w:rPr>
        <w:t>)</w:t>
      </w:r>
      <w:r w:rsidRPr="00D403F5">
        <w:rPr>
          <w:rFonts w:ascii="Arial" w:hAnsi="Arial" w:hint="eastAsia"/>
          <w:sz w:val="18"/>
          <w:szCs w:val="18"/>
          <w:lang w:val="en-US" w:eastAsia="en-GB"/>
        </w:rPr>
        <w:t>. Development of a sensitive and quantitative assay for spring viremia of carp virus based on real-time PCR. J</w:t>
      </w:r>
      <w:r w:rsidRPr="00D403F5">
        <w:rPr>
          <w:rFonts w:ascii="Arial" w:hAnsi="Arial"/>
          <w:sz w:val="18"/>
          <w:szCs w:val="18"/>
          <w:lang w:val="en-US" w:eastAsia="en-GB"/>
        </w:rPr>
        <w:t>. </w:t>
      </w:r>
      <w:r w:rsidRPr="00D403F5">
        <w:rPr>
          <w:rFonts w:ascii="Arial" w:hAnsi="Arial" w:hint="eastAsia"/>
          <w:sz w:val="18"/>
          <w:szCs w:val="18"/>
          <w:lang w:val="en-US" w:eastAsia="en-GB"/>
        </w:rPr>
        <w:t>Virol</w:t>
      </w:r>
      <w:r w:rsidRPr="00D403F5">
        <w:rPr>
          <w:rFonts w:ascii="Arial" w:hAnsi="Arial"/>
          <w:sz w:val="18"/>
          <w:szCs w:val="18"/>
          <w:lang w:val="en-US" w:eastAsia="en-GB"/>
        </w:rPr>
        <w:t>.</w:t>
      </w:r>
      <w:r w:rsidRPr="00D403F5">
        <w:rPr>
          <w:rFonts w:ascii="Arial" w:hAnsi="Arial" w:hint="eastAsia"/>
          <w:sz w:val="18"/>
          <w:szCs w:val="18"/>
          <w:lang w:val="en-US" w:eastAsia="en-GB"/>
        </w:rPr>
        <w:t xml:space="preserve"> Methods</w:t>
      </w:r>
      <w:r w:rsidRPr="00D403F5">
        <w:rPr>
          <w:rFonts w:ascii="Arial" w:hAnsi="Arial"/>
          <w:sz w:val="18"/>
          <w:szCs w:val="18"/>
          <w:lang w:val="en-US" w:eastAsia="en-GB"/>
        </w:rPr>
        <w:t>,</w:t>
      </w:r>
      <w:r w:rsidRPr="00D403F5">
        <w:rPr>
          <w:rFonts w:ascii="Arial" w:hAnsi="Arial" w:hint="eastAsia"/>
          <w:sz w:val="18"/>
          <w:szCs w:val="18"/>
          <w:lang w:val="en-US" w:eastAsia="en-GB"/>
        </w:rPr>
        <w:t xml:space="preserve"> 152</w:t>
      </w:r>
      <w:r w:rsidRPr="00D403F5">
        <w:rPr>
          <w:rFonts w:ascii="Arial" w:hAnsi="Arial"/>
          <w:sz w:val="18"/>
          <w:szCs w:val="18"/>
          <w:lang w:val="en-US" w:eastAsia="en-GB"/>
        </w:rPr>
        <w:t xml:space="preserve">, </w:t>
      </w:r>
      <w:r w:rsidRPr="00D403F5">
        <w:rPr>
          <w:rFonts w:ascii="Arial" w:hAnsi="Arial" w:hint="eastAsia"/>
          <w:sz w:val="18"/>
          <w:szCs w:val="18"/>
          <w:lang w:val="en-US" w:eastAsia="en-GB"/>
        </w:rPr>
        <w:t>43</w:t>
      </w:r>
      <w:r w:rsidRPr="00D403F5">
        <w:rPr>
          <w:rFonts w:ascii="Arial" w:hAnsi="Arial"/>
          <w:sz w:val="18"/>
          <w:szCs w:val="18"/>
          <w:lang w:val="en-US" w:eastAsia="en-GB"/>
        </w:rPr>
        <w:t>–</w:t>
      </w:r>
      <w:r w:rsidRPr="00D403F5">
        <w:rPr>
          <w:rFonts w:ascii="Arial" w:hAnsi="Arial" w:hint="eastAsia"/>
          <w:sz w:val="18"/>
          <w:szCs w:val="18"/>
          <w:lang w:val="en-US" w:eastAsia="en-GB"/>
        </w:rPr>
        <w:t>48</w:t>
      </w:r>
      <w:r w:rsidRPr="00D403F5">
        <w:rPr>
          <w:rFonts w:ascii="Arial" w:hAnsi="Arial" w:cs="Arial"/>
          <w:bCs/>
          <w:noProof/>
          <w:sz w:val="18"/>
          <w:szCs w:val="18"/>
          <w:lang w:val="en-US" w:bidi="en-US"/>
        </w:rPr>
        <w:t>.</w:t>
      </w:r>
    </w:p>
    <w:p w14:paraId="3158B48A" w14:textId="77777777" w:rsidR="00C7266C" w:rsidRPr="00D403F5" w:rsidRDefault="00C7266C" w:rsidP="00D403F5">
      <w:pPr>
        <w:spacing w:after="0"/>
        <w:jc w:val="both"/>
        <w:rPr>
          <w:rFonts w:ascii="Arial" w:hAnsi="Arial"/>
          <w:bCs/>
          <w:sz w:val="18"/>
          <w:szCs w:val="18"/>
          <w:lang w:val="en-IE"/>
        </w:rPr>
      </w:pPr>
      <w:r w:rsidRPr="00D403F5">
        <w:rPr>
          <w:rFonts w:ascii="Arial" w:hAnsi="Arial" w:cs="Arial"/>
          <w:bCs/>
          <w:smallCaps/>
          <w:noProof/>
          <w:sz w:val="18"/>
          <w:szCs w:val="18"/>
          <w:lang w:val="en-US"/>
        </w:rPr>
        <w:t>Zhang N.Z., Zhang L.F., Jiang Y.N., Zhang T. &amp; Xia C</w:t>
      </w:r>
      <w:r w:rsidRPr="00D403F5">
        <w:rPr>
          <w:rFonts w:ascii="Arial" w:hAnsi="Arial" w:cs="Arial"/>
          <w:bCs/>
          <w:noProof/>
          <w:sz w:val="18"/>
          <w:szCs w:val="18"/>
          <w:lang w:val="en-US"/>
        </w:rPr>
        <w:t xml:space="preserve">. (2009). </w:t>
      </w:r>
      <w:r w:rsidRPr="00D403F5">
        <w:rPr>
          <w:rFonts w:ascii="Arial" w:hAnsi="Arial" w:cs="Arial"/>
          <w:bCs/>
          <w:noProof/>
          <w:sz w:val="18"/>
          <w:szCs w:val="18"/>
        </w:rPr>
        <w:t xml:space="preserve">Molecular analysis of spring viraemia of carp virus in China: A fatal aquatic viral disease that might spread in East Asian. </w:t>
      </w:r>
      <w:r w:rsidRPr="00D403F5">
        <w:rPr>
          <w:rFonts w:ascii="Arial" w:hAnsi="Arial" w:cs="Arial"/>
          <w:bCs/>
          <w:i/>
          <w:noProof/>
          <w:sz w:val="18"/>
          <w:szCs w:val="18"/>
        </w:rPr>
        <w:t>PLoS ONE</w:t>
      </w:r>
      <w:r w:rsidRPr="00D403F5">
        <w:rPr>
          <w:rFonts w:ascii="Arial" w:hAnsi="Arial" w:cs="Arial"/>
          <w:bCs/>
          <w:noProof/>
          <w:sz w:val="18"/>
          <w:szCs w:val="18"/>
        </w:rPr>
        <w:t>,</w:t>
      </w:r>
      <w:r w:rsidRPr="00D403F5">
        <w:rPr>
          <w:rFonts w:ascii="Arial" w:hAnsi="Arial" w:cs="Arial"/>
          <w:bCs/>
          <w:i/>
          <w:noProof/>
          <w:sz w:val="18"/>
          <w:szCs w:val="18"/>
        </w:rPr>
        <w:t xml:space="preserve"> </w:t>
      </w:r>
      <w:r w:rsidRPr="00D403F5">
        <w:rPr>
          <w:rFonts w:ascii="Arial" w:hAnsi="Arial" w:cs="Arial"/>
          <w:b/>
          <w:bCs/>
          <w:noProof/>
          <w:sz w:val="18"/>
          <w:szCs w:val="18"/>
        </w:rPr>
        <w:t>4</w:t>
      </w:r>
      <w:r w:rsidRPr="00D403F5">
        <w:rPr>
          <w:rFonts w:ascii="Arial" w:hAnsi="Arial" w:cs="Arial"/>
          <w:bCs/>
          <w:noProof/>
          <w:sz w:val="18"/>
          <w:szCs w:val="18"/>
        </w:rPr>
        <w:t>,</w:t>
      </w:r>
      <w:r w:rsidRPr="00D403F5">
        <w:rPr>
          <w:rFonts w:ascii="Arial" w:hAnsi="Arial" w:cs="Arial"/>
          <w:bCs/>
          <w:i/>
          <w:noProof/>
          <w:sz w:val="18"/>
          <w:szCs w:val="18"/>
        </w:rPr>
        <w:t xml:space="preserve"> </w:t>
      </w:r>
      <w:r w:rsidRPr="00D403F5">
        <w:rPr>
          <w:rFonts w:ascii="Arial" w:hAnsi="Arial" w:cs="Arial"/>
          <w:bCs/>
          <w:noProof/>
          <w:sz w:val="18"/>
          <w:szCs w:val="18"/>
        </w:rPr>
        <w:t>pp 1–9.</w:t>
      </w:r>
    </w:p>
    <w:p w14:paraId="3312F1AB" w14:textId="77777777" w:rsidR="00C7266C" w:rsidRPr="00D403F5" w:rsidRDefault="00C7266C" w:rsidP="00D403F5">
      <w:pPr>
        <w:pStyle w:val="Para10"/>
        <w:spacing w:after="0"/>
        <w:jc w:val="center"/>
        <w:rPr>
          <w:szCs w:val="18"/>
        </w:rPr>
      </w:pPr>
      <w:r w:rsidRPr="00D403F5">
        <w:rPr>
          <w:szCs w:val="18"/>
        </w:rPr>
        <w:t>*</w:t>
      </w:r>
      <w:r w:rsidRPr="00D403F5">
        <w:rPr>
          <w:szCs w:val="18"/>
        </w:rPr>
        <w:br/>
        <w:t>*   *</w:t>
      </w:r>
    </w:p>
    <w:p w14:paraId="78CDF74C" w14:textId="77777777" w:rsidR="00C7266C" w:rsidRPr="00D403F5" w:rsidRDefault="00C7266C" w:rsidP="00D403F5">
      <w:pPr>
        <w:spacing w:after="0" w:line="240" w:lineRule="auto"/>
        <w:jc w:val="center"/>
        <w:rPr>
          <w:rFonts w:ascii="Arial" w:hAnsi="Arial" w:cs="Arial"/>
          <w:sz w:val="18"/>
          <w:szCs w:val="18"/>
        </w:rPr>
      </w:pPr>
      <w:r w:rsidRPr="00D403F5">
        <w:rPr>
          <w:rStyle w:val="ReflabnoteCar"/>
          <w:rFonts w:eastAsia="MS Mincho"/>
          <w:b/>
        </w:rPr>
        <w:t>NB:</w:t>
      </w:r>
      <w:r w:rsidRPr="00D403F5">
        <w:rPr>
          <w:rStyle w:val="ReflabnoteCar"/>
          <w:rFonts w:eastAsia="MS Mincho"/>
        </w:rPr>
        <w:t xml:space="preserve"> There </w:t>
      </w:r>
      <w:r w:rsidRPr="00D403F5">
        <w:rPr>
          <w:rFonts w:ascii="Arial" w:hAnsi="Arial" w:cs="Arial"/>
          <w:sz w:val="18"/>
          <w:szCs w:val="18"/>
        </w:rPr>
        <w:t xml:space="preserve">are OIE Reference Laboratories for </w:t>
      </w:r>
      <w:r w:rsidRPr="00D403F5">
        <w:rPr>
          <w:rFonts w:ascii="Arial" w:hAnsi="Arial" w:cs="Arial"/>
          <w:iCs/>
          <w:sz w:val="18"/>
          <w:szCs w:val="18"/>
          <w:lang w:val="en-IE"/>
        </w:rPr>
        <w:t>Spring viraemia of carp</w:t>
      </w:r>
      <w:r w:rsidRPr="00D403F5">
        <w:rPr>
          <w:rStyle w:val="ReflabnoteCar"/>
          <w:rFonts w:eastAsia="MS Mincho"/>
        </w:rPr>
        <w:br/>
        <w:t xml:space="preserve">(see </w:t>
      </w:r>
      <w:r w:rsidRPr="00D403F5">
        <w:rPr>
          <w:rFonts w:ascii="Arial" w:hAnsi="Arial" w:cs="Arial"/>
          <w:sz w:val="18"/>
          <w:szCs w:val="18"/>
        </w:rPr>
        <w:t xml:space="preserve">Table at the end of this </w:t>
      </w:r>
      <w:r w:rsidRPr="00D403F5">
        <w:rPr>
          <w:rFonts w:ascii="Arial" w:hAnsi="Arial" w:cs="Arial"/>
          <w:i/>
          <w:iCs/>
          <w:sz w:val="18"/>
          <w:szCs w:val="18"/>
        </w:rPr>
        <w:t>Aquatic Manual</w:t>
      </w:r>
      <w:r w:rsidRPr="00D403F5">
        <w:rPr>
          <w:rFonts w:ascii="Arial" w:hAnsi="Arial" w:cs="Arial"/>
          <w:sz w:val="18"/>
          <w:szCs w:val="18"/>
        </w:rPr>
        <w:t xml:space="preserve"> or </w:t>
      </w:r>
      <w:r w:rsidRPr="00D403F5">
        <w:rPr>
          <w:rStyle w:val="ReflabnoteCar"/>
          <w:rFonts w:eastAsia="MS Mincho"/>
        </w:rPr>
        <w:t xml:space="preserve">consult the OIE web site for the most up-to-date list: </w:t>
      </w:r>
      <w:hyperlink r:id="rId102" w:history="1">
        <w:r w:rsidRPr="00D403F5">
          <w:rPr>
            <w:rStyle w:val="aa"/>
            <w:rFonts w:ascii="Arial" w:eastAsia="MS Mincho" w:hAnsi="Arial" w:cs="Arial"/>
            <w:sz w:val="18"/>
            <w:szCs w:val="18"/>
            <w:lang w:val="en-IE"/>
          </w:rPr>
          <w:t>http://www.oie.int/en/scientific-expertise/reference-laboratories/list-of-laboratories/</w:t>
        </w:r>
      </w:hyperlink>
      <w:hyperlink r:id="rId103" w:history="1"/>
      <w:r w:rsidRPr="00D403F5">
        <w:rPr>
          <w:rStyle w:val="ReflabnoteCar"/>
          <w:rFonts w:eastAsia="MS Mincho"/>
        </w:rPr>
        <w:t xml:space="preserve">). </w:t>
      </w:r>
      <w:r w:rsidRPr="00D403F5">
        <w:rPr>
          <w:rStyle w:val="ReflabnoteCar"/>
          <w:rFonts w:eastAsia="MS Mincho"/>
        </w:rPr>
        <w:br/>
      </w:r>
      <w:r w:rsidRPr="00D403F5">
        <w:rPr>
          <w:rFonts w:ascii="Arial" w:hAnsi="Arial" w:cs="Arial"/>
          <w:sz w:val="18"/>
          <w:szCs w:val="18"/>
        </w:rPr>
        <w:t>Please contact the OIE Reference Laboratories for any further information on</w:t>
      </w:r>
      <w:r w:rsidRPr="00D403F5">
        <w:rPr>
          <w:rFonts w:ascii="Arial" w:hAnsi="Arial" w:cs="Arial"/>
          <w:sz w:val="18"/>
          <w:szCs w:val="18"/>
        </w:rPr>
        <w:br/>
      </w:r>
      <w:r w:rsidRPr="00D403F5">
        <w:rPr>
          <w:rFonts w:ascii="Arial" w:hAnsi="Arial" w:cs="Arial"/>
          <w:iCs/>
          <w:sz w:val="18"/>
          <w:szCs w:val="18"/>
          <w:lang w:val="en-IE"/>
        </w:rPr>
        <w:t>Spring viraemia of carp</w:t>
      </w:r>
    </w:p>
    <w:p w14:paraId="10951812" w14:textId="77777777" w:rsidR="00C7266C" w:rsidRPr="00D403F5" w:rsidRDefault="00C7266C" w:rsidP="00D403F5">
      <w:pPr>
        <w:spacing w:after="0" w:line="240" w:lineRule="auto"/>
        <w:jc w:val="center"/>
        <w:rPr>
          <w:rFonts w:ascii="Arial" w:hAnsi="Arial" w:cs="Arial"/>
          <w:sz w:val="18"/>
          <w:szCs w:val="18"/>
        </w:rPr>
      </w:pPr>
      <w:r w:rsidRPr="00D403F5">
        <w:rPr>
          <w:rFonts w:ascii="Arial" w:hAnsi="Arial" w:cs="Arial"/>
          <w:b/>
          <w:bCs/>
          <w:sz w:val="18"/>
          <w:szCs w:val="18"/>
          <w:lang w:val="en-IE"/>
        </w:rPr>
        <w:t>NB:</w:t>
      </w:r>
      <w:r w:rsidRPr="00D403F5">
        <w:rPr>
          <w:rFonts w:ascii="Arial" w:hAnsi="Arial" w:cs="Arial"/>
          <w:sz w:val="18"/>
          <w:szCs w:val="18"/>
          <w:lang w:val="en-IE"/>
        </w:rPr>
        <w:t xml:space="preserve"> First adopted in 1995 as spring viraemia of carp. Most recent updates adopted in 2012.</w:t>
      </w:r>
      <w:bookmarkEnd w:id="61"/>
    </w:p>
    <w:p w14:paraId="761C7C46" w14:textId="25DE6B77" w:rsidR="007B3D5C" w:rsidRPr="00D403F5" w:rsidRDefault="007B3D5C" w:rsidP="00D403F5">
      <w:pPr>
        <w:spacing w:after="0"/>
        <w:ind w:left="107"/>
        <w:jc w:val="both"/>
        <w:rPr>
          <w:rFonts w:ascii="Arial" w:hAnsi="Arial" w:cs="Arial"/>
          <w:sz w:val="18"/>
          <w:szCs w:val="18"/>
        </w:rPr>
      </w:pPr>
    </w:p>
    <w:p w14:paraId="53D34110" w14:textId="77777777" w:rsidR="00C7266C" w:rsidRPr="00D403F5" w:rsidRDefault="00C7266C" w:rsidP="00D403F5">
      <w:pPr>
        <w:spacing w:after="0"/>
        <w:ind w:left="107"/>
        <w:jc w:val="both"/>
        <w:rPr>
          <w:rFonts w:ascii="Arial" w:hAnsi="Arial" w:cs="Arial"/>
          <w:sz w:val="18"/>
          <w:szCs w:val="18"/>
        </w:rPr>
        <w:sectPr w:rsidR="00C7266C" w:rsidRPr="00D403F5" w:rsidSect="0076436B">
          <w:pgSz w:w="12240" w:h="15840" w:code="1"/>
          <w:pgMar w:top="1418" w:right="1418" w:bottom="1418" w:left="1418" w:header="709" w:footer="709" w:gutter="0"/>
          <w:cols w:space="720"/>
          <w:vAlign w:val="both"/>
          <w:docGrid w:linePitch="360"/>
        </w:sectPr>
      </w:pPr>
    </w:p>
    <w:p w14:paraId="36E52FE1" w14:textId="77777777" w:rsidR="00C7266C" w:rsidRPr="00D403F5" w:rsidRDefault="00C7266C" w:rsidP="00D403F5">
      <w:pPr>
        <w:spacing w:after="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11</w:t>
      </w:r>
    </w:p>
    <w:p w14:paraId="116A8F4D" w14:textId="77777777" w:rsidR="00C7266C" w:rsidRPr="00D403F5" w:rsidRDefault="00C7266C" w:rsidP="00D403F5">
      <w:pPr>
        <w:pStyle w:val="Chaptertitle"/>
        <w:spacing w:after="0"/>
        <w:rPr>
          <w:rFonts w:cs="Arial"/>
          <w:b/>
          <w:sz w:val="18"/>
          <w:szCs w:val="18"/>
          <w:lang w:val="en-GB"/>
        </w:rPr>
      </w:pPr>
      <w:r w:rsidRPr="00EA6B7E">
        <w:rPr>
          <w:rFonts w:cs="Arial"/>
          <w:sz w:val="20"/>
          <w:szCs w:val="20"/>
          <w:lang w:val="en-GB"/>
        </w:rPr>
        <w:t>CHAPTER 2.1.X.</w:t>
      </w:r>
      <w:r w:rsidRPr="00EA6B7E">
        <w:rPr>
          <w:rFonts w:cs="Arial"/>
          <w:sz w:val="20"/>
          <w:szCs w:val="20"/>
          <w:lang w:val="en-GB"/>
        </w:rPr>
        <w:br/>
      </w:r>
      <w:r w:rsidRPr="00D403F5">
        <w:rPr>
          <w:rFonts w:cs="Arial"/>
          <w:sz w:val="18"/>
          <w:szCs w:val="18"/>
          <w:lang w:val="en-GB"/>
        </w:rPr>
        <w:br/>
      </w:r>
      <w:r w:rsidRPr="00EA6B7E">
        <w:rPr>
          <w:rFonts w:cs="Arial"/>
          <w:b/>
          <w:sz w:val="28"/>
          <w:szCs w:val="28"/>
          <w:lang w:val="en-GB"/>
        </w:rPr>
        <w:t xml:space="preserve">infection with </w:t>
      </w:r>
      <w:r w:rsidRPr="00EA6B7E">
        <w:rPr>
          <w:rFonts w:cs="Arial"/>
          <w:b/>
          <w:sz w:val="28"/>
          <w:szCs w:val="28"/>
          <w:lang w:val="en-GB"/>
        </w:rPr>
        <w:br/>
      </w:r>
      <w:r w:rsidRPr="00EA6B7E">
        <w:rPr>
          <w:rFonts w:cs="Arial"/>
          <w:b/>
          <w:i/>
          <w:sz w:val="28"/>
          <w:szCs w:val="28"/>
          <w:lang w:val="en-GB"/>
        </w:rPr>
        <w:t>Batrachochytrium salamandrivorans</w:t>
      </w:r>
    </w:p>
    <w:p w14:paraId="4008382B" w14:textId="77777777" w:rsidR="00C7266C" w:rsidRPr="00D403F5" w:rsidRDefault="00C7266C" w:rsidP="00D403F5">
      <w:pPr>
        <w:pStyle w:val="13"/>
        <w:spacing w:after="0"/>
        <w:rPr>
          <w:sz w:val="18"/>
          <w:szCs w:val="18"/>
        </w:rPr>
      </w:pPr>
      <w:r w:rsidRPr="00D403F5">
        <w:rPr>
          <w:sz w:val="18"/>
          <w:szCs w:val="18"/>
        </w:rPr>
        <w:t>1.</w:t>
      </w:r>
      <w:r w:rsidRPr="00D403F5">
        <w:rPr>
          <w:sz w:val="18"/>
          <w:szCs w:val="18"/>
        </w:rPr>
        <w:tab/>
        <w:t>Scope</w:t>
      </w:r>
    </w:p>
    <w:p w14:paraId="165F9022" w14:textId="77777777" w:rsidR="00C7266C" w:rsidRPr="00D403F5" w:rsidRDefault="00C7266C" w:rsidP="00EA6B7E">
      <w:pPr>
        <w:pStyle w:val="Para10"/>
        <w:ind w:left="284"/>
        <w:rPr>
          <w:rFonts w:cs="Arial"/>
          <w:szCs w:val="18"/>
          <w:lang w:val="en-GB"/>
        </w:rPr>
      </w:pPr>
      <w:r w:rsidRPr="00D403F5">
        <w:rPr>
          <w:rFonts w:cs="Arial"/>
          <w:szCs w:val="18"/>
          <w:lang w:val="en-GB"/>
        </w:rPr>
        <w:t xml:space="preserve">Infection with </w:t>
      </w:r>
      <w:r w:rsidRPr="00D403F5">
        <w:rPr>
          <w:rFonts w:cs="Arial"/>
          <w:i/>
          <w:szCs w:val="18"/>
          <w:lang w:val="en-GB"/>
        </w:rPr>
        <w:t>Batrachochytrium salamandrivorans</w:t>
      </w:r>
      <w:r w:rsidRPr="00D403F5">
        <w:rPr>
          <w:rFonts w:cs="Arial"/>
          <w:szCs w:val="18"/>
          <w:lang w:val="en-GB"/>
        </w:rPr>
        <w:t xml:space="preserve"> </w:t>
      </w:r>
      <w:r w:rsidRPr="00D403F5">
        <w:rPr>
          <w:rFonts w:cs="Arial"/>
          <w:strike/>
          <w:szCs w:val="18"/>
          <w:lang w:val="en-GB"/>
        </w:rPr>
        <w:t xml:space="preserve">(Bsal) </w:t>
      </w:r>
      <w:r w:rsidRPr="00D403F5">
        <w:rPr>
          <w:rFonts w:cs="Arial"/>
          <w:szCs w:val="18"/>
          <w:lang w:val="en-GB"/>
        </w:rPr>
        <w:t xml:space="preserve">means infection of amphibians with the pathogenic agent </w:t>
      </w:r>
      <w:r w:rsidRPr="00D403F5">
        <w:rPr>
          <w:rFonts w:cs="Arial"/>
          <w:i/>
          <w:szCs w:val="18"/>
          <w:lang w:val="en-GB"/>
        </w:rPr>
        <w:t>Batrachochytrium salamandrivorans</w:t>
      </w:r>
      <w:r w:rsidRPr="00D403F5">
        <w:rPr>
          <w:rFonts w:cs="Arial"/>
          <w:szCs w:val="18"/>
          <w:lang w:val="en-GB"/>
        </w:rPr>
        <w:t xml:space="preserve">, of the </w:t>
      </w:r>
      <w:r w:rsidRPr="00D403F5">
        <w:rPr>
          <w:rFonts w:cs="Arial"/>
          <w:szCs w:val="18"/>
          <w:u w:val="double"/>
          <w:lang w:val="en-GB"/>
        </w:rPr>
        <w:t xml:space="preserve">Division </w:t>
      </w:r>
      <w:hyperlink r:id="rId104" w:history="1">
        <w:r w:rsidRPr="00D403F5">
          <w:rPr>
            <w:rFonts w:cs="Arial"/>
            <w:szCs w:val="18"/>
            <w:u w:val="double"/>
            <w:lang w:val="en-GB"/>
          </w:rPr>
          <w:t>Chytridiomycota</w:t>
        </w:r>
      </w:hyperlink>
      <w:r w:rsidRPr="00D403F5">
        <w:rPr>
          <w:rFonts w:cs="Arial"/>
          <w:szCs w:val="18"/>
          <w:u w:val="double"/>
          <w:lang w:val="en-GB"/>
        </w:rPr>
        <w:t xml:space="preserve"> and Order </w:t>
      </w:r>
      <w:r w:rsidRPr="00D403F5">
        <w:rPr>
          <w:rFonts w:eastAsiaTheme="majorEastAsia"/>
          <w:color w:val="000000"/>
          <w:szCs w:val="18"/>
          <w:u w:val="double"/>
        </w:rPr>
        <w:t>Rhizophydiales</w:t>
      </w:r>
      <w:r w:rsidRPr="00D403F5">
        <w:rPr>
          <w:rFonts w:cs="Arial"/>
          <w:strike/>
          <w:szCs w:val="18"/>
          <w:lang w:val="en-GB"/>
        </w:rPr>
        <w:t xml:space="preserve"> Genus </w:t>
      </w:r>
      <w:r w:rsidRPr="00D403F5">
        <w:rPr>
          <w:rFonts w:cs="Arial"/>
          <w:i/>
          <w:strike/>
          <w:szCs w:val="18"/>
          <w:lang w:val="en-GB"/>
        </w:rPr>
        <w:t xml:space="preserve">Batrachochytrium </w:t>
      </w:r>
      <w:r w:rsidRPr="00D403F5">
        <w:rPr>
          <w:rFonts w:cs="Arial"/>
          <w:strike/>
          <w:szCs w:val="18"/>
          <w:lang w:val="en-GB"/>
        </w:rPr>
        <w:t>and Family</w:t>
      </w:r>
      <w:r w:rsidRPr="00D403F5">
        <w:rPr>
          <w:bCs/>
          <w:i/>
          <w:iCs/>
          <w:strike/>
          <w:szCs w:val="18"/>
          <w:lang w:val="en-GB"/>
        </w:rPr>
        <w:t xml:space="preserve"> Incertae sedis</w:t>
      </w:r>
      <w:r w:rsidRPr="00D403F5">
        <w:rPr>
          <w:rFonts w:cs="Arial"/>
          <w:szCs w:val="18"/>
          <w:lang w:val="en-GB"/>
        </w:rPr>
        <w:t>.</w:t>
      </w:r>
    </w:p>
    <w:p w14:paraId="6B2918E7" w14:textId="77777777" w:rsidR="00C7266C" w:rsidRPr="00D403F5" w:rsidRDefault="00C7266C" w:rsidP="00EA6B7E">
      <w:pPr>
        <w:pStyle w:val="13"/>
        <w:rPr>
          <w:sz w:val="18"/>
          <w:szCs w:val="18"/>
        </w:rPr>
      </w:pPr>
      <w:r w:rsidRPr="00D403F5">
        <w:rPr>
          <w:sz w:val="18"/>
          <w:szCs w:val="18"/>
        </w:rPr>
        <w:t>2.</w:t>
      </w:r>
      <w:r w:rsidRPr="00D403F5">
        <w:rPr>
          <w:sz w:val="18"/>
          <w:szCs w:val="18"/>
        </w:rPr>
        <w:tab/>
        <w:t>Disease information</w:t>
      </w:r>
    </w:p>
    <w:p w14:paraId="22AD4ABC" w14:textId="77777777" w:rsidR="00C7266C" w:rsidRPr="00D403F5" w:rsidRDefault="00C7266C" w:rsidP="00EA6B7E">
      <w:pPr>
        <w:pStyle w:val="11"/>
        <w:tabs>
          <w:tab w:val="left" w:pos="1418"/>
        </w:tabs>
        <w:ind w:left="426" w:hanging="426"/>
        <w:rPr>
          <w:sz w:val="18"/>
          <w:szCs w:val="18"/>
          <w:lang w:val="en-GB"/>
        </w:rPr>
      </w:pPr>
      <w:r w:rsidRPr="00D403F5">
        <w:rPr>
          <w:sz w:val="18"/>
          <w:szCs w:val="18"/>
          <w:lang w:val="en-GB"/>
        </w:rPr>
        <w:t>2.1.</w:t>
      </w:r>
      <w:r w:rsidRPr="00D403F5">
        <w:rPr>
          <w:sz w:val="18"/>
          <w:szCs w:val="18"/>
          <w:lang w:val="en-GB"/>
        </w:rPr>
        <w:tab/>
        <w:t>Agent factors</w:t>
      </w:r>
    </w:p>
    <w:p w14:paraId="6D18C8AA" w14:textId="77777777" w:rsidR="00C7266C" w:rsidRPr="00D403F5" w:rsidRDefault="00C7266C" w:rsidP="00EA6B7E">
      <w:pPr>
        <w:pStyle w:val="111"/>
        <w:spacing w:after="240"/>
        <w:rPr>
          <w:sz w:val="18"/>
          <w:szCs w:val="18"/>
        </w:rPr>
      </w:pPr>
      <w:r w:rsidRPr="00D403F5">
        <w:rPr>
          <w:sz w:val="18"/>
          <w:szCs w:val="18"/>
        </w:rPr>
        <w:t>2.1.1.</w:t>
      </w:r>
      <w:r w:rsidRPr="00D403F5">
        <w:rPr>
          <w:sz w:val="18"/>
          <w:szCs w:val="18"/>
        </w:rPr>
        <w:tab/>
        <w:t>Aetiological agent</w:t>
      </w:r>
    </w:p>
    <w:p w14:paraId="6AD70EB4" w14:textId="77777777" w:rsidR="00C7266C" w:rsidRPr="00D403F5" w:rsidRDefault="00C7266C" w:rsidP="00EA6B7E">
      <w:pPr>
        <w:pStyle w:val="Para3"/>
        <w:rPr>
          <w:rFonts w:eastAsia="Calibri" w:cs="Arial"/>
          <w:szCs w:val="18"/>
          <w:lang w:val="en-GB"/>
        </w:rPr>
      </w:pPr>
      <w:r w:rsidRPr="00D403F5">
        <w:rPr>
          <w:rFonts w:cs="Arial"/>
          <w:szCs w:val="18"/>
          <w:lang w:val="en-GB"/>
        </w:rPr>
        <w:t xml:space="preserve">The </w:t>
      </w:r>
      <w:r w:rsidRPr="00D403F5">
        <w:rPr>
          <w:rFonts w:cs="Arial"/>
          <w:szCs w:val="18"/>
          <w:u w:val="double"/>
          <w:lang w:val="en-GB"/>
        </w:rPr>
        <w:t>type strain of the pathogenic chytrid fungal agent</w:t>
      </w:r>
      <w:r w:rsidRPr="00D403F5">
        <w:rPr>
          <w:rFonts w:cs="Arial"/>
          <w:szCs w:val="18"/>
          <w:lang w:val="en-GB"/>
        </w:rPr>
        <w:t xml:space="preserve"> </w:t>
      </w:r>
      <w:r w:rsidRPr="00D403F5">
        <w:rPr>
          <w:rFonts w:cs="Arial"/>
          <w:i/>
          <w:szCs w:val="18"/>
          <w:lang w:val="en-GB"/>
        </w:rPr>
        <w:t>Batrachochytrium salamandrivorans</w:t>
      </w:r>
      <w:r w:rsidRPr="00D403F5">
        <w:rPr>
          <w:rFonts w:cs="Arial"/>
          <w:szCs w:val="18"/>
          <w:lang w:val="en-GB"/>
        </w:rPr>
        <w:t xml:space="preserve"> (Bsal) </w:t>
      </w:r>
      <w:r w:rsidRPr="00D403F5">
        <w:rPr>
          <w:rFonts w:cs="Arial"/>
          <w:strike/>
          <w:szCs w:val="18"/>
          <w:lang w:val="en-GB"/>
        </w:rPr>
        <w:t xml:space="preserve">type strain </w:t>
      </w:r>
      <w:r w:rsidRPr="00D403F5">
        <w:rPr>
          <w:rFonts w:cs="Arial"/>
          <w:szCs w:val="18"/>
          <w:lang w:val="en-GB"/>
        </w:rPr>
        <w:t xml:space="preserve">is AMFP13/1. Three more isolates have been described (Martel </w:t>
      </w:r>
      <w:r w:rsidRPr="00D403F5">
        <w:rPr>
          <w:rFonts w:cs="Arial"/>
          <w:i/>
          <w:szCs w:val="18"/>
          <w:lang w:val="en-GB"/>
        </w:rPr>
        <w:t>et al</w:t>
      </w:r>
      <w:r w:rsidRPr="00D403F5">
        <w:rPr>
          <w:rFonts w:cs="Arial"/>
          <w:szCs w:val="18"/>
          <w:lang w:val="en-GB"/>
        </w:rPr>
        <w:t xml:space="preserve">., 2014) but no information is available on genetic structuring or phenotypic variation. </w:t>
      </w:r>
      <w:r w:rsidRPr="00D403F5">
        <w:rPr>
          <w:rFonts w:eastAsia="Calibri" w:cs="Arial"/>
          <w:szCs w:val="18"/>
          <w:lang w:val="en-GB"/>
        </w:rPr>
        <w:t xml:space="preserve">Phylogenetic analyses show that Bsal forms a clade with its sister species </w:t>
      </w:r>
      <w:r w:rsidRPr="00D403F5">
        <w:rPr>
          <w:rFonts w:eastAsia="Calibri" w:cs="Arial"/>
          <w:i/>
          <w:szCs w:val="18"/>
          <w:lang w:val="en-GB"/>
        </w:rPr>
        <w:t>B. dendrobatidis</w:t>
      </w:r>
      <w:r w:rsidRPr="00D403F5">
        <w:rPr>
          <w:rFonts w:eastAsia="Calibri" w:cs="Arial"/>
          <w:szCs w:val="18"/>
          <w:lang w:val="en-GB"/>
        </w:rPr>
        <w:t xml:space="preserve"> (Martel </w:t>
      </w:r>
      <w:r w:rsidRPr="00D403F5">
        <w:rPr>
          <w:rFonts w:eastAsia="Calibri" w:cs="Arial"/>
          <w:i/>
          <w:szCs w:val="18"/>
          <w:lang w:val="en-GB"/>
        </w:rPr>
        <w:t>et al</w:t>
      </w:r>
      <w:r w:rsidRPr="00D403F5">
        <w:rPr>
          <w:rFonts w:eastAsia="Calibri" w:cs="Arial"/>
          <w:szCs w:val="18"/>
          <w:lang w:val="en-GB"/>
        </w:rPr>
        <w:t xml:space="preserve">., 2013). The genome size of the type strain was determined at 32.6 Mb with 10,138 protein-coding genes predicted (Farrer </w:t>
      </w:r>
      <w:r w:rsidRPr="00D403F5">
        <w:rPr>
          <w:rFonts w:eastAsia="Calibri" w:cs="Arial"/>
          <w:i/>
          <w:szCs w:val="18"/>
          <w:lang w:val="en-GB"/>
        </w:rPr>
        <w:t>et al</w:t>
      </w:r>
      <w:r w:rsidRPr="00D403F5">
        <w:rPr>
          <w:rFonts w:eastAsia="Calibri" w:cs="Arial"/>
          <w:szCs w:val="18"/>
          <w:lang w:val="en-GB"/>
        </w:rPr>
        <w:t xml:space="preserve">., 2017). The contribution of these proteins to virulence is currently not clear. </w:t>
      </w:r>
    </w:p>
    <w:p w14:paraId="575BED46" w14:textId="77777777" w:rsidR="00C7266C" w:rsidRPr="00D403F5" w:rsidRDefault="00C7266C" w:rsidP="00EA6B7E">
      <w:pPr>
        <w:pStyle w:val="111"/>
        <w:spacing w:after="240"/>
        <w:rPr>
          <w:sz w:val="18"/>
          <w:szCs w:val="18"/>
        </w:rPr>
      </w:pPr>
      <w:r w:rsidRPr="00D403F5">
        <w:rPr>
          <w:sz w:val="18"/>
          <w:szCs w:val="18"/>
        </w:rPr>
        <w:t>2.1.2.</w:t>
      </w:r>
      <w:r w:rsidRPr="00D403F5">
        <w:rPr>
          <w:sz w:val="18"/>
          <w:szCs w:val="18"/>
        </w:rPr>
        <w:tab/>
        <w:t xml:space="preserve">Survival and stability </w:t>
      </w:r>
      <w:r w:rsidRPr="00D403F5">
        <w:rPr>
          <w:sz w:val="18"/>
          <w:szCs w:val="18"/>
          <w:u w:val="double"/>
        </w:rPr>
        <w:t>inside the host tissues</w:t>
      </w:r>
      <w:r w:rsidRPr="00D403F5">
        <w:rPr>
          <w:sz w:val="18"/>
          <w:szCs w:val="18"/>
        </w:rPr>
        <w:t xml:space="preserve"> </w:t>
      </w:r>
      <w:r w:rsidRPr="00D403F5">
        <w:rPr>
          <w:strike/>
          <w:sz w:val="18"/>
          <w:szCs w:val="18"/>
        </w:rPr>
        <w:t>in processed or stored samples</w:t>
      </w:r>
    </w:p>
    <w:p w14:paraId="7CAA8732" w14:textId="77777777" w:rsidR="00C7266C" w:rsidRPr="00D403F5" w:rsidRDefault="00C7266C" w:rsidP="00EA6B7E">
      <w:pPr>
        <w:pStyle w:val="Para3"/>
        <w:rPr>
          <w:szCs w:val="18"/>
          <w:lang w:val="en-GB"/>
        </w:rPr>
      </w:pPr>
      <w:r w:rsidRPr="00D403F5">
        <w:rPr>
          <w:szCs w:val="18"/>
          <w:lang w:val="en-GB"/>
        </w:rPr>
        <w:t>Bsal is an intracellular pathogen that develops inside epidermal cells. The presence of Bsal could be demonstrated using real-time polymerase chain reaction (</w:t>
      </w:r>
      <w:r w:rsidRPr="00D403F5">
        <w:rPr>
          <w:strike/>
          <w:szCs w:val="18"/>
          <w:lang w:val="en-GB"/>
        </w:rPr>
        <w:t>q</w:t>
      </w:r>
      <w:r w:rsidRPr="00D403F5">
        <w:rPr>
          <w:szCs w:val="18"/>
          <w:lang w:val="en-GB"/>
        </w:rPr>
        <w:t xml:space="preserve">PCR) on dorsal skin swabs up to 7 days on average post-mortem and using histopathology of dorsal skin tissue up to 3 days on average post-mortem (Thomas </w:t>
      </w:r>
      <w:r w:rsidRPr="00D403F5">
        <w:rPr>
          <w:i/>
          <w:szCs w:val="18"/>
          <w:lang w:val="en-GB"/>
        </w:rPr>
        <w:t>et al</w:t>
      </w:r>
      <w:r w:rsidRPr="00D403F5">
        <w:rPr>
          <w:szCs w:val="18"/>
          <w:lang w:val="en-GB"/>
        </w:rPr>
        <w:t xml:space="preserve">., 2018). It is not clear how long Bsal can survive inside tissues of a dead host and how long a dead host remains infectious. </w:t>
      </w:r>
      <w:r w:rsidRPr="00D403F5">
        <w:rPr>
          <w:strike/>
          <w:szCs w:val="18"/>
          <w:lang w:val="en-GB"/>
        </w:rPr>
        <w:t xml:space="preserve">Storage of tissues or skin swabs in 70% ethanol or at –20°C allows detection of Bsal using qPCR for more than 150 years as demonstrated by analysis of museum specimens (Martel </w:t>
      </w:r>
      <w:r w:rsidRPr="00D403F5">
        <w:rPr>
          <w:i/>
          <w:strike/>
          <w:szCs w:val="18"/>
          <w:lang w:val="en-GB"/>
        </w:rPr>
        <w:t>et al</w:t>
      </w:r>
      <w:r w:rsidRPr="00D403F5">
        <w:rPr>
          <w:strike/>
          <w:szCs w:val="18"/>
          <w:lang w:val="en-GB"/>
        </w:rPr>
        <w:t>., 2014).</w:t>
      </w:r>
    </w:p>
    <w:p w14:paraId="3511712A" w14:textId="77777777" w:rsidR="00C7266C" w:rsidRPr="00D403F5" w:rsidRDefault="00C7266C" w:rsidP="00EA6B7E">
      <w:pPr>
        <w:pStyle w:val="111"/>
        <w:spacing w:after="240"/>
        <w:rPr>
          <w:sz w:val="18"/>
          <w:szCs w:val="18"/>
        </w:rPr>
      </w:pPr>
      <w:r w:rsidRPr="00D403F5">
        <w:rPr>
          <w:sz w:val="18"/>
          <w:szCs w:val="18"/>
        </w:rPr>
        <w:t>2.1.3.</w:t>
      </w:r>
      <w:r w:rsidRPr="00D403F5">
        <w:rPr>
          <w:sz w:val="18"/>
          <w:szCs w:val="18"/>
        </w:rPr>
        <w:tab/>
        <w:t xml:space="preserve">Survival and stability outside the host </w:t>
      </w:r>
    </w:p>
    <w:p w14:paraId="792F3697" w14:textId="77777777" w:rsidR="00C7266C" w:rsidRPr="00D403F5" w:rsidRDefault="00C7266C" w:rsidP="00EA6B7E">
      <w:pPr>
        <w:pStyle w:val="Para3"/>
        <w:rPr>
          <w:rFonts w:cs="Arial"/>
          <w:szCs w:val="18"/>
          <w:lang w:val="en-GB" w:bidi="en-US"/>
        </w:rPr>
      </w:pPr>
      <w:r w:rsidRPr="00D403F5">
        <w:rPr>
          <w:rFonts w:cs="Arial"/>
          <w:szCs w:val="18"/>
          <w:lang w:val="en-GB" w:bidi="en-US"/>
        </w:rPr>
        <w:t xml:space="preserve">Encysted spores have been shown to remain infectious in pond water up to at least 31 days (Stegen </w:t>
      </w:r>
      <w:r w:rsidRPr="00D403F5">
        <w:rPr>
          <w:rFonts w:cs="Arial"/>
          <w:i/>
          <w:szCs w:val="18"/>
          <w:lang w:val="en-GB" w:bidi="en-US"/>
        </w:rPr>
        <w:t>et al</w:t>
      </w:r>
      <w:r w:rsidRPr="00D403F5">
        <w:rPr>
          <w:rFonts w:cs="Arial"/>
          <w:szCs w:val="18"/>
          <w:lang w:val="en-GB" w:bidi="en-US"/>
        </w:rPr>
        <w:t xml:space="preserve">., 2017) and are considered more </w:t>
      </w:r>
      <w:r w:rsidRPr="00D403F5">
        <w:rPr>
          <w:rFonts w:cs="Arial"/>
          <w:strike/>
          <w:szCs w:val="18"/>
          <w:lang w:val="en-GB" w:bidi="en-US"/>
        </w:rPr>
        <w:t xml:space="preserve">environmentally </w:t>
      </w:r>
      <w:r w:rsidRPr="00D403F5">
        <w:rPr>
          <w:rFonts w:cs="Arial"/>
          <w:szCs w:val="18"/>
          <w:lang w:val="en-GB" w:bidi="en-US"/>
        </w:rPr>
        <w:t xml:space="preserve">resistant </w:t>
      </w:r>
      <w:r w:rsidRPr="00D403F5">
        <w:rPr>
          <w:rFonts w:cs="Arial"/>
          <w:szCs w:val="18"/>
          <w:u w:val="double"/>
          <w:lang w:val="en-GB" w:bidi="en-US"/>
        </w:rPr>
        <w:t>in the environment</w:t>
      </w:r>
      <w:r w:rsidRPr="00D403F5">
        <w:rPr>
          <w:rFonts w:cs="Arial"/>
          <w:szCs w:val="18"/>
          <w:lang w:val="en-GB" w:bidi="en-US"/>
        </w:rPr>
        <w:t xml:space="preserve"> compared with zoospores. Experimentally inoculated forest soil was demonstrated to remain infectious to fire salamanders for 48 hours (Stegen </w:t>
      </w:r>
      <w:r w:rsidRPr="00D403F5">
        <w:rPr>
          <w:rFonts w:cs="Arial"/>
          <w:i/>
          <w:szCs w:val="18"/>
          <w:lang w:val="en-GB" w:bidi="en-US"/>
        </w:rPr>
        <w:t>et al.,</w:t>
      </w:r>
      <w:r w:rsidRPr="00D403F5">
        <w:rPr>
          <w:rFonts w:cs="Arial"/>
          <w:szCs w:val="18"/>
          <w:lang w:val="en-GB" w:bidi="en-US"/>
        </w:rPr>
        <w:t xml:space="preserve"> 2017). However, Bsal DNA was detected up to 28 weeks in contaminated forest soil (Stegen </w:t>
      </w:r>
      <w:r w:rsidRPr="00D403F5">
        <w:rPr>
          <w:rFonts w:cs="Arial"/>
          <w:i/>
          <w:szCs w:val="18"/>
          <w:lang w:val="en-GB" w:bidi="en-US"/>
        </w:rPr>
        <w:t>et al</w:t>
      </w:r>
      <w:r w:rsidRPr="00D403F5">
        <w:rPr>
          <w:rFonts w:cs="Arial"/>
          <w:szCs w:val="18"/>
          <w:lang w:val="en-GB" w:bidi="en-US"/>
        </w:rPr>
        <w:t xml:space="preserve">., 2017). </w:t>
      </w:r>
      <w:r w:rsidRPr="00D403F5">
        <w:rPr>
          <w:rFonts w:cs="Arial"/>
          <w:szCs w:val="18"/>
          <w:u w:val="double"/>
          <w:lang w:val="en-GB" w:bidi="en-US"/>
        </w:rPr>
        <w:t>However</w:t>
      </w:r>
      <w:r w:rsidRPr="00D403F5">
        <w:rPr>
          <w:rFonts w:cs="Arial"/>
          <w:szCs w:val="18"/>
          <w:lang w:val="en-GB" w:bidi="en-US"/>
        </w:rPr>
        <w:t xml:space="preserve">, whether this reflects the presence of viable Bsal organisms is not clear. The effect of dessication on Bsal survival has not been studied. </w:t>
      </w:r>
    </w:p>
    <w:p w14:paraId="234E32FF" w14:textId="77777777" w:rsidR="00C7266C" w:rsidRPr="00D403F5" w:rsidRDefault="00C7266C" w:rsidP="00EA6B7E">
      <w:pPr>
        <w:pStyle w:val="Para3"/>
        <w:rPr>
          <w:rFonts w:cs="Arial"/>
          <w:szCs w:val="18"/>
          <w:lang w:val="en-GB"/>
        </w:rPr>
      </w:pPr>
      <w:r w:rsidRPr="00D403F5">
        <w:rPr>
          <w:rFonts w:cs="Arial"/>
          <w:szCs w:val="18"/>
          <w:lang w:val="en-GB"/>
        </w:rPr>
        <w:t>For inactivation methods, see Section 2.4.5.</w:t>
      </w:r>
    </w:p>
    <w:p w14:paraId="0A0728F2" w14:textId="77777777" w:rsidR="00C7266C" w:rsidRPr="00D403F5" w:rsidRDefault="00C7266C" w:rsidP="00EA6B7E">
      <w:pPr>
        <w:pStyle w:val="11"/>
        <w:ind w:left="426" w:hanging="426"/>
        <w:rPr>
          <w:sz w:val="18"/>
          <w:szCs w:val="18"/>
          <w:lang w:val="en-GB"/>
        </w:rPr>
      </w:pPr>
      <w:r w:rsidRPr="00D403F5">
        <w:rPr>
          <w:sz w:val="18"/>
          <w:szCs w:val="18"/>
          <w:lang w:val="en-GB"/>
        </w:rPr>
        <w:t>2.2.</w:t>
      </w:r>
      <w:r w:rsidRPr="00D403F5">
        <w:rPr>
          <w:sz w:val="18"/>
          <w:szCs w:val="18"/>
          <w:lang w:val="en-GB"/>
        </w:rPr>
        <w:tab/>
        <w:t>Host factors</w:t>
      </w:r>
    </w:p>
    <w:p w14:paraId="4FBA8A41" w14:textId="77777777" w:rsidR="00C7266C" w:rsidRPr="00D403F5" w:rsidRDefault="00C7266C" w:rsidP="00EA6B7E">
      <w:pPr>
        <w:pStyle w:val="111"/>
        <w:spacing w:after="240"/>
        <w:rPr>
          <w:sz w:val="18"/>
          <w:szCs w:val="18"/>
        </w:rPr>
      </w:pPr>
      <w:r w:rsidRPr="00D403F5">
        <w:rPr>
          <w:sz w:val="18"/>
          <w:szCs w:val="18"/>
        </w:rPr>
        <w:t>2.2.1.</w:t>
      </w:r>
      <w:r w:rsidRPr="00D403F5">
        <w:rPr>
          <w:sz w:val="18"/>
          <w:szCs w:val="18"/>
        </w:rPr>
        <w:tab/>
        <w:t xml:space="preserve">Susceptible host species </w:t>
      </w:r>
    </w:p>
    <w:p w14:paraId="4256BE3F" w14:textId="77777777" w:rsidR="00C7266C" w:rsidRPr="00D403F5" w:rsidRDefault="00C7266C" w:rsidP="00EA6B7E">
      <w:pPr>
        <w:pStyle w:val="111"/>
        <w:spacing w:after="240"/>
        <w:ind w:firstLine="0"/>
        <w:rPr>
          <w:sz w:val="18"/>
          <w:szCs w:val="18"/>
        </w:rPr>
      </w:pPr>
      <w:r w:rsidRPr="00D403F5">
        <w:rPr>
          <w:rFonts w:ascii="Arial" w:hAnsi="Arial" w:cs="Arial"/>
          <w:b w:val="0"/>
          <w:sz w:val="18"/>
          <w:szCs w:val="18"/>
        </w:rPr>
        <w:t xml:space="preserve">Species that fulfil the criteria for listing as susceptible to infection with Bsal according to Chapter 1.5. of the </w:t>
      </w:r>
      <w:r w:rsidRPr="00D403F5">
        <w:rPr>
          <w:rFonts w:ascii="Arial" w:hAnsi="Arial" w:cs="Arial"/>
          <w:b w:val="0"/>
          <w:i/>
          <w:sz w:val="18"/>
          <w:szCs w:val="18"/>
        </w:rPr>
        <w:t>Aquatic Animal Health Code</w:t>
      </w:r>
      <w:r w:rsidRPr="00D403F5">
        <w:rPr>
          <w:rFonts w:ascii="Arial" w:hAnsi="Arial" w:cs="Arial"/>
          <w:b w:val="0"/>
          <w:sz w:val="18"/>
          <w:szCs w:val="18"/>
        </w:rPr>
        <w:t xml:space="preserve"> (</w:t>
      </w:r>
      <w:r w:rsidRPr="00D403F5">
        <w:rPr>
          <w:rFonts w:ascii="Arial" w:hAnsi="Arial" w:cs="Arial"/>
          <w:b w:val="0"/>
          <w:i/>
          <w:sz w:val="18"/>
          <w:szCs w:val="18"/>
        </w:rPr>
        <w:t>Aquatic Code</w:t>
      </w:r>
      <w:r w:rsidRPr="00D403F5">
        <w:rPr>
          <w:rFonts w:ascii="Arial" w:hAnsi="Arial" w:cs="Arial"/>
          <w:b w:val="0"/>
          <w:sz w:val="18"/>
          <w:szCs w:val="18"/>
        </w:rPr>
        <w:t>) include:</w:t>
      </w:r>
      <w:r w:rsidRPr="00D403F5">
        <w:rPr>
          <w:rFonts w:ascii="Arial" w:hAnsi="Arial" w:cs="Arial"/>
          <w:b w:val="0"/>
          <w:bCs w:val="0"/>
          <w:sz w:val="18"/>
          <w:szCs w:val="18"/>
          <w:shd w:val="clear" w:color="auto" w:fill="F1F2ED"/>
        </w:rPr>
        <w:t xml:space="preserve"> </w:t>
      </w:r>
      <w:r w:rsidRPr="00D403F5">
        <w:rPr>
          <w:rFonts w:ascii="Arial" w:hAnsi="Arial" w:cs="Arial"/>
          <w:b w:val="0"/>
          <w:sz w:val="18"/>
          <w:szCs w:val="18"/>
        </w:rPr>
        <w:t xml:space="preserve">[alpine newt </w:t>
      </w:r>
      <w:r w:rsidRPr="00D403F5">
        <w:rPr>
          <w:rFonts w:ascii="Arial" w:hAnsi="Arial" w:cs="Arial"/>
          <w:b w:val="0"/>
          <w:iCs/>
          <w:sz w:val="18"/>
          <w:szCs w:val="18"/>
        </w:rPr>
        <w:t>(</w:t>
      </w:r>
      <w:r w:rsidRPr="00D403F5">
        <w:rPr>
          <w:rFonts w:ascii="Arial" w:hAnsi="Arial" w:cs="Arial"/>
          <w:b w:val="0"/>
          <w:i/>
          <w:iCs/>
          <w:sz w:val="18"/>
          <w:szCs w:val="18"/>
        </w:rPr>
        <w:t>Ichthyosaura alpestris</w:t>
      </w:r>
      <w:r w:rsidRPr="00D403F5">
        <w:rPr>
          <w:rFonts w:ascii="Arial" w:hAnsi="Arial" w:cs="Arial"/>
          <w:b w:val="0"/>
          <w:iCs/>
          <w:sz w:val="18"/>
          <w:szCs w:val="18"/>
        </w:rPr>
        <w:t>)</w:t>
      </w:r>
      <w:r w:rsidRPr="00D403F5">
        <w:rPr>
          <w:rFonts w:ascii="Arial" w:hAnsi="Arial" w:cs="Arial"/>
          <w:b w:val="0"/>
          <w:sz w:val="18"/>
          <w:szCs w:val="18"/>
        </w:rPr>
        <w:t xml:space="preserve">, blue-tailed fire-bellied newt </w:t>
      </w:r>
      <w:r w:rsidRPr="00D403F5">
        <w:rPr>
          <w:rFonts w:ascii="Arial" w:hAnsi="Arial" w:cs="Arial"/>
          <w:b w:val="0"/>
          <w:iCs/>
          <w:sz w:val="18"/>
          <w:szCs w:val="18"/>
        </w:rPr>
        <w:t>(</w:t>
      </w:r>
      <w:r w:rsidRPr="00D403F5">
        <w:rPr>
          <w:rFonts w:ascii="Arial" w:hAnsi="Arial" w:cs="Arial"/>
          <w:b w:val="0"/>
          <w:i/>
          <w:iCs/>
          <w:sz w:val="18"/>
          <w:szCs w:val="18"/>
        </w:rPr>
        <w:t>Cynops cyanurus</w:t>
      </w:r>
      <w:r w:rsidRPr="00D403F5">
        <w:rPr>
          <w:rFonts w:ascii="Arial" w:hAnsi="Arial" w:cs="Arial"/>
          <w:b w:val="0"/>
          <w:iCs/>
          <w:sz w:val="18"/>
          <w:szCs w:val="18"/>
        </w:rPr>
        <w:t>)</w:t>
      </w:r>
      <w:r w:rsidRPr="00D403F5">
        <w:rPr>
          <w:rFonts w:ascii="Arial" w:hAnsi="Arial" w:cs="Arial"/>
          <w:b w:val="0"/>
          <w:sz w:val="18"/>
          <w:szCs w:val="18"/>
        </w:rPr>
        <w:t xml:space="preserve">, fire salamander </w:t>
      </w:r>
      <w:r w:rsidRPr="00D403F5">
        <w:rPr>
          <w:rFonts w:ascii="Arial" w:hAnsi="Arial" w:cs="Arial"/>
          <w:b w:val="0"/>
          <w:iCs/>
          <w:sz w:val="18"/>
          <w:szCs w:val="18"/>
        </w:rPr>
        <w:t>(</w:t>
      </w:r>
      <w:r w:rsidRPr="00D403F5">
        <w:rPr>
          <w:rFonts w:ascii="Arial" w:hAnsi="Arial" w:cs="Arial"/>
          <w:b w:val="0"/>
          <w:i/>
          <w:iCs/>
          <w:sz w:val="18"/>
          <w:szCs w:val="18"/>
        </w:rPr>
        <w:t>Salamandra salamandra</w:t>
      </w:r>
      <w:r w:rsidRPr="00D403F5">
        <w:rPr>
          <w:rFonts w:ascii="Arial" w:hAnsi="Arial" w:cs="Arial"/>
          <w:b w:val="0"/>
          <w:iCs/>
          <w:sz w:val="18"/>
          <w:szCs w:val="18"/>
        </w:rPr>
        <w:t>)</w:t>
      </w:r>
      <w:r w:rsidRPr="00D403F5">
        <w:rPr>
          <w:rFonts w:ascii="Arial" w:hAnsi="Arial" w:cs="Arial"/>
          <w:b w:val="0"/>
          <w:sz w:val="18"/>
          <w:szCs w:val="18"/>
        </w:rPr>
        <w:t xml:space="preserve">, eastern newt </w:t>
      </w:r>
      <w:r w:rsidRPr="00D403F5">
        <w:rPr>
          <w:rFonts w:ascii="Arial" w:hAnsi="Arial" w:cs="Arial"/>
          <w:b w:val="0"/>
          <w:iCs/>
          <w:sz w:val="18"/>
          <w:szCs w:val="18"/>
        </w:rPr>
        <w:t>(</w:t>
      </w:r>
      <w:r w:rsidRPr="00D403F5">
        <w:rPr>
          <w:rFonts w:ascii="Arial" w:hAnsi="Arial" w:cs="Arial"/>
          <w:b w:val="0"/>
          <w:i/>
          <w:iCs/>
          <w:sz w:val="18"/>
          <w:szCs w:val="18"/>
        </w:rPr>
        <w:t>Nothophthalmus viridescens</w:t>
      </w:r>
      <w:r w:rsidRPr="00D403F5">
        <w:rPr>
          <w:rFonts w:ascii="Arial" w:hAnsi="Arial" w:cs="Arial"/>
          <w:b w:val="0"/>
          <w:iCs/>
          <w:sz w:val="18"/>
          <w:szCs w:val="18"/>
        </w:rPr>
        <w:t>)</w:t>
      </w:r>
      <w:r w:rsidRPr="00D403F5">
        <w:rPr>
          <w:rFonts w:ascii="Arial" w:hAnsi="Arial" w:cs="Arial"/>
          <w:b w:val="0"/>
          <w:sz w:val="18"/>
          <w:szCs w:val="18"/>
        </w:rPr>
        <w:t xml:space="preserve">, French cave salamander </w:t>
      </w:r>
      <w:r w:rsidRPr="00D403F5">
        <w:rPr>
          <w:rFonts w:ascii="Arial" w:hAnsi="Arial" w:cs="Arial"/>
          <w:b w:val="0"/>
          <w:iCs/>
          <w:sz w:val="18"/>
          <w:szCs w:val="18"/>
        </w:rPr>
        <w:t>(</w:t>
      </w:r>
      <w:r w:rsidRPr="00D403F5">
        <w:rPr>
          <w:rFonts w:ascii="Arial" w:hAnsi="Arial" w:cs="Arial"/>
          <w:b w:val="0"/>
          <w:i/>
          <w:iCs/>
          <w:sz w:val="18"/>
          <w:szCs w:val="18"/>
        </w:rPr>
        <w:t>Hydromantes strinatii</w:t>
      </w:r>
      <w:r w:rsidRPr="00D403F5">
        <w:rPr>
          <w:rFonts w:ascii="Arial" w:hAnsi="Arial" w:cs="Arial"/>
          <w:b w:val="0"/>
          <w:iCs/>
          <w:sz w:val="18"/>
          <w:szCs w:val="18"/>
        </w:rPr>
        <w:t>)</w:t>
      </w:r>
      <w:r w:rsidRPr="00D403F5">
        <w:rPr>
          <w:rFonts w:ascii="Arial" w:hAnsi="Arial" w:cs="Arial"/>
          <w:b w:val="0"/>
          <w:sz w:val="18"/>
          <w:szCs w:val="18"/>
        </w:rPr>
        <w:t xml:space="preserve">, Italian newt </w:t>
      </w:r>
      <w:r w:rsidRPr="00D403F5">
        <w:rPr>
          <w:rFonts w:ascii="Arial" w:hAnsi="Arial" w:cs="Arial"/>
          <w:b w:val="0"/>
          <w:iCs/>
          <w:sz w:val="18"/>
          <w:szCs w:val="18"/>
        </w:rPr>
        <w:t>(</w:t>
      </w:r>
      <w:r w:rsidRPr="00D403F5">
        <w:rPr>
          <w:rFonts w:ascii="Arial" w:hAnsi="Arial" w:cs="Arial"/>
          <w:b w:val="0"/>
          <w:i/>
          <w:iCs/>
          <w:sz w:val="18"/>
          <w:szCs w:val="18"/>
        </w:rPr>
        <w:t>Lissotriton italicus</w:t>
      </w:r>
      <w:r w:rsidRPr="00D403F5">
        <w:rPr>
          <w:rFonts w:ascii="Arial" w:hAnsi="Arial" w:cs="Arial"/>
          <w:b w:val="0"/>
          <w:iCs/>
          <w:sz w:val="18"/>
          <w:szCs w:val="18"/>
        </w:rPr>
        <w:t>)</w:t>
      </w:r>
      <w:r w:rsidRPr="00D403F5">
        <w:rPr>
          <w:rFonts w:ascii="Arial" w:hAnsi="Arial" w:cs="Arial"/>
          <w:b w:val="0"/>
          <w:sz w:val="18"/>
          <w:szCs w:val="18"/>
        </w:rPr>
        <w:t xml:space="preserve">, yellow spotted newt </w:t>
      </w:r>
      <w:r w:rsidRPr="00D403F5">
        <w:rPr>
          <w:rFonts w:ascii="Arial" w:hAnsi="Arial" w:cs="Arial"/>
          <w:b w:val="0"/>
          <w:iCs/>
          <w:sz w:val="18"/>
          <w:szCs w:val="18"/>
        </w:rPr>
        <w:t>(</w:t>
      </w:r>
      <w:r w:rsidRPr="00D403F5">
        <w:rPr>
          <w:rFonts w:ascii="Arial" w:hAnsi="Arial" w:cs="Arial"/>
          <w:b w:val="0"/>
          <w:i/>
          <w:iCs/>
          <w:sz w:val="18"/>
          <w:szCs w:val="18"/>
        </w:rPr>
        <w:t>Neurergus crocatus</w:t>
      </w:r>
      <w:r w:rsidRPr="00D403F5">
        <w:rPr>
          <w:rFonts w:ascii="Arial" w:hAnsi="Arial" w:cs="Arial"/>
          <w:b w:val="0"/>
          <w:iCs/>
          <w:sz w:val="18"/>
          <w:szCs w:val="18"/>
        </w:rPr>
        <w:t>)</w:t>
      </w:r>
      <w:r w:rsidRPr="00D403F5">
        <w:rPr>
          <w:rFonts w:ascii="Arial" w:hAnsi="Arial" w:cs="Arial"/>
          <w:b w:val="0"/>
          <w:sz w:val="18"/>
          <w:szCs w:val="18"/>
        </w:rPr>
        <w:t xml:space="preserve">, Japanese fire-bellied newt </w:t>
      </w:r>
      <w:r w:rsidRPr="00D403F5">
        <w:rPr>
          <w:rFonts w:ascii="Arial" w:hAnsi="Arial" w:cs="Arial"/>
          <w:b w:val="0"/>
          <w:iCs/>
          <w:sz w:val="18"/>
          <w:szCs w:val="18"/>
        </w:rPr>
        <w:t>(</w:t>
      </w:r>
      <w:r w:rsidRPr="00D403F5">
        <w:rPr>
          <w:rFonts w:ascii="Arial" w:hAnsi="Arial" w:cs="Arial"/>
          <w:b w:val="0"/>
          <w:i/>
          <w:iCs/>
          <w:sz w:val="18"/>
          <w:szCs w:val="18"/>
        </w:rPr>
        <w:t>Cynops pyrrhogaster</w:t>
      </w:r>
      <w:r w:rsidRPr="00D403F5">
        <w:rPr>
          <w:rFonts w:ascii="Arial" w:hAnsi="Arial" w:cs="Arial"/>
          <w:b w:val="0"/>
          <w:iCs/>
          <w:sz w:val="18"/>
          <w:szCs w:val="18"/>
        </w:rPr>
        <w:t>)</w:t>
      </w:r>
      <w:r w:rsidRPr="00D403F5">
        <w:rPr>
          <w:rFonts w:ascii="Arial" w:hAnsi="Arial" w:cs="Arial"/>
          <w:b w:val="0"/>
          <w:sz w:val="18"/>
          <w:szCs w:val="18"/>
        </w:rPr>
        <w:t xml:space="preserve">, northern spectacle salamander </w:t>
      </w:r>
      <w:r w:rsidRPr="00D403F5">
        <w:rPr>
          <w:rFonts w:ascii="Arial" w:hAnsi="Arial" w:cs="Arial"/>
          <w:b w:val="0"/>
          <w:iCs/>
          <w:sz w:val="18"/>
          <w:szCs w:val="18"/>
        </w:rPr>
        <w:t>(</w:t>
      </w:r>
      <w:r w:rsidRPr="00D403F5">
        <w:rPr>
          <w:rFonts w:ascii="Arial" w:hAnsi="Arial" w:cs="Arial"/>
          <w:b w:val="0"/>
          <w:i/>
          <w:iCs/>
          <w:sz w:val="18"/>
          <w:szCs w:val="18"/>
        </w:rPr>
        <w:t>Salamandrina perspicillata</w:t>
      </w:r>
      <w:r w:rsidRPr="00D403F5">
        <w:rPr>
          <w:rFonts w:ascii="Arial" w:hAnsi="Arial" w:cs="Arial"/>
          <w:b w:val="0"/>
          <w:iCs/>
          <w:sz w:val="18"/>
          <w:szCs w:val="18"/>
        </w:rPr>
        <w:t>)</w:t>
      </w:r>
      <w:r w:rsidRPr="00D403F5">
        <w:rPr>
          <w:rFonts w:ascii="Arial" w:hAnsi="Arial" w:cs="Arial"/>
          <w:b w:val="0"/>
          <w:sz w:val="18"/>
          <w:szCs w:val="18"/>
        </w:rPr>
        <w:t xml:space="preserve">, Tam Dao salamander </w:t>
      </w:r>
      <w:r w:rsidRPr="00D403F5">
        <w:rPr>
          <w:rFonts w:ascii="Arial" w:hAnsi="Arial" w:cs="Arial"/>
          <w:b w:val="0"/>
          <w:iCs/>
          <w:sz w:val="18"/>
          <w:szCs w:val="18"/>
        </w:rPr>
        <w:t>(</w:t>
      </w:r>
      <w:r w:rsidRPr="00D403F5">
        <w:rPr>
          <w:rFonts w:ascii="Arial" w:hAnsi="Arial" w:cs="Arial"/>
          <w:b w:val="0"/>
          <w:i/>
          <w:iCs/>
          <w:sz w:val="18"/>
          <w:szCs w:val="18"/>
        </w:rPr>
        <w:t>Paramesotriton deloustali</w:t>
      </w:r>
      <w:r w:rsidRPr="00D403F5">
        <w:rPr>
          <w:rFonts w:ascii="Arial" w:hAnsi="Arial" w:cs="Arial"/>
          <w:b w:val="0"/>
          <w:iCs/>
          <w:sz w:val="18"/>
          <w:szCs w:val="18"/>
        </w:rPr>
        <w:t>)</w:t>
      </w:r>
      <w:r w:rsidRPr="00D403F5">
        <w:rPr>
          <w:rFonts w:ascii="Arial" w:hAnsi="Arial" w:cs="Arial"/>
          <w:b w:val="0"/>
          <w:sz w:val="18"/>
          <w:szCs w:val="18"/>
        </w:rPr>
        <w:t xml:space="preserve">, rough-skinned newt </w:t>
      </w:r>
      <w:r w:rsidRPr="00D403F5">
        <w:rPr>
          <w:rFonts w:ascii="Arial" w:hAnsi="Arial" w:cs="Arial"/>
          <w:b w:val="0"/>
          <w:iCs/>
          <w:sz w:val="18"/>
          <w:szCs w:val="18"/>
        </w:rPr>
        <w:t>(</w:t>
      </w:r>
      <w:r w:rsidRPr="00D403F5">
        <w:rPr>
          <w:rFonts w:ascii="Arial" w:hAnsi="Arial" w:cs="Arial"/>
          <w:b w:val="0"/>
          <w:i/>
          <w:iCs/>
          <w:sz w:val="18"/>
          <w:szCs w:val="18"/>
        </w:rPr>
        <w:t>Taricha granulosa</w:t>
      </w:r>
      <w:r w:rsidRPr="00D403F5">
        <w:rPr>
          <w:rFonts w:ascii="Arial" w:hAnsi="Arial" w:cs="Arial"/>
          <w:b w:val="0"/>
          <w:iCs/>
          <w:sz w:val="18"/>
          <w:szCs w:val="18"/>
        </w:rPr>
        <w:t>)</w:t>
      </w:r>
      <w:r w:rsidRPr="00D403F5">
        <w:rPr>
          <w:rFonts w:ascii="Arial" w:hAnsi="Arial" w:cs="Arial"/>
          <w:b w:val="0"/>
          <w:sz w:val="18"/>
          <w:szCs w:val="18"/>
        </w:rPr>
        <w:t xml:space="preserve">, sardinian brook salamander </w:t>
      </w:r>
      <w:r w:rsidRPr="00D403F5">
        <w:rPr>
          <w:rFonts w:ascii="Arial" w:hAnsi="Arial" w:cs="Arial"/>
          <w:b w:val="0"/>
          <w:iCs/>
          <w:sz w:val="18"/>
          <w:szCs w:val="18"/>
        </w:rPr>
        <w:t>(</w:t>
      </w:r>
      <w:r w:rsidRPr="00D403F5">
        <w:rPr>
          <w:rFonts w:ascii="Arial" w:hAnsi="Arial" w:cs="Arial"/>
          <w:b w:val="0"/>
          <w:i/>
          <w:iCs/>
          <w:sz w:val="18"/>
          <w:szCs w:val="18"/>
        </w:rPr>
        <w:t>Euproctus platycephalus</w:t>
      </w:r>
      <w:r w:rsidRPr="00D403F5">
        <w:rPr>
          <w:rFonts w:ascii="Arial" w:hAnsi="Arial" w:cs="Arial"/>
          <w:b w:val="0"/>
          <w:iCs/>
          <w:sz w:val="18"/>
          <w:szCs w:val="18"/>
        </w:rPr>
        <w:t>)</w:t>
      </w:r>
      <w:r w:rsidRPr="00D403F5">
        <w:rPr>
          <w:rFonts w:ascii="Arial" w:hAnsi="Arial" w:cs="Arial"/>
          <w:b w:val="0"/>
          <w:sz w:val="18"/>
          <w:szCs w:val="18"/>
        </w:rPr>
        <w:t xml:space="preserve"> and Spanish ribbed newt </w:t>
      </w:r>
      <w:r w:rsidRPr="00D403F5">
        <w:rPr>
          <w:rFonts w:ascii="Arial" w:hAnsi="Arial" w:cs="Arial"/>
          <w:b w:val="0"/>
          <w:iCs/>
          <w:sz w:val="18"/>
          <w:szCs w:val="18"/>
        </w:rPr>
        <w:t>(</w:t>
      </w:r>
      <w:r w:rsidRPr="00D403F5">
        <w:rPr>
          <w:rFonts w:ascii="Arial" w:hAnsi="Arial" w:cs="Arial"/>
          <w:b w:val="0"/>
          <w:i/>
          <w:iCs/>
          <w:sz w:val="18"/>
          <w:szCs w:val="18"/>
        </w:rPr>
        <w:t>Pleurodeles waltl</w:t>
      </w:r>
      <w:r w:rsidRPr="00D403F5">
        <w:rPr>
          <w:rFonts w:ascii="Arial" w:hAnsi="Arial" w:cs="Arial"/>
          <w:b w:val="0"/>
          <w:iCs/>
          <w:sz w:val="18"/>
          <w:szCs w:val="18"/>
        </w:rPr>
        <w:t>)</w:t>
      </w:r>
      <w:r w:rsidRPr="00D403F5">
        <w:rPr>
          <w:rFonts w:ascii="Arial" w:hAnsi="Arial" w:cs="Arial"/>
          <w:b w:val="0"/>
          <w:sz w:val="18"/>
          <w:szCs w:val="18"/>
        </w:rPr>
        <w:t>] (under study).</w:t>
      </w:r>
    </w:p>
    <w:p w14:paraId="78B5FF00" w14:textId="77777777" w:rsidR="00983DC1" w:rsidRPr="00D403F5" w:rsidRDefault="00983DC1" w:rsidP="00D403F5">
      <w:pPr>
        <w:spacing w:after="0"/>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br w:type="page"/>
      </w:r>
    </w:p>
    <w:p w14:paraId="14CD608A" w14:textId="5BFC4A29" w:rsidR="00C7266C" w:rsidRPr="00D403F5" w:rsidRDefault="00C7266C" w:rsidP="00EA6B7E">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25FD45F5" w14:textId="77777777" w:rsidR="00C7266C" w:rsidRPr="00D403F5" w:rsidRDefault="00C7266C" w:rsidP="00D403F5">
      <w:pPr>
        <w:pStyle w:val="111"/>
        <w:spacing w:after="0"/>
        <w:jc w:val="left"/>
        <w:rPr>
          <w:sz w:val="18"/>
          <w:szCs w:val="18"/>
        </w:rPr>
      </w:pPr>
      <w:r w:rsidRPr="00D403F5">
        <w:rPr>
          <w:sz w:val="18"/>
          <w:szCs w:val="18"/>
        </w:rPr>
        <w:t>2.2.2.</w:t>
      </w:r>
      <w:r w:rsidRPr="00D403F5">
        <w:rPr>
          <w:sz w:val="18"/>
          <w:szCs w:val="18"/>
        </w:rPr>
        <w:tab/>
        <w:t>Species with incomplete evidence for susceptibility</w:t>
      </w:r>
    </w:p>
    <w:p w14:paraId="007187D9" w14:textId="77777777" w:rsidR="00C7266C" w:rsidRPr="00D403F5" w:rsidRDefault="00C7266C" w:rsidP="00D403F5">
      <w:pPr>
        <w:pStyle w:val="Para3"/>
        <w:spacing w:after="0"/>
        <w:rPr>
          <w:rFonts w:cs="Arial"/>
          <w:szCs w:val="18"/>
          <w:lang w:val="en-GB" w:eastAsia="fr-FR"/>
        </w:rPr>
      </w:pPr>
      <w:r w:rsidRPr="00D403F5">
        <w:rPr>
          <w:rFonts w:cs="Arial"/>
          <w:iCs/>
          <w:szCs w:val="18"/>
          <w:u w:val="double"/>
        </w:rPr>
        <w:t>Species for which there is incomplete evidence for susceptibility</w:t>
      </w:r>
      <w:r w:rsidRPr="00D403F5">
        <w:rPr>
          <w:rFonts w:cs="Arial"/>
          <w:szCs w:val="18"/>
          <w:u w:val="double"/>
        </w:rPr>
        <w:t xml:space="preserve"> according to Chapter 1.5. of the </w:t>
      </w:r>
      <w:r w:rsidRPr="00D403F5">
        <w:rPr>
          <w:rFonts w:cs="Arial"/>
          <w:i/>
          <w:iCs/>
          <w:szCs w:val="18"/>
          <w:u w:val="double"/>
        </w:rPr>
        <w:t>Aquatic Code</w:t>
      </w:r>
      <w:r w:rsidRPr="00D403F5">
        <w:rPr>
          <w:rFonts w:cs="Arial"/>
          <w:iCs/>
          <w:szCs w:val="18"/>
          <w:u w:val="double"/>
        </w:rPr>
        <w:t xml:space="preserve"> are:</w:t>
      </w:r>
      <w:r w:rsidRPr="00D403F5">
        <w:rPr>
          <w:rFonts w:cs="Arial"/>
          <w:iCs/>
          <w:szCs w:val="18"/>
        </w:rPr>
        <w:t xml:space="preserve"> </w:t>
      </w:r>
      <w:r w:rsidRPr="00D403F5">
        <w:rPr>
          <w:rFonts w:cs="Arial"/>
          <w:szCs w:val="18"/>
          <w:lang w:val="en-GB"/>
        </w:rPr>
        <w:t>[under study]</w:t>
      </w:r>
    </w:p>
    <w:p w14:paraId="1E753A05" w14:textId="77777777" w:rsidR="00C7266C" w:rsidRPr="00D403F5" w:rsidRDefault="00C7266C" w:rsidP="00D403F5">
      <w:pPr>
        <w:spacing w:after="0"/>
        <w:ind w:left="851" w:hanging="567"/>
        <w:jc w:val="both"/>
        <w:rPr>
          <w:rFonts w:ascii="Ottawa" w:hAnsi="Ottawa"/>
          <w:b/>
          <w:bCs/>
          <w:sz w:val="18"/>
          <w:szCs w:val="18"/>
          <w:u w:val="double"/>
          <w:lang w:val="en-IE" w:eastAsia="fr-FR"/>
        </w:rPr>
      </w:pPr>
      <w:r w:rsidRPr="00D403F5">
        <w:rPr>
          <w:rFonts w:ascii="Ottawa" w:hAnsi="Ottawa"/>
          <w:b/>
          <w:bCs/>
          <w:sz w:val="18"/>
          <w:szCs w:val="18"/>
          <w:u w:val="double"/>
          <w:lang w:val="en-IE" w:eastAsia="fr-FR"/>
        </w:rPr>
        <w:t>2.2.3.</w:t>
      </w:r>
      <w:r w:rsidRPr="00D403F5">
        <w:rPr>
          <w:rFonts w:ascii="Ottawa" w:hAnsi="Ottawa"/>
          <w:b/>
          <w:bCs/>
          <w:sz w:val="18"/>
          <w:szCs w:val="18"/>
          <w:u w:val="double"/>
          <w:lang w:val="en-IE" w:eastAsia="fr-FR"/>
        </w:rPr>
        <w:tab/>
        <w:t>Non-susceptible species</w:t>
      </w:r>
    </w:p>
    <w:p w14:paraId="123F8F69" w14:textId="77777777" w:rsidR="00C7266C" w:rsidRPr="00D403F5" w:rsidRDefault="00C7266C" w:rsidP="00D403F5">
      <w:pPr>
        <w:pStyle w:val="Para3"/>
        <w:spacing w:after="0"/>
        <w:rPr>
          <w:rFonts w:cs="Arial"/>
          <w:szCs w:val="18"/>
          <w:u w:val="double"/>
          <w:lang w:val="en-GB" w:eastAsia="fr-FR"/>
        </w:rPr>
      </w:pPr>
      <w:r w:rsidRPr="00D403F5">
        <w:rPr>
          <w:rFonts w:cs="Arial"/>
          <w:iCs/>
          <w:szCs w:val="18"/>
          <w:u w:val="double"/>
        </w:rPr>
        <w:t xml:space="preserve">Species that have been found non-susceptible to infection with Bsal </w:t>
      </w:r>
      <w:r w:rsidRPr="00D403F5">
        <w:rPr>
          <w:rFonts w:cs="Arial"/>
          <w:szCs w:val="18"/>
          <w:u w:val="double"/>
        </w:rPr>
        <w:t xml:space="preserve">according to Chapter 1.5. of the </w:t>
      </w:r>
      <w:r w:rsidRPr="00D403F5">
        <w:rPr>
          <w:rFonts w:cs="Arial"/>
          <w:i/>
          <w:iCs/>
          <w:szCs w:val="18"/>
          <w:u w:val="double"/>
        </w:rPr>
        <w:t>Aquatic Code</w:t>
      </w:r>
      <w:r w:rsidRPr="00D403F5">
        <w:rPr>
          <w:rFonts w:cs="Arial"/>
          <w:iCs/>
          <w:szCs w:val="18"/>
          <w:u w:val="double"/>
        </w:rPr>
        <w:t xml:space="preserve"> are:</w:t>
      </w:r>
      <w:r w:rsidRPr="00D403F5">
        <w:rPr>
          <w:rFonts w:cs="Arial"/>
          <w:bCs w:val="0"/>
          <w:iCs/>
          <w:szCs w:val="18"/>
          <w:u w:val="double"/>
        </w:rPr>
        <w:t xml:space="preserve"> </w:t>
      </w:r>
      <w:r w:rsidRPr="00D403F5">
        <w:rPr>
          <w:rFonts w:cs="Arial"/>
          <w:szCs w:val="18"/>
          <w:u w:val="double"/>
          <w:lang w:val="en-GB"/>
        </w:rPr>
        <w:t>[under study]</w:t>
      </w:r>
    </w:p>
    <w:p w14:paraId="2B6D79F6" w14:textId="77777777" w:rsidR="00C7266C" w:rsidRPr="00D403F5" w:rsidRDefault="00C7266C" w:rsidP="00D403F5">
      <w:pPr>
        <w:pStyle w:val="111"/>
        <w:spacing w:after="0"/>
        <w:rPr>
          <w:sz w:val="18"/>
          <w:szCs w:val="18"/>
        </w:rPr>
      </w:pPr>
      <w:r w:rsidRPr="00D403F5">
        <w:rPr>
          <w:sz w:val="18"/>
          <w:szCs w:val="18"/>
        </w:rPr>
        <w:t>2.2.4.</w:t>
      </w:r>
      <w:r w:rsidRPr="00D403F5">
        <w:rPr>
          <w:sz w:val="18"/>
          <w:szCs w:val="18"/>
        </w:rPr>
        <w:tab/>
        <w:t>Likelihood of infection by species, host life stage, population or sub-populations</w:t>
      </w:r>
    </w:p>
    <w:p w14:paraId="21ECA727" w14:textId="77777777" w:rsidR="00C7266C" w:rsidRPr="00D403F5" w:rsidRDefault="00C7266C" w:rsidP="00D403F5">
      <w:pPr>
        <w:pStyle w:val="Para3"/>
        <w:spacing w:after="0"/>
        <w:rPr>
          <w:rFonts w:cs="Arial"/>
          <w:szCs w:val="18"/>
          <w:lang w:val="en-GB"/>
        </w:rPr>
      </w:pPr>
      <w:r w:rsidRPr="00D403F5">
        <w:rPr>
          <w:rFonts w:cs="Arial"/>
          <w:szCs w:val="18"/>
          <w:lang w:val="en-GB"/>
        </w:rPr>
        <w:t>Bsal is a pathogenic agent that mainly affects urodeles. Evidence from experimental infections and disease outbreaks in the wild and in captivity show that at least most, if not all, species of the family Salamandridae, as well as species of the family Hynobiidae are likely to become infected when exposed to Bsal. However, differences in susceptibility to infection between species do exist: for example, for fire salamanders (</w:t>
      </w:r>
      <w:r w:rsidRPr="00D403F5">
        <w:rPr>
          <w:rFonts w:cs="Arial"/>
          <w:i/>
          <w:szCs w:val="18"/>
          <w:lang w:val="en-GB"/>
        </w:rPr>
        <w:t>Salamandra salamandra</w:t>
      </w:r>
      <w:r w:rsidRPr="00D403F5">
        <w:rPr>
          <w:rFonts w:cs="Arial"/>
          <w:szCs w:val="18"/>
          <w:lang w:val="en-GB"/>
        </w:rPr>
        <w:t>), the infectious dose of Bsal was determined to be a theoretical one zoospore, whereas a significantly higher dose was necessary to infect Alpine newts (</w:t>
      </w:r>
      <w:r w:rsidRPr="00D403F5">
        <w:rPr>
          <w:rFonts w:cs="Arial"/>
          <w:i/>
          <w:szCs w:val="18"/>
          <w:lang w:val="en-GB"/>
        </w:rPr>
        <w:t>Ichthyosaura alpestris</w:t>
      </w:r>
      <w:r w:rsidRPr="00D403F5">
        <w:rPr>
          <w:rFonts w:cs="Arial"/>
          <w:szCs w:val="18"/>
          <w:lang w:val="en-GB"/>
        </w:rPr>
        <w:t xml:space="preserve">; Stegen </w:t>
      </w:r>
      <w:r w:rsidRPr="00D403F5">
        <w:rPr>
          <w:rFonts w:cs="Arial"/>
          <w:i/>
          <w:szCs w:val="18"/>
          <w:lang w:val="en-GB"/>
        </w:rPr>
        <w:t>et al</w:t>
      </w:r>
      <w:r w:rsidRPr="00D403F5">
        <w:rPr>
          <w:rFonts w:cs="Arial"/>
          <w:szCs w:val="18"/>
          <w:lang w:val="en-GB"/>
        </w:rPr>
        <w:t>., 2017) and one western Palearctic species (</w:t>
      </w:r>
      <w:r w:rsidRPr="00D403F5">
        <w:rPr>
          <w:rFonts w:cs="Arial"/>
          <w:i/>
          <w:szCs w:val="18"/>
          <w:lang w:val="en-GB"/>
        </w:rPr>
        <w:t>Lissotriton helveticus</w:t>
      </w:r>
      <w:r w:rsidRPr="00D403F5">
        <w:rPr>
          <w:rFonts w:cs="Arial"/>
          <w:szCs w:val="18"/>
          <w:lang w:val="en-GB"/>
        </w:rPr>
        <w:t xml:space="preserve">) may be more resistant to infection (Martel </w:t>
      </w:r>
      <w:r w:rsidRPr="00D403F5">
        <w:rPr>
          <w:rFonts w:cs="Arial"/>
          <w:i/>
          <w:szCs w:val="18"/>
          <w:lang w:val="en-GB"/>
        </w:rPr>
        <w:t>et al</w:t>
      </w:r>
      <w:r w:rsidRPr="00D403F5">
        <w:rPr>
          <w:rFonts w:cs="Arial"/>
          <w:szCs w:val="18"/>
          <w:lang w:val="en-GB"/>
        </w:rPr>
        <w:t>., 2014). For the largest family of salamanders (Plethodontidae), little information is currently available; at least one European species (</w:t>
      </w:r>
      <w:r w:rsidRPr="00D403F5">
        <w:rPr>
          <w:rFonts w:cs="Arial"/>
          <w:i/>
          <w:szCs w:val="18"/>
          <w:lang w:val="en-GB"/>
        </w:rPr>
        <w:t>Speleomantes strinatii</w:t>
      </w:r>
      <w:r w:rsidRPr="00D403F5">
        <w:rPr>
          <w:rFonts w:cs="Arial"/>
          <w:szCs w:val="18"/>
          <w:lang w:val="en-GB"/>
        </w:rPr>
        <w:t>) can be infected but other, North American species (</w:t>
      </w:r>
      <w:r w:rsidRPr="00D403F5">
        <w:rPr>
          <w:rFonts w:cs="Arial"/>
          <w:i/>
          <w:szCs w:val="18"/>
          <w:lang w:val="en-GB"/>
        </w:rPr>
        <w:t>Gyrinophilus porphyriticus</w:t>
      </w:r>
      <w:r w:rsidRPr="00D403F5">
        <w:rPr>
          <w:rFonts w:cs="Arial"/>
          <w:szCs w:val="18"/>
          <w:lang w:val="en-GB"/>
        </w:rPr>
        <w:t xml:space="preserve">, </w:t>
      </w:r>
      <w:r w:rsidRPr="00D403F5">
        <w:rPr>
          <w:rFonts w:cs="Arial"/>
          <w:i/>
          <w:szCs w:val="18"/>
          <w:lang w:val="en-GB"/>
        </w:rPr>
        <w:t xml:space="preserve">Plethodon glutinosus, </w:t>
      </w:r>
      <w:r w:rsidRPr="00D403F5">
        <w:rPr>
          <w:rFonts w:cs="Arial"/>
          <w:szCs w:val="18"/>
          <w:lang w:val="en-GB"/>
        </w:rPr>
        <w:t xml:space="preserve">Ambystomatidae) seem less susceptible to infection (Martel </w:t>
      </w:r>
      <w:r w:rsidRPr="00D403F5">
        <w:rPr>
          <w:rFonts w:cs="Arial"/>
          <w:i/>
          <w:szCs w:val="18"/>
          <w:lang w:val="en-GB"/>
        </w:rPr>
        <w:t>et al</w:t>
      </w:r>
      <w:r w:rsidRPr="00D403F5">
        <w:rPr>
          <w:rFonts w:cs="Arial"/>
          <w:szCs w:val="18"/>
          <w:lang w:val="en-GB"/>
        </w:rPr>
        <w:t>., 2014). Susceptibility of the family of Cryptobranchidae is not clear, with a single infection found in a farmed Chinese giant salamander (</w:t>
      </w:r>
      <w:r w:rsidRPr="00D403F5">
        <w:rPr>
          <w:rFonts w:cs="Arial"/>
          <w:i/>
          <w:szCs w:val="18"/>
          <w:lang w:val="en-GB"/>
        </w:rPr>
        <w:t>Andrias davidianus</w:t>
      </w:r>
      <w:r w:rsidRPr="00D403F5">
        <w:rPr>
          <w:rFonts w:cs="Arial"/>
          <w:szCs w:val="18"/>
          <w:lang w:val="en-GB"/>
        </w:rPr>
        <w:t xml:space="preserve">, Zhiyong </w:t>
      </w:r>
      <w:r w:rsidRPr="00D403F5">
        <w:rPr>
          <w:rFonts w:cs="Arial"/>
          <w:i/>
          <w:szCs w:val="18"/>
          <w:lang w:val="en-GB"/>
        </w:rPr>
        <w:t>et al</w:t>
      </w:r>
      <w:r w:rsidRPr="00D403F5">
        <w:rPr>
          <w:rFonts w:cs="Arial"/>
          <w:szCs w:val="18"/>
          <w:lang w:val="en-GB"/>
        </w:rPr>
        <w:t xml:space="preserve">., 2018). No information is available on the urodele families </w:t>
      </w:r>
      <w:r w:rsidRPr="00D403F5">
        <w:rPr>
          <w:rFonts w:cs="Arial"/>
          <w:i/>
          <w:szCs w:val="18"/>
          <w:lang w:val="en-GB"/>
        </w:rPr>
        <w:t>Proteidae, Rhyacotritonidae</w:t>
      </w:r>
      <w:r w:rsidRPr="00D403F5">
        <w:rPr>
          <w:rFonts w:cs="Arial"/>
          <w:szCs w:val="18"/>
          <w:lang w:val="en-GB"/>
        </w:rPr>
        <w:t xml:space="preserve"> and </w:t>
      </w:r>
      <w:r w:rsidRPr="00D403F5">
        <w:rPr>
          <w:rFonts w:cs="Arial"/>
          <w:i/>
          <w:szCs w:val="18"/>
          <w:lang w:val="en-GB"/>
        </w:rPr>
        <w:t>Amphiumidae</w:t>
      </w:r>
      <w:r w:rsidRPr="00D403F5">
        <w:rPr>
          <w:rFonts w:cs="Arial"/>
          <w:szCs w:val="18"/>
          <w:lang w:val="en-GB"/>
        </w:rPr>
        <w:t xml:space="preserve">. Bsal infection in anurans has only been detected in two species, in captivity, the wild and in lab trials (Nguyen </w:t>
      </w:r>
      <w:r w:rsidRPr="00D403F5">
        <w:rPr>
          <w:rFonts w:cs="Arial"/>
          <w:i/>
          <w:szCs w:val="18"/>
          <w:lang w:val="en-GB"/>
        </w:rPr>
        <w:t>et al</w:t>
      </w:r>
      <w:r w:rsidRPr="00D403F5">
        <w:rPr>
          <w:rFonts w:cs="Arial"/>
          <w:szCs w:val="18"/>
          <w:lang w:val="en-GB"/>
        </w:rPr>
        <w:t xml:space="preserve">., 2017; Stegen </w:t>
      </w:r>
      <w:r w:rsidRPr="00D403F5">
        <w:rPr>
          <w:rFonts w:cs="Arial"/>
          <w:i/>
          <w:szCs w:val="18"/>
          <w:lang w:val="en-GB"/>
        </w:rPr>
        <w:t>et al</w:t>
      </w:r>
      <w:r w:rsidRPr="00D403F5">
        <w:rPr>
          <w:rFonts w:cs="Arial"/>
          <w:szCs w:val="18"/>
          <w:lang w:val="en-GB"/>
        </w:rPr>
        <w:t>., 2017).</w:t>
      </w:r>
    </w:p>
    <w:p w14:paraId="0ED537A9"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Thus far, infections with Bsal have been demonstrated only in amphibians post-metamorphosis. In one experimental infection trial, larvae of fire salamanders were exposed to Bsal, but </w:t>
      </w:r>
      <w:r w:rsidRPr="00D403F5">
        <w:rPr>
          <w:rFonts w:cs="Arial"/>
          <w:szCs w:val="18"/>
          <w:u w:val="double"/>
          <w:lang w:val="en-GB"/>
        </w:rPr>
        <w:t>did not become</w:t>
      </w:r>
      <w:r w:rsidRPr="00D403F5">
        <w:rPr>
          <w:rFonts w:cs="Arial"/>
          <w:szCs w:val="18"/>
          <w:lang w:val="en-GB"/>
        </w:rPr>
        <w:t xml:space="preserve"> </w:t>
      </w:r>
      <w:r w:rsidRPr="00D403F5">
        <w:rPr>
          <w:rFonts w:cs="Arial"/>
          <w:strike/>
          <w:szCs w:val="18"/>
          <w:lang w:val="en-GB"/>
        </w:rPr>
        <w:t xml:space="preserve">were not </w:t>
      </w:r>
      <w:r w:rsidRPr="00D403F5">
        <w:rPr>
          <w:rFonts w:cs="Arial"/>
          <w:szCs w:val="18"/>
          <w:lang w:val="en-GB"/>
        </w:rPr>
        <w:t xml:space="preserve">infected (Van Rooij </w:t>
      </w:r>
      <w:r w:rsidRPr="00D403F5">
        <w:rPr>
          <w:rFonts w:cs="Arial"/>
          <w:i/>
          <w:szCs w:val="18"/>
          <w:lang w:val="en-GB"/>
        </w:rPr>
        <w:t>et al</w:t>
      </w:r>
      <w:r w:rsidRPr="00D403F5">
        <w:rPr>
          <w:rFonts w:cs="Arial"/>
          <w:szCs w:val="18"/>
          <w:lang w:val="en-GB"/>
        </w:rPr>
        <w:t xml:space="preserve">., 2015). The extent to which factors </w:t>
      </w:r>
      <w:r w:rsidRPr="00D403F5">
        <w:rPr>
          <w:rFonts w:cs="Arial"/>
          <w:szCs w:val="18"/>
          <w:u w:val="double"/>
          <w:lang w:val="en-GB"/>
        </w:rPr>
        <w:t>such as</w:t>
      </w:r>
      <w:r w:rsidRPr="00D403F5">
        <w:rPr>
          <w:rFonts w:cs="Arial"/>
          <w:szCs w:val="18"/>
          <w:lang w:val="en-GB"/>
        </w:rPr>
        <w:t xml:space="preserve"> </w:t>
      </w:r>
      <w:r w:rsidRPr="00D403F5">
        <w:rPr>
          <w:rFonts w:cs="Arial"/>
          <w:strike/>
          <w:szCs w:val="18"/>
          <w:lang w:val="en-GB"/>
        </w:rPr>
        <w:t xml:space="preserve">like </w:t>
      </w:r>
      <w:r w:rsidRPr="00D403F5">
        <w:rPr>
          <w:rFonts w:cs="Arial"/>
          <w:szCs w:val="18"/>
          <w:lang w:val="en-GB"/>
        </w:rPr>
        <w:t>age and sex affect susceptibility to infection post-metamorphosis is unknown.</w:t>
      </w:r>
    </w:p>
    <w:p w14:paraId="24C4F7DF" w14:textId="77777777" w:rsidR="00C7266C" w:rsidRPr="00D403F5" w:rsidRDefault="00C7266C" w:rsidP="00D403F5">
      <w:pPr>
        <w:pStyle w:val="Para3"/>
        <w:spacing w:after="0"/>
        <w:rPr>
          <w:rFonts w:cs="Arial"/>
          <w:szCs w:val="18"/>
          <w:lang w:val="en-GB" w:eastAsia="en-IE"/>
        </w:rPr>
      </w:pPr>
      <w:r w:rsidRPr="00D403F5">
        <w:rPr>
          <w:rFonts w:cs="Arial"/>
          <w:szCs w:val="18"/>
          <w:lang w:val="en-GB" w:eastAsia="en-IE"/>
        </w:rPr>
        <w:t xml:space="preserve">In Europe, Bsal has been detected in captive collections of urodeles (Fitzpatrick </w:t>
      </w:r>
      <w:r w:rsidRPr="00D403F5">
        <w:rPr>
          <w:rFonts w:cs="Arial"/>
          <w:i/>
          <w:szCs w:val="18"/>
          <w:lang w:val="en-GB" w:eastAsia="en-IE"/>
        </w:rPr>
        <w:t>et al</w:t>
      </w:r>
      <w:r w:rsidRPr="00D403F5">
        <w:rPr>
          <w:rFonts w:cs="Arial"/>
          <w:szCs w:val="18"/>
          <w:lang w:val="en-GB" w:eastAsia="en-IE"/>
        </w:rPr>
        <w:t xml:space="preserve">., 2018, Sabino-Pinto </w:t>
      </w:r>
      <w:r w:rsidRPr="00D403F5">
        <w:rPr>
          <w:rFonts w:cs="Arial"/>
          <w:i/>
          <w:szCs w:val="18"/>
          <w:lang w:val="en-GB" w:eastAsia="en-IE"/>
        </w:rPr>
        <w:t>et al</w:t>
      </w:r>
      <w:r w:rsidRPr="00D403F5">
        <w:rPr>
          <w:rFonts w:cs="Arial"/>
          <w:szCs w:val="18"/>
          <w:lang w:val="en-GB" w:eastAsia="en-IE"/>
        </w:rPr>
        <w:t xml:space="preserve">., 2015) and the pet trade in salamanders and newts has been hypothesised to play a central role in the distribution of this fungus (Fitzpatrick </w:t>
      </w:r>
      <w:r w:rsidRPr="00D403F5">
        <w:rPr>
          <w:rFonts w:cs="Arial"/>
          <w:i/>
          <w:szCs w:val="18"/>
          <w:lang w:val="en-GB" w:eastAsia="en-IE"/>
        </w:rPr>
        <w:t>et al</w:t>
      </w:r>
      <w:r w:rsidRPr="00D403F5">
        <w:rPr>
          <w:rFonts w:cs="Arial"/>
          <w:szCs w:val="18"/>
          <w:lang w:val="en-GB" w:eastAsia="en-IE"/>
        </w:rPr>
        <w:t xml:space="preserve">., 2018; Yap </w:t>
      </w:r>
      <w:r w:rsidRPr="00D403F5">
        <w:rPr>
          <w:rFonts w:cs="Arial"/>
          <w:i/>
          <w:szCs w:val="18"/>
          <w:lang w:val="en-GB" w:eastAsia="en-IE"/>
        </w:rPr>
        <w:t>et al</w:t>
      </w:r>
      <w:r w:rsidRPr="00D403F5">
        <w:rPr>
          <w:rFonts w:cs="Arial"/>
          <w:szCs w:val="18"/>
          <w:lang w:val="en-GB" w:eastAsia="en-IE"/>
        </w:rPr>
        <w:t xml:space="preserve">., 2015; Zhiyong </w:t>
      </w:r>
      <w:r w:rsidRPr="00D403F5">
        <w:rPr>
          <w:rFonts w:cs="Arial"/>
          <w:i/>
          <w:szCs w:val="18"/>
          <w:lang w:val="en-GB" w:eastAsia="en-IE"/>
        </w:rPr>
        <w:t>et al</w:t>
      </w:r>
      <w:r w:rsidRPr="00D403F5">
        <w:rPr>
          <w:rFonts w:cs="Arial"/>
          <w:szCs w:val="18"/>
          <w:lang w:val="en-GB" w:eastAsia="en-IE"/>
        </w:rPr>
        <w:t>., 2018). Hence, urodeles that directly (</w:t>
      </w:r>
      <w:r w:rsidRPr="00D403F5">
        <w:rPr>
          <w:rFonts w:cs="Arial"/>
          <w:szCs w:val="18"/>
          <w:u w:val="double"/>
          <w:lang w:val="en-GB" w:eastAsia="en-IE"/>
        </w:rPr>
        <w:t>by</w:t>
      </w:r>
      <w:r w:rsidRPr="00D403F5">
        <w:rPr>
          <w:rFonts w:cs="Arial"/>
          <w:szCs w:val="18"/>
          <w:lang w:val="en-GB" w:eastAsia="en-IE"/>
        </w:rPr>
        <w:t xml:space="preserve"> co-housing, contact of wild animals with released or captive animals) or indirectly (via materials, contaminated water or soil) come in contact with traded urodeles, </w:t>
      </w:r>
      <w:r w:rsidRPr="00D403F5">
        <w:rPr>
          <w:rFonts w:cs="Arial"/>
          <w:szCs w:val="18"/>
          <w:lang w:eastAsia="en-IE"/>
        </w:rPr>
        <w:t xml:space="preserve">may </w:t>
      </w:r>
      <w:r w:rsidRPr="00D403F5">
        <w:rPr>
          <w:rFonts w:cs="Arial"/>
          <w:szCs w:val="18"/>
          <w:u w:val="double"/>
          <w:lang w:eastAsia="en-IE"/>
        </w:rPr>
        <w:t>have a high likelihood of exposure to</w:t>
      </w:r>
      <w:r w:rsidRPr="00D403F5">
        <w:rPr>
          <w:rFonts w:cs="Arial"/>
          <w:szCs w:val="18"/>
          <w:lang w:eastAsia="en-IE"/>
        </w:rPr>
        <w:t xml:space="preserve"> </w:t>
      </w:r>
      <w:r w:rsidRPr="00D403F5">
        <w:rPr>
          <w:rFonts w:cs="Arial"/>
          <w:strike/>
          <w:szCs w:val="18"/>
          <w:lang w:eastAsia="en-IE"/>
        </w:rPr>
        <w:t xml:space="preserve">be more likely to contract </w:t>
      </w:r>
      <w:r w:rsidRPr="00D403F5">
        <w:rPr>
          <w:rFonts w:cs="Arial"/>
          <w:szCs w:val="18"/>
          <w:lang w:eastAsia="en-IE"/>
        </w:rPr>
        <w:t>Bsal</w:t>
      </w:r>
      <w:r w:rsidRPr="00D403F5">
        <w:rPr>
          <w:rFonts w:cs="Arial"/>
          <w:strike/>
          <w:szCs w:val="18"/>
          <w:lang w:eastAsia="en-IE"/>
        </w:rPr>
        <w:t xml:space="preserve"> infection</w:t>
      </w:r>
      <w:r w:rsidRPr="00D403F5">
        <w:rPr>
          <w:rFonts w:cs="Arial"/>
          <w:szCs w:val="18"/>
          <w:lang w:eastAsia="en-IE"/>
        </w:rPr>
        <w:t>.</w:t>
      </w:r>
    </w:p>
    <w:p w14:paraId="3365DAF3" w14:textId="77777777" w:rsidR="00C7266C" w:rsidRPr="00D403F5" w:rsidRDefault="00C7266C" w:rsidP="00D403F5">
      <w:pPr>
        <w:pStyle w:val="111"/>
        <w:spacing w:after="0"/>
        <w:rPr>
          <w:sz w:val="18"/>
          <w:szCs w:val="18"/>
        </w:rPr>
      </w:pPr>
      <w:r w:rsidRPr="00D403F5">
        <w:rPr>
          <w:sz w:val="18"/>
          <w:szCs w:val="18"/>
        </w:rPr>
        <w:t>2.2.5.</w:t>
      </w:r>
      <w:r w:rsidRPr="00D403F5">
        <w:rPr>
          <w:sz w:val="18"/>
          <w:szCs w:val="18"/>
        </w:rPr>
        <w:tab/>
        <w:t>Distribution of the pathogen in the host</w:t>
      </w:r>
    </w:p>
    <w:p w14:paraId="658D6F8F" w14:textId="77777777" w:rsidR="00C7266C" w:rsidRPr="00D403F5" w:rsidRDefault="00C7266C" w:rsidP="00D403F5">
      <w:pPr>
        <w:pStyle w:val="Para3"/>
        <w:spacing w:after="0"/>
        <w:rPr>
          <w:rFonts w:cs="Arial"/>
          <w:szCs w:val="18"/>
          <w:lang w:val="en-GB" w:eastAsia="fr-FR"/>
        </w:rPr>
      </w:pPr>
      <w:r w:rsidRPr="00D403F5">
        <w:rPr>
          <w:rFonts w:cs="Arial"/>
          <w:szCs w:val="18"/>
          <w:lang w:val="en-GB"/>
        </w:rPr>
        <w:t xml:space="preserve">Bsal only infects the skin, where it remains limited to the epidermis. </w:t>
      </w:r>
    </w:p>
    <w:p w14:paraId="7DFDA9E2" w14:textId="77777777" w:rsidR="00C7266C" w:rsidRPr="00D403F5" w:rsidRDefault="00C7266C" w:rsidP="00D403F5">
      <w:pPr>
        <w:pStyle w:val="111"/>
        <w:spacing w:after="0"/>
        <w:rPr>
          <w:sz w:val="18"/>
          <w:szCs w:val="18"/>
        </w:rPr>
      </w:pPr>
      <w:r w:rsidRPr="00D403F5">
        <w:rPr>
          <w:sz w:val="18"/>
          <w:szCs w:val="18"/>
        </w:rPr>
        <w:t>2.2.6.</w:t>
      </w:r>
      <w:r w:rsidRPr="00D403F5">
        <w:rPr>
          <w:sz w:val="18"/>
          <w:szCs w:val="18"/>
        </w:rPr>
        <w:tab/>
      </w:r>
      <w:r w:rsidRPr="00D403F5">
        <w:rPr>
          <w:sz w:val="18"/>
          <w:szCs w:val="18"/>
          <w:u w:val="double"/>
        </w:rPr>
        <w:t>Aquatic animal reservoirs of</w:t>
      </w:r>
      <w:r w:rsidRPr="00D403F5">
        <w:rPr>
          <w:sz w:val="18"/>
          <w:szCs w:val="18"/>
        </w:rPr>
        <w:t xml:space="preserve"> </w:t>
      </w:r>
      <w:r w:rsidRPr="00D403F5">
        <w:rPr>
          <w:strike/>
          <w:sz w:val="18"/>
          <w:szCs w:val="18"/>
        </w:rPr>
        <w:t xml:space="preserve">Persistent </w:t>
      </w:r>
      <w:r w:rsidRPr="00D403F5">
        <w:rPr>
          <w:sz w:val="18"/>
          <w:szCs w:val="18"/>
        </w:rPr>
        <w:t>infection</w:t>
      </w:r>
    </w:p>
    <w:p w14:paraId="076B3F09"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A large number of salamanders, mainly belonging to the families Salamandridae and Hynobiidae, may survive episodes of infection (for example Alpine newts) or be considered tolerant, resulting in persistent subclinical infections. Although persistent infection has not been demonstrated for all species, in the native Bsal range in east Asia, Bsal infection and disease dynamics appear to be consistent for all species examined and appear capable of long-term persistent infections (Laking </w:t>
      </w:r>
      <w:r w:rsidRPr="00D403F5">
        <w:rPr>
          <w:rFonts w:cs="Arial"/>
          <w:i/>
          <w:szCs w:val="18"/>
          <w:lang w:val="en-GB" w:eastAsia="fr-FR"/>
        </w:rPr>
        <w:t>et al</w:t>
      </w:r>
      <w:r w:rsidRPr="00D403F5">
        <w:rPr>
          <w:rFonts w:cs="Arial"/>
          <w:szCs w:val="18"/>
          <w:lang w:val="en-GB" w:eastAsia="fr-FR"/>
        </w:rPr>
        <w:t xml:space="preserve">., 2017; Martel </w:t>
      </w:r>
      <w:r w:rsidRPr="00D403F5">
        <w:rPr>
          <w:rFonts w:cs="Arial"/>
          <w:i/>
          <w:szCs w:val="18"/>
          <w:lang w:val="en-GB" w:eastAsia="fr-FR"/>
        </w:rPr>
        <w:t>et al</w:t>
      </w:r>
      <w:r w:rsidRPr="00D403F5">
        <w:rPr>
          <w:rFonts w:cs="Arial"/>
          <w:szCs w:val="18"/>
          <w:lang w:val="en-GB" w:eastAsia="fr-FR"/>
        </w:rPr>
        <w:t xml:space="preserve">., 2014; </w:t>
      </w:r>
      <w:r w:rsidRPr="00D403F5">
        <w:rPr>
          <w:rFonts w:cs="Arial"/>
          <w:szCs w:val="18"/>
          <w:lang w:val="en-GB" w:eastAsia="en-IE"/>
        </w:rPr>
        <w:t xml:space="preserve">Zhiyong </w:t>
      </w:r>
      <w:r w:rsidRPr="00D403F5">
        <w:rPr>
          <w:rFonts w:cs="Arial"/>
          <w:i/>
          <w:szCs w:val="18"/>
          <w:lang w:val="en-GB" w:eastAsia="en-IE"/>
        </w:rPr>
        <w:t>et al</w:t>
      </w:r>
      <w:r w:rsidRPr="00D403F5">
        <w:rPr>
          <w:rFonts w:cs="Arial"/>
          <w:szCs w:val="18"/>
          <w:lang w:val="en-GB" w:eastAsia="en-IE"/>
        </w:rPr>
        <w:t>., 2018</w:t>
      </w:r>
      <w:r w:rsidRPr="00D403F5">
        <w:rPr>
          <w:rFonts w:cs="Arial"/>
          <w:szCs w:val="18"/>
          <w:lang w:val="en-GB" w:eastAsia="fr-FR"/>
        </w:rPr>
        <w:t xml:space="preserve">). </w:t>
      </w:r>
    </w:p>
    <w:p w14:paraId="385E0061"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In its invasive range, persistent infections (e.g. in Alpine newts) have been implicated in the extirpation of a highly susceptible species (fire salamanders). It is currently not clear which of the species, mentioned in 2.2.1 may sustain persistent infections in the invasive Bsal range. At least some species (the best-known example is the fire salamander) are highly susceptible and invariably die </w:t>
      </w:r>
      <w:r w:rsidRPr="00D403F5">
        <w:rPr>
          <w:rFonts w:cs="Arial"/>
          <w:szCs w:val="18"/>
          <w:u w:val="double"/>
          <w:lang w:val="en-GB" w:eastAsia="fr-FR"/>
        </w:rPr>
        <w:t>shortly</w:t>
      </w:r>
      <w:r w:rsidRPr="00D403F5">
        <w:rPr>
          <w:rFonts w:cs="Arial"/>
          <w:szCs w:val="18"/>
          <w:lang w:val="en-GB" w:eastAsia="fr-FR"/>
        </w:rPr>
        <w:t xml:space="preserve"> </w:t>
      </w:r>
      <w:r w:rsidRPr="00D403F5">
        <w:rPr>
          <w:rFonts w:cs="Arial"/>
          <w:strike/>
          <w:szCs w:val="18"/>
          <w:lang w:val="en-GB" w:eastAsia="fr-FR"/>
        </w:rPr>
        <w:t xml:space="preserve">briefly </w:t>
      </w:r>
      <w:r w:rsidRPr="00D403F5">
        <w:rPr>
          <w:rFonts w:cs="Arial"/>
          <w:szCs w:val="18"/>
          <w:lang w:val="en-GB" w:eastAsia="fr-FR"/>
        </w:rPr>
        <w:t xml:space="preserve">after exposure (Martel </w:t>
      </w:r>
      <w:r w:rsidRPr="00D403F5">
        <w:rPr>
          <w:rFonts w:cs="Arial"/>
          <w:i/>
          <w:szCs w:val="18"/>
          <w:lang w:val="en-GB" w:eastAsia="fr-FR"/>
        </w:rPr>
        <w:t>et al</w:t>
      </w:r>
      <w:r w:rsidRPr="00D403F5">
        <w:rPr>
          <w:rFonts w:cs="Arial"/>
          <w:szCs w:val="18"/>
          <w:lang w:val="en-GB" w:eastAsia="fr-FR"/>
        </w:rPr>
        <w:t xml:space="preserve">., 2014; Stegen </w:t>
      </w:r>
      <w:r w:rsidRPr="00D403F5">
        <w:rPr>
          <w:rFonts w:cs="Arial"/>
          <w:i/>
          <w:szCs w:val="18"/>
          <w:lang w:val="en-GB" w:eastAsia="fr-FR"/>
        </w:rPr>
        <w:t>et al</w:t>
      </w:r>
      <w:r w:rsidRPr="00D403F5">
        <w:rPr>
          <w:rFonts w:cs="Arial"/>
          <w:szCs w:val="18"/>
          <w:lang w:val="en-GB" w:eastAsia="fr-FR"/>
        </w:rPr>
        <w:t xml:space="preserve">., 2017), </w:t>
      </w:r>
      <w:r w:rsidRPr="00D403F5">
        <w:rPr>
          <w:rFonts w:cs="Arial"/>
          <w:szCs w:val="18"/>
          <w:u w:val="double"/>
          <w:lang w:val="en-GB" w:eastAsia="fr-FR"/>
        </w:rPr>
        <w:t>making</w:t>
      </w:r>
      <w:r w:rsidRPr="00D403F5">
        <w:rPr>
          <w:rFonts w:cs="Arial"/>
          <w:szCs w:val="18"/>
          <w:lang w:val="en-GB" w:eastAsia="fr-FR"/>
        </w:rPr>
        <w:t xml:space="preserve"> </w:t>
      </w:r>
      <w:r w:rsidRPr="00D403F5">
        <w:rPr>
          <w:rFonts w:cs="Arial"/>
          <w:strike/>
          <w:szCs w:val="18"/>
          <w:lang w:val="en-GB" w:eastAsia="fr-FR"/>
        </w:rPr>
        <w:t xml:space="preserve">which would make </w:t>
      </w:r>
      <w:r w:rsidRPr="00D403F5">
        <w:rPr>
          <w:rFonts w:cs="Arial"/>
          <w:szCs w:val="18"/>
          <w:lang w:val="en-GB" w:eastAsia="fr-FR"/>
        </w:rPr>
        <w:t xml:space="preserve">them unlikely to sustain persistent infections. </w:t>
      </w:r>
    </w:p>
    <w:p w14:paraId="0941675A" w14:textId="77777777" w:rsidR="00C7266C" w:rsidRPr="00D403F5" w:rsidRDefault="00C7266C" w:rsidP="00D403F5">
      <w:pPr>
        <w:pStyle w:val="Para3"/>
        <w:spacing w:after="0"/>
        <w:rPr>
          <w:szCs w:val="18"/>
          <w:lang w:val="en-GB"/>
        </w:rPr>
      </w:pPr>
      <w:r w:rsidRPr="00D403F5">
        <w:rPr>
          <w:szCs w:val="18"/>
          <w:lang w:val="en-GB"/>
        </w:rPr>
        <w:t>It is not known whether other, biotic reservoirs of Bsal exist.</w:t>
      </w:r>
    </w:p>
    <w:p w14:paraId="2D26A091" w14:textId="77777777" w:rsidR="00C7266C" w:rsidRPr="00D403F5" w:rsidRDefault="00C7266C" w:rsidP="00D403F5">
      <w:pPr>
        <w:spacing w:after="0"/>
        <w:rPr>
          <w:rFonts w:ascii="Ottawa" w:eastAsia="Times New Roman" w:hAnsi="Ottawa" w:cs="Times New Roman"/>
          <w:b/>
          <w:bCs/>
          <w:sz w:val="18"/>
          <w:szCs w:val="18"/>
          <w:lang w:eastAsia="fr-FR"/>
        </w:rPr>
      </w:pPr>
      <w:r w:rsidRPr="00D403F5">
        <w:rPr>
          <w:sz w:val="18"/>
          <w:szCs w:val="18"/>
        </w:rPr>
        <w:br w:type="page"/>
      </w:r>
    </w:p>
    <w:p w14:paraId="3DEAAF58" w14:textId="77777777" w:rsidR="00C7266C" w:rsidRPr="00D403F5" w:rsidRDefault="00C7266C" w:rsidP="00EA6B7E">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6F55A68C" w14:textId="77777777" w:rsidR="00C7266C" w:rsidRPr="00D403F5" w:rsidRDefault="00C7266C" w:rsidP="00D403F5">
      <w:pPr>
        <w:pStyle w:val="111"/>
        <w:spacing w:after="0"/>
        <w:rPr>
          <w:sz w:val="18"/>
          <w:szCs w:val="18"/>
        </w:rPr>
      </w:pPr>
      <w:r w:rsidRPr="00D403F5">
        <w:rPr>
          <w:sz w:val="18"/>
          <w:szCs w:val="18"/>
        </w:rPr>
        <w:t>2.2.7.</w:t>
      </w:r>
      <w:r w:rsidRPr="00D403F5">
        <w:rPr>
          <w:sz w:val="18"/>
          <w:szCs w:val="18"/>
        </w:rPr>
        <w:tab/>
        <w:t>Vectors</w:t>
      </w:r>
    </w:p>
    <w:p w14:paraId="43E3320F" w14:textId="77777777" w:rsidR="00C7266C" w:rsidRPr="00D403F5" w:rsidRDefault="00C7266C" w:rsidP="00D403F5">
      <w:pPr>
        <w:pStyle w:val="Para3"/>
        <w:spacing w:after="0"/>
        <w:rPr>
          <w:szCs w:val="18"/>
          <w:lang w:val="en-GB"/>
        </w:rPr>
      </w:pPr>
      <w:r w:rsidRPr="00D403F5">
        <w:rPr>
          <w:rFonts w:cs="Arial"/>
          <w:szCs w:val="18"/>
          <w:lang w:val="en-GB"/>
        </w:rPr>
        <w:t xml:space="preserve">There is evidence that </w:t>
      </w:r>
      <w:r w:rsidRPr="00D403F5">
        <w:rPr>
          <w:rFonts w:cs="Arial"/>
          <w:szCs w:val="18"/>
          <w:u w:val="double"/>
          <w:lang w:val="en-GB"/>
        </w:rPr>
        <w:t>birds may carry</w:t>
      </w:r>
      <w:r w:rsidRPr="00D403F5">
        <w:rPr>
          <w:rFonts w:cs="Arial"/>
          <w:szCs w:val="18"/>
          <w:lang w:val="en-GB"/>
        </w:rPr>
        <w:t xml:space="preserve"> zoospores attached to </w:t>
      </w:r>
      <w:r w:rsidRPr="00D403F5">
        <w:rPr>
          <w:rFonts w:cs="Arial"/>
          <w:szCs w:val="18"/>
          <w:u w:val="double"/>
          <w:lang w:val="en-GB"/>
        </w:rPr>
        <w:t>their</w:t>
      </w:r>
      <w:r w:rsidRPr="00D403F5">
        <w:rPr>
          <w:rFonts w:cs="Arial"/>
          <w:szCs w:val="18"/>
          <w:lang w:val="en-GB"/>
        </w:rPr>
        <w:t xml:space="preserve"> </w:t>
      </w:r>
      <w:r w:rsidRPr="00D403F5">
        <w:rPr>
          <w:rFonts w:cs="Arial"/>
          <w:strike/>
          <w:szCs w:val="18"/>
          <w:lang w:val="en-GB"/>
        </w:rPr>
        <w:t xml:space="preserve">the </w:t>
      </w:r>
      <w:r w:rsidRPr="00D403F5">
        <w:rPr>
          <w:rFonts w:cs="Arial"/>
          <w:szCs w:val="18"/>
          <w:lang w:val="en-GB"/>
        </w:rPr>
        <w:t xml:space="preserve">feet </w:t>
      </w:r>
      <w:r w:rsidRPr="00D403F5">
        <w:rPr>
          <w:rFonts w:cs="Arial"/>
          <w:strike/>
          <w:szCs w:val="18"/>
          <w:lang w:val="en-GB"/>
        </w:rPr>
        <w:t xml:space="preserve">of birds </w:t>
      </w:r>
      <w:r w:rsidRPr="00D403F5">
        <w:rPr>
          <w:rFonts w:cs="Arial"/>
          <w:szCs w:val="18"/>
          <w:lang w:val="en-GB"/>
        </w:rPr>
        <w:t xml:space="preserve">(Stegen </w:t>
      </w:r>
      <w:r w:rsidRPr="00D403F5">
        <w:rPr>
          <w:rFonts w:cs="Arial"/>
          <w:i/>
          <w:szCs w:val="18"/>
          <w:lang w:val="en-GB"/>
        </w:rPr>
        <w:t>et al</w:t>
      </w:r>
      <w:r w:rsidRPr="00D403F5">
        <w:rPr>
          <w:rFonts w:cs="Arial"/>
          <w:szCs w:val="18"/>
          <w:lang w:val="en-GB"/>
        </w:rPr>
        <w:t>., 2017)</w:t>
      </w:r>
      <w:r w:rsidRPr="00D403F5">
        <w:rPr>
          <w:rFonts w:cs="Arial"/>
          <w:strike/>
          <w:szCs w:val="18"/>
          <w:lang w:val="en-GB"/>
        </w:rPr>
        <w:t>, which may</w:t>
      </w:r>
      <w:r w:rsidRPr="00D403F5">
        <w:rPr>
          <w:rFonts w:cs="Arial"/>
          <w:szCs w:val="18"/>
          <w:lang w:val="en-GB"/>
        </w:rPr>
        <w:t xml:space="preserve"> </w:t>
      </w:r>
      <w:r w:rsidRPr="00D403F5">
        <w:rPr>
          <w:rFonts w:cs="Arial"/>
          <w:szCs w:val="18"/>
          <w:u w:val="double"/>
          <w:lang w:val="en-GB"/>
        </w:rPr>
        <w:t>and</w:t>
      </w:r>
      <w:r w:rsidRPr="00D403F5">
        <w:rPr>
          <w:rFonts w:cs="Arial"/>
          <w:szCs w:val="18"/>
          <w:lang w:val="en-GB"/>
        </w:rPr>
        <w:t xml:space="preserve"> thus </w:t>
      </w:r>
      <w:r w:rsidRPr="00D403F5">
        <w:rPr>
          <w:rFonts w:cs="Arial"/>
          <w:szCs w:val="18"/>
          <w:u w:val="double"/>
          <w:lang w:val="en-GB"/>
        </w:rPr>
        <w:t>may</w:t>
      </w:r>
      <w:r w:rsidRPr="00D403F5">
        <w:rPr>
          <w:rFonts w:cs="Arial"/>
          <w:szCs w:val="18"/>
          <w:lang w:val="en-GB"/>
        </w:rPr>
        <w:t xml:space="preserve"> act as vectors for Bsal. </w:t>
      </w:r>
    </w:p>
    <w:p w14:paraId="7E04442F" w14:textId="77777777" w:rsidR="00C7266C" w:rsidRPr="00D403F5" w:rsidRDefault="00C7266C" w:rsidP="00D403F5">
      <w:pPr>
        <w:pStyle w:val="11"/>
        <w:spacing w:after="0"/>
        <w:ind w:left="426" w:hanging="426"/>
        <w:rPr>
          <w:sz w:val="18"/>
          <w:szCs w:val="18"/>
          <w:lang w:val="en-GB"/>
        </w:rPr>
      </w:pPr>
      <w:r w:rsidRPr="00D403F5">
        <w:rPr>
          <w:sz w:val="18"/>
          <w:szCs w:val="18"/>
          <w:lang w:val="en-GB"/>
        </w:rPr>
        <w:t>2.3.</w:t>
      </w:r>
      <w:r w:rsidRPr="00D403F5">
        <w:rPr>
          <w:sz w:val="18"/>
          <w:szCs w:val="18"/>
          <w:lang w:val="en-GB"/>
        </w:rPr>
        <w:tab/>
        <w:t>Disease pattern</w:t>
      </w:r>
    </w:p>
    <w:p w14:paraId="04B8BE02" w14:textId="77777777" w:rsidR="00C7266C" w:rsidRPr="00D403F5" w:rsidRDefault="00C7266C" w:rsidP="00D403F5">
      <w:pPr>
        <w:pStyle w:val="111"/>
        <w:spacing w:after="0"/>
        <w:rPr>
          <w:sz w:val="18"/>
          <w:szCs w:val="18"/>
        </w:rPr>
      </w:pPr>
      <w:r w:rsidRPr="00D403F5">
        <w:rPr>
          <w:sz w:val="18"/>
          <w:szCs w:val="18"/>
        </w:rPr>
        <w:t>2.3.1.</w:t>
      </w:r>
      <w:r w:rsidRPr="00D403F5">
        <w:rPr>
          <w:sz w:val="18"/>
          <w:szCs w:val="18"/>
        </w:rPr>
        <w:tab/>
        <w:t xml:space="preserve">Mortality, morbidity and prevalence </w:t>
      </w:r>
    </w:p>
    <w:p w14:paraId="3E5DFAAA"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In its native range in east Asia, Bsal has been demonstrated to be present in the wild at a prevalence of between 2 and 4% on average (data from China [People’s Rep. of], Japan, Thailand, and Vietnam; Laking </w:t>
      </w:r>
      <w:r w:rsidRPr="00D403F5">
        <w:rPr>
          <w:rFonts w:cs="Arial"/>
          <w:i/>
          <w:szCs w:val="18"/>
          <w:lang w:val="en-GB" w:eastAsia="fr-FR"/>
        </w:rPr>
        <w:t>et al</w:t>
      </w:r>
      <w:r w:rsidRPr="00D403F5">
        <w:rPr>
          <w:rFonts w:cs="Arial"/>
          <w:szCs w:val="18"/>
          <w:lang w:val="en-GB" w:eastAsia="fr-FR"/>
        </w:rPr>
        <w:t xml:space="preserve">., 2017; Martel </w:t>
      </w:r>
      <w:r w:rsidRPr="00D403F5">
        <w:rPr>
          <w:rFonts w:cs="Arial"/>
          <w:i/>
          <w:szCs w:val="18"/>
          <w:lang w:val="en-GB" w:eastAsia="fr-FR"/>
        </w:rPr>
        <w:t>et al</w:t>
      </w:r>
      <w:r w:rsidRPr="00D403F5">
        <w:rPr>
          <w:rFonts w:cs="Arial"/>
          <w:szCs w:val="18"/>
          <w:lang w:val="en-GB" w:eastAsia="fr-FR"/>
        </w:rPr>
        <w:t xml:space="preserve">., 2014; Zhiyong </w:t>
      </w:r>
      <w:r w:rsidRPr="00D403F5">
        <w:rPr>
          <w:rFonts w:cs="Arial"/>
          <w:i/>
          <w:szCs w:val="18"/>
          <w:lang w:val="en-GB" w:eastAsia="fr-FR"/>
        </w:rPr>
        <w:t>et al</w:t>
      </w:r>
      <w:r w:rsidRPr="00D403F5">
        <w:rPr>
          <w:rFonts w:cs="Arial"/>
          <w:szCs w:val="18"/>
          <w:lang w:val="en-GB" w:eastAsia="fr-FR"/>
        </w:rPr>
        <w:t>., 2018), but in the absence of any observed morbidity or mortality under natural conditions. In some populations (</w:t>
      </w:r>
      <w:r w:rsidRPr="00D403F5">
        <w:rPr>
          <w:rFonts w:cs="Arial"/>
          <w:i/>
          <w:szCs w:val="18"/>
          <w:lang w:val="en-GB" w:eastAsia="fr-FR"/>
        </w:rPr>
        <w:t>Paramesotriton hongkongensis</w:t>
      </w:r>
      <w:r w:rsidRPr="00D403F5">
        <w:rPr>
          <w:rFonts w:cs="Arial"/>
          <w:szCs w:val="18"/>
          <w:lang w:val="en-GB" w:eastAsia="fr-FR"/>
        </w:rPr>
        <w:t xml:space="preserve">), prevalence may reach 50% (Zhiyong </w:t>
      </w:r>
      <w:r w:rsidRPr="00D403F5">
        <w:rPr>
          <w:rFonts w:cs="Arial"/>
          <w:i/>
          <w:szCs w:val="18"/>
          <w:lang w:val="en-GB" w:eastAsia="fr-FR"/>
        </w:rPr>
        <w:t>et al</w:t>
      </w:r>
      <w:r w:rsidRPr="00D403F5">
        <w:rPr>
          <w:rFonts w:cs="Arial"/>
          <w:szCs w:val="18"/>
          <w:lang w:val="en-GB" w:eastAsia="fr-FR"/>
        </w:rPr>
        <w:t xml:space="preserve">., 2018). In its invasive range in Europe, Bsal was present in a population of fire salamanders at a prevalence of between 25 and 63% (Stegen </w:t>
      </w:r>
      <w:r w:rsidRPr="00D403F5">
        <w:rPr>
          <w:rFonts w:cs="Arial"/>
          <w:i/>
          <w:szCs w:val="18"/>
          <w:lang w:val="en-GB" w:eastAsia="fr-FR"/>
        </w:rPr>
        <w:t>et al</w:t>
      </w:r>
      <w:r w:rsidRPr="00D403F5">
        <w:rPr>
          <w:rFonts w:cs="Arial"/>
          <w:szCs w:val="18"/>
          <w:lang w:val="en-GB" w:eastAsia="fr-FR"/>
        </w:rPr>
        <w:t xml:space="preserve">., 2017). In captive collections of urodeles in Europe, Bsal occurrence and associated mortality were detected in Germany (1), the United Kingdom (4), Belgium (1), the Netherlands (2) and Spain (1) (number in brackets indicates number of collections). When left untreated, morbidity and mortality can reach 100%, at least in members of the genus </w:t>
      </w:r>
      <w:r w:rsidRPr="00D403F5">
        <w:rPr>
          <w:rFonts w:cs="Arial"/>
          <w:i/>
          <w:szCs w:val="18"/>
          <w:lang w:val="en-GB" w:eastAsia="fr-FR"/>
        </w:rPr>
        <w:t>Salamandra</w:t>
      </w:r>
      <w:r w:rsidRPr="00D403F5">
        <w:rPr>
          <w:rFonts w:cs="Arial"/>
          <w:szCs w:val="18"/>
          <w:lang w:val="en-GB" w:eastAsia="fr-FR"/>
        </w:rPr>
        <w:t>.</w:t>
      </w:r>
    </w:p>
    <w:p w14:paraId="36661E7B"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Morbidity, mortality and minimum infectious dose vary considerably between species (Martel </w:t>
      </w:r>
      <w:r w:rsidRPr="00D403F5">
        <w:rPr>
          <w:rFonts w:cs="Arial"/>
          <w:i/>
          <w:szCs w:val="18"/>
          <w:lang w:val="en-GB" w:eastAsia="fr-FR"/>
        </w:rPr>
        <w:t>et al</w:t>
      </w:r>
      <w:r w:rsidRPr="00D403F5">
        <w:rPr>
          <w:rFonts w:cs="Arial"/>
          <w:szCs w:val="18"/>
          <w:lang w:val="en-GB" w:eastAsia="fr-FR"/>
        </w:rPr>
        <w:t xml:space="preserve">., 2014; Stegen </w:t>
      </w:r>
      <w:r w:rsidRPr="00D403F5">
        <w:rPr>
          <w:rFonts w:cs="Arial"/>
          <w:i/>
          <w:szCs w:val="18"/>
          <w:lang w:val="en-GB" w:eastAsia="fr-FR"/>
        </w:rPr>
        <w:t>et al</w:t>
      </w:r>
      <w:r w:rsidRPr="00D403F5">
        <w:rPr>
          <w:rFonts w:cs="Arial"/>
          <w:szCs w:val="18"/>
          <w:lang w:val="en-GB" w:eastAsia="fr-FR"/>
        </w:rPr>
        <w:t xml:space="preserve">., 2017). Based on natural outbreaks in captivity and in the wild and </w:t>
      </w:r>
      <w:r w:rsidRPr="00D403F5">
        <w:rPr>
          <w:rFonts w:cs="Arial"/>
          <w:szCs w:val="18"/>
          <w:u w:val="double"/>
          <w:lang w:val="en-GB" w:eastAsia="fr-FR"/>
        </w:rPr>
        <w:t>in</w:t>
      </w:r>
      <w:r w:rsidRPr="00D403F5">
        <w:rPr>
          <w:rFonts w:cs="Arial"/>
          <w:szCs w:val="18"/>
          <w:lang w:val="en-GB" w:eastAsia="fr-FR"/>
        </w:rPr>
        <w:t xml:space="preserve"> </w:t>
      </w:r>
      <w:r w:rsidRPr="00D403F5">
        <w:rPr>
          <w:rFonts w:cs="Arial"/>
          <w:strike/>
          <w:szCs w:val="18"/>
          <w:lang w:val="en-GB" w:eastAsia="fr-FR"/>
        </w:rPr>
        <w:t xml:space="preserve">on </w:t>
      </w:r>
      <w:r w:rsidRPr="00D403F5">
        <w:rPr>
          <w:rFonts w:cs="Arial"/>
          <w:szCs w:val="18"/>
          <w:lang w:val="en-GB" w:eastAsia="fr-FR"/>
        </w:rPr>
        <w:t xml:space="preserve">infection trials, </w:t>
      </w:r>
      <w:r w:rsidRPr="00D403F5">
        <w:rPr>
          <w:rFonts w:cs="Arial"/>
          <w:szCs w:val="18"/>
          <w:u w:val="double"/>
          <w:lang w:val="en-GB" w:eastAsia="fr-FR"/>
        </w:rPr>
        <w:t>the</w:t>
      </w:r>
      <w:r w:rsidRPr="00D403F5">
        <w:rPr>
          <w:rFonts w:cs="Arial"/>
          <w:szCs w:val="18"/>
          <w:lang w:val="en-GB" w:eastAsia="fr-FR"/>
        </w:rPr>
        <w:t xml:space="preserve"> case morbidity and case mortality rate in fire salamanders can reach 100%, independent of the initial level of Bsal exposure. This has resulted in </w:t>
      </w:r>
      <w:r w:rsidRPr="00D403F5">
        <w:rPr>
          <w:rFonts w:cs="Arial"/>
          <w:szCs w:val="18"/>
          <w:u w:val="double"/>
          <w:lang w:val="en-GB" w:eastAsia="fr-FR"/>
        </w:rPr>
        <w:t>the</w:t>
      </w:r>
      <w:r w:rsidRPr="00D403F5">
        <w:rPr>
          <w:rFonts w:cs="Arial"/>
          <w:szCs w:val="18"/>
          <w:lang w:val="en-GB" w:eastAsia="fr-FR"/>
        </w:rPr>
        <w:t xml:space="preserve"> loss of over 99.9% of the fire salamander population at the Bsal index outbreak site in the Netherlands (Spitzen-van der Sluijs </w:t>
      </w:r>
      <w:r w:rsidRPr="00D403F5">
        <w:rPr>
          <w:rFonts w:cs="Arial"/>
          <w:i/>
          <w:szCs w:val="18"/>
          <w:lang w:val="en-GB" w:eastAsia="fr-FR"/>
        </w:rPr>
        <w:t>et al</w:t>
      </w:r>
      <w:r w:rsidRPr="00D403F5">
        <w:rPr>
          <w:rFonts w:cs="Arial"/>
          <w:szCs w:val="18"/>
          <w:lang w:val="en-GB" w:eastAsia="fr-FR"/>
        </w:rPr>
        <w:t xml:space="preserve">., 2016). All tested western Palearctic urodeles, except for </w:t>
      </w:r>
      <w:r w:rsidRPr="00D403F5">
        <w:rPr>
          <w:rFonts w:cs="Arial"/>
          <w:i/>
          <w:szCs w:val="18"/>
          <w:lang w:val="en-GB" w:eastAsia="fr-FR"/>
        </w:rPr>
        <w:t>Lissotriton helveticus</w:t>
      </w:r>
      <w:r w:rsidRPr="00D403F5">
        <w:rPr>
          <w:rFonts w:cs="Arial"/>
          <w:szCs w:val="18"/>
          <w:lang w:val="en-GB" w:eastAsia="fr-FR"/>
        </w:rPr>
        <w:t xml:space="preserve"> and </w:t>
      </w:r>
      <w:r w:rsidRPr="00D403F5">
        <w:rPr>
          <w:rFonts w:cs="Arial"/>
          <w:i/>
          <w:szCs w:val="18"/>
          <w:lang w:val="en-GB" w:eastAsia="fr-FR"/>
        </w:rPr>
        <w:t>Salamandrella keyserlingii</w:t>
      </w:r>
      <w:r w:rsidRPr="00D403F5">
        <w:rPr>
          <w:rFonts w:cs="Arial"/>
          <w:szCs w:val="18"/>
          <w:lang w:val="en-GB" w:eastAsia="fr-FR"/>
        </w:rPr>
        <w:t xml:space="preserve">, showed 100% morbidity and mortality when exposed to a single, high dose of Bsal (Martel </w:t>
      </w:r>
      <w:r w:rsidRPr="00D403F5">
        <w:rPr>
          <w:rFonts w:cs="Arial"/>
          <w:i/>
          <w:szCs w:val="18"/>
          <w:lang w:val="en-GB" w:eastAsia="fr-FR"/>
        </w:rPr>
        <w:t>et al</w:t>
      </w:r>
      <w:r w:rsidRPr="00D403F5">
        <w:rPr>
          <w:rFonts w:cs="Arial"/>
          <w:szCs w:val="18"/>
          <w:lang w:val="en-GB" w:eastAsia="fr-FR"/>
        </w:rPr>
        <w:t xml:space="preserve">., 2014). However, at least for Alpine newts, </w:t>
      </w:r>
      <w:r w:rsidRPr="00D403F5">
        <w:rPr>
          <w:rFonts w:cs="Arial"/>
          <w:szCs w:val="18"/>
          <w:u w:val="double"/>
          <w:lang w:val="en-GB" w:eastAsia="fr-FR"/>
        </w:rPr>
        <w:t>the</w:t>
      </w:r>
      <w:r w:rsidRPr="00D403F5">
        <w:rPr>
          <w:rFonts w:cs="Arial"/>
          <w:szCs w:val="18"/>
          <w:lang w:val="en-GB" w:eastAsia="fr-FR"/>
        </w:rPr>
        <w:t xml:space="preserve"> case morbidity and case fatality rates depend on the Bsal dose </w:t>
      </w:r>
      <w:r w:rsidRPr="00D403F5">
        <w:rPr>
          <w:rFonts w:cs="Arial"/>
          <w:szCs w:val="18"/>
          <w:u w:val="double"/>
          <w:lang w:val="en-GB" w:eastAsia="fr-FR"/>
        </w:rPr>
        <w:t>that</w:t>
      </w:r>
      <w:r w:rsidRPr="00D403F5">
        <w:rPr>
          <w:rFonts w:cs="Arial"/>
          <w:szCs w:val="18"/>
          <w:lang w:val="en-GB" w:eastAsia="fr-FR"/>
        </w:rPr>
        <w:t xml:space="preserve"> the animal is exposed to: a high dose resulting in the highest mortality, while a low dose does not necessarily result in morbidity or mortality. </w:t>
      </w:r>
    </w:p>
    <w:p w14:paraId="06AC1C8B" w14:textId="77777777" w:rsidR="00C7266C" w:rsidRPr="00D403F5" w:rsidRDefault="00C7266C" w:rsidP="00D403F5">
      <w:pPr>
        <w:pStyle w:val="Para3"/>
        <w:spacing w:after="0"/>
        <w:rPr>
          <w:rFonts w:cs="Arial"/>
          <w:szCs w:val="18"/>
          <w:lang w:val="en-GB" w:eastAsia="fr-FR"/>
        </w:rPr>
      </w:pPr>
      <w:r w:rsidRPr="00D403F5">
        <w:rPr>
          <w:rFonts w:cs="Arial"/>
          <w:strike/>
          <w:szCs w:val="18"/>
          <w:lang w:val="en-GB" w:eastAsia="fr-FR"/>
        </w:rPr>
        <w:t xml:space="preserve">It is important to mention that </w:t>
      </w:r>
      <w:r w:rsidRPr="00D403F5">
        <w:rPr>
          <w:rFonts w:cs="Arial"/>
          <w:szCs w:val="18"/>
          <w:lang w:val="en-GB" w:eastAsia="fr-FR"/>
        </w:rPr>
        <w:t xml:space="preserve">Morbidity and mortality </w:t>
      </w:r>
      <w:r w:rsidRPr="00D403F5">
        <w:rPr>
          <w:rFonts w:cs="Arial"/>
          <w:szCs w:val="18"/>
          <w:u w:val="double"/>
          <w:lang w:val="en-GB" w:eastAsia="fr-FR"/>
        </w:rPr>
        <w:t>also</w:t>
      </w:r>
      <w:r w:rsidRPr="00D403F5">
        <w:rPr>
          <w:rFonts w:cs="Arial"/>
          <w:szCs w:val="18"/>
          <w:lang w:val="en-GB" w:eastAsia="fr-FR"/>
        </w:rPr>
        <w:t xml:space="preserve"> depend on environmental temperature. For the Bsal type strain, temperatures above 20°C </w:t>
      </w:r>
      <w:r w:rsidRPr="00D403F5">
        <w:rPr>
          <w:rFonts w:cs="Arial"/>
          <w:szCs w:val="18"/>
          <w:u w:val="double"/>
          <w:lang w:val="en-GB" w:eastAsia="fr-FR"/>
        </w:rPr>
        <w:t>reduces the level of</w:t>
      </w:r>
      <w:r w:rsidRPr="00D403F5">
        <w:rPr>
          <w:rFonts w:cs="Arial"/>
          <w:szCs w:val="18"/>
          <w:lang w:val="en-GB" w:eastAsia="fr-FR"/>
        </w:rPr>
        <w:t xml:space="preserve"> </w:t>
      </w:r>
      <w:r w:rsidRPr="00D403F5">
        <w:rPr>
          <w:rFonts w:cs="Arial"/>
          <w:strike/>
          <w:szCs w:val="18"/>
          <w:lang w:val="en-GB" w:eastAsia="fr-FR"/>
        </w:rPr>
        <w:t xml:space="preserve">tempers </w:t>
      </w:r>
      <w:r w:rsidRPr="00D403F5">
        <w:rPr>
          <w:rFonts w:cs="Arial"/>
          <w:szCs w:val="18"/>
          <w:lang w:val="en-GB" w:eastAsia="fr-FR"/>
        </w:rPr>
        <w:t xml:space="preserve">infection and temperatures above 25°C eventually result in killing of Bsal and elimination of infection (Blooi </w:t>
      </w:r>
      <w:r w:rsidRPr="00D403F5">
        <w:rPr>
          <w:rFonts w:cs="Arial"/>
          <w:i/>
          <w:szCs w:val="18"/>
          <w:lang w:val="en-GB" w:eastAsia="fr-FR"/>
        </w:rPr>
        <w:t>et al</w:t>
      </w:r>
      <w:r w:rsidRPr="00D403F5">
        <w:rPr>
          <w:rFonts w:cs="Arial"/>
          <w:szCs w:val="18"/>
          <w:lang w:val="en-GB" w:eastAsia="fr-FR"/>
        </w:rPr>
        <w:t xml:space="preserve">., </w:t>
      </w:r>
      <w:r w:rsidRPr="00D403F5">
        <w:rPr>
          <w:rFonts w:cs="Arial"/>
          <w:szCs w:val="18"/>
          <w:u w:val="double"/>
          <w:lang w:val="en-GB" w:eastAsia="fr-FR"/>
        </w:rPr>
        <w:t>2015b</w:t>
      </w:r>
      <w:r w:rsidRPr="00D403F5">
        <w:rPr>
          <w:rFonts w:cs="Arial"/>
          <w:strike/>
          <w:szCs w:val="18"/>
          <w:lang w:val="en-GB" w:eastAsia="fr-FR"/>
        </w:rPr>
        <w:t xml:space="preserve"> 2015a</w:t>
      </w:r>
      <w:r w:rsidRPr="00D403F5">
        <w:rPr>
          <w:rFonts w:cs="Arial"/>
          <w:szCs w:val="18"/>
          <w:lang w:val="en-GB" w:eastAsia="fr-FR"/>
        </w:rPr>
        <w:t>). Exposure of infected animals to conditions that inhibit Bsal growth may thus result in non-clinical or sub-clinical infections in susceptible species.</w:t>
      </w:r>
    </w:p>
    <w:p w14:paraId="13CFBB65" w14:textId="77777777" w:rsidR="00C7266C" w:rsidRPr="00D403F5" w:rsidRDefault="00C7266C" w:rsidP="00D403F5">
      <w:pPr>
        <w:pStyle w:val="111"/>
        <w:spacing w:after="0"/>
        <w:rPr>
          <w:sz w:val="18"/>
          <w:szCs w:val="18"/>
        </w:rPr>
      </w:pPr>
      <w:r w:rsidRPr="00D403F5">
        <w:rPr>
          <w:sz w:val="18"/>
          <w:szCs w:val="18"/>
        </w:rPr>
        <w:t>2.3.2.</w:t>
      </w:r>
      <w:r w:rsidRPr="00D403F5">
        <w:rPr>
          <w:sz w:val="18"/>
          <w:szCs w:val="18"/>
        </w:rPr>
        <w:tab/>
        <w:t>Clinical signs, including behavioural changes</w:t>
      </w:r>
    </w:p>
    <w:p w14:paraId="2354BC54"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Chytridiomycosis caused by Bsal may be accompanied by a combination of the following signs: epidermal ulcerations (ranging from </w:t>
      </w:r>
      <w:r w:rsidRPr="00D403F5">
        <w:rPr>
          <w:rFonts w:cs="Arial"/>
          <w:szCs w:val="18"/>
          <w:u w:val="double"/>
          <w:lang w:val="en-GB" w:eastAsia="fr-FR"/>
        </w:rPr>
        <w:t>discrete</w:t>
      </w:r>
      <w:r w:rsidRPr="00D403F5">
        <w:rPr>
          <w:rFonts w:cs="Arial"/>
          <w:szCs w:val="18"/>
          <w:lang w:val="en-GB" w:eastAsia="fr-FR"/>
        </w:rPr>
        <w:t xml:space="preserve"> </w:t>
      </w:r>
      <w:r w:rsidRPr="00D403F5">
        <w:rPr>
          <w:rFonts w:cs="Arial"/>
          <w:strike/>
          <w:szCs w:val="18"/>
          <w:lang w:val="en-GB" w:eastAsia="fr-FR"/>
        </w:rPr>
        <w:t xml:space="preserve">tiny </w:t>
      </w:r>
      <w:r w:rsidRPr="00D403F5">
        <w:rPr>
          <w:rFonts w:cs="Arial"/>
          <w:szCs w:val="18"/>
          <w:lang w:val="en-GB" w:eastAsia="fr-FR"/>
        </w:rPr>
        <w:t xml:space="preserve">to extensive), excessive skin shedding, skin haemorrhages and/or fluid loss, anorexia, apathy, abnormal body postures </w:t>
      </w:r>
      <w:r w:rsidRPr="00D403F5">
        <w:rPr>
          <w:rFonts w:cs="Arial"/>
          <w:szCs w:val="18"/>
          <w:u w:val="double"/>
          <w:lang w:val="en-GB" w:eastAsia="fr-FR"/>
        </w:rPr>
        <w:t>and</w:t>
      </w:r>
      <w:r w:rsidRPr="00D403F5">
        <w:rPr>
          <w:rFonts w:cs="Arial"/>
          <w:szCs w:val="18"/>
          <w:lang w:val="en-GB" w:eastAsia="fr-FR"/>
        </w:rPr>
        <w:t xml:space="preserve"> convulsions </w:t>
      </w:r>
      <w:r w:rsidRPr="00D403F5">
        <w:rPr>
          <w:rFonts w:cs="Arial"/>
          <w:strike/>
          <w:szCs w:val="18"/>
          <w:lang w:val="en-GB" w:eastAsia="fr-FR"/>
        </w:rPr>
        <w:t>and death</w:t>
      </w:r>
      <w:r w:rsidRPr="00D403F5">
        <w:rPr>
          <w:rFonts w:cs="Arial"/>
          <w:szCs w:val="18"/>
          <w:lang w:val="en-GB" w:eastAsia="fr-FR"/>
        </w:rPr>
        <w:t xml:space="preserve"> (Martel </w:t>
      </w:r>
      <w:r w:rsidRPr="00D403F5">
        <w:rPr>
          <w:rFonts w:cs="Arial"/>
          <w:i/>
          <w:szCs w:val="18"/>
          <w:lang w:val="en-GB" w:eastAsia="fr-FR"/>
        </w:rPr>
        <w:t>et al.,</w:t>
      </w:r>
      <w:r w:rsidRPr="00D403F5">
        <w:rPr>
          <w:rFonts w:cs="Arial"/>
          <w:szCs w:val="18"/>
          <w:lang w:val="en-GB" w:eastAsia="fr-FR"/>
        </w:rPr>
        <w:t xml:space="preserve"> 2013).</w:t>
      </w:r>
    </w:p>
    <w:p w14:paraId="04C9A38F" w14:textId="77777777" w:rsidR="00C7266C" w:rsidRPr="00D403F5" w:rsidRDefault="00C7266C" w:rsidP="00D403F5">
      <w:pPr>
        <w:pStyle w:val="111"/>
        <w:spacing w:after="0"/>
        <w:rPr>
          <w:sz w:val="18"/>
          <w:szCs w:val="18"/>
        </w:rPr>
      </w:pPr>
      <w:r w:rsidRPr="00D403F5">
        <w:rPr>
          <w:sz w:val="18"/>
          <w:szCs w:val="18"/>
        </w:rPr>
        <w:t>2.3.3</w:t>
      </w:r>
      <w:r w:rsidRPr="00D403F5">
        <w:rPr>
          <w:sz w:val="18"/>
          <w:szCs w:val="18"/>
        </w:rPr>
        <w:tab/>
        <w:t>Gross pathology</w:t>
      </w:r>
    </w:p>
    <w:p w14:paraId="46944B8A"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Skin anomalies (haemorrhages, ulcerations, presence of sloughed skin) are the main pathological findings (Martel </w:t>
      </w:r>
      <w:r w:rsidRPr="00D403F5">
        <w:rPr>
          <w:rFonts w:cs="Arial"/>
          <w:i/>
          <w:szCs w:val="18"/>
          <w:lang w:val="en-GB" w:eastAsia="fr-FR"/>
        </w:rPr>
        <w:t>et al.,</w:t>
      </w:r>
      <w:r w:rsidRPr="00D403F5">
        <w:rPr>
          <w:rFonts w:cs="Arial"/>
          <w:szCs w:val="18"/>
          <w:lang w:val="en-GB" w:eastAsia="fr-FR"/>
        </w:rPr>
        <w:t xml:space="preserve"> 2013).</w:t>
      </w:r>
    </w:p>
    <w:p w14:paraId="4222B584" w14:textId="77777777" w:rsidR="00C7266C" w:rsidRPr="00D403F5" w:rsidRDefault="00C7266C" w:rsidP="00D403F5">
      <w:pPr>
        <w:pStyle w:val="111"/>
        <w:spacing w:after="0"/>
        <w:rPr>
          <w:sz w:val="18"/>
          <w:szCs w:val="18"/>
        </w:rPr>
      </w:pPr>
      <w:r w:rsidRPr="00D403F5">
        <w:rPr>
          <w:sz w:val="18"/>
          <w:szCs w:val="18"/>
        </w:rPr>
        <w:t>2.3.4.</w:t>
      </w:r>
      <w:r w:rsidRPr="00D403F5">
        <w:rPr>
          <w:sz w:val="18"/>
          <w:szCs w:val="18"/>
        </w:rPr>
        <w:tab/>
        <w:t>Modes of transmission and life cycle</w:t>
      </w:r>
    </w:p>
    <w:p w14:paraId="489A4E43"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Colonial or monocentric thalli of this fungus develop inside host epidermal cells and produce motile zoospores or walled, encysted spores, both of which are infectious stages. Zoospores are released through one or several discharge tubes. While motile spores actively swim towards a suitable substrate (e.g. a host), the encysted spores float at the water–air interface and passively adhere to a passing host (Stegen </w:t>
      </w:r>
      <w:r w:rsidRPr="00D403F5">
        <w:rPr>
          <w:rFonts w:cs="Arial"/>
          <w:i/>
          <w:szCs w:val="18"/>
          <w:lang w:val="en-GB"/>
        </w:rPr>
        <w:t>et al.,</w:t>
      </w:r>
      <w:r w:rsidRPr="00D403F5">
        <w:rPr>
          <w:rFonts w:cs="Arial"/>
          <w:szCs w:val="18"/>
          <w:lang w:val="en-GB"/>
        </w:rPr>
        <w:t xml:space="preserve"> 2017). </w:t>
      </w:r>
      <w:r w:rsidRPr="00D403F5">
        <w:rPr>
          <w:rFonts w:cs="Arial"/>
          <w:i/>
          <w:szCs w:val="18"/>
          <w:lang w:val="en-GB"/>
        </w:rPr>
        <w:t>In vitro</w:t>
      </w:r>
      <w:r w:rsidRPr="00D403F5">
        <w:rPr>
          <w:rFonts w:cs="Arial"/>
          <w:szCs w:val="18"/>
          <w:lang w:val="en-GB"/>
        </w:rPr>
        <w:t xml:space="preserve">, developing thalli form fine rhizoids. Mature thalli </w:t>
      </w:r>
      <w:r w:rsidRPr="00D403F5">
        <w:rPr>
          <w:rFonts w:cs="Arial"/>
          <w:i/>
          <w:szCs w:val="18"/>
          <w:lang w:val="en-GB"/>
        </w:rPr>
        <w:t>in vitro</w:t>
      </w:r>
      <w:r w:rsidRPr="00D403F5">
        <w:rPr>
          <w:rFonts w:cs="Arial"/>
          <w:szCs w:val="18"/>
          <w:lang w:val="en-GB"/>
        </w:rPr>
        <w:t xml:space="preserve"> are between 16 and 50 µm in diameter, </w:t>
      </w:r>
      <w:r w:rsidRPr="00D403F5">
        <w:rPr>
          <w:rFonts w:cs="Arial"/>
          <w:i/>
          <w:szCs w:val="18"/>
          <w:lang w:val="en-GB"/>
        </w:rPr>
        <w:t>in vivo</w:t>
      </w:r>
      <w:r w:rsidRPr="00D403F5">
        <w:rPr>
          <w:rFonts w:cs="Arial"/>
          <w:szCs w:val="18"/>
          <w:lang w:val="en-GB"/>
        </w:rPr>
        <w:t xml:space="preserve"> between 7 and 17 µm; zoospores are approximately 5 µm in diameter. Motile zoospores are roughly spherical, the nucleus is located outside of the ribosomal mass, with aggregated ribosomes, multiple mitochondria and numerous lipid globules. The position of the non-flagellated centriole in free swimming zoospores varies from angled to parallel to the kinetosome (Martel </w:t>
      </w:r>
      <w:r w:rsidRPr="00D403F5">
        <w:rPr>
          <w:rFonts w:cs="Arial"/>
          <w:i/>
          <w:szCs w:val="18"/>
          <w:lang w:val="en-GB"/>
        </w:rPr>
        <w:t>et al.,</w:t>
      </w:r>
      <w:r w:rsidRPr="00D403F5">
        <w:rPr>
          <w:rFonts w:cs="Arial"/>
          <w:szCs w:val="18"/>
          <w:lang w:val="en-GB"/>
        </w:rPr>
        <w:t xml:space="preserve"> 2013).</w:t>
      </w:r>
    </w:p>
    <w:p w14:paraId="62B93ADA" w14:textId="77777777" w:rsidR="00C7266C" w:rsidRPr="00D403F5" w:rsidRDefault="00C7266C" w:rsidP="00D403F5">
      <w:pPr>
        <w:spacing w:after="0"/>
        <w:rPr>
          <w:rFonts w:ascii="Arial" w:eastAsia="Times New Roman" w:hAnsi="Arial" w:cs="Arial"/>
          <w:bCs/>
          <w:sz w:val="18"/>
          <w:szCs w:val="18"/>
        </w:rPr>
      </w:pPr>
      <w:r w:rsidRPr="00D403F5">
        <w:rPr>
          <w:rFonts w:cs="Arial"/>
          <w:sz w:val="18"/>
          <w:szCs w:val="18"/>
        </w:rPr>
        <w:br w:type="page"/>
      </w:r>
    </w:p>
    <w:p w14:paraId="7713A737" w14:textId="77777777" w:rsidR="00C7266C" w:rsidRPr="00D403F5" w:rsidRDefault="00C7266C" w:rsidP="00EA6B7E">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4802EA02"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There are no indications of vertical transmission. However, this cannot be excluded in species giving birth to metamorphosed offspring (e.g. </w:t>
      </w:r>
      <w:r w:rsidRPr="00D403F5">
        <w:rPr>
          <w:rFonts w:cs="Arial"/>
          <w:i/>
          <w:szCs w:val="18"/>
          <w:lang w:val="en-GB"/>
        </w:rPr>
        <w:t>Salamandra atra</w:t>
      </w:r>
      <w:r w:rsidRPr="00D403F5">
        <w:rPr>
          <w:rFonts w:cs="Arial"/>
          <w:szCs w:val="18"/>
          <w:lang w:val="en-GB"/>
        </w:rPr>
        <w:t xml:space="preserve">, </w:t>
      </w:r>
      <w:r w:rsidRPr="00D403F5">
        <w:rPr>
          <w:rFonts w:cs="Arial"/>
          <w:i/>
          <w:szCs w:val="18"/>
          <w:lang w:val="en-GB"/>
        </w:rPr>
        <w:t>Salamandra lanzai</w:t>
      </w:r>
      <w:r w:rsidRPr="00D403F5">
        <w:rPr>
          <w:rFonts w:cs="Arial"/>
          <w:szCs w:val="18"/>
          <w:lang w:val="en-GB"/>
        </w:rPr>
        <w:t xml:space="preserve">, </w:t>
      </w:r>
      <w:r w:rsidRPr="00D403F5">
        <w:rPr>
          <w:rFonts w:cs="Arial"/>
          <w:i/>
          <w:szCs w:val="18"/>
          <w:lang w:val="en-GB"/>
        </w:rPr>
        <w:t>Lyciasalamandra helverseni</w:t>
      </w:r>
      <w:r w:rsidRPr="00D403F5">
        <w:rPr>
          <w:rFonts w:cs="Arial"/>
          <w:szCs w:val="18"/>
          <w:lang w:val="en-GB"/>
        </w:rPr>
        <w:t xml:space="preserve">). Horizontal transmission occurs through direct contact or contact with contaminated soil or water (Stegen </w:t>
      </w:r>
      <w:r w:rsidRPr="00D403F5">
        <w:rPr>
          <w:rFonts w:cs="Arial"/>
          <w:i/>
          <w:szCs w:val="18"/>
          <w:lang w:val="en-GB"/>
        </w:rPr>
        <w:t>et al</w:t>
      </w:r>
      <w:r w:rsidRPr="00D403F5">
        <w:rPr>
          <w:rFonts w:cs="Arial"/>
          <w:szCs w:val="18"/>
          <w:lang w:val="en-GB"/>
        </w:rPr>
        <w:t xml:space="preserve">., 2017). Infectious stages include the motile zoospore and the environmentally resistant encysted spores (Stegen </w:t>
      </w:r>
      <w:r w:rsidRPr="00D403F5">
        <w:rPr>
          <w:rFonts w:cs="Arial"/>
          <w:i/>
          <w:szCs w:val="18"/>
          <w:lang w:val="en-GB"/>
        </w:rPr>
        <w:t>et al</w:t>
      </w:r>
      <w:r w:rsidRPr="00D403F5">
        <w:rPr>
          <w:rFonts w:cs="Arial"/>
          <w:szCs w:val="18"/>
          <w:lang w:val="en-GB"/>
        </w:rPr>
        <w:t xml:space="preserve">., 2017). Infections can be reproduced under experimental conditions by topically applying a Bsal inoculum on the dorsum of amphibians and housing the exposed animals at 15°C (Martel </w:t>
      </w:r>
      <w:r w:rsidRPr="00D403F5">
        <w:rPr>
          <w:rFonts w:cs="Arial"/>
          <w:i/>
          <w:szCs w:val="18"/>
          <w:lang w:val="en-GB"/>
        </w:rPr>
        <w:t>et al</w:t>
      </w:r>
      <w:r w:rsidRPr="00D403F5">
        <w:rPr>
          <w:rFonts w:cs="Arial"/>
          <w:szCs w:val="18"/>
          <w:lang w:val="en-GB"/>
        </w:rPr>
        <w:t xml:space="preserve">., 2013; 2014; Stegen </w:t>
      </w:r>
      <w:r w:rsidRPr="00D403F5">
        <w:rPr>
          <w:rFonts w:cs="Arial"/>
          <w:i/>
          <w:szCs w:val="18"/>
          <w:lang w:val="en-GB"/>
        </w:rPr>
        <w:t>et al</w:t>
      </w:r>
      <w:r w:rsidRPr="00D403F5">
        <w:rPr>
          <w:rFonts w:cs="Arial"/>
          <w:szCs w:val="18"/>
          <w:lang w:val="en-GB"/>
        </w:rPr>
        <w:t>., 2017). This inoculum can either contain motile zoospores or the immobile, encysted spores.</w:t>
      </w:r>
    </w:p>
    <w:p w14:paraId="32D82053"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Pathways of Bsal dispersal within Europe are poorly understood but may be anthropogenic (e.g. through contaminated material). Zoospores attach to bird feet, suggesting birds may spread Bsal over larger distances (Stegen </w:t>
      </w:r>
      <w:r w:rsidRPr="00D403F5">
        <w:rPr>
          <w:rFonts w:cs="Arial"/>
          <w:i/>
          <w:szCs w:val="18"/>
          <w:lang w:val="en-GB"/>
        </w:rPr>
        <w:t>et al</w:t>
      </w:r>
      <w:r w:rsidRPr="00D403F5">
        <w:rPr>
          <w:rFonts w:cs="Arial"/>
          <w:szCs w:val="18"/>
          <w:lang w:val="en-GB"/>
        </w:rPr>
        <w:t>., 2017). Direct animal-to-animal contact is necessary for transmission of Bsal: salamanders only separated by 1 cm from infected conspecifics were not infected in laboratory trials, in contrast to co-housed animals (</w:t>
      </w:r>
      <w:r w:rsidRPr="00D403F5">
        <w:rPr>
          <w:rFonts w:cs="Arial"/>
          <w:szCs w:val="18"/>
          <w:lang w:val="en-GB" w:eastAsia="fr-FR"/>
        </w:rPr>
        <w:t>Spitzen</w:t>
      </w:r>
      <w:bookmarkStart w:id="78" w:name="_Hlk3210536"/>
      <w:r w:rsidRPr="00D403F5">
        <w:rPr>
          <w:rFonts w:cs="Arial"/>
          <w:szCs w:val="18"/>
          <w:lang w:val="en-GB" w:eastAsia="fr-FR"/>
        </w:rPr>
        <w:t>-van der Sluijs</w:t>
      </w:r>
      <w:r w:rsidRPr="00D403F5" w:rsidDel="00025A38">
        <w:rPr>
          <w:rFonts w:cs="Arial"/>
          <w:szCs w:val="18"/>
          <w:lang w:val="en-GB"/>
        </w:rPr>
        <w:t xml:space="preserve"> </w:t>
      </w:r>
      <w:bookmarkEnd w:id="78"/>
      <w:r w:rsidRPr="00D403F5">
        <w:rPr>
          <w:rFonts w:cs="Arial"/>
          <w:i/>
          <w:szCs w:val="18"/>
          <w:lang w:val="en-GB"/>
        </w:rPr>
        <w:t>et al</w:t>
      </w:r>
      <w:r w:rsidRPr="00D403F5">
        <w:rPr>
          <w:rFonts w:cs="Arial"/>
          <w:szCs w:val="18"/>
          <w:lang w:val="en-GB"/>
        </w:rPr>
        <w:t>., 2018). Overall, dispersal ability of Bsal in Europe currently seems limited: Bsal was found not to be transmitted to a neighbouring site in the Netherlands, despite being downstream of a small stream, and the current distribution of Bsal in Europe is probably not continuous (</w:t>
      </w:r>
      <w:r w:rsidRPr="00D403F5">
        <w:rPr>
          <w:rFonts w:cs="Arial"/>
          <w:szCs w:val="18"/>
          <w:lang w:val="en-GB" w:eastAsia="fr-FR"/>
        </w:rPr>
        <w:t>Spitzen-van der Sluijs</w:t>
      </w:r>
      <w:r w:rsidRPr="00D403F5" w:rsidDel="00025A38">
        <w:rPr>
          <w:rFonts w:cs="Arial"/>
          <w:szCs w:val="18"/>
          <w:lang w:val="en-GB"/>
        </w:rPr>
        <w:t xml:space="preserve"> </w:t>
      </w:r>
      <w:r w:rsidRPr="00D403F5">
        <w:rPr>
          <w:rFonts w:cs="Arial"/>
          <w:i/>
          <w:szCs w:val="18"/>
          <w:lang w:val="en-GB"/>
        </w:rPr>
        <w:t>et al</w:t>
      </w:r>
      <w:r w:rsidRPr="00D403F5">
        <w:rPr>
          <w:rFonts w:cs="Arial"/>
          <w:szCs w:val="18"/>
          <w:lang w:val="en-GB"/>
        </w:rPr>
        <w:t xml:space="preserve">., 2018). </w:t>
      </w:r>
    </w:p>
    <w:p w14:paraId="285CE293" w14:textId="77777777" w:rsidR="00C7266C" w:rsidRPr="00D403F5" w:rsidRDefault="00C7266C" w:rsidP="00D403F5">
      <w:pPr>
        <w:pStyle w:val="Para3"/>
        <w:spacing w:after="0"/>
        <w:rPr>
          <w:rFonts w:cs="Arial"/>
          <w:szCs w:val="18"/>
          <w:lang w:val="en-GB"/>
        </w:rPr>
      </w:pPr>
      <w:r w:rsidRPr="00D403F5">
        <w:rPr>
          <w:rFonts w:cs="Arial"/>
          <w:szCs w:val="18"/>
          <w:lang w:val="en-GB" w:eastAsia="en-IE"/>
        </w:rPr>
        <w:t xml:space="preserve">Although Bsal dispersal between populations is now hypothesised to be mainly human mediated, other factors (e.g. wildlife, water) may play key roles and critical knowledge about Bsal dispersal is currently lacking. </w:t>
      </w:r>
    </w:p>
    <w:p w14:paraId="0E6CF3C0" w14:textId="77777777" w:rsidR="00C7266C" w:rsidRPr="00D403F5" w:rsidRDefault="00C7266C" w:rsidP="00D403F5">
      <w:pPr>
        <w:pStyle w:val="111"/>
        <w:spacing w:after="0"/>
        <w:rPr>
          <w:sz w:val="18"/>
          <w:szCs w:val="18"/>
        </w:rPr>
      </w:pPr>
      <w:r w:rsidRPr="00D403F5">
        <w:rPr>
          <w:sz w:val="18"/>
          <w:szCs w:val="18"/>
        </w:rPr>
        <w:t>2.3.5.</w:t>
      </w:r>
      <w:r w:rsidRPr="00D403F5">
        <w:rPr>
          <w:sz w:val="18"/>
          <w:szCs w:val="18"/>
        </w:rPr>
        <w:tab/>
        <w:t xml:space="preserve">Environmental and management factors </w:t>
      </w:r>
    </w:p>
    <w:p w14:paraId="04CFD822"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The Bsal type strain AMFP13/1 tolerates temperatures up to 25°C but is killed at higher temperatures (Blooi </w:t>
      </w:r>
      <w:r w:rsidRPr="00D403F5">
        <w:rPr>
          <w:rFonts w:cs="Arial"/>
          <w:i/>
          <w:szCs w:val="18"/>
          <w:lang w:val="en-GB"/>
        </w:rPr>
        <w:t>et al</w:t>
      </w:r>
      <w:r w:rsidRPr="00D403F5">
        <w:rPr>
          <w:rFonts w:cs="Arial"/>
          <w:szCs w:val="18"/>
          <w:lang w:val="en-GB"/>
        </w:rPr>
        <w:t xml:space="preserve">., </w:t>
      </w:r>
      <w:r w:rsidRPr="00D403F5">
        <w:rPr>
          <w:rFonts w:cs="Arial"/>
          <w:szCs w:val="18"/>
          <w:u w:val="double"/>
          <w:lang w:val="en-GB" w:eastAsia="fr-FR"/>
        </w:rPr>
        <w:t>2015b</w:t>
      </w:r>
      <w:r w:rsidRPr="00D403F5">
        <w:rPr>
          <w:rFonts w:cs="Arial"/>
          <w:strike/>
          <w:szCs w:val="18"/>
          <w:lang w:val="en-GB" w:eastAsia="fr-FR"/>
        </w:rPr>
        <w:t xml:space="preserve"> 2015a</w:t>
      </w:r>
      <w:r w:rsidRPr="00D403F5">
        <w:rPr>
          <w:rFonts w:cs="Arial"/>
          <w:szCs w:val="18"/>
          <w:lang w:val="en-GB"/>
        </w:rPr>
        <w:t xml:space="preserve">). As Bsal infections have been demonstrated in aquatic newts at water temperatures above 25°C (Laking </w:t>
      </w:r>
      <w:r w:rsidRPr="00D403F5">
        <w:rPr>
          <w:rFonts w:cs="Arial"/>
          <w:i/>
          <w:szCs w:val="18"/>
          <w:lang w:val="en-GB"/>
        </w:rPr>
        <w:t>et al</w:t>
      </w:r>
      <w:r w:rsidRPr="00D403F5">
        <w:rPr>
          <w:rFonts w:cs="Arial"/>
          <w:szCs w:val="18"/>
          <w:lang w:val="en-GB"/>
        </w:rPr>
        <w:t xml:space="preserve">., 2017; Zhiyong </w:t>
      </w:r>
      <w:r w:rsidRPr="00D403F5">
        <w:rPr>
          <w:rFonts w:cs="Arial"/>
          <w:i/>
          <w:szCs w:val="18"/>
          <w:lang w:val="en-GB"/>
        </w:rPr>
        <w:t>et al</w:t>
      </w:r>
      <w:r w:rsidRPr="00D403F5">
        <w:rPr>
          <w:rFonts w:cs="Arial"/>
          <w:szCs w:val="18"/>
          <w:lang w:val="en-GB"/>
        </w:rPr>
        <w:t xml:space="preserve">., 2018), it is likely, however, that thermal tolerance may be Bsal lineage dependent. A temperature of 4°C results in slower </w:t>
      </w:r>
      <w:r w:rsidRPr="00D403F5">
        <w:rPr>
          <w:rFonts w:cs="Arial"/>
          <w:szCs w:val="18"/>
          <w:u w:val="double"/>
          <w:lang w:val="en-GB"/>
        </w:rPr>
        <w:t>progression</w:t>
      </w:r>
      <w:r w:rsidRPr="00D403F5">
        <w:rPr>
          <w:rFonts w:cs="Arial"/>
          <w:szCs w:val="18"/>
          <w:lang w:val="en-GB"/>
        </w:rPr>
        <w:t xml:space="preserve"> </w:t>
      </w:r>
      <w:r w:rsidRPr="00D403F5">
        <w:rPr>
          <w:rFonts w:cs="Arial"/>
          <w:strike/>
          <w:szCs w:val="18"/>
          <w:lang w:val="en-GB"/>
        </w:rPr>
        <w:t>build-up</w:t>
      </w:r>
      <w:r w:rsidRPr="00D403F5">
        <w:rPr>
          <w:rFonts w:cs="Arial"/>
          <w:szCs w:val="18"/>
          <w:lang w:val="en-GB"/>
        </w:rPr>
        <w:t xml:space="preserve"> of infection but does not reduce morbidity or mortality (Stegen </w:t>
      </w:r>
      <w:r w:rsidRPr="00D403F5">
        <w:rPr>
          <w:rFonts w:cs="Arial"/>
          <w:i/>
          <w:szCs w:val="18"/>
          <w:lang w:val="en-GB"/>
        </w:rPr>
        <w:t>et al</w:t>
      </w:r>
      <w:r w:rsidRPr="00D403F5">
        <w:rPr>
          <w:rFonts w:cs="Arial"/>
          <w:szCs w:val="18"/>
          <w:lang w:val="en-GB"/>
        </w:rPr>
        <w:t xml:space="preserve">., 2017). Desiccation is likely to be poorly tolerated by Bsal, although data are currently lacking, and the encysted spore may be resistant to drying (Stegen </w:t>
      </w:r>
      <w:r w:rsidRPr="00D403F5">
        <w:rPr>
          <w:rFonts w:cs="Arial"/>
          <w:i/>
          <w:szCs w:val="18"/>
          <w:lang w:val="en-GB"/>
        </w:rPr>
        <w:t>et al</w:t>
      </w:r>
      <w:r w:rsidRPr="00D403F5">
        <w:rPr>
          <w:rFonts w:cs="Arial"/>
          <w:szCs w:val="18"/>
          <w:lang w:val="en-GB"/>
        </w:rPr>
        <w:t xml:space="preserve">., 2017; Van Rooij </w:t>
      </w:r>
      <w:r w:rsidRPr="00D403F5">
        <w:rPr>
          <w:rFonts w:cs="Arial"/>
          <w:i/>
          <w:szCs w:val="18"/>
          <w:lang w:val="en-GB"/>
        </w:rPr>
        <w:t>et al</w:t>
      </w:r>
      <w:r w:rsidRPr="00D403F5">
        <w:rPr>
          <w:rFonts w:cs="Arial"/>
          <w:szCs w:val="18"/>
          <w:lang w:val="en-GB"/>
        </w:rPr>
        <w:t>., 2015). It is not known to what extent Bsal tolerates freezing.</w:t>
      </w:r>
    </w:p>
    <w:p w14:paraId="34A3397D"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Co-occurrence of highly susceptible species such as fire salamanders with less susceptible species, such as Alpine newts may facilitate density independent disease dynamics that lead to the extirpation of the highly susceptible species (Stegen </w:t>
      </w:r>
      <w:r w:rsidRPr="00D403F5">
        <w:rPr>
          <w:rFonts w:cs="Arial"/>
          <w:i/>
          <w:szCs w:val="18"/>
          <w:lang w:val="en-GB"/>
        </w:rPr>
        <w:t>et al</w:t>
      </w:r>
      <w:r w:rsidRPr="00D403F5">
        <w:rPr>
          <w:rFonts w:cs="Arial"/>
          <w:szCs w:val="18"/>
          <w:lang w:val="en-GB"/>
        </w:rPr>
        <w:t>., 2017).</w:t>
      </w:r>
    </w:p>
    <w:p w14:paraId="74E13F88" w14:textId="77777777" w:rsidR="00C7266C" w:rsidRPr="00D403F5" w:rsidRDefault="00C7266C" w:rsidP="00D403F5">
      <w:pPr>
        <w:pStyle w:val="Para3"/>
        <w:spacing w:after="0"/>
        <w:rPr>
          <w:rFonts w:cs="Arial"/>
          <w:szCs w:val="18"/>
          <w:lang w:val="en-GB"/>
        </w:rPr>
      </w:pPr>
      <w:r w:rsidRPr="00D403F5">
        <w:rPr>
          <w:rFonts w:cs="Arial"/>
          <w:szCs w:val="18"/>
          <w:lang w:val="en-GB"/>
        </w:rPr>
        <w:t>Barriers to pathogen dispersal, for example those preventing migration of infected hosts such as amphibian fences or roads, or those preventing transmission by potential Bsal vectors including humans, fomites and wildlife, may prevent transmission at small spatial scales (</w:t>
      </w:r>
      <w:r w:rsidRPr="00D403F5">
        <w:rPr>
          <w:rFonts w:cs="Arial"/>
          <w:szCs w:val="18"/>
          <w:lang w:val="en-GB" w:eastAsia="fr-FR"/>
        </w:rPr>
        <w:t>Spitzen-van der Sluijs</w:t>
      </w:r>
      <w:r w:rsidRPr="00D403F5" w:rsidDel="000825CC">
        <w:rPr>
          <w:rFonts w:cs="Arial"/>
          <w:szCs w:val="18"/>
          <w:lang w:val="en-GB"/>
        </w:rPr>
        <w:t xml:space="preserve"> </w:t>
      </w:r>
      <w:r w:rsidRPr="00D403F5">
        <w:rPr>
          <w:rFonts w:cs="Arial"/>
          <w:i/>
          <w:szCs w:val="18"/>
          <w:lang w:val="en-GB"/>
        </w:rPr>
        <w:t>et al</w:t>
      </w:r>
      <w:r w:rsidRPr="00D403F5">
        <w:rPr>
          <w:rFonts w:cs="Arial"/>
          <w:szCs w:val="18"/>
          <w:lang w:val="en-GB"/>
        </w:rPr>
        <w:t>., 2018).</w:t>
      </w:r>
    </w:p>
    <w:p w14:paraId="004F3D6B" w14:textId="77777777" w:rsidR="00C7266C" w:rsidRPr="00D403F5" w:rsidRDefault="00C7266C" w:rsidP="00D403F5">
      <w:pPr>
        <w:pStyle w:val="111"/>
        <w:spacing w:after="0"/>
        <w:rPr>
          <w:sz w:val="18"/>
          <w:szCs w:val="18"/>
        </w:rPr>
      </w:pPr>
      <w:r w:rsidRPr="00D403F5">
        <w:rPr>
          <w:sz w:val="18"/>
          <w:szCs w:val="18"/>
        </w:rPr>
        <w:t>2.3.6.</w:t>
      </w:r>
      <w:r w:rsidRPr="00D403F5">
        <w:rPr>
          <w:sz w:val="18"/>
          <w:szCs w:val="18"/>
        </w:rPr>
        <w:tab/>
        <w:t>Geographical distribution</w:t>
      </w:r>
    </w:p>
    <w:p w14:paraId="7AF3F2D5"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Asia is currently considered the region of origin of Bsal (Martel </w:t>
      </w:r>
      <w:r w:rsidRPr="00D403F5">
        <w:rPr>
          <w:rFonts w:cs="Arial"/>
          <w:i/>
          <w:szCs w:val="18"/>
          <w:lang w:val="en-GB" w:eastAsia="fr-FR"/>
        </w:rPr>
        <w:t>et al</w:t>
      </w:r>
      <w:r w:rsidRPr="00D403F5">
        <w:rPr>
          <w:rFonts w:cs="Arial"/>
          <w:szCs w:val="18"/>
          <w:lang w:val="en-GB" w:eastAsia="fr-FR"/>
        </w:rPr>
        <w:t xml:space="preserve">., 2014), where the infection appears to be endemic in amphibian communities across a wide taxonomic, geographical and environmental range, albeit at a low prevalence between 2 and 4% (Zhiyong </w:t>
      </w:r>
      <w:r w:rsidRPr="00D403F5">
        <w:rPr>
          <w:rFonts w:cs="Arial"/>
          <w:i/>
          <w:szCs w:val="18"/>
          <w:lang w:val="en-GB" w:eastAsia="fr-FR"/>
        </w:rPr>
        <w:t xml:space="preserve">et al., </w:t>
      </w:r>
      <w:r w:rsidRPr="00D403F5">
        <w:rPr>
          <w:rFonts w:cs="Arial"/>
          <w:szCs w:val="18"/>
          <w:lang w:val="en-GB" w:eastAsia="fr-FR"/>
        </w:rPr>
        <w:t xml:space="preserve">2018). In Asia, Bsal was shown to be widely present in urodele populations in China (People’s Rep. of), Japan, Thailand and Vietnam. East Asia is presumed to be the native range of the fungus (Laking </w:t>
      </w:r>
      <w:r w:rsidRPr="00D403F5">
        <w:rPr>
          <w:rFonts w:cs="Arial"/>
          <w:i/>
          <w:szCs w:val="18"/>
          <w:lang w:val="en-GB" w:eastAsia="fr-FR"/>
        </w:rPr>
        <w:t>et al</w:t>
      </w:r>
      <w:r w:rsidRPr="00D403F5">
        <w:rPr>
          <w:rFonts w:cs="Arial"/>
          <w:szCs w:val="18"/>
          <w:lang w:val="en-GB" w:eastAsia="fr-FR"/>
        </w:rPr>
        <w:t xml:space="preserve">., 2017; Martel </w:t>
      </w:r>
      <w:r w:rsidRPr="00D403F5">
        <w:rPr>
          <w:rFonts w:cs="Arial"/>
          <w:i/>
          <w:szCs w:val="18"/>
          <w:lang w:val="en-GB" w:eastAsia="fr-FR"/>
        </w:rPr>
        <w:t>et al</w:t>
      </w:r>
      <w:r w:rsidRPr="00D403F5">
        <w:rPr>
          <w:rFonts w:cs="Arial"/>
          <w:szCs w:val="18"/>
          <w:lang w:val="en-GB" w:eastAsia="fr-FR"/>
        </w:rPr>
        <w:t xml:space="preserve">., 2014; Zhiyong </w:t>
      </w:r>
      <w:r w:rsidRPr="00D403F5">
        <w:rPr>
          <w:rFonts w:cs="Arial"/>
          <w:i/>
          <w:szCs w:val="18"/>
          <w:lang w:val="en-GB" w:eastAsia="fr-FR"/>
        </w:rPr>
        <w:t>et al.,</w:t>
      </w:r>
      <w:r w:rsidRPr="00D403F5">
        <w:rPr>
          <w:rFonts w:cs="Arial"/>
          <w:szCs w:val="18"/>
          <w:lang w:val="en-GB" w:eastAsia="fr-FR"/>
        </w:rPr>
        <w:t xml:space="preserve"> 2018). </w:t>
      </w:r>
    </w:p>
    <w:p w14:paraId="7BB7C1B9" w14:textId="77777777" w:rsidR="00C7266C" w:rsidRPr="00D403F5" w:rsidRDefault="00C7266C" w:rsidP="00D403F5">
      <w:pPr>
        <w:pStyle w:val="Para3"/>
        <w:spacing w:after="0"/>
        <w:rPr>
          <w:szCs w:val="18"/>
        </w:rPr>
      </w:pPr>
      <w:r w:rsidRPr="00D403F5">
        <w:rPr>
          <w:szCs w:val="18"/>
        </w:rPr>
        <w:t>Europe is considered the invasive range of the fungus where Bsal was first identified during a mortality event in fire salamanders (</w:t>
      </w:r>
      <w:r w:rsidRPr="00D403F5">
        <w:rPr>
          <w:i/>
          <w:iCs/>
          <w:szCs w:val="18"/>
        </w:rPr>
        <w:t>Salamandra salamandra</w:t>
      </w:r>
      <w:r w:rsidRPr="00D403F5">
        <w:rPr>
          <w:szCs w:val="18"/>
        </w:rPr>
        <w:t xml:space="preserve">) in Bunderbos, the Netherlands (Martel </w:t>
      </w:r>
      <w:r w:rsidRPr="00D403F5">
        <w:rPr>
          <w:i/>
          <w:szCs w:val="18"/>
        </w:rPr>
        <w:t>et al.,</w:t>
      </w:r>
      <w:r w:rsidRPr="00D403F5">
        <w:rPr>
          <w:szCs w:val="18"/>
        </w:rPr>
        <w:t xml:space="preserve"> 2013). In Europe, Bsal was detected by surveys of wild susceptible species in Belgium, Germany and the Netherlands (Martel </w:t>
      </w:r>
      <w:r w:rsidRPr="00D403F5">
        <w:rPr>
          <w:i/>
          <w:szCs w:val="18"/>
        </w:rPr>
        <w:t>et al.</w:t>
      </w:r>
      <w:r w:rsidRPr="00D403F5">
        <w:rPr>
          <w:szCs w:val="18"/>
        </w:rPr>
        <w:t xml:space="preserve">, 2014; Spitzen-van der Sluijs </w:t>
      </w:r>
      <w:r w:rsidRPr="00D403F5">
        <w:rPr>
          <w:i/>
          <w:szCs w:val="18"/>
        </w:rPr>
        <w:t>et al.,</w:t>
      </w:r>
      <w:r w:rsidRPr="00D403F5">
        <w:rPr>
          <w:szCs w:val="18"/>
        </w:rPr>
        <w:t xml:space="preserve"> 2016), and in captive urodele populations in Belgium, Germany, the Netherlands, Spain, and the United Kingdom (Fitzpatrick </w:t>
      </w:r>
      <w:r w:rsidRPr="00D403F5">
        <w:rPr>
          <w:i/>
          <w:szCs w:val="18"/>
        </w:rPr>
        <w:t>et al.,</w:t>
      </w:r>
      <w:r w:rsidRPr="00D403F5">
        <w:rPr>
          <w:szCs w:val="18"/>
        </w:rPr>
        <w:t xml:space="preserve"> 2018; Sabino-Pinto </w:t>
      </w:r>
      <w:r w:rsidRPr="00D403F5">
        <w:rPr>
          <w:i/>
          <w:szCs w:val="18"/>
        </w:rPr>
        <w:t>et al.,</w:t>
      </w:r>
      <w:r w:rsidRPr="00D403F5">
        <w:rPr>
          <w:szCs w:val="18"/>
        </w:rPr>
        <w:t xml:space="preserve"> 2015). </w:t>
      </w:r>
    </w:p>
    <w:p w14:paraId="538FD775"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Bsal has not been reported in Africa or the Americas.</w:t>
      </w:r>
    </w:p>
    <w:p w14:paraId="50498A14" w14:textId="77777777" w:rsidR="00C7266C" w:rsidRPr="00D403F5" w:rsidRDefault="00C7266C" w:rsidP="00D403F5">
      <w:pPr>
        <w:pStyle w:val="11"/>
        <w:spacing w:after="0"/>
        <w:ind w:left="426" w:hanging="426"/>
        <w:rPr>
          <w:sz w:val="18"/>
          <w:szCs w:val="18"/>
          <w:lang w:val="en-GB"/>
        </w:rPr>
      </w:pPr>
      <w:r w:rsidRPr="00D403F5">
        <w:rPr>
          <w:sz w:val="18"/>
          <w:szCs w:val="18"/>
          <w:lang w:val="en-GB"/>
        </w:rPr>
        <w:t>2.4.</w:t>
      </w:r>
      <w:r w:rsidRPr="00D403F5">
        <w:rPr>
          <w:sz w:val="18"/>
          <w:szCs w:val="18"/>
          <w:lang w:val="en-GB"/>
        </w:rPr>
        <w:tab/>
        <w:t xml:space="preserve">Biosecurity and disease control strategies </w:t>
      </w:r>
    </w:p>
    <w:p w14:paraId="304314A8" w14:textId="77777777" w:rsidR="00C7266C" w:rsidRPr="00D403F5" w:rsidRDefault="00C7266C" w:rsidP="00D403F5">
      <w:pPr>
        <w:pStyle w:val="111"/>
        <w:spacing w:after="0"/>
        <w:rPr>
          <w:sz w:val="18"/>
          <w:szCs w:val="18"/>
        </w:rPr>
      </w:pPr>
      <w:r w:rsidRPr="00D403F5">
        <w:rPr>
          <w:sz w:val="18"/>
          <w:szCs w:val="18"/>
        </w:rPr>
        <w:t>2.4.1.</w:t>
      </w:r>
      <w:r w:rsidRPr="00D403F5">
        <w:rPr>
          <w:sz w:val="18"/>
          <w:szCs w:val="18"/>
        </w:rPr>
        <w:tab/>
        <w:t>Vaccination</w:t>
      </w:r>
    </w:p>
    <w:p w14:paraId="187C4062"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Not available. </w:t>
      </w:r>
    </w:p>
    <w:p w14:paraId="71BEB0C9" w14:textId="77777777" w:rsidR="00C7266C" w:rsidRPr="00D403F5" w:rsidRDefault="00C7266C" w:rsidP="00D403F5">
      <w:pPr>
        <w:spacing w:after="0"/>
        <w:jc w:val="right"/>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br w:type="page"/>
      </w:r>
    </w:p>
    <w:p w14:paraId="3B911045" w14:textId="77777777" w:rsidR="00C7266C" w:rsidRPr="00D403F5" w:rsidRDefault="00C7266C" w:rsidP="00EA6B7E">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472A0DA5" w14:textId="77777777" w:rsidR="00C7266C" w:rsidRPr="00D403F5" w:rsidRDefault="00C7266C" w:rsidP="00D403F5">
      <w:pPr>
        <w:pStyle w:val="111"/>
        <w:spacing w:after="0"/>
        <w:rPr>
          <w:sz w:val="18"/>
          <w:szCs w:val="18"/>
        </w:rPr>
      </w:pPr>
      <w:r w:rsidRPr="00D403F5">
        <w:rPr>
          <w:sz w:val="18"/>
          <w:szCs w:val="18"/>
        </w:rPr>
        <w:t>2.4.2.</w:t>
      </w:r>
      <w:r w:rsidRPr="00D403F5">
        <w:rPr>
          <w:sz w:val="18"/>
          <w:szCs w:val="18"/>
        </w:rPr>
        <w:tab/>
        <w:t>Chemotherapy including blocking agents</w:t>
      </w:r>
    </w:p>
    <w:p w14:paraId="335A3FF8"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A combined treatment using Polymyxin E, voriconazole and a temperature regime of 20°C has been shown to be effective in eradicating Bsal from infected hosts (Blooi </w:t>
      </w:r>
      <w:r w:rsidRPr="00D403F5">
        <w:rPr>
          <w:rFonts w:cs="Arial"/>
          <w:i/>
          <w:szCs w:val="18"/>
          <w:lang w:val="en-GB" w:eastAsia="fr-FR"/>
        </w:rPr>
        <w:t>et al</w:t>
      </w:r>
      <w:r w:rsidRPr="00D403F5">
        <w:rPr>
          <w:rFonts w:cs="Arial"/>
          <w:szCs w:val="18"/>
          <w:lang w:val="en-GB" w:eastAsia="fr-FR"/>
        </w:rPr>
        <w:t xml:space="preserve">., </w:t>
      </w:r>
      <w:r w:rsidRPr="00D403F5">
        <w:rPr>
          <w:rFonts w:cs="Arial"/>
          <w:szCs w:val="18"/>
          <w:u w:val="double"/>
          <w:lang w:val="en-GB" w:eastAsia="fr-FR"/>
        </w:rPr>
        <w:t>2015c</w:t>
      </w:r>
      <w:r w:rsidRPr="00D403F5">
        <w:rPr>
          <w:rFonts w:cs="Arial"/>
          <w:strike/>
          <w:szCs w:val="18"/>
          <w:lang w:val="en-GB" w:eastAsia="fr-FR"/>
        </w:rPr>
        <w:t xml:space="preserve"> 2015b</w:t>
      </w:r>
      <w:r w:rsidRPr="00D403F5">
        <w:rPr>
          <w:rFonts w:cs="Arial"/>
          <w:szCs w:val="18"/>
          <w:lang w:val="en-GB" w:eastAsia="fr-FR"/>
        </w:rPr>
        <w:t>). If the treatment is not performed properly and does not achieve eradication, low level carriers are created and the likelihood of Bsal detection, is reduced.</w:t>
      </w:r>
    </w:p>
    <w:p w14:paraId="2854DC72" w14:textId="77777777" w:rsidR="00C7266C" w:rsidRPr="00D403F5" w:rsidRDefault="00C7266C" w:rsidP="00D403F5">
      <w:pPr>
        <w:pStyle w:val="111"/>
        <w:spacing w:after="0"/>
        <w:rPr>
          <w:sz w:val="18"/>
          <w:szCs w:val="18"/>
        </w:rPr>
      </w:pPr>
      <w:r w:rsidRPr="00D403F5">
        <w:rPr>
          <w:sz w:val="18"/>
          <w:szCs w:val="18"/>
        </w:rPr>
        <w:t>2.4.3.</w:t>
      </w:r>
      <w:r w:rsidRPr="00D403F5">
        <w:rPr>
          <w:sz w:val="18"/>
          <w:szCs w:val="18"/>
        </w:rPr>
        <w:tab/>
        <w:t>Immunostimulation</w:t>
      </w:r>
    </w:p>
    <w:p w14:paraId="5A99C29A"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 xml:space="preserve">Not available. </w:t>
      </w:r>
    </w:p>
    <w:p w14:paraId="57CB68D5" w14:textId="77777777" w:rsidR="00C7266C" w:rsidRPr="00D403F5" w:rsidRDefault="00C7266C" w:rsidP="00D403F5">
      <w:pPr>
        <w:pStyle w:val="111"/>
        <w:spacing w:after="0"/>
        <w:rPr>
          <w:sz w:val="18"/>
          <w:szCs w:val="18"/>
        </w:rPr>
      </w:pPr>
      <w:r w:rsidRPr="00D403F5">
        <w:rPr>
          <w:sz w:val="18"/>
          <w:szCs w:val="18"/>
        </w:rPr>
        <w:t>2.4.4.</w:t>
      </w:r>
      <w:r w:rsidRPr="00D403F5">
        <w:rPr>
          <w:sz w:val="18"/>
          <w:szCs w:val="18"/>
        </w:rPr>
        <w:tab/>
      </w:r>
      <w:bookmarkStart w:id="79" w:name="_Hlk20838672"/>
      <w:r w:rsidRPr="00D403F5">
        <w:rPr>
          <w:sz w:val="18"/>
          <w:szCs w:val="18"/>
        </w:rPr>
        <w:t>Breeding resistant strains</w:t>
      </w:r>
      <w:bookmarkEnd w:id="79"/>
    </w:p>
    <w:p w14:paraId="318199E2" w14:textId="77777777" w:rsidR="00C7266C" w:rsidRPr="00D403F5" w:rsidRDefault="00C7266C" w:rsidP="00D403F5">
      <w:pPr>
        <w:pStyle w:val="Para3"/>
        <w:spacing w:after="0"/>
        <w:rPr>
          <w:rFonts w:cs="Arial"/>
          <w:strike/>
          <w:szCs w:val="18"/>
          <w:lang w:val="en-GB" w:eastAsia="fr-FR"/>
        </w:rPr>
      </w:pPr>
      <w:r w:rsidRPr="00D403F5">
        <w:rPr>
          <w:rFonts w:cs="Arial"/>
          <w:strike/>
          <w:szCs w:val="18"/>
          <w:lang w:val="en-GB" w:eastAsia="fr-FR"/>
        </w:rPr>
        <w:t>Breeding resistant strains is one of the few options for long term sustainable disease mitigation.</w:t>
      </w:r>
    </w:p>
    <w:p w14:paraId="53F93929" w14:textId="77777777" w:rsidR="00C7266C" w:rsidRPr="00D403F5" w:rsidRDefault="00C7266C" w:rsidP="00D403F5">
      <w:pPr>
        <w:pStyle w:val="Para3"/>
        <w:spacing w:after="0"/>
        <w:rPr>
          <w:rFonts w:cs="Arial"/>
          <w:szCs w:val="18"/>
          <w:u w:val="double"/>
          <w:lang w:val="en-GB" w:eastAsia="fr-FR"/>
        </w:rPr>
      </w:pPr>
      <w:r w:rsidRPr="00D403F5">
        <w:rPr>
          <w:rFonts w:cs="Arial"/>
          <w:szCs w:val="18"/>
          <w:u w:val="double"/>
          <w:lang w:val="en-GB" w:eastAsia="fr-FR"/>
        </w:rPr>
        <w:t>No information available.</w:t>
      </w:r>
    </w:p>
    <w:p w14:paraId="1B12AD5E" w14:textId="77777777" w:rsidR="00C7266C" w:rsidRPr="00D403F5" w:rsidRDefault="00C7266C" w:rsidP="00D403F5">
      <w:pPr>
        <w:pStyle w:val="111"/>
        <w:spacing w:after="0"/>
        <w:rPr>
          <w:sz w:val="18"/>
          <w:szCs w:val="18"/>
        </w:rPr>
      </w:pPr>
      <w:r w:rsidRPr="00D403F5">
        <w:rPr>
          <w:sz w:val="18"/>
          <w:szCs w:val="18"/>
        </w:rPr>
        <w:t>2.4.5.</w:t>
      </w:r>
      <w:r w:rsidRPr="00D403F5">
        <w:rPr>
          <w:sz w:val="18"/>
          <w:szCs w:val="18"/>
        </w:rPr>
        <w:tab/>
        <w:t>Inactivation methods</w:t>
      </w:r>
    </w:p>
    <w:p w14:paraId="3691AFF6" w14:textId="77777777" w:rsidR="00C7266C" w:rsidRPr="00D403F5" w:rsidRDefault="00C7266C" w:rsidP="00D403F5">
      <w:pPr>
        <w:pStyle w:val="Para3"/>
        <w:spacing w:after="0"/>
        <w:rPr>
          <w:rFonts w:cs="Arial"/>
          <w:szCs w:val="18"/>
        </w:rPr>
      </w:pPr>
      <w:r w:rsidRPr="00D403F5">
        <w:rPr>
          <w:rFonts w:cs="Arial"/>
          <w:szCs w:val="18"/>
          <w:lang w:val="en-GB" w:eastAsia="fr-FR"/>
        </w:rPr>
        <w:t xml:space="preserve">Bsal is sensitive to a wide variety of disinfectants (Van Rooij </w:t>
      </w:r>
      <w:r w:rsidRPr="00D403F5">
        <w:rPr>
          <w:rFonts w:cs="Arial"/>
          <w:i/>
          <w:szCs w:val="18"/>
          <w:lang w:val="en-GB" w:eastAsia="fr-FR"/>
        </w:rPr>
        <w:t>et al</w:t>
      </w:r>
      <w:r w:rsidRPr="00D403F5">
        <w:rPr>
          <w:rFonts w:cs="Arial"/>
          <w:szCs w:val="18"/>
          <w:lang w:val="en-GB" w:eastAsia="fr-FR"/>
        </w:rPr>
        <w:t xml:space="preserve">., 2015). Inactivation using formalin has been shown to hamper DNA detection using </w:t>
      </w:r>
      <w:r w:rsidRPr="00D403F5">
        <w:rPr>
          <w:rFonts w:cs="Arial"/>
          <w:szCs w:val="18"/>
          <w:u w:val="double"/>
          <w:lang w:val="en-GB" w:eastAsia="fr-FR"/>
        </w:rPr>
        <w:t>real-time</w:t>
      </w:r>
      <w:r w:rsidRPr="00D403F5">
        <w:rPr>
          <w:rFonts w:cs="Arial"/>
          <w:szCs w:val="18"/>
          <w:lang w:val="en-GB" w:eastAsia="fr-FR"/>
        </w:rPr>
        <w:t xml:space="preserve"> PCR</w:t>
      </w:r>
      <w:r w:rsidRPr="00D403F5">
        <w:rPr>
          <w:rFonts w:cs="Arial"/>
          <w:strike/>
          <w:szCs w:val="18"/>
          <w:lang w:val="en-GB" w:eastAsia="fr-FR"/>
        </w:rPr>
        <w:t xml:space="preserve"> qPCR</w:t>
      </w:r>
      <w:r w:rsidRPr="00D403F5">
        <w:rPr>
          <w:rFonts w:cs="Arial"/>
          <w:szCs w:val="18"/>
          <w:lang w:val="en-GB" w:eastAsia="fr-FR"/>
        </w:rPr>
        <w:t xml:space="preserve">. Bsal is killed within 30 seconds in 70% ethanol (Van Rooij </w:t>
      </w:r>
      <w:r w:rsidRPr="00D403F5">
        <w:rPr>
          <w:rFonts w:cs="Arial"/>
          <w:i/>
          <w:szCs w:val="18"/>
          <w:lang w:val="en-GB" w:eastAsia="fr-FR"/>
        </w:rPr>
        <w:t>et al.,</w:t>
      </w:r>
      <w:r w:rsidRPr="00D403F5">
        <w:rPr>
          <w:rFonts w:cs="Arial"/>
          <w:szCs w:val="18"/>
          <w:lang w:val="en-GB" w:eastAsia="fr-FR"/>
        </w:rPr>
        <w:t xml:space="preserve"> 2017). Inactivation in 70% ethanol allows for subsequent molecular tests yet is less suitable for histopathology. The Bsal type strain AMFP 13/1 is killed at temperatures exceeding 25</w:t>
      </w:r>
      <w:r w:rsidRPr="00D403F5">
        <w:rPr>
          <w:rFonts w:cs="Arial"/>
          <w:szCs w:val="18"/>
          <w:lang w:val="en-GB" w:eastAsia="fr-FR"/>
        </w:rPr>
        <w:sym w:font="Symbol" w:char="F0B0"/>
      </w:r>
      <w:r w:rsidRPr="00D403F5">
        <w:rPr>
          <w:rFonts w:cs="Arial"/>
          <w:szCs w:val="18"/>
          <w:lang w:val="en-GB" w:eastAsia="fr-FR"/>
        </w:rPr>
        <w:t xml:space="preserve">C; consequently, inactivation of this fungus can be achieved through heat treatment by autoclaving </w:t>
      </w:r>
      <w:r w:rsidRPr="00D403F5">
        <w:rPr>
          <w:rFonts w:cs="Arial"/>
          <w:szCs w:val="18"/>
          <w:u w:val="double"/>
          <w:lang w:val="en-GB" w:eastAsia="fr-FR"/>
        </w:rPr>
        <w:t xml:space="preserve">(Martel </w:t>
      </w:r>
      <w:r w:rsidRPr="00D403F5">
        <w:rPr>
          <w:rFonts w:cs="Arial"/>
          <w:i/>
          <w:iCs/>
          <w:szCs w:val="18"/>
          <w:u w:val="double"/>
          <w:lang w:val="en-GB" w:eastAsia="fr-FR"/>
        </w:rPr>
        <w:t>et al.</w:t>
      </w:r>
      <w:r w:rsidRPr="00D403F5">
        <w:rPr>
          <w:rFonts w:cs="Arial"/>
          <w:szCs w:val="18"/>
          <w:u w:val="double"/>
          <w:lang w:val="en-GB" w:eastAsia="fr-FR"/>
        </w:rPr>
        <w:t>, 2013)</w:t>
      </w:r>
      <w:r w:rsidRPr="00D403F5">
        <w:rPr>
          <w:rFonts w:cs="Arial"/>
          <w:szCs w:val="18"/>
          <w:lang w:val="en-GB" w:eastAsia="fr-FR"/>
        </w:rPr>
        <w:t xml:space="preserve">. </w:t>
      </w:r>
    </w:p>
    <w:p w14:paraId="0E184EC8" w14:textId="77777777" w:rsidR="00C7266C" w:rsidRPr="00D403F5" w:rsidRDefault="00C7266C" w:rsidP="00D403F5">
      <w:pPr>
        <w:pStyle w:val="111"/>
        <w:spacing w:after="0"/>
        <w:rPr>
          <w:sz w:val="18"/>
          <w:szCs w:val="18"/>
        </w:rPr>
      </w:pPr>
      <w:r w:rsidRPr="00D403F5">
        <w:rPr>
          <w:sz w:val="18"/>
          <w:szCs w:val="18"/>
        </w:rPr>
        <w:t>2.4.6.</w:t>
      </w:r>
      <w:r w:rsidRPr="00D403F5">
        <w:rPr>
          <w:sz w:val="18"/>
          <w:szCs w:val="18"/>
        </w:rPr>
        <w:tab/>
        <w:t>Disinfection of eggs and larvae</w:t>
      </w:r>
    </w:p>
    <w:p w14:paraId="5592FD09" w14:textId="77777777" w:rsidR="00C7266C" w:rsidRPr="00D403F5" w:rsidRDefault="00C7266C" w:rsidP="00D403F5">
      <w:pPr>
        <w:pStyle w:val="Para3"/>
        <w:spacing w:after="0"/>
        <w:rPr>
          <w:rFonts w:cs="Arial"/>
          <w:szCs w:val="18"/>
          <w:lang w:val="en-GB"/>
        </w:rPr>
      </w:pPr>
      <w:r w:rsidRPr="00D403F5">
        <w:rPr>
          <w:rFonts w:cs="Arial"/>
          <w:szCs w:val="18"/>
          <w:lang w:val="en-GB"/>
        </w:rPr>
        <w:t>No information available.</w:t>
      </w:r>
    </w:p>
    <w:p w14:paraId="03022CD2" w14:textId="77777777" w:rsidR="00C7266C" w:rsidRPr="00D403F5" w:rsidRDefault="00C7266C" w:rsidP="00D403F5">
      <w:pPr>
        <w:pStyle w:val="111"/>
        <w:spacing w:after="0"/>
        <w:rPr>
          <w:sz w:val="18"/>
          <w:szCs w:val="18"/>
        </w:rPr>
      </w:pPr>
      <w:r w:rsidRPr="00D403F5">
        <w:rPr>
          <w:sz w:val="18"/>
          <w:szCs w:val="18"/>
        </w:rPr>
        <w:t>2.4.7.</w:t>
      </w:r>
      <w:r w:rsidRPr="00D403F5">
        <w:rPr>
          <w:sz w:val="18"/>
          <w:szCs w:val="18"/>
        </w:rPr>
        <w:tab/>
        <w:t>General husbandry</w:t>
      </w:r>
    </w:p>
    <w:p w14:paraId="057E3302"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In captivity, pathogen detection is difficult due to low prevalence in sub-clinically infected animals that often carry Bsal at low intensities (Martel </w:t>
      </w:r>
      <w:r w:rsidRPr="00D403F5">
        <w:rPr>
          <w:rFonts w:cs="Arial"/>
          <w:i/>
          <w:szCs w:val="18"/>
          <w:lang w:val="en-GB"/>
        </w:rPr>
        <w:t>et al</w:t>
      </w:r>
      <w:r w:rsidRPr="00D403F5">
        <w:rPr>
          <w:rFonts w:cs="Arial"/>
          <w:szCs w:val="18"/>
          <w:lang w:val="en-GB"/>
        </w:rPr>
        <w:t xml:space="preserve">., 2014; Zhiyong </w:t>
      </w:r>
      <w:r w:rsidRPr="00D403F5">
        <w:rPr>
          <w:rFonts w:cs="Arial"/>
          <w:i/>
          <w:szCs w:val="18"/>
          <w:lang w:val="en-GB"/>
        </w:rPr>
        <w:t>et al</w:t>
      </w:r>
      <w:r w:rsidRPr="00D403F5">
        <w:rPr>
          <w:rFonts w:cs="Arial"/>
          <w:szCs w:val="18"/>
          <w:lang w:val="en-GB"/>
        </w:rPr>
        <w:t xml:space="preserve">., 2018). These </w:t>
      </w:r>
      <w:r w:rsidRPr="00D403F5">
        <w:rPr>
          <w:rFonts w:cs="Arial"/>
          <w:szCs w:val="18"/>
          <w:u w:val="double"/>
          <w:lang w:val="en-GB"/>
        </w:rPr>
        <w:t>subclinically infected animals</w:t>
      </w:r>
      <w:r w:rsidRPr="00D403F5">
        <w:rPr>
          <w:rFonts w:cs="Arial"/>
          <w:szCs w:val="18"/>
          <w:lang w:val="en-GB"/>
        </w:rPr>
        <w:t xml:space="preserve"> often belong </w:t>
      </w:r>
      <w:r w:rsidRPr="00D403F5">
        <w:rPr>
          <w:rFonts w:cs="Arial"/>
          <w:szCs w:val="18"/>
          <w:u w:val="double"/>
          <w:lang w:val="en-GB"/>
        </w:rPr>
        <w:t>to</w:t>
      </w:r>
      <w:r w:rsidRPr="00D403F5">
        <w:rPr>
          <w:rFonts w:cs="Arial"/>
          <w:szCs w:val="18"/>
          <w:lang w:val="en-GB"/>
        </w:rPr>
        <w:t xml:space="preserve"> (but are not restricted to) taxa of Asian urodeles. Highly susceptible species (such as fire salamanders </w:t>
      </w:r>
      <w:r w:rsidRPr="00D403F5">
        <w:rPr>
          <w:rFonts w:cs="Arial"/>
          <w:i/>
          <w:iCs/>
          <w:szCs w:val="18"/>
          <w:u w:val="double"/>
          <w:lang w:val="en-GB"/>
        </w:rPr>
        <w:t>Salamandra salamandra</w:t>
      </w:r>
      <w:r w:rsidRPr="00D403F5">
        <w:rPr>
          <w:rFonts w:cs="Arial"/>
          <w:szCs w:val="18"/>
          <w:lang w:val="en-GB"/>
        </w:rPr>
        <w:t xml:space="preserve">) may serve a sentinel function. Temperature regimes in captivity may strongly interfere with pathogen detection. Temperatures higher than 20°C (and below 25°C) severely impair pathogen proliferation in the host skin (Blooi </w:t>
      </w:r>
      <w:r w:rsidRPr="00D403F5">
        <w:rPr>
          <w:rFonts w:cs="Arial"/>
          <w:i/>
          <w:szCs w:val="18"/>
          <w:lang w:val="en-GB"/>
        </w:rPr>
        <w:t>et al</w:t>
      </w:r>
      <w:r w:rsidRPr="00D403F5">
        <w:rPr>
          <w:rFonts w:cs="Arial"/>
          <w:szCs w:val="18"/>
          <w:lang w:val="en-GB"/>
        </w:rPr>
        <w:t xml:space="preserve">., </w:t>
      </w:r>
      <w:r w:rsidRPr="00D403F5">
        <w:rPr>
          <w:rFonts w:cs="Arial"/>
          <w:szCs w:val="18"/>
          <w:u w:val="double"/>
          <w:lang w:val="en-GB"/>
        </w:rPr>
        <w:t>2015b</w:t>
      </w:r>
      <w:r w:rsidRPr="00D403F5">
        <w:rPr>
          <w:rFonts w:cs="Arial"/>
          <w:strike/>
          <w:szCs w:val="18"/>
          <w:lang w:val="en-GB"/>
        </w:rPr>
        <w:t xml:space="preserve"> 2015a</w:t>
      </w:r>
      <w:r w:rsidRPr="00D403F5">
        <w:rPr>
          <w:rFonts w:cs="Arial"/>
          <w:szCs w:val="18"/>
          <w:lang w:val="en-GB"/>
        </w:rPr>
        <w:t xml:space="preserve">) and may result in infections that cannot be detected. </w:t>
      </w:r>
    </w:p>
    <w:p w14:paraId="5577887A" w14:textId="77777777" w:rsidR="00C7266C" w:rsidRPr="00D403F5" w:rsidRDefault="00C7266C" w:rsidP="00D403F5">
      <w:pPr>
        <w:pStyle w:val="Para3"/>
        <w:spacing w:after="0"/>
        <w:rPr>
          <w:rFonts w:cs="Arial"/>
          <w:szCs w:val="18"/>
          <w:u w:val="double"/>
        </w:rPr>
      </w:pPr>
      <w:r w:rsidRPr="00D403F5">
        <w:rPr>
          <w:rFonts w:cs="Arial"/>
          <w:szCs w:val="18"/>
          <w:u w:val="double"/>
          <w:lang w:val="en-GB"/>
        </w:rPr>
        <w:t>H</w:t>
      </w:r>
      <w:r w:rsidRPr="00D403F5">
        <w:rPr>
          <w:rFonts w:cs="Arial"/>
          <w:szCs w:val="18"/>
          <w:u w:val="double"/>
        </w:rPr>
        <w:t xml:space="preserve">eat treatment can be used to clear infection with Bsal in thermo-tolerant salamander species (Blooi </w:t>
      </w:r>
      <w:r w:rsidRPr="00D403F5">
        <w:rPr>
          <w:rFonts w:cs="Arial"/>
          <w:i/>
          <w:iCs/>
          <w:szCs w:val="18"/>
          <w:u w:val="double"/>
        </w:rPr>
        <w:t>et al</w:t>
      </w:r>
      <w:r w:rsidRPr="00D403F5">
        <w:rPr>
          <w:rFonts w:cs="Arial"/>
          <w:szCs w:val="18"/>
          <w:u w:val="double"/>
        </w:rPr>
        <w:t xml:space="preserve">., 2015a). </w:t>
      </w:r>
    </w:p>
    <w:p w14:paraId="65BB9C5C" w14:textId="77777777" w:rsidR="00C7266C" w:rsidRPr="00D403F5" w:rsidRDefault="00C7266C" w:rsidP="00D403F5">
      <w:pPr>
        <w:pStyle w:val="StyleTitre1Arial"/>
        <w:spacing w:after="0"/>
        <w:rPr>
          <w:rFonts w:ascii="Ottawa" w:hAnsi="Ottawa"/>
          <w:sz w:val="18"/>
          <w:szCs w:val="18"/>
          <w:lang w:val="en-GB"/>
        </w:rPr>
      </w:pPr>
      <w:r w:rsidRPr="00D403F5">
        <w:rPr>
          <w:rFonts w:ascii="Ottawa" w:hAnsi="Ottawa"/>
          <w:sz w:val="18"/>
          <w:szCs w:val="18"/>
          <w:lang w:val="en-GB"/>
        </w:rPr>
        <w:t>3.</w:t>
      </w:r>
      <w:r w:rsidRPr="00D403F5">
        <w:rPr>
          <w:rFonts w:ascii="Ottawa" w:hAnsi="Ottawa"/>
          <w:sz w:val="18"/>
          <w:szCs w:val="18"/>
          <w:lang w:val="en-GB"/>
        </w:rPr>
        <w:tab/>
        <w:t xml:space="preserve">Specimen selection, sample collection, transportation and handling </w:t>
      </w:r>
    </w:p>
    <w:p w14:paraId="696A6B22" w14:textId="77777777" w:rsidR="00C7266C" w:rsidRPr="00D403F5" w:rsidRDefault="00C7266C" w:rsidP="00D403F5">
      <w:pPr>
        <w:pStyle w:val="Para10"/>
        <w:spacing w:after="0"/>
        <w:rPr>
          <w:rFonts w:cs="Arial"/>
          <w:szCs w:val="18"/>
          <w:lang w:val="en-GB"/>
        </w:rPr>
      </w:pPr>
      <w:r w:rsidRPr="00D403F5">
        <w:rPr>
          <w:rFonts w:cs="Arial"/>
          <w:szCs w:val="18"/>
          <w:lang w:val="en-GB"/>
        </w:rPr>
        <w:t>This Section draws on information from Sections 2.2., 2.3. and 2.4. to identify populations, individuals and samples which are most likely to be infected.</w:t>
      </w:r>
    </w:p>
    <w:p w14:paraId="329CDEE7" w14:textId="77777777" w:rsidR="00C7266C" w:rsidRPr="00D403F5" w:rsidRDefault="00C7266C" w:rsidP="00D403F5">
      <w:pPr>
        <w:pStyle w:val="11"/>
        <w:spacing w:after="0"/>
        <w:rPr>
          <w:sz w:val="18"/>
          <w:szCs w:val="18"/>
          <w:lang w:val="en-GB"/>
        </w:rPr>
      </w:pPr>
      <w:r w:rsidRPr="00D403F5">
        <w:rPr>
          <w:sz w:val="18"/>
          <w:szCs w:val="18"/>
          <w:lang w:val="en-GB"/>
        </w:rPr>
        <w:t>3.1.</w:t>
      </w:r>
      <w:r w:rsidRPr="00D403F5">
        <w:rPr>
          <w:sz w:val="18"/>
          <w:szCs w:val="18"/>
          <w:lang w:val="en-GB"/>
        </w:rPr>
        <w:tab/>
        <w:t xml:space="preserve">Selection of populations and individual specimens </w:t>
      </w:r>
    </w:p>
    <w:p w14:paraId="47201ECE" w14:textId="77777777" w:rsidR="00C7266C" w:rsidRPr="00D403F5" w:rsidRDefault="00C7266C" w:rsidP="00D403F5">
      <w:pPr>
        <w:pStyle w:val="Para20"/>
        <w:spacing w:after="0"/>
        <w:rPr>
          <w:rFonts w:cs="Arial"/>
          <w:szCs w:val="18"/>
          <w:lang w:val="en-GB"/>
        </w:rPr>
      </w:pPr>
      <w:r w:rsidRPr="00D403F5">
        <w:rPr>
          <w:rFonts w:cs="Arial"/>
          <w:szCs w:val="18"/>
          <w:lang w:val="en-GB"/>
        </w:rPr>
        <w:t xml:space="preserve">In case of disease or mortality in urodeles in captivity, sampling should be focused primarily on diseased or moribund animals (i.e. those showing skin lesions and abnormal behaviour). In a population with ongoing disease and mortality, live but diseased animals are preferentially sampled. The second choice is dead animals. Only freshly dead animals should be sampled as detectability of Bsal deteriorates post-mortem (Thomas </w:t>
      </w:r>
      <w:r w:rsidRPr="00D403F5">
        <w:rPr>
          <w:rFonts w:cs="Arial"/>
          <w:i/>
          <w:szCs w:val="18"/>
          <w:lang w:val="en-GB"/>
        </w:rPr>
        <w:t>et al</w:t>
      </w:r>
      <w:r w:rsidRPr="00D403F5">
        <w:rPr>
          <w:rFonts w:cs="Arial"/>
          <w:szCs w:val="18"/>
          <w:lang w:val="en-GB"/>
        </w:rPr>
        <w:t xml:space="preserve">., 2018). However, in the absence of diseased or </w:t>
      </w:r>
      <w:r w:rsidRPr="00D403F5">
        <w:rPr>
          <w:rFonts w:cs="Arial"/>
          <w:szCs w:val="18"/>
          <w:u w:val="double"/>
          <w:lang w:val="en-GB"/>
        </w:rPr>
        <w:t>freshly</w:t>
      </w:r>
      <w:r w:rsidRPr="00D403F5">
        <w:rPr>
          <w:rFonts w:cs="Arial"/>
          <w:szCs w:val="18"/>
          <w:lang w:val="en-GB"/>
        </w:rPr>
        <w:t xml:space="preserve"> dead animals, apparently healthy animals can be sampled. </w:t>
      </w:r>
    </w:p>
    <w:p w14:paraId="364AAB57" w14:textId="77777777" w:rsidR="00C7266C" w:rsidRPr="00D403F5" w:rsidRDefault="00C7266C" w:rsidP="00D403F5">
      <w:pPr>
        <w:pStyle w:val="Para20"/>
        <w:spacing w:after="0"/>
        <w:rPr>
          <w:rFonts w:cs="Arial"/>
          <w:szCs w:val="18"/>
          <w:lang w:val="en-GB"/>
        </w:rPr>
      </w:pPr>
      <w:r w:rsidRPr="00D403F5">
        <w:rPr>
          <w:rFonts w:cs="Arial"/>
          <w:szCs w:val="18"/>
          <w:lang w:val="en-GB"/>
        </w:rPr>
        <w:t xml:space="preserve">Similarly, in wild populations, </w:t>
      </w:r>
      <w:r w:rsidRPr="00D403F5">
        <w:rPr>
          <w:rFonts w:cs="Arial"/>
          <w:szCs w:val="18"/>
          <w:u w:val="double"/>
          <w:lang w:val="en-GB"/>
        </w:rPr>
        <w:t>samples should be taken preferentially from diseased</w:t>
      </w:r>
      <w:r w:rsidRPr="00D403F5">
        <w:rPr>
          <w:rFonts w:cs="Arial"/>
          <w:strike/>
          <w:szCs w:val="18"/>
          <w:lang w:val="en-GB"/>
        </w:rPr>
        <w:t xml:space="preserve"> or</w:t>
      </w:r>
      <w:r w:rsidRPr="00D403F5">
        <w:rPr>
          <w:rFonts w:cs="Arial"/>
          <w:szCs w:val="18"/>
          <w:u w:val="double"/>
          <w:lang w:val="en-GB"/>
        </w:rPr>
        <w:t>,</w:t>
      </w:r>
      <w:r w:rsidRPr="00D403F5">
        <w:rPr>
          <w:rFonts w:cs="Arial"/>
          <w:szCs w:val="18"/>
          <w:lang w:val="en-GB"/>
        </w:rPr>
        <w:t xml:space="preserve"> moribund or freshly dead animals</w:t>
      </w:r>
      <w:r w:rsidRPr="00D403F5">
        <w:rPr>
          <w:rFonts w:cs="Arial"/>
          <w:strike/>
          <w:szCs w:val="18"/>
          <w:lang w:val="en-GB"/>
        </w:rPr>
        <w:t xml:space="preserve"> should preferentially be sampled, but</w:t>
      </w:r>
      <w:r w:rsidRPr="00D403F5">
        <w:rPr>
          <w:rFonts w:cs="Arial"/>
          <w:szCs w:val="18"/>
          <w:u w:val="double"/>
          <w:lang w:val="en-GB"/>
        </w:rPr>
        <w:t>;</w:t>
      </w:r>
      <w:r w:rsidRPr="00D403F5">
        <w:rPr>
          <w:rFonts w:cs="Arial"/>
          <w:szCs w:val="18"/>
          <w:lang w:val="en-GB"/>
        </w:rPr>
        <w:t xml:space="preserve"> </w:t>
      </w:r>
      <w:r w:rsidRPr="00D403F5">
        <w:rPr>
          <w:rFonts w:cs="Arial"/>
          <w:szCs w:val="18"/>
          <w:u w:val="double"/>
          <w:lang w:val="en-GB"/>
        </w:rPr>
        <w:t>however</w:t>
      </w:r>
      <w:r w:rsidRPr="00D403F5">
        <w:rPr>
          <w:rFonts w:cs="Arial"/>
          <w:szCs w:val="18"/>
          <w:lang w:val="en-GB"/>
        </w:rPr>
        <w:t xml:space="preserve">, as these may quickly be removed (i.e. through predation, scavenging) </w:t>
      </w:r>
      <w:r w:rsidRPr="00D403F5">
        <w:rPr>
          <w:rFonts w:cs="Arial"/>
          <w:szCs w:val="18"/>
          <w:u w:val="double"/>
          <w:lang w:val="en-GB"/>
        </w:rPr>
        <w:t>only</w:t>
      </w:r>
      <w:r w:rsidRPr="00D403F5">
        <w:rPr>
          <w:rFonts w:cs="Arial"/>
          <w:szCs w:val="18"/>
          <w:lang w:val="en-GB"/>
        </w:rPr>
        <w:t xml:space="preserve"> healthy animals may </w:t>
      </w:r>
      <w:r w:rsidRPr="00D403F5">
        <w:rPr>
          <w:rFonts w:cs="Arial"/>
          <w:strike/>
          <w:szCs w:val="18"/>
          <w:lang w:val="en-GB"/>
        </w:rPr>
        <w:t>only</w:t>
      </w:r>
      <w:r w:rsidRPr="00D403F5">
        <w:rPr>
          <w:rFonts w:cs="Arial"/>
          <w:szCs w:val="18"/>
          <w:lang w:val="en-GB"/>
        </w:rPr>
        <w:t xml:space="preserve"> be available. Populations which have declined or where dead animals have been observed should be targeted.</w:t>
      </w:r>
    </w:p>
    <w:p w14:paraId="699BEEA9" w14:textId="77777777" w:rsidR="00C7266C" w:rsidRPr="00D403F5" w:rsidRDefault="00C7266C" w:rsidP="00D403F5">
      <w:pPr>
        <w:spacing w:after="0"/>
        <w:rPr>
          <w:rFonts w:ascii="Ottawa" w:eastAsia="MS Mincho" w:hAnsi="Ottawa" w:cs="Times New Roman"/>
          <w:b/>
          <w:sz w:val="18"/>
          <w:szCs w:val="18"/>
          <w:lang w:eastAsia="da-DK"/>
        </w:rPr>
      </w:pPr>
      <w:r w:rsidRPr="00D403F5">
        <w:rPr>
          <w:sz w:val="18"/>
          <w:szCs w:val="18"/>
        </w:rPr>
        <w:br w:type="page"/>
      </w:r>
    </w:p>
    <w:p w14:paraId="1E1FC33B" w14:textId="77777777" w:rsidR="00C7266C" w:rsidRPr="00D403F5" w:rsidRDefault="00C7266C" w:rsidP="00EA6B7E">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43916F3F" w14:textId="77777777" w:rsidR="00C7266C" w:rsidRPr="00D403F5" w:rsidRDefault="00C7266C" w:rsidP="00D403F5">
      <w:pPr>
        <w:pStyle w:val="11"/>
        <w:spacing w:after="0"/>
        <w:rPr>
          <w:sz w:val="18"/>
          <w:szCs w:val="18"/>
          <w:lang w:val="en-GB"/>
        </w:rPr>
      </w:pPr>
      <w:r w:rsidRPr="00D403F5">
        <w:rPr>
          <w:sz w:val="18"/>
          <w:szCs w:val="18"/>
          <w:lang w:val="en-GB"/>
        </w:rPr>
        <w:t>3.2.</w:t>
      </w:r>
      <w:r w:rsidRPr="00D403F5">
        <w:rPr>
          <w:sz w:val="18"/>
          <w:szCs w:val="18"/>
          <w:lang w:val="en-GB"/>
        </w:rPr>
        <w:tab/>
        <w:t>Selection of organs or tissues</w:t>
      </w:r>
    </w:p>
    <w:p w14:paraId="3D65A24C" w14:textId="77777777" w:rsidR="00C7266C" w:rsidRPr="00D403F5" w:rsidRDefault="00C7266C" w:rsidP="00D403F5">
      <w:pPr>
        <w:pStyle w:val="Para20"/>
        <w:spacing w:after="0"/>
        <w:rPr>
          <w:rFonts w:cs="Arial"/>
          <w:szCs w:val="18"/>
          <w:lang w:val="en-GB"/>
        </w:rPr>
      </w:pPr>
      <w:r w:rsidRPr="00D403F5">
        <w:rPr>
          <w:rFonts w:cs="Arial"/>
          <w:szCs w:val="18"/>
          <w:lang w:val="en-GB"/>
        </w:rPr>
        <w:t xml:space="preserve">The only relevant tissue is skin tissue and probably only from amphibians post metamorphosis. Both invasive (skin biopsies) and non-invasive (cotton tipped swabs) </w:t>
      </w:r>
      <w:r w:rsidRPr="00D403F5">
        <w:rPr>
          <w:rFonts w:cs="Arial"/>
          <w:szCs w:val="18"/>
          <w:u w:val="double"/>
          <w:lang w:val="en-GB"/>
        </w:rPr>
        <w:t>samples</w:t>
      </w:r>
      <w:r w:rsidRPr="00D403F5">
        <w:rPr>
          <w:rFonts w:cs="Arial"/>
          <w:szCs w:val="18"/>
          <w:lang w:val="en-GB"/>
        </w:rPr>
        <w:t xml:space="preserve"> </w:t>
      </w:r>
      <w:r w:rsidRPr="00D403F5">
        <w:rPr>
          <w:rFonts w:cs="Arial"/>
          <w:strike/>
          <w:szCs w:val="18"/>
          <w:lang w:val="en-GB"/>
        </w:rPr>
        <w:t xml:space="preserve">sampling </w:t>
      </w:r>
      <w:r w:rsidRPr="00D403F5">
        <w:rPr>
          <w:rFonts w:cs="Arial"/>
          <w:szCs w:val="18"/>
          <w:lang w:val="en-GB"/>
        </w:rPr>
        <w:t xml:space="preserve">are appropriate, given the apical shedding of Bsal spores. In dead animals, dorsal skin is the preferred tissue, given its slower post mortem decay (Thomas </w:t>
      </w:r>
      <w:r w:rsidRPr="00D403F5">
        <w:rPr>
          <w:rFonts w:cs="Arial"/>
          <w:i/>
          <w:szCs w:val="18"/>
          <w:lang w:val="en-GB"/>
        </w:rPr>
        <w:t>et al</w:t>
      </w:r>
      <w:r w:rsidRPr="00D403F5">
        <w:rPr>
          <w:rFonts w:cs="Arial"/>
          <w:szCs w:val="18"/>
          <w:lang w:val="en-GB"/>
        </w:rPr>
        <w:t>., 2018).</w:t>
      </w:r>
    </w:p>
    <w:p w14:paraId="7F10125A" w14:textId="77777777" w:rsidR="00C7266C" w:rsidRPr="00D403F5" w:rsidRDefault="00C7266C" w:rsidP="00D403F5">
      <w:pPr>
        <w:pStyle w:val="11"/>
        <w:spacing w:after="0"/>
        <w:rPr>
          <w:sz w:val="18"/>
          <w:szCs w:val="18"/>
          <w:lang w:val="en-GB"/>
        </w:rPr>
      </w:pPr>
      <w:r w:rsidRPr="00D403F5">
        <w:rPr>
          <w:sz w:val="18"/>
          <w:szCs w:val="18"/>
          <w:lang w:val="en-GB"/>
        </w:rPr>
        <w:t>3.3.</w:t>
      </w:r>
      <w:r w:rsidRPr="00D403F5">
        <w:rPr>
          <w:sz w:val="18"/>
          <w:szCs w:val="18"/>
          <w:lang w:val="en-GB"/>
        </w:rPr>
        <w:tab/>
        <w:t>Samples or tissues not suitable for pathogen detection</w:t>
      </w:r>
    </w:p>
    <w:p w14:paraId="269CF13F" w14:textId="77777777" w:rsidR="00C7266C" w:rsidRPr="00D403F5" w:rsidRDefault="00C7266C" w:rsidP="00D403F5">
      <w:pPr>
        <w:pStyle w:val="Para20"/>
        <w:spacing w:after="0"/>
        <w:rPr>
          <w:rFonts w:cs="Arial"/>
          <w:szCs w:val="18"/>
          <w:lang w:val="en-GB"/>
        </w:rPr>
      </w:pPr>
      <w:r w:rsidRPr="00D403F5">
        <w:rPr>
          <w:rFonts w:cs="Arial"/>
          <w:szCs w:val="18"/>
          <w:lang w:val="en-GB"/>
        </w:rPr>
        <w:t xml:space="preserve">Any other tissue than skin is not suitable for the detection of Bsal in amphibians. </w:t>
      </w:r>
    </w:p>
    <w:p w14:paraId="6DDFBC99" w14:textId="77777777" w:rsidR="00C7266C" w:rsidRPr="00D403F5" w:rsidRDefault="00C7266C" w:rsidP="00D403F5">
      <w:pPr>
        <w:pStyle w:val="11"/>
        <w:spacing w:after="0"/>
        <w:rPr>
          <w:sz w:val="18"/>
          <w:szCs w:val="18"/>
          <w:lang w:val="en-GB"/>
        </w:rPr>
      </w:pPr>
      <w:r w:rsidRPr="00D403F5">
        <w:rPr>
          <w:sz w:val="18"/>
          <w:szCs w:val="18"/>
          <w:lang w:val="en-GB"/>
        </w:rPr>
        <w:t>3.4.</w:t>
      </w:r>
      <w:r w:rsidRPr="00D403F5">
        <w:rPr>
          <w:sz w:val="18"/>
          <w:szCs w:val="18"/>
          <w:lang w:val="en-GB"/>
        </w:rPr>
        <w:tab/>
        <w:t>Non-lethal sampling</w:t>
      </w:r>
    </w:p>
    <w:p w14:paraId="3B533B0F" w14:textId="77777777" w:rsidR="00C7266C" w:rsidRPr="00D403F5" w:rsidRDefault="00C7266C" w:rsidP="00D403F5">
      <w:pPr>
        <w:pStyle w:val="Para20"/>
        <w:spacing w:after="0"/>
        <w:rPr>
          <w:rFonts w:cs="Arial"/>
          <w:szCs w:val="18"/>
          <w:lang w:val="en-GB" w:eastAsia="fr-FR"/>
        </w:rPr>
      </w:pPr>
      <w:r w:rsidRPr="00D403F5">
        <w:rPr>
          <w:rFonts w:cs="Arial"/>
          <w:szCs w:val="18"/>
          <w:lang w:val="en-GB" w:eastAsia="fr-FR"/>
        </w:rPr>
        <w:t xml:space="preserve">Non-lethal sampling is possible, either by collecting skin biopsies (toeclips or tailclips) or by non-invasively collecting samples using cotton tipped swabs. The latter is preferred given its minimal impact on animal </w:t>
      </w:r>
      <w:r w:rsidRPr="00D403F5">
        <w:rPr>
          <w:rFonts w:cs="Arial"/>
          <w:szCs w:val="18"/>
          <w:u w:val="double"/>
          <w:lang w:val="en-GB" w:eastAsia="fr-FR"/>
        </w:rPr>
        <w:t>welfare</w:t>
      </w:r>
      <w:r w:rsidRPr="00D403F5">
        <w:rPr>
          <w:rFonts w:cs="Arial"/>
          <w:strike/>
          <w:szCs w:val="18"/>
          <w:lang w:val="en-GB" w:eastAsia="fr-FR"/>
        </w:rPr>
        <w:t xml:space="preserve"> well being</w:t>
      </w:r>
      <w:r w:rsidRPr="00D403F5">
        <w:rPr>
          <w:rFonts w:cs="Arial"/>
          <w:szCs w:val="18"/>
          <w:lang w:val="en-GB" w:eastAsia="fr-FR"/>
        </w:rPr>
        <w:t xml:space="preserve">. As Bsal is limited to the superficial skin layers of the amphibian host, non-lethal sampling results are equivalent to lethal sampling results. </w:t>
      </w:r>
      <w:r w:rsidRPr="00D403F5">
        <w:rPr>
          <w:rFonts w:cs="Arial"/>
          <w:strike/>
          <w:szCs w:val="18"/>
          <w:lang w:val="en-GB" w:eastAsia="fr-FR"/>
        </w:rPr>
        <w:t xml:space="preserve">In the absence of other, Bsal specific diagnostic tests (other than the laborious isolation of the fungus), </w:t>
      </w:r>
      <w:r w:rsidRPr="00D403F5">
        <w:rPr>
          <w:rFonts w:cs="Arial"/>
          <w:szCs w:val="18"/>
          <w:lang w:val="en-GB" w:eastAsia="fr-FR"/>
        </w:rPr>
        <w:t>Large numbers of animals can be sampled using skin swabs with minimal effects on animal welfare. Cotton tipped swabs should be rubbed firmly over the abdomen (10 times), the underside of a foot (10 times) and the ventral tail (10 times) using the tip of the swab. The use of disposable gloves for manipulating amphibians is highly recommended.</w:t>
      </w:r>
    </w:p>
    <w:p w14:paraId="030D837F" w14:textId="77777777" w:rsidR="00C7266C" w:rsidRPr="00D403F5" w:rsidRDefault="00C7266C" w:rsidP="00D403F5">
      <w:pPr>
        <w:pStyle w:val="11"/>
        <w:spacing w:after="0"/>
        <w:ind w:left="426" w:hanging="426"/>
        <w:rPr>
          <w:sz w:val="18"/>
          <w:szCs w:val="18"/>
          <w:lang w:val="en-GB"/>
        </w:rPr>
      </w:pPr>
      <w:r w:rsidRPr="00D403F5">
        <w:rPr>
          <w:sz w:val="18"/>
          <w:szCs w:val="18"/>
          <w:lang w:val="en-GB"/>
        </w:rPr>
        <w:t>3.5.</w:t>
      </w:r>
      <w:r w:rsidRPr="00D403F5">
        <w:rPr>
          <w:sz w:val="18"/>
          <w:szCs w:val="18"/>
          <w:lang w:val="en-GB"/>
        </w:rPr>
        <w:tab/>
        <w:t>Preservation of samples for submission</w:t>
      </w:r>
    </w:p>
    <w:p w14:paraId="387A58D5" w14:textId="77777777" w:rsidR="00C7266C" w:rsidRPr="00D403F5" w:rsidRDefault="00C7266C" w:rsidP="00D403F5">
      <w:pPr>
        <w:pStyle w:val="111"/>
        <w:spacing w:after="0"/>
        <w:rPr>
          <w:sz w:val="18"/>
          <w:szCs w:val="18"/>
        </w:rPr>
      </w:pPr>
      <w:r w:rsidRPr="00D403F5">
        <w:rPr>
          <w:sz w:val="18"/>
          <w:szCs w:val="18"/>
        </w:rPr>
        <w:t>3.5.1.</w:t>
      </w:r>
      <w:r w:rsidRPr="00D403F5">
        <w:rPr>
          <w:sz w:val="18"/>
          <w:szCs w:val="18"/>
        </w:rPr>
        <w:tab/>
        <w:t xml:space="preserve">Samples for pathogen isolation </w:t>
      </w:r>
    </w:p>
    <w:p w14:paraId="48AEB7FA" w14:textId="77777777" w:rsidR="00C7266C" w:rsidRPr="00D403F5" w:rsidRDefault="00C7266C" w:rsidP="00D403F5">
      <w:pPr>
        <w:pStyle w:val="Para3"/>
        <w:spacing w:after="0"/>
        <w:rPr>
          <w:szCs w:val="18"/>
          <w:lang w:val="en-GB" w:eastAsia="fr-FR"/>
        </w:rPr>
      </w:pPr>
      <w:r w:rsidRPr="00D403F5">
        <w:rPr>
          <w:szCs w:val="18"/>
          <w:lang w:val="en-GB" w:eastAsia="fr-FR"/>
        </w:rPr>
        <w:t xml:space="preserve">Bsal isolation is a </w:t>
      </w:r>
      <w:r w:rsidRPr="00D403F5">
        <w:rPr>
          <w:strike/>
          <w:szCs w:val="18"/>
          <w:lang w:val="en-GB" w:eastAsia="fr-FR"/>
        </w:rPr>
        <w:t xml:space="preserve">very </w:t>
      </w:r>
      <w:r w:rsidRPr="00D403F5">
        <w:rPr>
          <w:szCs w:val="18"/>
          <w:lang w:val="en-GB" w:eastAsia="fr-FR"/>
        </w:rPr>
        <w:t xml:space="preserve">laborious procedure, requiring up to two months </w:t>
      </w:r>
      <w:r w:rsidRPr="00D403F5">
        <w:rPr>
          <w:szCs w:val="18"/>
          <w:u w:val="double"/>
          <w:lang w:val="en-GB" w:eastAsia="fr-FR"/>
        </w:rPr>
        <w:t>to obtain</w:t>
      </w:r>
      <w:r w:rsidRPr="00D403F5">
        <w:rPr>
          <w:szCs w:val="18"/>
          <w:lang w:val="en-GB" w:eastAsia="fr-FR"/>
        </w:rPr>
        <w:t xml:space="preserve"> </w:t>
      </w:r>
      <w:r w:rsidRPr="00D403F5">
        <w:rPr>
          <w:strike/>
          <w:szCs w:val="18"/>
          <w:lang w:val="en-GB" w:eastAsia="fr-FR"/>
        </w:rPr>
        <w:t xml:space="preserve">for obtaining </w:t>
      </w:r>
      <w:r w:rsidRPr="00D403F5">
        <w:rPr>
          <w:szCs w:val="18"/>
          <w:lang w:val="en-GB" w:eastAsia="fr-FR"/>
        </w:rPr>
        <w:t xml:space="preserve">a pure culture from a clinical sample. Isolation from animals that died due to Bsal infection is hampered by bacterial overgrowth. The best sample for Bsal isolation is a diseased, living animal, which is euthanised just prior to an isolation attempt. Before sampling diseased animals should be kept at temperatures between 5 and 15°C to avoid clearance of infection (Blooi </w:t>
      </w:r>
      <w:r w:rsidRPr="00D403F5">
        <w:rPr>
          <w:i/>
          <w:szCs w:val="18"/>
          <w:lang w:val="en-GB" w:eastAsia="fr-FR"/>
        </w:rPr>
        <w:t>et al</w:t>
      </w:r>
      <w:r w:rsidRPr="00D403F5">
        <w:rPr>
          <w:szCs w:val="18"/>
          <w:lang w:val="en-GB" w:eastAsia="fr-FR"/>
        </w:rPr>
        <w:t xml:space="preserve">., </w:t>
      </w:r>
      <w:r w:rsidRPr="00D403F5">
        <w:rPr>
          <w:szCs w:val="18"/>
          <w:u w:val="double"/>
          <w:lang w:val="en-GB" w:eastAsia="fr-FR"/>
        </w:rPr>
        <w:t>2015b</w:t>
      </w:r>
      <w:r w:rsidRPr="00D403F5">
        <w:rPr>
          <w:strike/>
          <w:szCs w:val="18"/>
          <w:lang w:val="en-GB" w:eastAsia="fr-FR"/>
        </w:rPr>
        <w:t xml:space="preserve"> 2015a</w:t>
      </w:r>
      <w:r w:rsidRPr="00D403F5">
        <w:rPr>
          <w:szCs w:val="18"/>
          <w:lang w:val="en-GB" w:eastAsia="fr-FR"/>
        </w:rPr>
        <w:t>).</w:t>
      </w:r>
    </w:p>
    <w:p w14:paraId="71D4BF12" w14:textId="77777777" w:rsidR="00C7266C" w:rsidRPr="00D403F5" w:rsidRDefault="00C7266C" w:rsidP="00D403F5">
      <w:pPr>
        <w:pStyle w:val="111"/>
        <w:spacing w:after="0"/>
        <w:rPr>
          <w:sz w:val="18"/>
          <w:szCs w:val="18"/>
        </w:rPr>
      </w:pPr>
      <w:r w:rsidRPr="00D403F5">
        <w:rPr>
          <w:sz w:val="18"/>
          <w:szCs w:val="18"/>
        </w:rPr>
        <w:t>3.5.2.</w:t>
      </w:r>
      <w:r w:rsidRPr="00D403F5">
        <w:rPr>
          <w:sz w:val="18"/>
          <w:szCs w:val="18"/>
        </w:rPr>
        <w:tab/>
      </w:r>
      <w:r w:rsidRPr="00D403F5">
        <w:rPr>
          <w:sz w:val="18"/>
          <w:szCs w:val="18"/>
          <w:u w:val="double"/>
        </w:rPr>
        <w:t>Preservation of</w:t>
      </w:r>
      <w:r w:rsidRPr="00D403F5">
        <w:rPr>
          <w:sz w:val="18"/>
          <w:szCs w:val="18"/>
        </w:rPr>
        <w:t xml:space="preserve"> </w:t>
      </w:r>
      <w:r w:rsidRPr="00D403F5">
        <w:rPr>
          <w:strike/>
          <w:sz w:val="18"/>
          <w:szCs w:val="18"/>
        </w:rPr>
        <w:t xml:space="preserve">Fixed </w:t>
      </w:r>
      <w:r w:rsidRPr="00D403F5">
        <w:rPr>
          <w:sz w:val="18"/>
          <w:szCs w:val="18"/>
        </w:rPr>
        <w:t>samples for molecular detection</w:t>
      </w:r>
    </w:p>
    <w:p w14:paraId="09B2F9CC" w14:textId="77777777" w:rsidR="00C7266C" w:rsidRPr="00D403F5" w:rsidRDefault="00C7266C" w:rsidP="00D403F5">
      <w:pPr>
        <w:pStyle w:val="Para3"/>
        <w:spacing w:after="0"/>
        <w:rPr>
          <w:szCs w:val="18"/>
          <w:lang w:val="en-GB" w:eastAsia="fr-FR"/>
        </w:rPr>
      </w:pPr>
      <w:r w:rsidRPr="00D403F5">
        <w:rPr>
          <w:szCs w:val="18"/>
          <w:lang w:val="en-GB" w:eastAsia="fr-FR"/>
        </w:rPr>
        <w:t>Tissue samples for PCR testing should be preserved in 70–90% (v/v) analytical/reagent-grade (undenatured) ethanol. The recommended ratio of ethanol to tissue is 10:1. The use of lower grade (laboratory or industrial grade) ethanol is not recommended. If material cannot be fixed it may be frozen.</w:t>
      </w:r>
    </w:p>
    <w:p w14:paraId="3225BBEF" w14:textId="77777777" w:rsidR="00C7266C" w:rsidRPr="00D403F5" w:rsidRDefault="00C7266C" w:rsidP="00D403F5">
      <w:pPr>
        <w:pStyle w:val="Para3"/>
        <w:spacing w:after="0"/>
        <w:rPr>
          <w:szCs w:val="18"/>
          <w:lang w:val="en-GB" w:eastAsia="fr-FR"/>
        </w:rPr>
      </w:pPr>
      <w:r w:rsidRPr="00D403F5">
        <w:rPr>
          <w:szCs w:val="18"/>
          <w:lang w:val="en-GB" w:eastAsia="fr-FR"/>
        </w:rPr>
        <w:t xml:space="preserve">Skin swabs should be stored dry and preferably frozen. </w:t>
      </w:r>
    </w:p>
    <w:p w14:paraId="6CA79BD5" w14:textId="77777777" w:rsidR="00C7266C" w:rsidRPr="00D403F5" w:rsidRDefault="00C7266C" w:rsidP="00D403F5">
      <w:pPr>
        <w:pStyle w:val="111"/>
        <w:spacing w:after="0"/>
        <w:rPr>
          <w:sz w:val="18"/>
          <w:szCs w:val="18"/>
        </w:rPr>
      </w:pPr>
      <w:r w:rsidRPr="00D403F5">
        <w:rPr>
          <w:sz w:val="18"/>
          <w:szCs w:val="18"/>
        </w:rPr>
        <w:t>3.5.3.</w:t>
      </w:r>
      <w:r w:rsidRPr="00D403F5">
        <w:rPr>
          <w:sz w:val="18"/>
          <w:szCs w:val="18"/>
        </w:rPr>
        <w:tab/>
        <w:t xml:space="preserve">Fixed samples for histopathology, immunohistochemistry or </w:t>
      </w:r>
      <w:r w:rsidRPr="00D403F5">
        <w:rPr>
          <w:i/>
          <w:sz w:val="18"/>
          <w:szCs w:val="18"/>
        </w:rPr>
        <w:t>in-situ</w:t>
      </w:r>
      <w:r w:rsidRPr="00D403F5">
        <w:rPr>
          <w:sz w:val="18"/>
          <w:szCs w:val="18"/>
        </w:rPr>
        <w:t xml:space="preserve"> hybridisation</w:t>
      </w:r>
    </w:p>
    <w:p w14:paraId="75123CAD" w14:textId="77777777" w:rsidR="00C7266C" w:rsidRPr="00D403F5" w:rsidRDefault="00C7266C" w:rsidP="00D403F5">
      <w:pPr>
        <w:pStyle w:val="Para3"/>
        <w:spacing w:after="0"/>
        <w:rPr>
          <w:szCs w:val="18"/>
          <w:lang w:val="en-GB" w:eastAsia="fr-FR"/>
        </w:rPr>
      </w:pPr>
      <w:r w:rsidRPr="00D403F5">
        <w:rPr>
          <w:szCs w:val="18"/>
          <w:lang w:val="en-GB" w:eastAsia="fr-FR"/>
        </w:rPr>
        <w:t>Skin samples for histopathology should be fixed immediately after collection. The recommended ratio of formalin (10%) to tissue is 10:1.</w:t>
      </w:r>
    </w:p>
    <w:p w14:paraId="57AEB441" w14:textId="77777777" w:rsidR="00C7266C" w:rsidRPr="00D403F5" w:rsidRDefault="00C7266C" w:rsidP="00D403F5">
      <w:pPr>
        <w:pStyle w:val="111"/>
        <w:spacing w:after="0"/>
        <w:rPr>
          <w:sz w:val="18"/>
          <w:szCs w:val="18"/>
        </w:rPr>
      </w:pPr>
      <w:r w:rsidRPr="00D403F5">
        <w:rPr>
          <w:sz w:val="18"/>
          <w:szCs w:val="18"/>
        </w:rPr>
        <w:t>3.5.4.</w:t>
      </w:r>
      <w:r w:rsidRPr="00D403F5">
        <w:rPr>
          <w:sz w:val="18"/>
          <w:szCs w:val="18"/>
        </w:rPr>
        <w:tab/>
        <w:t>Fixed samples for electron microscopy</w:t>
      </w:r>
    </w:p>
    <w:p w14:paraId="644601BF" w14:textId="77777777" w:rsidR="00C7266C" w:rsidRPr="00D403F5" w:rsidRDefault="00C7266C" w:rsidP="00D403F5">
      <w:pPr>
        <w:pStyle w:val="Para3"/>
        <w:spacing w:after="0"/>
        <w:rPr>
          <w:szCs w:val="18"/>
          <w:lang w:val="en-GB" w:eastAsia="fr-FR"/>
        </w:rPr>
      </w:pPr>
      <w:r w:rsidRPr="00D403F5">
        <w:rPr>
          <w:szCs w:val="18"/>
          <w:lang w:val="en-GB" w:eastAsia="fr-FR"/>
        </w:rPr>
        <w:t xml:space="preserve">For transmission electron microscopy, skin samples can be fixed in glutaraldehyde in 0.05 M sodium cacodylate buffer and 1% osmium tetroxide post-fixation (Martel </w:t>
      </w:r>
      <w:r w:rsidRPr="00D403F5">
        <w:rPr>
          <w:i/>
          <w:szCs w:val="18"/>
          <w:lang w:val="en-GB" w:eastAsia="fr-FR"/>
        </w:rPr>
        <w:t>et al</w:t>
      </w:r>
      <w:r w:rsidRPr="00D403F5">
        <w:rPr>
          <w:szCs w:val="18"/>
          <w:lang w:val="en-GB" w:eastAsia="fr-FR"/>
        </w:rPr>
        <w:t>., 2013).</w:t>
      </w:r>
    </w:p>
    <w:p w14:paraId="6CBDD7F2" w14:textId="77777777" w:rsidR="00C7266C" w:rsidRPr="00D403F5" w:rsidRDefault="00C7266C" w:rsidP="00D403F5">
      <w:pPr>
        <w:pStyle w:val="111"/>
        <w:spacing w:after="0"/>
        <w:rPr>
          <w:sz w:val="18"/>
          <w:szCs w:val="18"/>
        </w:rPr>
      </w:pPr>
      <w:r w:rsidRPr="00D403F5">
        <w:rPr>
          <w:sz w:val="18"/>
          <w:szCs w:val="18"/>
        </w:rPr>
        <w:t>3.5.5.</w:t>
      </w:r>
      <w:r w:rsidRPr="00D403F5">
        <w:rPr>
          <w:sz w:val="18"/>
          <w:szCs w:val="18"/>
        </w:rPr>
        <w:tab/>
        <w:t>Samples for other tests</w:t>
      </w:r>
    </w:p>
    <w:p w14:paraId="4A125DC4" w14:textId="77777777" w:rsidR="00C7266C" w:rsidRPr="00D403F5" w:rsidRDefault="00C7266C" w:rsidP="00D403F5">
      <w:pPr>
        <w:pStyle w:val="Para3"/>
        <w:spacing w:after="0"/>
        <w:rPr>
          <w:szCs w:val="18"/>
          <w:lang w:val="en-GB" w:eastAsia="fr-FR"/>
        </w:rPr>
      </w:pPr>
      <w:r w:rsidRPr="00D403F5">
        <w:rPr>
          <w:szCs w:val="18"/>
          <w:lang w:val="en-GB" w:eastAsia="fr-FR"/>
        </w:rPr>
        <w:t>Not applicable.</w:t>
      </w:r>
    </w:p>
    <w:p w14:paraId="3DA415F9" w14:textId="77777777" w:rsidR="00C7266C" w:rsidRPr="00D403F5" w:rsidRDefault="00C7266C" w:rsidP="00D403F5">
      <w:pPr>
        <w:pStyle w:val="11"/>
        <w:spacing w:after="0"/>
        <w:ind w:left="426" w:hanging="426"/>
        <w:rPr>
          <w:sz w:val="18"/>
          <w:szCs w:val="18"/>
          <w:lang w:val="en-GB"/>
        </w:rPr>
      </w:pPr>
      <w:r w:rsidRPr="00D403F5">
        <w:rPr>
          <w:sz w:val="18"/>
          <w:szCs w:val="18"/>
          <w:lang w:val="en-GB"/>
        </w:rPr>
        <w:t>3.6.</w:t>
      </w:r>
      <w:r w:rsidRPr="00D403F5">
        <w:rPr>
          <w:sz w:val="18"/>
          <w:szCs w:val="18"/>
          <w:lang w:val="en-GB"/>
        </w:rPr>
        <w:tab/>
        <w:t>Pooling of samples</w:t>
      </w:r>
    </w:p>
    <w:p w14:paraId="5AEBCF44" w14:textId="77777777" w:rsidR="00C7266C" w:rsidRPr="00D403F5" w:rsidRDefault="00C7266C" w:rsidP="00D403F5">
      <w:pPr>
        <w:pStyle w:val="Para20"/>
        <w:spacing w:after="0"/>
        <w:rPr>
          <w:rFonts w:cs="Arial"/>
          <w:szCs w:val="18"/>
          <w:lang w:val="en-GB"/>
        </w:rPr>
      </w:pPr>
      <w:r w:rsidRPr="00D403F5">
        <w:rPr>
          <w:rFonts w:cs="Arial"/>
          <w:szCs w:val="18"/>
          <w:lang w:val="en-GB"/>
        </w:rPr>
        <w:t xml:space="preserve">Pooling of up to </w:t>
      </w:r>
      <w:r w:rsidRPr="00D403F5">
        <w:rPr>
          <w:rFonts w:cs="Arial"/>
          <w:szCs w:val="18"/>
          <w:u w:val="double"/>
          <w:lang w:val="en-GB"/>
        </w:rPr>
        <w:t>four</w:t>
      </w:r>
      <w:r w:rsidRPr="00D403F5">
        <w:rPr>
          <w:rFonts w:cs="Arial"/>
          <w:szCs w:val="18"/>
          <w:lang w:val="en-GB"/>
        </w:rPr>
        <w:t xml:space="preserve"> </w:t>
      </w:r>
      <w:r w:rsidRPr="00D403F5">
        <w:rPr>
          <w:rFonts w:cs="Arial"/>
          <w:strike/>
          <w:szCs w:val="18"/>
          <w:lang w:val="en-GB"/>
        </w:rPr>
        <w:t xml:space="preserve">five </w:t>
      </w:r>
      <w:r w:rsidRPr="00D403F5">
        <w:rPr>
          <w:rFonts w:cs="Arial"/>
          <w:szCs w:val="18"/>
          <w:lang w:val="en-GB"/>
        </w:rPr>
        <w:t xml:space="preserve">skin swab samples appears to allow reliable detection of Bsal in clinically affected animals (Sabino-Pinto </w:t>
      </w:r>
      <w:r w:rsidRPr="00D403F5">
        <w:rPr>
          <w:rFonts w:cs="Arial"/>
          <w:i/>
          <w:szCs w:val="18"/>
          <w:lang w:val="en-GB"/>
        </w:rPr>
        <w:t>et al</w:t>
      </w:r>
      <w:r w:rsidRPr="00D403F5">
        <w:rPr>
          <w:rFonts w:cs="Arial"/>
          <w:szCs w:val="18"/>
          <w:lang w:val="en-GB"/>
        </w:rPr>
        <w:t xml:space="preserve">., 2018) but estimates </w:t>
      </w:r>
      <w:r w:rsidRPr="00D403F5">
        <w:rPr>
          <w:rFonts w:cs="Arial"/>
          <w:szCs w:val="18"/>
          <w:u w:val="double"/>
          <w:lang w:val="en-GB"/>
        </w:rPr>
        <w:t>of</w:t>
      </w:r>
      <w:r w:rsidRPr="00D403F5">
        <w:rPr>
          <w:rFonts w:cs="Arial"/>
          <w:szCs w:val="18"/>
          <w:lang w:val="en-GB"/>
        </w:rPr>
        <w:t xml:space="preserve"> </w:t>
      </w:r>
      <w:r w:rsidRPr="00D403F5">
        <w:rPr>
          <w:rFonts w:cs="Arial"/>
          <w:strike/>
          <w:szCs w:val="18"/>
          <w:lang w:val="en-GB"/>
        </w:rPr>
        <w:t xml:space="preserve">on </w:t>
      </w:r>
      <w:r w:rsidRPr="00D403F5">
        <w:rPr>
          <w:rFonts w:cs="Arial"/>
          <w:szCs w:val="18"/>
          <w:lang w:val="en-GB"/>
        </w:rPr>
        <w:t xml:space="preserve">the impact on </w:t>
      </w:r>
      <w:r w:rsidRPr="00D403F5">
        <w:rPr>
          <w:rFonts w:cs="Arial"/>
          <w:szCs w:val="18"/>
          <w:u w:val="double"/>
          <w:lang w:val="en-GB"/>
        </w:rPr>
        <w:t>diagnostic performance of the</w:t>
      </w:r>
      <w:r w:rsidRPr="00D403F5">
        <w:rPr>
          <w:rFonts w:cs="Arial"/>
          <w:szCs w:val="18"/>
          <w:lang w:val="en-GB"/>
        </w:rPr>
        <w:t xml:space="preserve"> test </w:t>
      </w:r>
      <w:r w:rsidRPr="00D403F5">
        <w:rPr>
          <w:rFonts w:cs="Arial"/>
          <w:strike/>
          <w:szCs w:val="18"/>
          <w:lang w:val="en-GB"/>
        </w:rPr>
        <w:t xml:space="preserve">characteristics </w:t>
      </w:r>
      <w:r w:rsidRPr="00D403F5">
        <w:rPr>
          <w:rFonts w:cs="Arial"/>
          <w:szCs w:val="18"/>
          <w:lang w:val="en-GB"/>
        </w:rPr>
        <w:t xml:space="preserve">have not been determined. Given low infection intensities in subclinically infected animals, sampling of individual animals is recommended. </w:t>
      </w:r>
    </w:p>
    <w:p w14:paraId="237B4D6E" w14:textId="77777777" w:rsidR="00C7266C" w:rsidRPr="00D403F5" w:rsidRDefault="00C7266C" w:rsidP="00D403F5">
      <w:pPr>
        <w:spacing w:after="0"/>
        <w:rPr>
          <w:rFonts w:ascii="Ottawa" w:eastAsia="Times New Roman" w:hAnsi="Ottawa" w:cs="Times New Roman"/>
          <w:b/>
          <w:bCs/>
          <w:sz w:val="18"/>
          <w:szCs w:val="18"/>
          <w:lang w:bidi="en-US"/>
        </w:rPr>
      </w:pPr>
      <w:r w:rsidRPr="00D403F5">
        <w:rPr>
          <w:rFonts w:ascii="Ottawa" w:hAnsi="Ottawa"/>
          <w:sz w:val="18"/>
          <w:szCs w:val="18"/>
        </w:rPr>
        <w:br w:type="page"/>
      </w:r>
    </w:p>
    <w:p w14:paraId="4C5633C0" w14:textId="77777777" w:rsidR="00C7266C" w:rsidRPr="00D403F5" w:rsidRDefault="00C7266C" w:rsidP="00EA6B7E">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220C2ED5" w14:textId="77777777" w:rsidR="00C7266C" w:rsidRPr="00D403F5" w:rsidRDefault="00C7266C" w:rsidP="00D403F5">
      <w:pPr>
        <w:pStyle w:val="StyleTitre1Arial"/>
        <w:spacing w:after="0"/>
        <w:rPr>
          <w:rFonts w:ascii="Ottawa" w:hAnsi="Ottawa"/>
          <w:sz w:val="18"/>
          <w:szCs w:val="18"/>
          <w:lang w:val="en-GB"/>
        </w:rPr>
      </w:pPr>
      <w:r w:rsidRPr="00D403F5">
        <w:rPr>
          <w:rFonts w:ascii="Ottawa" w:hAnsi="Ottawa"/>
          <w:sz w:val="18"/>
          <w:szCs w:val="18"/>
          <w:lang w:val="en-GB"/>
        </w:rPr>
        <w:t>4.</w:t>
      </w:r>
      <w:r w:rsidRPr="00D403F5">
        <w:rPr>
          <w:rFonts w:ascii="Ottawa" w:hAnsi="Ottawa"/>
          <w:sz w:val="18"/>
          <w:szCs w:val="18"/>
          <w:lang w:val="en-GB"/>
        </w:rPr>
        <w:tab/>
        <w:t>Diagnostic methods</w:t>
      </w:r>
    </w:p>
    <w:p w14:paraId="486D724D" w14:textId="77777777" w:rsidR="00C7266C" w:rsidRPr="00D403F5" w:rsidRDefault="00C7266C" w:rsidP="00D403F5">
      <w:pPr>
        <w:pStyle w:val="Para10"/>
        <w:spacing w:after="0"/>
        <w:ind w:left="284"/>
        <w:rPr>
          <w:rFonts w:cs="Arial"/>
          <w:szCs w:val="18"/>
          <w:lang w:val="en-GB"/>
        </w:rPr>
      </w:pPr>
      <w:r w:rsidRPr="00D403F5">
        <w:rPr>
          <w:rFonts w:cs="Arial"/>
          <w:szCs w:val="18"/>
          <w:lang w:val="en-GB"/>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29C6D468" w14:textId="77777777" w:rsidR="00C7266C" w:rsidRPr="00D403F5" w:rsidRDefault="00C7266C" w:rsidP="00D403F5">
      <w:pPr>
        <w:pStyle w:val="af9"/>
        <w:ind w:left="426"/>
        <w:rPr>
          <w:rFonts w:ascii="Arial" w:hAnsi="Arial" w:cs="Arial"/>
          <w:color w:val="000000"/>
          <w:sz w:val="18"/>
          <w:szCs w:val="18"/>
          <w:lang w:val="en-GB"/>
        </w:rPr>
      </w:pPr>
      <w:r w:rsidRPr="00D403F5">
        <w:rPr>
          <w:rFonts w:ascii="Arial" w:hAnsi="Arial" w:cs="Arial"/>
          <w:color w:val="000000"/>
          <w:sz w:val="18"/>
          <w:szCs w:val="18"/>
          <w:lang w:val="en-GB"/>
        </w:rPr>
        <w:t xml:space="preserve">Key: </w:t>
      </w:r>
    </w:p>
    <w:p w14:paraId="4BCF6ADA" w14:textId="77777777" w:rsidR="00C7266C" w:rsidRPr="00D403F5" w:rsidRDefault="00C7266C" w:rsidP="00D403F5">
      <w:pPr>
        <w:pStyle w:val="af9"/>
        <w:ind w:left="1985" w:hanging="1559"/>
        <w:rPr>
          <w:rFonts w:ascii="Arial" w:hAnsi="Arial" w:cs="Arial"/>
          <w:color w:val="000000"/>
          <w:sz w:val="18"/>
          <w:szCs w:val="18"/>
          <w:lang w:val="en-GB"/>
        </w:rPr>
      </w:pPr>
      <w:r w:rsidRPr="00D403F5">
        <w:rPr>
          <w:rFonts w:ascii="Arial" w:hAnsi="Arial" w:cs="Arial"/>
          <w:color w:val="000000"/>
          <w:sz w:val="18"/>
          <w:szCs w:val="18"/>
          <w:lang w:val="en-GB"/>
        </w:rPr>
        <w:t>+++ =</w:t>
      </w:r>
      <w:r w:rsidRPr="00D403F5">
        <w:rPr>
          <w:rFonts w:ascii="Arial" w:hAnsi="Arial" w:cs="Arial"/>
          <w:color w:val="000000"/>
          <w:sz w:val="18"/>
          <w:szCs w:val="18"/>
          <w:lang w:val="en-GB"/>
        </w:rPr>
        <w:tab/>
        <w:t>Recommended method(s) validated for the purpose shown and usually to stage 3 of the OIE Validation Pathway;</w:t>
      </w:r>
    </w:p>
    <w:p w14:paraId="6F431B90" w14:textId="77777777" w:rsidR="00C7266C" w:rsidRPr="00D403F5" w:rsidRDefault="00C7266C" w:rsidP="00D403F5">
      <w:pPr>
        <w:pStyle w:val="af9"/>
        <w:ind w:left="1985" w:hanging="1559"/>
        <w:rPr>
          <w:rFonts w:ascii="Arial" w:hAnsi="Arial" w:cs="Arial"/>
          <w:color w:val="000000"/>
          <w:sz w:val="18"/>
          <w:szCs w:val="18"/>
          <w:lang w:val="en-GB"/>
        </w:rPr>
      </w:pPr>
      <w:r w:rsidRPr="00D403F5">
        <w:rPr>
          <w:rFonts w:ascii="Arial" w:hAnsi="Arial" w:cs="Arial"/>
          <w:color w:val="000000"/>
          <w:sz w:val="18"/>
          <w:szCs w:val="18"/>
          <w:lang w:val="en-GB"/>
        </w:rPr>
        <w:t xml:space="preserve">++ = </w:t>
      </w:r>
      <w:r w:rsidRPr="00D403F5">
        <w:rPr>
          <w:rFonts w:ascii="Arial" w:hAnsi="Arial" w:cs="Arial"/>
          <w:color w:val="000000"/>
          <w:sz w:val="18"/>
          <w:szCs w:val="18"/>
          <w:lang w:val="en-GB"/>
        </w:rPr>
        <w:tab/>
        <w:t xml:space="preserve">Suitable method(s) but may need further validation; </w:t>
      </w:r>
    </w:p>
    <w:p w14:paraId="7C855281" w14:textId="77777777" w:rsidR="00C7266C" w:rsidRPr="00D403F5" w:rsidRDefault="00C7266C" w:rsidP="00D403F5">
      <w:pPr>
        <w:pStyle w:val="af9"/>
        <w:ind w:left="1985" w:hanging="1559"/>
        <w:rPr>
          <w:rFonts w:ascii="Arial" w:hAnsi="Arial" w:cs="Arial"/>
          <w:sz w:val="18"/>
          <w:szCs w:val="18"/>
          <w:lang w:val="en-GB"/>
        </w:rPr>
      </w:pPr>
      <w:r w:rsidRPr="00D403F5">
        <w:rPr>
          <w:rFonts w:ascii="Arial" w:hAnsi="Arial" w:cs="Arial"/>
          <w:color w:val="000000"/>
          <w:sz w:val="18"/>
          <w:szCs w:val="18"/>
          <w:lang w:val="en-GB"/>
        </w:rPr>
        <w:t xml:space="preserve">+ = </w:t>
      </w:r>
      <w:r w:rsidRPr="00D403F5">
        <w:rPr>
          <w:rFonts w:ascii="Arial" w:hAnsi="Arial" w:cs="Arial"/>
          <w:color w:val="000000"/>
          <w:sz w:val="18"/>
          <w:szCs w:val="18"/>
          <w:lang w:val="en-GB"/>
        </w:rPr>
        <w:tab/>
        <w:t xml:space="preserve">May be used </w:t>
      </w:r>
      <w:r w:rsidRPr="00D403F5">
        <w:rPr>
          <w:rFonts w:ascii="Arial" w:hAnsi="Arial" w:cs="Arial"/>
          <w:sz w:val="18"/>
          <w:szCs w:val="18"/>
          <w:lang w:val="en-GB"/>
        </w:rPr>
        <w:t xml:space="preserve">in some situations, but cost, reliability, lack of validation or other factors severely limits its application; </w:t>
      </w:r>
    </w:p>
    <w:p w14:paraId="21BB0DFC" w14:textId="77777777" w:rsidR="00C7266C" w:rsidRPr="00D403F5" w:rsidRDefault="00C7266C" w:rsidP="00D403F5">
      <w:pPr>
        <w:pStyle w:val="af9"/>
        <w:ind w:left="1985" w:hanging="1559"/>
        <w:rPr>
          <w:rFonts w:ascii="Arial" w:hAnsi="Arial" w:cs="Arial"/>
          <w:color w:val="000000"/>
          <w:sz w:val="18"/>
          <w:szCs w:val="18"/>
          <w:lang w:val="en-GB"/>
        </w:rPr>
      </w:pPr>
      <w:r w:rsidRPr="00D403F5">
        <w:rPr>
          <w:rFonts w:ascii="Arial" w:hAnsi="Arial" w:cs="Arial"/>
          <w:color w:val="000000"/>
          <w:sz w:val="18"/>
          <w:szCs w:val="18"/>
          <w:lang w:val="en-GB"/>
        </w:rPr>
        <w:t xml:space="preserve">Shaded boxes = </w:t>
      </w:r>
      <w:r w:rsidRPr="00D403F5">
        <w:rPr>
          <w:rFonts w:ascii="Arial" w:hAnsi="Arial" w:cs="Arial"/>
          <w:color w:val="000000"/>
          <w:sz w:val="18"/>
          <w:szCs w:val="18"/>
          <w:lang w:val="en-GB"/>
        </w:rPr>
        <w:tab/>
        <w:t>Not appropriate for this purpose.</w:t>
      </w:r>
    </w:p>
    <w:p w14:paraId="20143E69" w14:textId="77777777" w:rsidR="00C7266C" w:rsidRDefault="00C7266C" w:rsidP="00D403F5">
      <w:pPr>
        <w:pStyle w:val="Para10"/>
        <w:spacing w:after="0"/>
        <w:ind w:left="426"/>
        <w:rPr>
          <w:rFonts w:cs="Arial"/>
          <w:szCs w:val="18"/>
          <w:lang w:val="en-GB"/>
        </w:rPr>
      </w:pPr>
      <w:r w:rsidRPr="00D403F5">
        <w:rPr>
          <w:rFonts w:cs="Arial"/>
          <w:szCs w:val="18"/>
          <w:lang w:val="en-GB"/>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1C840879" w14:textId="77777777" w:rsidR="00EA6B7E" w:rsidRDefault="00EA6B7E" w:rsidP="00D403F5">
      <w:pPr>
        <w:pStyle w:val="Para10"/>
        <w:spacing w:after="0"/>
        <w:ind w:left="426"/>
        <w:rPr>
          <w:rFonts w:cs="Arial"/>
          <w:szCs w:val="18"/>
          <w:lang w:val="en-GB"/>
        </w:rPr>
      </w:pPr>
    </w:p>
    <w:p w14:paraId="1045C3F4" w14:textId="77777777" w:rsidR="00EA6B7E" w:rsidRDefault="00EA6B7E" w:rsidP="00D403F5">
      <w:pPr>
        <w:pStyle w:val="Para10"/>
        <w:spacing w:after="0"/>
        <w:ind w:left="426"/>
        <w:rPr>
          <w:rFonts w:cs="Arial"/>
          <w:szCs w:val="18"/>
          <w:lang w:val="en-GB"/>
        </w:rPr>
      </w:pPr>
    </w:p>
    <w:p w14:paraId="5F7B31BE" w14:textId="77777777" w:rsidR="00EA6B7E" w:rsidRDefault="00EA6B7E" w:rsidP="00D403F5">
      <w:pPr>
        <w:pStyle w:val="Para10"/>
        <w:spacing w:after="0"/>
        <w:ind w:left="426"/>
        <w:rPr>
          <w:rFonts w:cs="Arial"/>
          <w:szCs w:val="18"/>
          <w:lang w:val="en-GB"/>
        </w:rPr>
      </w:pPr>
    </w:p>
    <w:p w14:paraId="14303884" w14:textId="77777777" w:rsidR="00EA6B7E" w:rsidRDefault="00EA6B7E" w:rsidP="00D403F5">
      <w:pPr>
        <w:pStyle w:val="Para10"/>
        <w:spacing w:after="0"/>
        <w:ind w:left="426"/>
        <w:rPr>
          <w:rFonts w:cs="Arial"/>
          <w:szCs w:val="18"/>
          <w:lang w:val="en-GB"/>
        </w:rPr>
      </w:pPr>
    </w:p>
    <w:p w14:paraId="18F4E869" w14:textId="77777777" w:rsidR="00EA6B7E" w:rsidRDefault="00EA6B7E" w:rsidP="00D403F5">
      <w:pPr>
        <w:pStyle w:val="Para10"/>
        <w:spacing w:after="0"/>
        <w:ind w:left="426"/>
        <w:rPr>
          <w:rFonts w:cs="Arial"/>
          <w:szCs w:val="18"/>
          <w:lang w:val="en-GB"/>
        </w:rPr>
      </w:pPr>
    </w:p>
    <w:p w14:paraId="0684D06D" w14:textId="77777777" w:rsidR="00EA6B7E" w:rsidRDefault="00EA6B7E" w:rsidP="00D403F5">
      <w:pPr>
        <w:pStyle w:val="Para10"/>
        <w:spacing w:after="0"/>
        <w:ind w:left="426"/>
        <w:rPr>
          <w:rFonts w:cs="Arial"/>
          <w:szCs w:val="18"/>
          <w:lang w:val="en-GB"/>
        </w:rPr>
      </w:pPr>
    </w:p>
    <w:p w14:paraId="303C95A1" w14:textId="77777777" w:rsidR="00EA6B7E" w:rsidRDefault="00EA6B7E" w:rsidP="00D403F5">
      <w:pPr>
        <w:pStyle w:val="Para10"/>
        <w:spacing w:after="0"/>
        <w:ind w:left="426"/>
        <w:rPr>
          <w:rFonts w:cs="Arial"/>
          <w:szCs w:val="18"/>
          <w:lang w:val="en-GB"/>
        </w:rPr>
      </w:pPr>
    </w:p>
    <w:p w14:paraId="1F450587" w14:textId="77777777" w:rsidR="00EA6B7E" w:rsidRDefault="00EA6B7E" w:rsidP="00D403F5">
      <w:pPr>
        <w:pStyle w:val="Para10"/>
        <w:spacing w:after="0"/>
        <w:ind w:left="426"/>
        <w:rPr>
          <w:rFonts w:cs="Arial"/>
          <w:szCs w:val="18"/>
          <w:lang w:val="en-GB"/>
        </w:rPr>
      </w:pPr>
    </w:p>
    <w:p w14:paraId="35F1BCD2" w14:textId="77777777" w:rsidR="00EA6B7E" w:rsidRDefault="00EA6B7E" w:rsidP="00D403F5">
      <w:pPr>
        <w:pStyle w:val="Para10"/>
        <w:spacing w:after="0"/>
        <w:ind w:left="426"/>
        <w:rPr>
          <w:rFonts w:cs="Arial"/>
          <w:szCs w:val="18"/>
          <w:lang w:val="en-GB"/>
        </w:rPr>
      </w:pPr>
    </w:p>
    <w:p w14:paraId="15E5A7A6" w14:textId="77777777" w:rsidR="00EA6B7E" w:rsidRDefault="00EA6B7E" w:rsidP="00D403F5">
      <w:pPr>
        <w:pStyle w:val="Para10"/>
        <w:spacing w:after="0"/>
        <w:ind w:left="426"/>
        <w:rPr>
          <w:rFonts w:cs="Arial"/>
          <w:szCs w:val="18"/>
          <w:lang w:val="en-GB"/>
        </w:rPr>
      </w:pPr>
    </w:p>
    <w:p w14:paraId="265D393D" w14:textId="77777777" w:rsidR="00EA6B7E" w:rsidRDefault="00EA6B7E" w:rsidP="00D403F5">
      <w:pPr>
        <w:pStyle w:val="Para10"/>
        <w:spacing w:after="0"/>
        <w:ind w:left="426"/>
        <w:rPr>
          <w:rFonts w:cs="Arial"/>
          <w:szCs w:val="18"/>
          <w:lang w:val="en-GB"/>
        </w:rPr>
      </w:pPr>
    </w:p>
    <w:p w14:paraId="616999E6" w14:textId="77777777" w:rsidR="00EA6B7E" w:rsidRDefault="00EA6B7E" w:rsidP="00D403F5">
      <w:pPr>
        <w:pStyle w:val="Para10"/>
        <w:spacing w:after="0"/>
        <w:ind w:left="426"/>
        <w:rPr>
          <w:rFonts w:cs="Arial"/>
          <w:szCs w:val="18"/>
          <w:lang w:val="en-GB"/>
        </w:rPr>
      </w:pPr>
    </w:p>
    <w:p w14:paraId="2B41E3FF" w14:textId="77777777" w:rsidR="00EA6B7E" w:rsidRDefault="00EA6B7E" w:rsidP="00D403F5">
      <w:pPr>
        <w:pStyle w:val="Para10"/>
        <w:spacing w:after="0"/>
        <w:ind w:left="426"/>
        <w:rPr>
          <w:rFonts w:cs="Arial"/>
          <w:szCs w:val="18"/>
          <w:lang w:val="en-GB"/>
        </w:rPr>
      </w:pPr>
    </w:p>
    <w:p w14:paraId="19D48681" w14:textId="77777777" w:rsidR="00EA6B7E" w:rsidRDefault="00EA6B7E" w:rsidP="00D403F5">
      <w:pPr>
        <w:pStyle w:val="Para10"/>
        <w:spacing w:after="0"/>
        <w:ind w:left="426"/>
        <w:rPr>
          <w:rFonts w:cs="Arial"/>
          <w:szCs w:val="18"/>
          <w:lang w:val="en-GB"/>
        </w:rPr>
      </w:pPr>
    </w:p>
    <w:p w14:paraId="0938C6AD" w14:textId="77777777" w:rsidR="00EA6B7E" w:rsidRDefault="00EA6B7E" w:rsidP="00D403F5">
      <w:pPr>
        <w:pStyle w:val="Para10"/>
        <w:spacing w:after="0"/>
        <w:ind w:left="426"/>
        <w:rPr>
          <w:rFonts w:cs="Arial"/>
          <w:szCs w:val="18"/>
          <w:lang w:val="en-GB"/>
        </w:rPr>
      </w:pPr>
    </w:p>
    <w:p w14:paraId="622A9D15" w14:textId="77777777" w:rsidR="00EA6B7E" w:rsidRDefault="00EA6B7E" w:rsidP="00D403F5">
      <w:pPr>
        <w:pStyle w:val="Para10"/>
        <w:spacing w:after="0"/>
        <w:ind w:left="426"/>
        <w:rPr>
          <w:rFonts w:cs="Arial"/>
          <w:szCs w:val="18"/>
          <w:lang w:val="en-GB"/>
        </w:rPr>
      </w:pPr>
    </w:p>
    <w:p w14:paraId="17D91E5A" w14:textId="77777777" w:rsidR="00EA6B7E" w:rsidRPr="00D403F5" w:rsidRDefault="00EA6B7E" w:rsidP="00D403F5">
      <w:pPr>
        <w:pStyle w:val="Para10"/>
        <w:spacing w:after="0"/>
        <w:ind w:left="426"/>
        <w:rPr>
          <w:rFonts w:cs="Arial"/>
          <w:szCs w:val="18"/>
          <w:lang w:val="en-GB"/>
        </w:rPr>
        <w:sectPr w:rsidR="00EA6B7E" w:rsidRPr="00D403F5" w:rsidSect="00EA6B7E">
          <w:headerReference w:type="even" r:id="rId105"/>
          <w:headerReference w:type="default" r:id="rId106"/>
          <w:footerReference w:type="even" r:id="rId107"/>
          <w:footerReference w:type="default" r:id="rId108"/>
          <w:headerReference w:type="first" r:id="rId109"/>
          <w:footerReference w:type="first" r:id="rId110"/>
          <w:type w:val="oddPage"/>
          <w:pgSz w:w="11906" w:h="16838" w:code="9"/>
          <w:pgMar w:top="1412" w:right="1412" w:bottom="1412" w:left="1412" w:header="709" w:footer="709" w:gutter="0"/>
          <w:cols w:space="708"/>
          <w:vAlign w:val="both"/>
          <w:titlePg/>
          <w:docGrid w:linePitch="360"/>
        </w:sectPr>
      </w:pPr>
    </w:p>
    <w:p w14:paraId="43AB0F05" w14:textId="77777777" w:rsidR="00C7266C" w:rsidRPr="00D403F5" w:rsidRDefault="00C7266C" w:rsidP="00EA6B7E">
      <w:pPr>
        <w:spacing w:after="360"/>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146C1A98" w14:textId="77777777" w:rsidR="00C7266C" w:rsidRPr="00D403F5" w:rsidRDefault="00C7266C" w:rsidP="006237A8">
      <w:pPr>
        <w:pStyle w:val="Tabletitle"/>
      </w:pPr>
      <w:r w:rsidRPr="00D403F5">
        <w:t>Table 4.</w:t>
      </w:r>
      <w:r w:rsidRPr="00D403F5">
        <w:rPr>
          <w:noProof/>
        </w:rPr>
        <w:t>1</w:t>
      </w:r>
      <w:r w:rsidRPr="00D403F5">
        <w:t xml:space="preserve">. OIE recommended diagnostic methods and their level of validation for surveillance of healthy animals and investigation of clinically affected animals </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C7266C" w:rsidRPr="00D403F5" w14:paraId="7B2BA921" w14:textId="77777777" w:rsidTr="00C7266C">
        <w:trPr>
          <w:trHeight w:val="402"/>
          <w:tblHeader/>
          <w:jc w:val="center"/>
        </w:trPr>
        <w:tc>
          <w:tcPr>
            <w:tcW w:w="2399" w:type="dxa"/>
            <w:vMerge w:val="restart"/>
            <w:tcBorders>
              <w:top w:val="single" w:sz="6" w:space="0" w:color="auto"/>
              <w:left w:val="single" w:sz="6" w:space="0" w:color="auto"/>
            </w:tcBorders>
            <w:vAlign w:val="center"/>
          </w:tcPr>
          <w:p w14:paraId="124502A7"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Method</w:t>
            </w:r>
            <w:r w:rsidRPr="00D403F5">
              <w:rPr>
                <w:rFonts w:ascii="Arial Narrow" w:hAnsi="Arial Narrow" w:cs="Arial"/>
                <w:szCs w:val="18"/>
                <w:lang w:val="en-GB"/>
              </w:rPr>
              <w:br/>
            </w:r>
            <w:r w:rsidRPr="00D403F5">
              <w:rPr>
                <w:rFonts w:ascii="Arial Narrow" w:hAnsi="Arial Narrow" w:cs="Arial"/>
                <w:b w:val="0"/>
                <w:bCs w:val="0"/>
                <w:szCs w:val="18"/>
                <w:lang w:val="en-GB"/>
              </w:rPr>
              <w:t>[amend or delete as relevant]</w:t>
            </w:r>
          </w:p>
        </w:tc>
        <w:tc>
          <w:tcPr>
            <w:tcW w:w="3514" w:type="dxa"/>
            <w:gridSpan w:val="4"/>
            <w:tcBorders>
              <w:top w:val="single" w:sz="6" w:space="0" w:color="auto"/>
              <w:left w:val="single" w:sz="6" w:space="0" w:color="auto"/>
              <w:bottom w:val="single" w:sz="4" w:space="0" w:color="auto"/>
              <w:right w:val="single" w:sz="6" w:space="0" w:color="auto"/>
            </w:tcBorders>
          </w:tcPr>
          <w:p w14:paraId="7C837471" w14:textId="77777777" w:rsidR="00C7266C" w:rsidRPr="00D403F5" w:rsidRDefault="00C7266C" w:rsidP="00D403F5">
            <w:pPr>
              <w:pStyle w:val="TableHead"/>
              <w:numPr>
                <w:ilvl w:val="0"/>
                <w:numId w:val="25"/>
              </w:numPr>
              <w:spacing w:before="0" w:after="0"/>
              <w:rPr>
                <w:rFonts w:ascii="Arial Narrow" w:hAnsi="Arial Narrow" w:cs="Arial"/>
                <w:szCs w:val="18"/>
                <w:lang w:val="en-GB"/>
              </w:rPr>
            </w:pPr>
            <w:r w:rsidRPr="00D403F5">
              <w:rPr>
                <w:rFonts w:ascii="Arial Narrow" w:hAnsi="Arial Narrow" w:cs="Arial"/>
                <w:szCs w:val="18"/>
                <w:lang w:val="en-GB"/>
              </w:rPr>
              <w:t>Surveillance of apparently healthy animals</w:t>
            </w:r>
          </w:p>
        </w:tc>
        <w:tc>
          <w:tcPr>
            <w:tcW w:w="3218" w:type="dxa"/>
            <w:gridSpan w:val="4"/>
            <w:tcBorders>
              <w:top w:val="single" w:sz="6" w:space="0" w:color="auto"/>
              <w:left w:val="single" w:sz="6" w:space="0" w:color="auto"/>
            </w:tcBorders>
          </w:tcPr>
          <w:p w14:paraId="5A170098" w14:textId="77777777" w:rsidR="00C7266C" w:rsidRPr="00D403F5" w:rsidRDefault="00C7266C" w:rsidP="00D403F5">
            <w:pPr>
              <w:pStyle w:val="TableHead"/>
              <w:numPr>
                <w:ilvl w:val="0"/>
                <w:numId w:val="25"/>
              </w:numPr>
              <w:spacing w:before="0" w:after="0"/>
              <w:rPr>
                <w:rFonts w:ascii="Arial Narrow" w:hAnsi="Arial Narrow" w:cs="Arial"/>
                <w:szCs w:val="18"/>
                <w:lang w:val="en-GB"/>
              </w:rPr>
            </w:pPr>
            <w:r w:rsidRPr="00D403F5">
              <w:rPr>
                <w:rFonts w:ascii="Arial Narrow" w:hAnsi="Arial Narrow" w:cs="Arial"/>
                <w:szCs w:val="18"/>
                <w:lang w:val="en-GB"/>
              </w:rPr>
              <w:t>Presumptive diagnosis of clinically affected animals</w:t>
            </w:r>
          </w:p>
        </w:tc>
        <w:tc>
          <w:tcPr>
            <w:tcW w:w="3444" w:type="dxa"/>
            <w:gridSpan w:val="4"/>
            <w:tcBorders>
              <w:top w:val="single" w:sz="6" w:space="0" w:color="auto"/>
              <w:left w:val="single" w:sz="6" w:space="0" w:color="auto"/>
              <w:right w:val="single" w:sz="6" w:space="0" w:color="auto"/>
            </w:tcBorders>
          </w:tcPr>
          <w:p w14:paraId="3F7EB67D" w14:textId="77777777" w:rsidR="00C7266C" w:rsidRPr="00D403F5" w:rsidRDefault="00C7266C" w:rsidP="00D403F5">
            <w:pPr>
              <w:pStyle w:val="TableHead"/>
              <w:numPr>
                <w:ilvl w:val="0"/>
                <w:numId w:val="25"/>
              </w:numPr>
              <w:spacing w:before="0" w:after="0"/>
              <w:rPr>
                <w:rFonts w:ascii="Arial Narrow" w:hAnsi="Arial Narrow" w:cs="Arial"/>
                <w:szCs w:val="18"/>
                <w:lang w:val="en-GB"/>
              </w:rPr>
            </w:pPr>
            <w:bookmarkStart w:id="80" w:name="_Hlk20839906"/>
            <w:r w:rsidRPr="00D403F5">
              <w:rPr>
                <w:rFonts w:ascii="Arial Narrow" w:hAnsi="Arial Narrow" w:cs="Arial"/>
                <w:szCs w:val="18"/>
                <w:lang w:val="en-GB"/>
              </w:rPr>
              <w:t>Confirmatory diagnosis</w:t>
            </w:r>
            <w:r w:rsidRPr="00D403F5">
              <w:rPr>
                <w:rFonts w:ascii="Arial Narrow" w:hAnsi="Arial Narrow" w:cs="Arial"/>
                <w:szCs w:val="18"/>
                <w:vertAlign w:val="superscript"/>
                <w:lang w:val="en-GB"/>
              </w:rPr>
              <w:t>1</w:t>
            </w:r>
            <w:r w:rsidRPr="00D403F5">
              <w:rPr>
                <w:rFonts w:ascii="Arial Narrow" w:hAnsi="Arial Narrow" w:cs="Arial"/>
                <w:szCs w:val="18"/>
                <w:lang w:val="en-GB"/>
              </w:rPr>
              <w:t xml:space="preserve"> of a suspect result </w:t>
            </w:r>
            <w:r w:rsidRPr="00D403F5">
              <w:rPr>
                <w:rFonts w:ascii="Arial Narrow" w:hAnsi="Arial Narrow"/>
                <w:szCs w:val="18"/>
                <w:lang w:val="en-GB"/>
              </w:rPr>
              <w:t>from surveillance or presumptive diagnosis</w:t>
            </w:r>
            <w:bookmarkEnd w:id="80"/>
          </w:p>
        </w:tc>
      </w:tr>
      <w:tr w:rsidR="00C7266C" w:rsidRPr="00D403F5" w14:paraId="1877C6A1" w14:textId="77777777" w:rsidTr="00C7266C">
        <w:trPr>
          <w:trHeight w:val="402"/>
          <w:tblHeader/>
          <w:jc w:val="center"/>
        </w:trPr>
        <w:tc>
          <w:tcPr>
            <w:tcW w:w="2399" w:type="dxa"/>
            <w:vMerge/>
            <w:tcBorders>
              <w:left w:val="single" w:sz="6" w:space="0" w:color="auto"/>
            </w:tcBorders>
            <w:vAlign w:val="center"/>
          </w:tcPr>
          <w:p w14:paraId="55046161" w14:textId="77777777" w:rsidR="00C7266C" w:rsidRPr="00D403F5" w:rsidRDefault="00C7266C" w:rsidP="00D403F5">
            <w:pPr>
              <w:pStyle w:val="TableHead"/>
              <w:spacing w:before="0" w:after="0"/>
              <w:rPr>
                <w:rFonts w:ascii="Arial Narrow" w:hAnsi="Arial Narrow" w:cs="Arial"/>
                <w:szCs w:val="18"/>
                <w:lang w:val="en-GB"/>
              </w:rPr>
            </w:pPr>
          </w:p>
        </w:tc>
        <w:tc>
          <w:tcPr>
            <w:tcW w:w="920" w:type="dxa"/>
            <w:tcBorders>
              <w:top w:val="single" w:sz="4" w:space="0" w:color="auto"/>
              <w:left w:val="single" w:sz="6" w:space="0" w:color="auto"/>
              <w:bottom w:val="single" w:sz="6" w:space="0" w:color="auto"/>
            </w:tcBorders>
            <w:vAlign w:val="center"/>
          </w:tcPr>
          <w:p w14:paraId="2418B2F6"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Early life stages</w:t>
            </w:r>
            <w:r w:rsidRPr="00D403F5">
              <w:rPr>
                <w:rFonts w:ascii="Arial Narrow" w:hAnsi="Arial Narrow" w:cs="Arial"/>
                <w:szCs w:val="18"/>
                <w:vertAlign w:val="superscript"/>
                <w:lang w:val="en-GB"/>
              </w:rPr>
              <w:t>2</w:t>
            </w:r>
          </w:p>
        </w:tc>
        <w:tc>
          <w:tcPr>
            <w:tcW w:w="992" w:type="dxa"/>
            <w:tcBorders>
              <w:top w:val="single" w:sz="4" w:space="0" w:color="auto"/>
              <w:left w:val="single" w:sz="6" w:space="0" w:color="auto"/>
              <w:bottom w:val="single" w:sz="6" w:space="0" w:color="auto"/>
            </w:tcBorders>
            <w:vAlign w:val="center"/>
          </w:tcPr>
          <w:p w14:paraId="62965058"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Juveniles</w:t>
            </w:r>
            <w:r w:rsidRPr="00D403F5">
              <w:rPr>
                <w:rFonts w:ascii="Arial Narrow" w:hAnsi="Arial Narrow" w:cs="Arial"/>
                <w:szCs w:val="18"/>
                <w:vertAlign w:val="superscript"/>
                <w:lang w:val="en-GB"/>
              </w:rPr>
              <w:t>2</w:t>
            </w:r>
          </w:p>
        </w:tc>
        <w:tc>
          <w:tcPr>
            <w:tcW w:w="709" w:type="dxa"/>
            <w:tcBorders>
              <w:top w:val="single" w:sz="4" w:space="0" w:color="auto"/>
              <w:left w:val="single" w:sz="6" w:space="0" w:color="auto"/>
              <w:bottom w:val="single" w:sz="6" w:space="0" w:color="auto"/>
            </w:tcBorders>
            <w:vAlign w:val="center"/>
          </w:tcPr>
          <w:p w14:paraId="3B953D06"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Adults</w:t>
            </w:r>
          </w:p>
        </w:tc>
        <w:tc>
          <w:tcPr>
            <w:tcW w:w="893" w:type="dxa"/>
            <w:tcBorders>
              <w:top w:val="single" w:sz="4" w:space="0" w:color="auto"/>
              <w:left w:val="single" w:sz="6" w:space="0" w:color="auto"/>
              <w:bottom w:val="single" w:sz="6" w:space="0" w:color="auto"/>
              <w:right w:val="single" w:sz="6" w:space="0" w:color="auto"/>
            </w:tcBorders>
            <w:vAlign w:val="center"/>
          </w:tcPr>
          <w:p w14:paraId="6752EF16"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LV</w:t>
            </w:r>
          </w:p>
        </w:tc>
        <w:tc>
          <w:tcPr>
            <w:tcW w:w="776" w:type="dxa"/>
            <w:tcBorders>
              <w:top w:val="single" w:sz="6" w:space="0" w:color="auto"/>
              <w:left w:val="single" w:sz="6" w:space="0" w:color="auto"/>
            </w:tcBorders>
            <w:vAlign w:val="center"/>
          </w:tcPr>
          <w:p w14:paraId="73AB0C03"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Early life stages</w:t>
            </w:r>
            <w:r w:rsidRPr="00D403F5">
              <w:rPr>
                <w:rFonts w:ascii="Arial Narrow" w:hAnsi="Arial Narrow" w:cs="Arial"/>
                <w:szCs w:val="18"/>
                <w:vertAlign w:val="superscript"/>
                <w:lang w:val="en-GB"/>
              </w:rPr>
              <w:t>2</w:t>
            </w:r>
          </w:p>
        </w:tc>
        <w:tc>
          <w:tcPr>
            <w:tcW w:w="851" w:type="dxa"/>
            <w:tcBorders>
              <w:top w:val="single" w:sz="6" w:space="0" w:color="auto"/>
              <w:left w:val="single" w:sz="6" w:space="0" w:color="auto"/>
            </w:tcBorders>
            <w:vAlign w:val="center"/>
          </w:tcPr>
          <w:p w14:paraId="03F8B3F3"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Juveniles</w:t>
            </w:r>
            <w:r w:rsidRPr="00D403F5">
              <w:rPr>
                <w:rFonts w:ascii="Arial Narrow" w:hAnsi="Arial Narrow" w:cs="Arial"/>
                <w:szCs w:val="18"/>
                <w:vertAlign w:val="superscript"/>
                <w:lang w:val="en-GB"/>
              </w:rPr>
              <w:t>2</w:t>
            </w:r>
          </w:p>
        </w:tc>
        <w:tc>
          <w:tcPr>
            <w:tcW w:w="708" w:type="dxa"/>
            <w:tcBorders>
              <w:top w:val="single" w:sz="6" w:space="0" w:color="auto"/>
              <w:left w:val="single" w:sz="6" w:space="0" w:color="auto"/>
            </w:tcBorders>
            <w:vAlign w:val="center"/>
          </w:tcPr>
          <w:p w14:paraId="771C111E"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Adults</w:t>
            </w:r>
          </w:p>
        </w:tc>
        <w:tc>
          <w:tcPr>
            <w:tcW w:w="883" w:type="dxa"/>
            <w:tcBorders>
              <w:top w:val="single" w:sz="4" w:space="0" w:color="auto"/>
              <w:left w:val="single" w:sz="6" w:space="0" w:color="auto"/>
              <w:right w:val="single" w:sz="6" w:space="0" w:color="auto"/>
            </w:tcBorders>
            <w:vAlign w:val="center"/>
          </w:tcPr>
          <w:p w14:paraId="0AC9B3AC"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LV</w:t>
            </w:r>
          </w:p>
        </w:tc>
        <w:tc>
          <w:tcPr>
            <w:tcW w:w="960" w:type="dxa"/>
            <w:tcBorders>
              <w:top w:val="single" w:sz="4" w:space="0" w:color="auto"/>
              <w:left w:val="single" w:sz="6" w:space="0" w:color="auto"/>
              <w:bottom w:val="single" w:sz="6" w:space="0" w:color="auto"/>
              <w:right w:val="single" w:sz="6" w:space="0" w:color="auto"/>
            </w:tcBorders>
            <w:vAlign w:val="center"/>
          </w:tcPr>
          <w:p w14:paraId="76FE860D"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Early life stages</w:t>
            </w:r>
            <w:r w:rsidRPr="00D403F5">
              <w:rPr>
                <w:rFonts w:ascii="Arial Narrow" w:hAnsi="Arial Narrow" w:cs="Arial"/>
                <w:szCs w:val="18"/>
                <w:vertAlign w:val="superscript"/>
                <w:lang w:val="en-GB"/>
              </w:rPr>
              <w:t>2</w:t>
            </w:r>
          </w:p>
        </w:tc>
        <w:tc>
          <w:tcPr>
            <w:tcW w:w="851" w:type="dxa"/>
            <w:tcBorders>
              <w:top w:val="single" w:sz="4" w:space="0" w:color="auto"/>
              <w:left w:val="single" w:sz="6" w:space="0" w:color="auto"/>
              <w:bottom w:val="single" w:sz="6" w:space="0" w:color="auto"/>
              <w:right w:val="single" w:sz="6" w:space="0" w:color="auto"/>
            </w:tcBorders>
            <w:vAlign w:val="center"/>
          </w:tcPr>
          <w:p w14:paraId="1D69A63F"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Juveniles</w:t>
            </w:r>
            <w:r w:rsidRPr="00D403F5">
              <w:rPr>
                <w:rFonts w:ascii="Arial Narrow" w:hAnsi="Arial Narrow" w:cs="Arial"/>
                <w:szCs w:val="18"/>
                <w:vertAlign w:val="superscript"/>
                <w:lang w:val="en-GB"/>
              </w:rPr>
              <w:t>2</w:t>
            </w:r>
          </w:p>
        </w:tc>
        <w:tc>
          <w:tcPr>
            <w:tcW w:w="708" w:type="dxa"/>
            <w:tcBorders>
              <w:top w:val="single" w:sz="4" w:space="0" w:color="auto"/>
              <w:left w:val="single" w:sz="6" w:space="0" w:color="auto"/>
              <w:bottom w:val="single" w:sz="6" w:space="0" w:color="auto"/>
            </w:tcBorders>
            <w:vAlign w:val="center"/>
          </w:tcPr>
          <w:p w14:paraId="791B8C96"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Adults</w:t>
            </w:r>
          </w:p>
        </w:tc>
        <w:tc>
          <w:tcPr>
            <w:tcW w:w="925" w:type="dxa"/>
            <w:tcBorders>
              <w:top w:val="single" w:sz="4" w:space="0" w:color="auto"/>
              <w:left w:val="single" w:sz="6" w:space="0" w:color="auto"/>
              <w:right w:val="single" w:sz="6" w:space="0" w:color="auto"/>
            </w:tcBorders>
            <w:vAlign w:val="center"/>
          </w:tcPr>
          <w:p w14:paraId="30ED3E32"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LV</w:t>
            </w:r>
          </w:p>
        </w:tc>
      </w:tr>
      <w:tr w:rsidR="00C7266C" w:rsidRPr="00D403F5" w14:paraId="7D11A0E4" w14:textId="77777777" w:rsidTr="00C7266C">
        <w:trPr>
          <w:trHeight w:val="227"/>
          <w:jc w:val="center"/>
        </w:trPr>
        <w:tc>
          <w:tcPr>
            <w:tcW w:w="2399" w:type="dxa"/>
            <w:tcBorders>
              <w:top w:val="single" w:sz="6" w:space="0" w:color="auto"/>
              <w:left w:val="single" w:sz="6" w:space="0" w:color="auto"/>
            </w:tcBorders>
            <w:vAlign w:val="center"/>
          </w:tcPr>
          <w:p w14:paraId="460BC662"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Wet mounts</w:t>
            </w:r>
          </w:p>
        </w:tc>
        <w:tc>
          <w:tcPr>
            <w:tcW w:w="920" w:type="dxa"/>
            <w:tcBorders>
              <w:top w:val="single" w:sz="6" w:space="0" w:color="auto"/>
              <w:left w:val="single" w:sz="6" w:space="0" w:color="auto"/>
            </w:tcBorders>
            <w:shd w:val="clear" w:color="auto" w:fill="FFFFFF"/>
            <w:vAlign w:val="center"/>
          </w:tcPr>
          <w:p w14:paraId="4CC68AC6"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992" w:type="dxa"/>
            <w:tcBorders>
              <w:top w:val="single" w:sz="6" w:space="0" w:color="auto"/>
              <w:left w:val="single" w:sz="6" w:space="0" w:color="auto"/>
            </w:tcBorders>
            <w:shd w:val="clear" w:color="auto" w:fill="FFFFFF"/>
            <w:vAlign w:val="center"/>
          </w:tcPr>
          <w:p w14:paraId="77C69A5A"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709" w:type="dxa"/>
            <w:tcBorders>
              <w:top w:val="single" w:sz="6" w:space="0" w:color="auto"/>
              <w:left w:val="single" w:sz="6" w:space="0" w:color="auto"/>
            </w:tcBorders>
            <w:shd w:val="clear" w:color="auto" w:fill="FFFFFF"/>
            <w:vAlign w:val="center"/>
          </w:tcPr>
          <w:p w14:paraId="191C7964"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893" w:type="dxa"/>
            <w:tcBorders>
              <w:top w:val="single" w:sz="6" w:space="0" w:color="auto"/>
              <w:left w:val="single" w:sz="6" w:space="0" w:color="auto"/>
              <w:right w:val="single" w:sz="6" w:space="0" w:color="auto"/>
            </w:tcBorders>
            <w:vAlign w:val="center"/>
          </w:tcPr>
          <w:p w14:paraId="7469AD31"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1</w:t>
            </w:r>
          </w:p>
        </w:tc>
        <w:tc>
          <w:tcPr>
            <w:tcW w:w="776" w:type="dxa"/>
            <w:tcBorders>
              <w:top w:val="single" w:sz="6" w:space="0" w:color="auto"/>
              <w:left w:val="single" w:sz="6" w:space="0" w:color="auto"/>
            </w:tcBorders>
            <w:vAlign w:val="center"/>
          </w:tcPr>
          <w:p w14:paraId="15263607"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tcBorders>
            <w:vAlign w:val="center"/>
          </w:tcPr>
          <w:p w14:paraId="75F35C5E"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tcBorders>
            <w:vAlign w:val="center"/>
          </w:tcPr>
          <w:p w14:paraId="142B7A56"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83" w:type="dxa"/>
            <w:tcBorders>
              <w:top w:val="single" w:sz="6" w:space="0" w:color="auto"/>
              <w:left w:val="single" w:sz="6" w:space="0" w:color="auto"/>
              <w:right w:val="single" w:sz="6" w:space="0" w:color="auto"/>
            </w:tcBorders>
            <w:vAlign w:val="center"/>
          </w:tcPr>
          <w:p w14:paraId="6300F634"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1</w:t>
            </w: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6F2153D"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02591AB"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3C51EBB1" w14:textId="77777777" w:rsidR="00C7266C" w:rsidRPr="00D403F5" w:rsidRDefault="00C7266C" w:rsidP="00D403F5">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right w:val="single" w:sz="6" w:space="0" w:color="auto"/>
            </w:tcBorders>
            <w:vAlign w:val="center"/>
          </w:tcPr>
          <w:p w14:paraId="2DCBC357"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1</w:t>
            </w:r>
          </w:p>
        </w:tc>
      </w:tr>
      <w:tr w:rsidR="00C7266C" w:rsidRPr="00D403F5" w14:paraId="57010101"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28564530"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Histopathology</w:t>
            </w:r>
            <w:r w:rsidRPr="00D403F5">
              <w:rPr>
                <w:rFonts w:ascii="Arial Narrow" w:hAnsi="Arial Narrow" w:cs="Arial"/>
                <w:szCs w:val="18"/>
                <w:vertAlign w:val="superscript"/>
                <w:lang w:val="en-GB"/>
              </w:rPr>
              <w:t>3</w:t>
            </w:r>
          </w:p>
        </w:tc>
        <w:tc>
          <w:tcPr>
            <w:tcW w:w="920" w:type="dxa"/>
            <w:tcBorders>
              <w:top w:val="single" w:sz="6" w:space="0" w:color="auto"/>
              <w:left w:val="single" w:sz="6" w:space="0" w:color="auto"/>
              <w:bottom w:val="single" w:sz="6" w:space="0" w:color="auto"/>
            </w:tcBorders>
            <w:vAlign w:val="center"/>
          </w:tcPr>
          <w:p w14:paraId="10A90DBE"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992" w:type="dxa"/>
            <w:tcBorders>
              <w:top w:val="single" w:sz="6" w:space="0" w:color="auto"/>
              <w:left w:val="single" w:sz="6" w:space="0" w:color="auto"/>
              <w:bottom w:val="single" w:sz="6" w:space="0" w:color="auto"/>
            </w:tcBorders>
            <w:vAlign w:val="center"/>
          </w:tcPr>
          <w:p w14:paraId="4080FA8E"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709" w:type="dxa"/>
            <w:tcBorders>
              <w:top w:val="single" w:sz="6" w:space="0" w:color="auto"/>
              <w:left w:val="single" w:sz="6" w:space="0" w:color="auto"/>
              <w:bottom w:val="single" w:sz="6" w:space="0" w:color="auto"/>
            </w:tcBorders>
            <w:vAlign w:val="center"/>
          </w:tcPr>
          <w:p w14:paraId="2F18ECD5"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14:paraId="6A4279A6"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1</w:t>
            </w:r>
          </w:p>
        </w:tc>
        <w:tc>
          <w:tcPr>
            <w:tcW w:w="776" w:type="dxa"/>
            <w:tcBorders>
              <w:top w:val="single" w:sz="6" w:space="0" w:color="auto"/>
              <w:left w:val="single" w:sz="6" w:space="0" w:color="auto"/>
              <w:bottom w:val="single" w:sz="6" w:space="0" w:color="auto"/>
            </w:tcBorders>
            <w:vAlign w:val="center"/>
          </w:tcPr>
          <w:p w14:paraId="1341C015"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tcBorders>
            <w:vAlign w:val="center"/>
          </w:tcPr>
          <w:p w14:paraId="5C7292E2"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3279DD37"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14:paraId="08285D27"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1</w:t>
            </w: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F8A504D"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837571D"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0E15D5C5" w14:textId="77777777" w:rsidR="00C7266C" w:rsidRPr="00D403F5" w:rsidRDefault="00C7266C" w:rsidP="00D403F5">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vAlign w:val="center"/>
          </w:tcPr>
          <w:p w14:paraId="76B69F0F"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1</w:t>
            </w:r>
          </w:p>
        </w:tc>
      </w:tr>
      <w:tr w:rsidR="00C7266C" w:rsidRPr="00D403F5" w14:paraId="5BEC9CCC"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5C905542"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Cell or artificial media culture</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2823B346" w14:textId="77777777" w:rsidR="00C7266C" w:rsidRPr="00D403F5" w:rsidRDefault="00C7266C" w:rsidP="00D403F5">
            <w:pPr>
              <w:pStyle w:val="TableHead"/>
              <w:spacing w:before="0" w:after="0"/>
              <w:rPr>
                <w:rFonts w:ascii="Arial Narrow" w:hAnsi="Arial Narrow" w:cs="Arial"/>
                <w:b w:val="0"/>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7CA1464A" w14:textId="77777777" w:rsidR="00C7266C" w:rsidRPr="00D403F5" w:rsidRDefault="00C7266C" w:rsidP="00D403F5">
            <w:pPr>
              <w:pStyle w:val="TableHead"/>
              <w:spacing w:before="0" w:after="0"/>
              <w:rPr>
                <w:rFonts w:ascii="Arial Narrow" w:hAnsi="Arial Narrow" w:cs="Arial"/>
                <w:b w:val="0"/>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5212781F" w14:textId="77777777" w:rsidR="00C7266C" w:rsidRPr="00D403F5" w:rsidRDefault="00C7266C" w:rsidP="00D403F5">
            <w:pPr>
              <w:pStyle w:val="TableHead"/>
              <w:spacing w:before="0" w:after="0"/>
              <w:rPr>
                <w:rFonts w:ascii="Arial Narrow" w:hAnsi="Arial Narrow" w:cs="Arial"/>
                <w:b w:val="0"/>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997250A" w14:textId="77777777" w:rsidR="00C7266C" w:rsidRPr="00D403F5" w:rsidRDefault="00C7266C" w:rsidP="00D403F5">
            <w:pPr>
              <w:pStyle w:val="TableHead"/>
              <w:spacing w:before="0" w:after="0"/>
              <w:rPr>
                <w:rFonts w:ascii="Arial Narrow" w:hAnsi="Arial Narrow" w:cs="Arial"/>
                <w:b w:val="0"/>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2674BA10" w14:textId="77777777" w:rsidR="00C7266C" w:rsidRPr="00D403F5" w:rsidRDefault="00C7266C" w:rsidP="00D403F5">
            <w:pPr>
              <w:pStyle w:val="Tabletext"/>
              <w:spacing w:before="0" w:after="0"/>
              <w:rPr>
                <w:rFonts w:ascii="Arial Narrow" w:hAnsi="Arial Narrow"/>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6712D1F3" w14:textId="77777777" w:rsidR="00C7266C" w:rsidRPr="00D403F5" w:rsidRDefault="00C7266C" w:rsidP="00D403F5">
            <w:pPr>
              <w:pStyle w:val="Tabletext"/>
              <w:spacing w:before="0" w:after="0"/>
              <w:rPr>
                <w:rFonts w:ascii="Arial Narrow" w:hAnsi="Arial Narrow"/>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580D44D2" w14:textId="77777777" w:rsidR="00C7266C" w:rsidRPr="00D403F5" w:rsidRDefault="00C7266C" w:rsidP="00D403F5">
            <w:pPr>
              <w:pStyle w:val="Tabletext"/>
              <w:spacing w:before="0" w:after="0"/>
              <w:rPr>
                <w:rFonts w:ascii="Arial Narrow" w:hAnsi="Arial Narrow"/>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0161B90" w14:textId="77777777" w:rsidR="00C7266C" w:rsidRPr="00D403F5" w:rsidRDefault="00C7266C" w:rsidP="00D403F5">
            <w:pPr>
              <w:pStyle w:val="Tabletext"/>
              <w:spacing w:before="0" w:after="0"/>
              <w:rPr>
                <w:rFonts w:ascii="Arial Narrow" w:hAnsi="Arial Narrow"/>
                <w:szCs w:val="18"/>
                <w:lang w:val="en-GB"/>
              </w:rPr>
            </w:pPr>
          </w:p>
        </w:tc>
        <w:tc>
          <w:tcPr>
            <w:tcW w:w="960" w:type="dxa"/>
            <w:tcBorders>
              <w:top w:val="single" w:sz="6" w:space="0" w:color="auto"/>
              <w:left w:val="single" w:sz="6" w:space="0" w:color="auto"/>
              <w:bottom w:val="single" w:sz="6" w:space="0" w:color="auto"/>
              <w:right w:val="single" w:sz="6" w:space="0" w:color="auto"/>
            </w:tcBorders>
            <w:vAlign w:val="center"/>
          </w:tcPr>
          <w:p w14:paraId="3B2C0CAC"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right w:val="single" w:sz="6" w:space="0" w:color="auto"/>
            </w:tcBorders>
            <w:vAlign w:val="center"/>
          </w:tcPr>
          <w:p w14:paraId="23EF0684"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23D9BC3D"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925" w:type="dxa"/>
            <w:tcBorders>
              <w:top w:val="single" w:sz="6" w:space="0" w:color="auto"/>
              <w:left w:val="single" w:sz="6" w:space="0" w:color="auto"/>
              <w:bottom w:val="single" w:sz="6" w:space="0" w:color="auto"/>
              <w:right w:val="single" w:sz="6" w:space="0" w:color="auto"/>
            </w:tcBorders>
            <w:vAlign w:val="center"/>
          </w:tcPr>
          <w:p w14:paraId="7317322B" w14:textId="77777777" w:rsidR="00C7266C" w:rsidRPr="00D403F5" w:rsidRDefault="00C7266C" w:rsidP="00D403F5">
            <w:pPr>
              <w:pStyle w:val="Tabletext"/>
              <w:spacing w:before="0" w:after="0"/>
              <w:rPr>
                <w:rFonts w:ascii="Arial Narrow" w:hAnsi="Arial Narrow"/>
                <w:szCs w:val="18"/>
                <w:lang w:val="en-GB"/>
              </w:rPr>
            </w:pPr>
          </w:p>
        </w:tc>
      </w:tr>
      <w:tr w:rsidR="00C7266C" w:rsidRPr="00D403F5" w14:paraId="38ED62BE"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1F481DA5"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Real-time PCR</w:t>
            </w:r>
          </w:p>
        </w:tc>
        <w:tc>
          <w:tcPr>
            <w:tcW w:w="920" w:type="dxa"/>
            <w:tcBorders>
              <w:top w:val="single" w:sz="6" w:space="0" w:color="auto"/>
              <w:left w:val="single" w:sz="6" w:space="0" w:color="auto"/>
              <w:bottom w:val="single" w:sz="6" w:space="0" w:color="auto"/>
            </w:tcBorders>
            <w:vAlign w:val="center"/>
          </w:tcPr>
          <w:p w14:paraId="2CA60D1F"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992" w:type="dxa"/>
            <w:tcBorders>
              <w:top w:val="single" w:sz="6" w:space="0" w:color="auto"/>
              <w:left w:val="single" w:sz="6" w:space="0" w:color="auto"/>
              <w:bottom w:val="single" w:sz="6" w:space="0" w:color="auto"/>
            </w:tcBorders>
            <w:vAlign w:val="center"/>
          </w:tcPr>
          <w:p w14:paraId="7952315B"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709" w:type="dxa"/>
            <w:tcBorders>
              <w:top w:val="single" w:sz="6" w:space="0" w:color="auto"/>
              <w:left w:val="single" w:sz="6" w:space="0" w:color="auto"/>
              <w:bottom w:val="single" w:sz="6" w:space="0" w:color="auto"/>
            </w:tcBorders>
            <w:vAlign w:val="center"/>
          </w:tcPr>
          <w:p w14:paraId="613C5AC1"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14:paraId="63729120" w14:textId="77777777" w:rsidR="00C7266C" w:rsidRPr="00D403F5" w:rsidRDefault="00C7266C" w:rsidP="00D403F5">
            <w:pPr>
              <w:pStyle w:val="TableHead"/>
              <w:spacing w:before="0" w:after="0"/>
              <w:rPr>
                <w:rFonts w:ascii="Arial Narrow" w:hAnsi="Arial Narrow" w:cs="Arial"/>
                <w:b w:val="0"/>
                <w:strike/>
                <w:szCs w:val="18"/>
                <w:lang w:val="en-GB"/>
              </w:rPr>
            </w:pPr>
            <w:r w:rsidRPr="00D403F5">
              <w:rPr>
                <w:rFonts w:ascii="Arial Narrow" w:hAnsi="Arial Narrow" w:cs="Arial"/>
                <w:b w:val="0"/>
                <w:szCs w:val="18"/>
                <w:lang w:val="en-GB"/>
              </w:rPr>
              <w:t>2</w:t>
            </w:r>
          </w:p>
        </w:tc>
        <w:tc>
          <w:tcPr>
            <w:tcW w:w="776" w:type="dxa"/>
            <w:tcBorders>
              <w:top w:val="single" w:sz="6" w:space="0" w:color="auto"/>
              <w:left w:val="single" w:sz="6" w:space="0" w:color="auto"/>
              <w:bottom w:val="single" w:sz="6" w:space="0" w:color="auto"/>
            </w:tcBorders>
            <w:vAlign w:val="center"/>
          </w:tcPr>
          <w:p w14:paraId="3D3671DC"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tcBorders>
            <w:vAlign w:val="center"/>
          </w:tcPr>
          <w:p w14:paraId="6CBADAB6"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5765777F"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14:paraId="6AA614E2"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2</w:t>
            </w:r>
          </w:p>
        </w:tc>
        <w:tc>
          <w:tcPr>
            <w:tcW w:w="960" w:type="dxa"/>
            <w:tcBorders>
              <w:top w:val="single" w:sz="6" w:space="0" w:color="auto"/>
              <w:left w:val="single" w:sz="6" w:space="0" w:color="auto"/>
              <w:bottom w:val="single" w:sz="6" w:space="0" w:color="auto"/>
              <w:right w:val="single" w:sz="6" w:space="0" w:color="auto"/>
            </w:tcBorders>
            <w:vAlign w:val="center"/>
          </w:tcPr>
          <w:p w14:paraId="007C0277"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right w:val="single" w:sz="6" w:space="0" w:color="auto"/>
            </w:tcBorders>
            <w:vAlign w:val="center"/>
          </w:tcPr>
          <w:p w14:paraId="307732F9"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67EB4695"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925" w:type="dxa"/>
            <w:tcBorders>
              <w:top w:val="single" w:sz="6" w:space="0" w:color="auto"/>
              <w:left w:val="single" w:sz="6" w:space="0" w:color="auto"/>
              <w:bottom w:val="single" w:sz="6" w:space="0" w:color="auto"/>
              <w:right w:val="single" w:sz="6" w:space="0" w:color="auto"/>
            </w:tcBorders>
            <w:vAlign w:val="center"/>
          </w:tcPr>
          <w:p w14:paraId="47FFBC73"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2</w:t>
            </w:r>
          </w:p>
        </w:tc>
      </w:tr>
      <w:tr w:rsidR="00C7266C" w:rsidRPr="00D403F5" w14:paraId="5C836BDC"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05F1DA22"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Conventional PCR</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2A4A0C4A"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75C646BA"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52943139"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A3147E1"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6F9F32FD"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49741337"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0511EFD6" w14:textId="77777777" w:rsidR="00C7266C" w:rsidRPr="00D403F5" w:rsidRDefault="00C7266C" w:rsidP="00D403F5">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C2AA9D4" w14:textId="77777777" w:rsidR="00C7266C" w:rsidRPr="00D403F5" w:rsidRDefault="00C7266C" w:rsidP="00D403F5">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BC1EFA0"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A129D26"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47239458" w14:textId="77777777" w:rsidR="00C7266C" w:rsidRPr="00D403F5" w:rsidRDefault="00C7266C" w:rsidP="00D403F5">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AFED022" w14:textId="77777777" w:rsidR="00C7266C" w:rsidRPr="00D403F5" w:rsidRDefault="00C7266C" w:rsidP="00D403F5">
            <w:pPr>
              <w:pStyle w:val="Tabletext"/>
              <w:spacing w:before="0" w:after="0"/>
              <w:rPr>
                <w:rFonts w:ascii="Arial Narrow" w:hAnsi="Arial Narrow"/>
                <w:strike/>
                <w:szCs w:val="18"/>
                <w:lang w:val="en-GB"/>
              </w:rPr>
            </w:pPr>
          </w:p>
        </w:tc>
      </w:tr>
      <w:tr w:rsidR="00C7266C" w:rsidRPr="00D403F5" w14:paraId="3341C7E6"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38CDCA03"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Amplicon sequencing</w:t>
            </w:r>
            <w:r w:rsidRPr="00D403F5">
              <w:rPr>
                <w:rFonts w:ascii="Arial Narrow" w:hAnsi="Arial Narrow" w:cs="Arial"/>
                <w:szCs w:val="18"/>
                <w:vertAlign w:val="superscript"/>
                <w:lang w:val="en-GB"/>
              </w:rPr>
              <w:t>4</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49CBAEEE" w14:textId="77777777" w:rsidR="00C7266C" w:rsidRPr="00D403F5" w:rsidRDefault="00C7266C" w:rsidP="00D403F5">
            <w:pPr>
              <w:pStyle w:val="TableHead"/>
              <w:spacing w:before="0" w:after="0"/>
              <w:rPr>
                <w:rFonts w:ascii="Arial Narrow" w:hAnsi="Arial Narrow" w:cs="Arial"/>
                <w:b w:val="0"/>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2602B222" w14:textId="77777777" w:rsidR="00C7266C" w:rsidRPr="00D403F5" w:rsidRDefault="00C7266C" w:rsidP="00D403F5">
            <w:pPr>
              <w:pStyle w:val="TableHead"/>
              <w:spacing w:before="0" w:after="0"/>
              <w:rPr>
                <w:rFonts w:ascii="Arial Narrow" w:hAnsi="Arial Narrow" w:cs="Arial"/>
                <w:b w:val="0"/>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50789BBE" w14:textId="77777777" w:rsidR="00C7266C" w:rsidRPr="00D403F5" w:rsidRDefault="00C7266C" w:rsidP="00D403F5">
            <w:pPr>
              <w:pStyle w:val="TableHead"/>
              <w:spacing w:before="0" w:after="0"/>
              <w:rPr>
                <w:rFonts w:ascii="Arial Narrow" w:hAnsi="Arial Narrow" w:cs="Arial"/>
                <w:b w:val="0"/>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DFB9640" w14:textId="77777777" w:rsidR="00C7266C" w:rsidRPr="00D403F5" w:rsidRDefault="00C7266C" w:rsidP="00D403F5">
            <w:pPr>
              <w:pStyle w:val="TableHead"/>
              <w:spacing w:before="0" w:after="0"/>
              <w:rPr>
                <w:rFonts w:ascii="Arial Narrow" w:hAnsi="Arial Narrow" w:cs="Arial"/>
                <w:b w:val="0"/>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77BFE100" w14:textId="77777777" w:rsidR="00C7266C" w:rsidRPr="00D403F5" w:rsidRDefault="00C7266C" w:rsidP="00D403F5">
            <w:pPr>
              <w:pStyle w:val="Tabletext"/>
              <w:spacing w:before="0" w:after="0"/>
              <w:rPr>
                <w:rFonts w:ascii="Arial Narrow" w:hAnsi="Arial Narrow"/>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1727AF58" w14:textId="77777777" w:rsidR="00C7266C" w:rsidRPr="00D403F5" w:rsidRDefault="00C7266C" w:rsidP="00D403F5">
            <w:pPr>
              <w:pStyle w:val="Tabletext"/>
              <w:spacing w:before="0" w:after="0"/>
              <w:rPr>
                <w:rFonts w:ascii="Arial Narrow" w:hAnsi="Arial Narrow"/>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687E7D7C" w14:textId="77777777" w:rsidR="00C7266C" w:rsidRPr="00D403F5" w:rsidRDefault="00C7266C" w:rsidP="00D403F5">
            <w:pPr>
              <w:pStyle w:val="Tabletext"/>
              <w:spacing w:before="0" w:after="0"/>
              <w:rPr>
                <w:rFonts w:ascii="Arial Narrow" w:hAnsi="Arial Narrow"/>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7A0F8EE" w14:textId="77777777" w:rsidR="00C7266C" w:rsidRPr="00D403F5" w:rsidRDefault="00C7266C" w:rsidP="00D403F5">
            <w:pPr>
              <w:pStyle w:val="Tabletext"/>
              <w:spacing w:before="0" w:after="0"/>
              <w:rPr>
                <w:rFonts w:ascii="Arial Narrow" w:hAnsi="Arial Narrow"/>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57A981A"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B2A0EE3"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7789F473" w14:textId="77777777" w:rsidR="00C7266C" w:rsidRPr="00D403F5" w:rsidRDefault="00C7266C" w:rsidP="00D403F5">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273E5C1" w14:textId="77777777" w:rsidR="00C7266C" w:rsidRPr="00D403F5" w:rsidRDefault="00C7266C" w:rsidP="00D403F5">
            <w:pPr>
              <w:pStyle w:val="Tabletext"/>
              <w:spacing w:before="0" w:after="0"/>
              <w:rPr>
                <w:rFonts w:ascii="Arial Narrow" w:hAnsi="Arial Narrow"/>
                <w:szCs w:val="18"/>
                <w:lang w:val="en-GB"/>
              </w:rPr>
            </w:pPr>
          </w:p>
        </w:tc>
      </w:tr>
      <w:tr w:rsidR="00C7266C" w:rsidRPr="00D403F5" w14:paraId="4E0484F8" w14:textId="77777777" w:rsidTr="00C7266C">
        <w:trPr>
          <w:trHeight w:val="402"/>
          <w:jc w:val="center"/>
        </w:trPr>
        <w:tc>
          <w:tcPr>
            <w:tcW w:w="2399" w:type="dxa"/>
            <w:tcBorders>
              <w:top w:val="single" w:sz="6" w:space="0" w:color="auto"/>
              <w:left w:val="single" w:sz="6" w:space="0" w:color="auto"/>
            </w:tcBorders>
            <w:vAlign w:val="center"/>
          </w:tcPr>
          <w:p w14:paraId="7D9E9187"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i/>
                <w:iCs/>
                <w:szCs w:val="18"/>
                <w:lang w:val="en-GB"/>
              </w:rPr>
              <w:t>In-situ</w:t>
            </w:r>
            <w:r w:rsidRPr="00D403F5">
              <w:rPr>
                <w:rFonts w:ascii="Arial Narrow" w:hAnsi="Arial Narrow" w:cs="Arial"/>
                <w:szCs w:val="18"/>
                <w:lang w:val="en-GB"/>
              </w:rPr>
              <w:t xml:space="preserve"> hybridisation</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4741EA1E" w14:textId="77777777" w:rsidR="00C7266C" w:rsidRPr="00D403F5" w:rsidRDefault="00C7266C" w:rsidP="00D403F5">
            <w:pPr>
              <w:pStyle w:val="TableHead"/>
              <w:spacing w:before="0" w:after="0"/>
              <w:rPr>
                <w:rFonts w:ascii="Arial Narrow" w:hAnsi="Arial Narrow" w:cs="Arial"/>
                <w:b w:val="0"/>
                <w:iCs/>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46BF6753" w14:textId="77777777" w:rsidR="00C7266C" w:rsidRPr="00D403F5" w:rsidRDefault="00C7266C" w:rsidP="00D403F5">
            <w:pPr>
              <w:pStyle w:val="TableHead"/>
              <w:spacing w:before="0" w:after="0"/>
              <w:rPr>
                <w:rFonts w:ascii="Arial Narrow" w:hAnsi="Arial Narrow" w:cs="Arial"/>
                <w:b w:val="0"/>
                <w:iCs/>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37EBC09B"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A48D1E6"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06A94B5C"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27BCC3FE"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0FB7AA43" w14:textId="77777777" w:rsidR="00C7266C" w:rsidRPr="00D403F5" w:rsidRDefault="00C7266C" w:rsidP="00D403F5">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40B8EA8" w14:textId="77777777" w:rsidR="00C7266C" w:rsidRPr="00D403F5" w:rsidRDefault="00C7266C" w:rsidP="00D403F5">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A6C6CFE"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C9E1B53"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688B0AD4" w14:textId="77777777" w:rsidR="00C7266C" w:rsidRPr="00D403F5" w:rsidRDefault="00C7266C" w:rsidP="00D403F5">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92B5263" w14:textId="77777777" w:rsidR="00C7266C" w:rsidRPr="00D403F5" w:rsidRDefault="00C7266C" w:rsidP="00D403F5">
            <w:pPr>
              <w:pStyle w:val="Tabletext"/>
              <w:spacing w:before="0" w:after="0"/>
              <w:rPr>
                <w:rFonts w:ascii="Arial Narrow" w:hAnsi="Arial Narrow"/>
                <w:szCs w:val="18"/>
                <w:lang w:val="en-GB"/>
              </w:rPr>
            </w:pPr>
          </w:p>
        </w:tc>
      </w:tr>
      <w:tr w:rsidR="00C7266C" w:rsidRPr="00D403F5" w14:paraId="78BAF5AF" w14:textId="77777777" w:rsidTr="00C7266C">
        <w:trPr>
          <w:trHeight w:val="402"/>
          <w:jc w:val="center"/>
        </w:trPr>
        <w:tc>
          <w:tcPr>
            <w:tcW w:w="2399" w:type="dxa"/>
            <w:tcBorders>
              <w:top w:val="single" w:sz="6" w:space="0" w:color="auto"/>
              <w:left w:val="single" w:sz="6" w:space="0" w:color="auto"/>
              <w:bottom w:val="single" w:sz="4" w:space="0" w:color="auto"/>
            </w:tcBorders>
            <w:vAlign w:val="center"/>
          </w:tcPr>
          <w:p w14:paraId="1E6DF23E"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LAMP</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7AF2E752"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53A13AD6"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6B5AFBEE"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C7FD1A6" w14:textId="77777777" w:rsidR="00C7266C" w:rsidRPr="00D403F5" w:rsidRDefault="00C7266C" w:rsidP="00D403F5">
            <w:pPr>
              <w:pStyle w:val="TableHead"/>
              <w:spacing w:before="0" w:after="0"/>
              <w:rPr>
                <w:rFonts w:ascii="Arial Narrow" w:hAnsi="Arial Narrow" w:cs="Arial"/>
                <w:b w:val="0"/>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6E9A8E44"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3A50B30D"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44F1C639" w14:textId="77777777" w:rsidR="00C7266C" w:rsidRPr="00D403F5" w:rsidRDefault="00C7266C" w:rsidP="00D403F5">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A4E6402" w14:textId="77777777" w:rsidR="00C7266C" w:rsidRPr="00D403F5" w:rsidRDefault="00C7266C" w:rsidP="00D403F5">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C5F5865"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0CF1951"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540B3794" w14:textId="77777777" w:rsidR="00C7266C" w:rsidRPr="00D403F5" w:rsidRDefault="00C7266C" w:rsidP="00D403F5">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D600C0C" w14:textId="77777777" w:rsidR="00C7266C" w:rsidRPr="00D403F5" w:rsidRDefault="00C7266C" w:rsidP="00D403F5">
            <w:pPr>
              <w:pStyle w:val="Tabletext"/>
              <w:spacing w:before="0" w:after="0"/>
              <w:rPr>
                <w:rFonts w:ascii="Arial Narrow" w:hAnsi="Arial Narrow"/>
                <w:strike/>
                <w:szCs w:val="18"/>
                <w:lang w:val="en-GB"/>
              </w:rPr>
            </w:pPr>
          </w:p>
        </w:tc>
      </w:tr>
      <w:tr w:rsidR="00C7266C" w:rsidRPr="00D403F5" w14:paraId="664FC1F7" w14:textId="77777777" w:rsidTr="00C7266C">
        <w:trPr>
          <w:trHeight w:val="402"/>
          <w:jc w:val="center"/>
        </w:trPr>
        <w:tc>
          <w:tcPr>
            <w:tcW w:w="2399" w:type="dxa"/>
            <w:tcBorders>
              <w:top w:val="single" w:sz="4" w:space="0" w:color="auto"/>
              <w:left w:val="single" w:sz="6" w:space="0" w:color="auto"/>
              <w:bottom w:val="single" w:sz="4" w:space="0" w:color="auto"/>
            </w:tcBorders>
            <w:vAlign w:val="center"/>
          </w:tcPr>
          <w:p w14:paraId="377025CC"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Lateral flow assay</w:t>
            </w:r>
          </w:p>
        </w:tc>
        <w:tc>
          <w:tcPr>
            <w:tcW w:w="920" w:type="dxa"/>
            <w:tcBorders>
              <w:top w:val="single" w:sz="6" w:space="0" w:color="auto"/>
              <w:left w:val="single" w:sz="6" w:space="0" w:color="auto"/>
              <w:bottom w:val="single" w:sz="6" w:space="0" w:color="auto"/>
            </w:tcBorders>
            <w:vAlign w:val="center"/>
          </w:tcPr>
          <w:p w14:paraId="6466DA40"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992" w:type="dxa"/>
            <w:tcBorders>
              <w:top w:val="single" w:sz="6" w:space="0" w:color="auto"/>
              <w:left w:val="single" w:sz="6" w:space="0" w:color="auto"/>
              <w:bottom w:val="single" w:sz="6" w:space="0" w:color="auto"/>
            </w:tcBorders>
            <w:vAlign w:val="center"/>
          </w:tcPr>
          <w:p w14:paraId="58CFAC9B"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709" w:type="dxa"/>
            <w:tcBorders>
              <w:top w:val="single" w:sz="6" w:space="0" w:color="auto"/>
              <w:left w:val="single" w:sz="6" w:space="0" w:color="auto"/>
              <w:bottom w:val="single" w:sz="6" w:space="0" w:color="auto"/>
            </w:tcBorders>
            <w:vAlign w:val="center"/>
          </w:tcPr>
          <w:p w14:paraId="321D8A9B"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14:paraId="325B1D0C" w14:textId="77777777" w:rsidR="00C7266C" w:rsidRPr="00D403F5" w:rsidRDefault="00C7266C" w:rsidP="00D403F5">
            <w:pPr>
              <w:pStyle w:val="TableHead"/>
              <w:spacing w:before="0" w:after="0"/>
              <w:rPr>
                <w:rFonts w:ascii="Arial Narrow" w:hAnsi="Arial Narrow" w:cs="Arial"/>
                <w:b w:val="0"/>
                <w:szCs w:val="18"/>
                <w:lang w:val="en-GB"/>
              </w:rPr>
            </w:pPr>
            <w:r w:rsidRPr="00D403F5">
              <w:rPr>
                <w:rFonts w:ascii="Arial Narrow" w:hAnsi="Arial Narrow" w:cs="Arial"/>
                <w:b w:val="0"/>
                <w:szCs w:val="18"/>
                <w:lang w:val="en-GB"/>
              </w:rPr>
              <w:t>1</w:t>
            </w:r>
          </w:p>
        </w:tc>
        <w:tc>
          <w:tcPr>
            <w:tcW w:w="776" w:type="dxa"/>
            <w:tcBorders>
              <w:top w:val="single" w:sz="6" w:space="0" w:color="auto"/>
              <w:left w:val="single" w:sz="6" w:space="0" w:color="auto"/>
              <w:bottom w:val="single" w:sz="6" w:space="0" w:color="auto"/>
            </w:tcBorders>
            <w:vAlign w:val="center"/>
          </w:tcPr>
          <w:p w14:paraId="6C762CCC"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51" w:type="dxa"/>
            <w:tcBorders>
              <w:top w:val="single" w:sz="6" w:space="0" w:color="auto"/>
              <w:left w:val="single" w:sz="6" w:space="0" w:color="auto"/>
              <w:bottom w:val="single" w:sz="6" w:space="0" w:color="auto"/>
            </w:tcBorders>
            <w:vAlign w:val="center"/>
          </w:tcPr>
          <w:p w14:paraId="0CA18D57"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708" w:type="dxa"/>
            <w:tcBorders>
              <w:top w:val="single" w:sz="6" w:space="0" w:color="auto"/>
              <w:left w:val="single" w:sz="6" w:space="0" w:color="auto"/>
              <w:bottom w:val="single" w:sz="6" w:space="0" w:color="auto"/>
            </w:tcBorders>
            <w:vAlign w:val="center"/>
          </w:tcPr>
          <w:p w14:paraId="2CB8066B"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14:paraId="2ADAF91C"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1</w:t>
            </w: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D937087"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C50BE38"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109E0F49" w14:textId="77777777" w:rsidR="00C7266C" w:rsidRPr="00D403F5" w:rsidRDefault="00C7266C" w:rsidP="00D403F5">
            <w:pPr>
              <w:pStyle w:val="Tabletext"/>
              <w:spacing w:before="0" w:after="0"/>
              <w:rPr>
                <w:rFonts w:ascii="Arial Narrow" w:hAnsi="Arial Narrow"/>
                <w:strike/>
                <w:szCs w:val="18"/>
                <w:lang w:val="en-GB"/>
              </w:rPr>
            </w:pPr>
          </w:p>
        </w:tc>
        <w:tc>
          <w:tcPr>
            <w:tcW w:w="925" w:type="dxa"/>
            <w:tcBorders>
              <w:top w:val="single" w:sz="6" w:space="0" w:color="auto"/>
              <w:left w:val="single" w:sz="6" w:space="0" w:color="auto"/>
              <w:bottom w:val="single" w:sz="6" w:space="0" w:color="auto"/>
              <w:right w:val="single" w:sz="6" w:space="0" w:color="auto"/>
            </w:tcBorders>
            <w:vAlign w:val="center"/>
          </w:tcPr>
          <w:p w14:paraId="1ABD2C0D" w14:textId="77777777" w:rsidR="00C7266C" w:rsidRPr="00D403F5" w:rsidRDefault="00C7266C" w:rsidP="00D403F5">
            <w:pPr>
              <w:pStyle w:val="Tabletext"/>
              <w:spacing w:before="0" w:after="0"/>
              <w:rPr>
                <w:rFonts w:ascii="Arial Narrow" w:hAnsi="Arial Narrow"/>
                <w:szCs w:val="18"/>
                <w:lang w:val="en-GB"/>
              </w:rPr>
            </w:pPr>
            <w:r w:rsidRPr="00D403F5">
              <w:rPr>
                <w:rFonts w:ascii="Arial Narrow" w:hAnsi="Arial Narrow"/>
                <w:szCs w:val="18"/>
                <w:lang w:val="en-GB"/>
              </w:rPr>
              <w:t>1</w:t>
            </w:r>
          </w:p>
        </w:tc>
      </w:tr>
      <w:tr w:rsidR="00C7266C" w:rsidRPr="00D403F5" w14:paraId="71F1F336" w14:textId="77777777" w:rsidTr="00C7266C">
        <w:trPr>
          <w:trHeight w:val="402"/>
          <w:jc w:val="center"/>
        </w:trPr>
        <w:tc>
          <w:tcPr>
            <w:tcW w:w="2399" w:type="dxa"/>
            <w:tcBorders>
              <w:top w:val="single" w:sz="4" w:space="0" w:color="auto"/>
              <w:left w:val="single" w:sz="6" w:space="0" w:color="auto"/>
              <w:bottom w:val="single" w:sz="4" w:space="0" w:color="auto"/>
            </w:tcBorders>
            <w:vAlign w:val="center"/>
          </w:tcPr>
          <w:p w14:paraId="1CD1195E" w14:textId="77777777" w:rsidR="00C7266C" w:rsidRPr="00D403F5" w:rsidRDefault="00C7266C" w:rsidP="00D403F5">
            <w:pPr>
              <w:pStyle w:val="TableHead"/>
              <w:spacing w:before="0" w:after="0"/>
              <w:rPr>
                <w:rFonts w:ascii="Arial Narrow" w:hAnsi="Arial Narrow" w:cs="Arial"/>
                <w:szCs w:val="18"/>
                <w:lang w:val="en-GB"/>
              </w:rPr>
            </w:pPr>
            <w:r w:rsidRPr="00D403F5">
              <w:rPr>
                <w:rFonts w:ascii="Arial Narrow" w:hAnsi="Arial Narrow" w:cs="Arial"/>
                <w:szCs w:val="18"/>
                <w:lang w:val="en-GB"/>
              </w:rPr>
              <w:t>Immunohistochemistry</w:t>
            </w:r>
          </w:p>
        </w:tc>
        <w:tc>
          <w:tcPr>
            <w:tcW w:w="920" w:type="dxa"/>
            <w:tcBorders>
              <w:top w:val="single" w:sz="6" w:space="0" w:color="auto"/>
              <w:left w:val="single" w:sz="6" w:space="0" w:color="auto"/>
              <w:bottom w:val="single" w:sz="6" w:space="0" w:color="auto"/>
            </w:tcBorders>
            <w:shd w:val="clear" w:color="auto" w:fill="BFBFBF" w:themeFill="background1" w:themeFillShade="BF"/>
            <w:vAlign w:val="center"/>
          </w:tcPr>
          <w:p w14:paraId="1CC6EF8F"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992" w:type="dxa"/>
            <w:tcBorders>
              <w:top w:val="single" w:sz="6" w:space="0" w:color="auto"/>
              <w:left w:val="single" w:sz="6" w:space="0" w:color="auto"/>
              <w:bottom w:val="single" w:sz="6" w:space="0" w:color="auto"/>
            </w:tcBorders>
            <w:shd w:val="clear" w:color="auto" w:fill="BFBFBF" w:themeFill="background1" w:themeFillShade="BF"/>
            <w:vAlign w:val="center"/>
          </w:tcPr>
          <w:p w14:paraId="16E11492"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709" w:type="dxa"/>
            <w:tcBorders>
              <w:top w:val="single" w:sz="6" w:space="0" w:color="auto"/>
              <w:left w:val="single" w:sz="6" w:space="0" w:color="auto"/>
              <w:bottom w:val="single" w:sz="6" w:space="0" w:color="auto"/>
            </w:tcBorders>
            <w:shd w:val="clear" w:color="auto" w:fill="BFBFBF" w:themeFill="background1" w:themeFillShade="BF"/>
            <w:vAlign w:val="center"/>
          </w:tcPr>
          <w:p w14:paraId="53DEF3CA"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B3B628D" w14:textId="77777777" w:rsidR="00C7266C" w:rsidRPr="00D403F5" w:rsidRDefault="00C7266C" w:rsidP="00D403F5">
            <w:pPr>
              <w:pStyle w:val="TableHead"/>
              <w:spacing w:before="0" w:after="0"/>
              <w:rPr>
                <w:rFonts w:ascii="Arial Narrow" w:hAnsi="Arial Narrow" w:cs="Arial"/>
                <w:b w:val="0"/>
                <w:strike/>
                <w:szCs w:val="18"/>
                <w:lang w:val="en-GB"/>
              </w:rPr>
            </w:pPr>
          </w:p>
        </w:tc>
        <w:tc>
          <w:tcPr>
            <w:tcW w:w="776" w:type="dxa"/>
            <w:tcBorders>
              <w:top w:val="single" w:sz="6" w:space="0" w:color="auto"/>
              <w:left w:val="single" w:sz="6" w:space="0" w:color="auto"/>
              <w:bottom w:val="single" w:sz="6" w:space="0" w:color="auto"/>
            </w:tcBorders>
            <w:shd w:val="clear" w:color="auto" w:fill="BFBFBF" w:themeFill="background1" w:themeFillShade="BF"/>
            <w:vAlign w:val="center"/>
          </w:tcPr>
          <w:p w14:paraId="204090B8" w14:textId="77777777" w:rsidR="00C7266C" w:rsidRPr="00D403F5" w:rsidRDefault="00C7266C" w:rsidP="00D403F5">
            <w:pPr>
              <w:pStyle w:val="Tabletext"/>
              <w:spacing w:before="0" w:after="0"/>
              <w:rPr>
                <w:rFonts w:ascii="Arial Narrow" w:hAnsi="Arial Narrow"/>
                <w:strike/>
                <w:szCs w:val="18"/>
                <w:lang w:val="en-GB"/>
              </w:rPr>
            </w:pPr>
          </w:p>
        </w:tc>
        <w:tc>
          <w:tcPr>
            <w:tcW w:w="851" w:type="dxa"/>
            <w:tcBorders>
              <w:top w:val="single" w:sz="6" w:space="0" w:color="auto"/>
              <w:left w:val="single" w:sz="6" w:space="0" w:color="auto"/>
              <w:bottom w:val="single" w:sz="6" w:space="0" w:color="auto"/>
            </w:tcBorders>
            <w:shd w:val="clear" w:color="auto" w:fill="BFBFBF" w:themeFill="background1" w:themeFillShade="BF"/>
            <w:vAlign w:val="center"/>
          </w:tcPr>
          <w:p w14:paraId="67FC9FFC" w14:textId="77777777" w:rsidR="00C7266C" w:rsidRPr="00D403F5" w:rsidRDefault="00C7266C" w:rsidP="00D403F5">
            <w:pPr>
              <w:pStyle w:val="Tabletext"/>
              <w:spacing w:before="0" w:after="0"/>
              <w:rPr>
                <w:rFonts w:ascii="Arial Narrow" w:hAnsi="Arial Narrow"/>
                <w:strike/>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619268C7" w14:textId="77777777" w:rsidR="00C7266C" w:rsidRPr="00D403F5" w:rsidRDefault="00C7266C" w:rsidP="00D403F5">
            <w:pPr>
              <w:pStyle w:val="Tabletext"/>
              <w:spacing w:before="0" w:after="0"/>
              <w:rPr>
                <w:rFonts w:ascii="Arial Narrow" w:hAnsi="Arial Narrow"/>
                <w:strike/>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8CA7927" w14:textId="77777777" w:rsidR="00C7266C" w:rsidRPr="00D403F5" w:rsidRDefault="00C7266C" w:rsidP="00D403F5">
            <w:pPr>
              <w:pStyle w:val="Tabletext"/>
              <w:spacing w:before="0" w:after="0"/>
              <w:rPr>
                <w:rFonts w:ascii="Arial Narrow" w:hAnsi="Arial Narrow"/>
                <w:strike/>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A96A55C" w14:textId="77777777" w:rsidR="00C7266C" w:rsidRPr="00D403F5" w:rsidRDefault="00C7266C" w:rsidP="00D403F5">
            <w:pPr>
              <w:pStyle w:val="Tabletext"/>
              <w:spacing w:before="0" w:after="0"/>
              <w:rPr>
                <w:rFonts w:ascii="Arial Narrow" w:hAnsi="Arial Narrow"/>
                <w:color w:val="808080"/>
                <w:szCs w:val="18"/>
                <w:lang w:val="en-GB"/>
              </w:rPr>
            </w:pPr>
          </w:p>
        </w:tc>
        <w:tc>
          <w:tcPr>
            <w:tcW w:w="851"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0528C3F" w14:textId="77777777" w:rsidR="00C7266C" w:rsidRPr="00D403F5" w:rsidRDefault="00C7266C" w:rsidP="00D403F5">
            <w:pPr>
              <w:pStyle w:val="Tabletext"/>
              <w:spacing w:before="0" w:after="0"/>
              <w:rPr>
                <w:rFonts w:ascii="Arial Narrow" w:hAnsi="Arial Narrow"/>
                <w:color w:val="808080"/>
                <w:szCs w:val="18"/>
                <w:lang w:val="en-GB"/>
              </w:rPr>
            </w:pPr>
          </w:p>
        </w:tc>
        <w:tc>
          <w:tcPr>
            <w:tcW w:w="708" w:type="dxa"/>
            <w:tcBorders>
              <w:top w:val="single" w:sz="6" w:space="0" w:color="auto"/>
              <w:left w:val="single" w:sz="6" w:space="0" w:color="auto"/>
              <w:bottom w:val="single" w:sz="6" w:space="0" w:color="auto"/>
            </w:tcBorders>
            <w:shd w:val="clear" w:color="auto" w:fill="BFBFBF" w:themeFill="background1" w:themeFillShade="BF"/>
            <w:vAlign w:val="center"/>
          </w:tcPr>
          <w:p w14:paraId="19DB0DDA" w14:textId="77777777" w:rsidR="00C7266C" w:rsidRPr="00D403F5" w:rsidRDefault="00C7266C" w:rsidP="00D403F5">
            <w:pPr>
              <w:pStyle w:val="Tabletext"/>
              <w:spacing w:before="0" w:after="0"/>
              <w:rPr>
                <w:rFonts w:ascii="Arial Narrow" w:hAnsi="Arial Narrow"/>
                <w:color w:val="808080"/>
                <w:szCs w:val="18"/>
                <w:lang w:val="en-GB"/>
              </w:rPr>
            </w:pPr>
          </w:p>
        </w:tc>
        <w:tc>
          <w:tcPr>
            <w:tcW w:w="92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3AF2A2F" w14:textId="77777777" w:rsidR="00C7266C" w:rsidRPr="00D403F5" w:rsidRDefault="00C7266C" w:rsidP="00D403F5">
            <w:pPr>
              <w:pStyle w:val="Tabletext"/>
              <w:spacing w:before="0" w:after="0"/>
              <w:rPr>
                <w:rFonts w:ascii="Arial Narrow" w:hAnsi="Arial Narrow"/>
                <w:color w:val="808080"/>
                <w:szCs w:val="18"/>
                <w:lang w:val="en-GB"/>
              </w:rPr>
            </w:pPr>
          </w:p>
        </w:tc>
      </w:tr>
    </w:tbl>
    <w:p w14:paraId="6A0C49EA" w14:textId="77777777" w:rsidR="00C7266C" w:rsidRPr="00D403F5" w:rsidRDefault="00C7266C" w:rsidP="00D403F5">
      <w:pPr>
        <w:pStyle w:val="paraA0"/>
        <w:spacing w:after="0"/>
        <w:jc w:val="center"/>
      </w:pPr>
      <w:r w:rsidRPr="00D403F5">
        <w:t>LV = level of validation, refers to the stage of validation in the OIE Pathway (Chapter 1.1.2.)</w:t>
      </w:r>
      <w:r w:rsidRPr="00D403F5">
        <w:rPr>
          <w:rFonts w:ascii="Calibri" w:hAnsi="Calibri" w:cs="Times New Roman"/>
          <w:lang w:eastAsia="en-US" w:bidi="en-US"/>
        </w:rPr>
        <w:t xml:space="preserve">; </w:t>
      </w:r>
      <w:r w:rsidRPr="00D403F5">
        <w:t xml:space="preserve">PCR = polymerase chain reaction. </w:t>
      </w:r>
      <w:r w:rsidRPr="00D403F5">
        <w:rPr>
          <w:lang w:bidi="en-US"/>
        </w:rPr>
        <w:br/>
      </w:r>
      <w:r w:rsidRPr="00D403F5">
        <w:rPr>
          <w:vertAlign w:val="superscript"/>
          <w:lang w:bidi="en-US"/>
        </w:rPr>
        <w:t>1</w:t>
      </w:r>
      <w:r w:rsidRPr="00D403F5">
        <w:t xml:space="preserve">For confirmatory diagnoses, methods need to be carried out in combination (see Section 6). </w:t>
      </w:r>
      <w:r w:rsidRPr="00D403F5">
        <w:rPr>
          <w:vertAlign w:val="superscript"/>
          <w:lang w:bidi="en-US"/>
        </w:rPr>
        <w:t>2</w:t>
      </w:r>
      <w:r w:rsidRPr="00D403F5">
        <w:t xml:space="preserve">Early and juvenile life stages have been defined in Section 2.2.4. </w:t>
      </w:r>
      <w:r w:rsidRPr="00D403F5">
        <w:br/>
      </w:r>
      <w:r w:rsidRPr="00D403F5">
        <w:rPr>
          <w:vertAlign w:val="superscript"/>
          <w:lang w:bidi="en-US"/>
        </w:rPr>
        <w:t>3</w:t>
      </w:r>
      <w:r w:rsidRPr="00D403F5">
        <w:t>Cytopathology and histopathology can be validated if the results from different operators has been statistically compared.</w:t>
      </w:r>
      <w:r w:rsidRPr="00D403F5">
        <w:rPr>
          <w:rFonts w:ascii="Arial Narrow" w:hAnsi="Arial Narrow"/>
          <w:vertAlign w:val="superscript"/>
        </w:rPr>
        <w:t xml:space="preserve"> 4</w:t>
      </w:r>
      <w:r w:rsidRPr="00D403F5">
        <w:t>Sequencing of the PCR product.</w:t>
      </w:r>
      <w:r w:rsidRPr="00D403F5">
        <w:br/>
        <w:t>Shading indicates the test is inappropriate or should not be used for this purpose.</w:t>
      </w:r>
    </w:p>
    <w:p w14:paraId="747C740A" w14:textId="77777777" w:rsidR="00C7266C" w:rsidRPr="00D403F5" w:rsidRDefault="00C7266C" w:rsidP="00D403F5">
      <w:pPr>
        <w:pStyle w:val="paraA0"/>
        <w:spacing w:after="0"/>
        <w:jc w:val="center"/>
      </w:pPr>
    </w:p>
    <w:p w14:paraId="657CA242" w14:textId="77777777" w:rsidR="00C7266C" w:rsidRPr="00D403F5" w:rsidRDefault="00C7266C" w:rsidP="00D403F5">
      <w:pPr>
        <w:spacing w:after="0"/>
        <w:rPr>
          <w:noProof/>
          <w:sz w:val="18"/>
          <w:szCs w:val="18"/>
          <w:u w:val="single"/>
          <w:lang w:val="en-US"/>
        </w:rPr>
        <w:sectPr w:rsidR="00C7266C" w:rsidRPr="00D403F5" w:rsidSect="00C7266C">
          <w:headerReference w:type="even" r:id="rId111"/>
          <w:headerReference w:type="default" r:id="rId112"/>
          <w:headerReference w:type="first" r:id="rId113"/>
          <w:footerReference w:type="first" r:id="rId114"/>
          <w:pgSz w:w="16840" w:h="11907" w:orient="landscape" w:code="9"/>
          <w:pgMar w:top="1418" w:right="1418" w:bottom="1418" w:left="1418" w:header="709" w:footer="709" w:gutter="0"/>
          <w:cols w:space="720"/>
          <w:titlePg/>
          <w:docGrid w:linePitch="360"/>
        </w:sectPr>
      </w:pPr>
    </w:p>
    <w:p w14:paraId="7969BD20" w14:textId="77777777" w:rsidR="00C7266C" w:rsidRPr="00D403F5" w:rsidRDefault="00C7266C" w:rsidP="00EA6B7E">
      <w:pPr>
        <w:spacing w:after="480"/>
        <w:jc w:val="right"/>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68897E31" w14:textId="77777777" w:rsidR="00C7266C" w:rsidRPr="00D403F5" w:rsidRDefault="00C7266C" w:rsidP="00D403F5">
      <w:pPr>
        <w:pStyle w:val="11"/>
        <w:spacing w:after="0"/>
        <w:ind w:left="426" w:hanging="426"/>
        <w:rPr>
          <w:sz w:val="18"/>
          <w:szCs w:val="18"/>
          <w:lang w:val="en-GB"/>
        </w:rPr>
      </w:pPr>
      <w:r w:rsidRPr="00D403F5">
        <w:rPr>
          <w:sz w:val="18"/>
          <w:szCs w:val="18"/>
          <w:lang w:val="en-GB"/>
        </w:rPr>
        <w:t>4.1.</w:t>
      </w:r>
      <w:r w:rsidRPr="00D403F5">
        <w:rPr>
          <w:sz w:val="18"/>
          <w:szCs w:val="18"/>
          <w:lang w:val="en-GB"/>
        </w:rPr>
        <w:tab/>
        <w:t xml:space="preserve">Wet mounts </w:t>
      </w:r>
    </w:p>
    <w:p w14:paraId="7DBB0A85" w14:textId="77777777" w:rsidR="00C7266C" w:rsidRPr="00D403F5" w:rsidRDefault="00C7266C" w:rsidP="00D403F5">
      <w:pPr>
        <w:pStyle w:val="Para20"/>
        <w:spacing w:after="0"/>
        <w:ind w:left="426"/>
        <w:rPr>
          <w:rFonts w:cs="Arial"/>
          <w:szCs w:val="18"/>
          <w:lang w:val="en-GB" w:eastAsia="fr-FR"/>
        </w:rPr>
      </w:pPr>
      <w:r w:rsidRPr="00D403F5">
        <w:rPr>
          <w:rFonts w:cs="Arial"/>
          <w:szCs w:val="18"/>
          <w:lang w:val="en-GB" w:eastAsia="fr-FR"/>
        </w:rPr>
        <w:t xml:space="preserve">Wet mounts of skin scraping or pieces of shed skin can be examined at magnification 10× using light microscopy. The presence of motile spores of approximately 5 µm are indicative of amphibian chytrid infection. </w:t>
      </w:r>
    </w:p>
    <w:p w14:paraId="0B8F7FAA" w14:textId="77777777" w:rsidR="00C7266C" w:rsidRPr="00D403F5" w:rsidRDefault="00C7266C" w:rsidP="00D403F5">
      <w:pPr>
        <w:pStyle w:val="11"/>
        <w:spacing w:after="0"/>
        <w:ind w:left="426" w:hanging="426"/>
        <w:rPr>
          <w:sz w:val="18"/>
          <w:szCs w:val="18"/>
          <w:lang w:val="en-GB"/>
        </w:rPr>
      </w:pPr>
      <w:r w:rsidRPr="00D403F5">
        <w:rPr>
          <w:sz w:val="18"/>
          <w:szCs w:val="18"/>
          <w:lang w:val="en-GB"/>
        </w:rPr>
        <w:t>4.2.</w:t>
      </w:r>
      <w:r w:rsidRPr="00D403F5">
        <w:rPr>
          <w:sz w:val="18"/>
          <w:szCs w:val="18"/>
          <w:lang w:val="en-GB"/>
        </w:rPr>
        <w:tab/>
        <w:t>Histo- and cytopathology</w:t>
      </w:r>
    </w:p>
    <w:p w14:paraId="1B214D17" w14:textId="77777777" w:rsidR="00C7266C" w:rsidRPr="00D403F5" w:rsidRDefault="00C7266C" w:rsidP="00D403F5">
      <w:pPr>
        <w:pStyle w:val="Para20"/>
        <w:spacing w:after="0"/>
        <w:ind w:left="426"/>
        <w:rPr>
          <w:szCs w:val="18"/>
          <w:lang w:val="en-GB" w:eastAsia="fr-FR"/>
        </w:rPr>
      </w:pPr>
      <w:r w:rsidRPr="00D403F5">
        <w:rPr>
          <w:strike/>
          <w:szCs w:val="18"/>
          <w:lang w:val="en-GB" w:eastAsia="fr-FR"/>
        </w:rPr>
        <w:t xml:space="preserve">No reports are available on the use of cytology. </w:t>
      </w:r>
      <w:r w:rsidRPr="00D403F5">
        <w:rPr>
          <w:szCs w:val="18"/>
          <w:lang w:val="en-GB" w:eastAsia="fr-FR"/>
        </w:rPr>
        <w:t xml:space="preserve">Histopathology of skin in amphibian post-metamorphosis may provide strong indications of Bsal infection. In </w:t>
      </w:r>
      <w:r w:rsidRPr="00D403F5">
        <w:rPr>
          <w:strike/>
          <w:szCs w:val="18"/>
          <w:lang w:val="en-GB" w:eastAsia="fr-FR"/>
        </w:rPr>
        <w:t xml:space="preserve">a </w:t>
      </w:r>
      <w:r w:rsidRPr="00D403F5">
        <w:rPr>
          <w:szCs w:val="18"/>
          <w:lang w:val="en-GB" w:eastAsia="fr-FR"/>
        </w:rPr>
        <w:t xml:space="preserve">haematoxylin/eosin </w:t>
      </w:r>
      <w:r w:rsidRPr="00D403F5">
        <w:rPr>
          <w:strike/>
          <w:szCs w:val="18"/>
          <w:lang w:val="en-GB" w:eastAsia="fr-FR"/>
        </w:rPr>
        <w:t xml:space="preserve">staining of skin </w:t>
      </w:r>
      <w:r w:rsidRPr="00D403F5">
        <w:rPr>
          <w:szCs w:val="18"/>
          <w:u w:val="double"/>
          <w:lang w:val="en-GB" w:eastAsia="fr-FR"/>
        </w:rPr>
        <w:t>stained</w:t>
      </w:r>
      <w:r w:rsidRPr="00D403F5">
        <w:rPr>
          <w:szCs w:val="18"/>
          <w:lang w:val="en-GB" w:eastAsia="fr-FR"/>
        </w:rPr>
        <w:t xml:space="preserve"> sections, histopathological evidence suggestive of Bsal infections </w:t>
      </w:r>
      <w:r w:rsidRPr="00D403F5">
        <w:rPr>
          <w:szCs w:val="18"/>
          <w:u w:val="double"/>
          <w:lang w:val="en-GB" w:eastAsia="fr-FR"/>
        </w:rPr>
        <w:t>of skin,</w:t>
      </w:r>
      <w:r w:rsidRPr="00D403F5">
        <w:rPr>
          <w:szCs w:val="18"/>
          <w:lang w:val="en-GB" w:eastAsia="fr-FR"/>
        </w:rPr>
        <w:t xml:space="preserve"> </w:t>
      </w:r>
      <w:r w:rsidRPr="00D403F5">
        <w:rPr>
          <w:strike/>
          <w:szCs w:val="18"/>
          <w:lang w:val="en-GB" w:eastAsia="fr-FR"/>
        </w:rPr>
        <w:t xml:space="preserve">is </w:t>
      </w:r>
      <w:r w:rsidRPr="00D403F5">
        <w:rPr>
          <w:szCs w:val="18"/>
          <w:lang w:val="en-GB" w:eastAsia="fr-FR"/>
        </w:rPr>
        <w:t xml:space="preserve">multifocal epidermal necrosis with loss of distinction between layers of keratinocytes associated with myriad intracellular and extracellular chytrid-type fungal thalli </w:t>
      </w:r>
      <w:r w:rsidRPr="00D403F5">
        <w:rPr>
          <w:szCs w:val="18"/>
          <w:u w:val="double"/>
          <w:lang w:val="en-GB" w:eastAsia="fr-FR"/>
        </w:rPr>
        <w:t>provides histopathological evidence of Bsal infection</w:t>
      </w:r>
      <w:r w:rsidRPr="00D403F5">
        <w:rPr>
          <w:szCs w:val="18"/>
          <w:lang w:val="en-GB" w:eastAsia="fr-FR"/>
        </w:rPr>
        <w:t xml:space="preserve"> (Martel </w:t>
      </w:r>
      <w:r w:rsidRPr="00D403F5">
        <w:rPr>
          <w:i/>
          <w:szCs w:val="18"/>
          <w:lang w:val="en-GB" w:eastAsia="fr-FR"/>
        </w:rPr>
        <w:t>et al</w:t>
      </w:r>
      <w:r w:rsidRPr="00D403F5">
        <w:rPr>
          <w:szCs w:val="18"/>
          <w:lang w:val="en-GB" w:eastAsia="fr-FR"/>
        </w:rPr>
        <w:t xml:space="preserve">., 2013; White </w:t>
      </w:r>
      <w:r w:rsidRPr="00D403F5">
        <w:rPr>
          <w:i/>
          <w:szCs w:val="18"/>
          <w:lang w:val="en-GB" w:eastAsia="fr-FR"/>
        </w:rPr>
        <w:t>et al</w:t>
      </w:r>
      <w:r w:rsidRPr="00D403F5">
        <w:rPr>
          <w:szCs w:val="18"/>
          <w:lang w:val="en-GB" w:eastAsia="fr-FR"/>
        </w:rPr>
        <w:t xml:space="preserve">., 2016). Using immunohistochemistry, Bsal thalli can be stained, which aids in detecting low level infections (Thomas </w:t>
      </w:r>
      <w:r w:rsidRPr="00D403F5">
        <w:rPr>
          <w:i/>
          <w:szCs w:val="18"/>
          <w:lang w:val="en-GB" w:eastAsia="fr-FR"/>
        </w:rPr>
        <w:t>et al</w:t>
      </w:r>
      <w:r w:rsidRPr="00D403F5">
        <w:rPr>
          <w:szCs w:val="18"/>
          <w:lang w:val="en-GB" w:eastAsia="fr-FR"/>
        </w:rPr>
        <w:t xml:space="preserve">., 2018). Histopathology is highly indicative, yet does not allow </w:t>
      </w:r>
      <w:r w:rsidRPr="00D403F5">
        <w:rPr>
          <w:strike/>
          <w:szCs w:val="18"/>
          <w:lang w:val="en-GB" w:eastAsia="fr-FR"/>
        </w:rPr>
        <w:t xml:space="preserve">specific </w:t>
      </w:r>
      <w:r w:rsidRPr="00D403F5">
        <w:rPr>
          <w:szCs w:val="18"/>
          <w:u w:val="double"/>
          <w:lang w:val="en-GB" w:eastAsia="fr-FR"/>
        </w:rPr>
        <w:t>definitive</w:t>
      </w:r>
      <w:r w:rsidRPr="00D403F5">
        <w:rPr>
          <w:szCs w:val="18"/>
          <w:lang w:val="en-GB" w:eastAsia="fr-FR"/>
        </w:rPr>
        <w:t xml:space="preserve"> identification of Bsal, which needs further confirmation. In randomly collected skin samples from experimentally infected salamanders, histopathology was capable of detecting Bsal in only a minority of the samples (Thomas </w:t>
      </w:r>
      <w:r w:rsidRPr="00D403F5">
        <w:rPr>
          <w:i/>
          <w:szCs w:val="18"/>
          <w:lang w:val="en-GB" w:eastAsia="fr-FR"/>
        </w:rPr>
        <w:t>et al</w:t>
      </w:r>
      <w:r w:rsidRPr="00D403F5">
        <w:rPr>
          <w:szCs w:val="18"/>
          <w:lang w:val="en-GB" w:eastAsia="fr-FR"/>
        </w:rPr>
        <w:t xml:space="preserve">., 2018). In dead animals, post-mortem decay of the epidermis may mask the lesions (Thomas </w:t>
      </w:r>
      <w:r w:rsidRPr="00D403F5">
        <w:rPr>
          <w:i/>
          <w:szCs w:val="18"/>
          <w:lang w:val="en-GB" w:eastAsia="fr-FR"/>
        </w:rPr>
        <w:t>et al</w:t>
      </w:r>
      <w:r w:rsidRPr="00D403F5">
        <w:rPr>
          <w:szCs w:val="18"/>
          <w:lang w:val="en-GB" w:eastAsia="fr-FR"/>
        </w:rPr>
        <w:t xml:space="preserve">., 2018). Lesions can be so extensive, that the epidermis is entirely eroded and no fungal thalli can be observed. Mild infections can be missed due to the multifocal and small lesions (Thomas </w:t>
      </w:r>
      <w:r w:rsidRPr="00D403F5">
        <w:rPr>
          <w:i/>
          <w:szCs w:val="18"/>
          <w:lang w:val="en-GB" w:eastAsia="fr-FR"/>
        </w:rPr>
        <w:t>et al</w:t>
      </w:r>
      <w:r w:rsidRPr="00D403F5">
        <w:rPr>
          <w:szCs w:val="18"/>
          <w:lang w:val="en-GB" w:eastAsia="fr-FR"/>
        </w:rPr>
        <w:t xml:space="preserve">., 2018). </w:t>
      </w:r>
      <w:r w:rsidRPr="00D403F5">
        <w:rPr>
          <w:strike/>
          <w:szCs w:val="18"/>
          <w:lang w:val="en-GB" w:eastAsia="fr-FR"/>
        </w:rPr>
        <w:t xml:space="preserve">For asymptomatically </w:t>
      </w:r>
      <w:r w:rsidRPr="00D403F5">
        <w:rPr>
          <w:szCs w:val="18"/>
          <w:u w:val="double"/>
          <w:lang w:val="en-GB" w:eastAsia="fr-FR"/>
        </w:rPr>
        <w:t>In subclinically</w:t>
      </w:r>
      <w:r w:rsidRPr="00D403F5">
        <w:rPr>
          <w:szCs w:val="18"/>
          <w:lang w:val="en-GB" w:eastAsia="fr-FR"/>
        </w:rPr>
        <w:t xml:space="preserve"> infected animals, sensitivity should be rated low. </w:t>
      </w:r>
      <w:r w:rsidRPr="00D403F5">
        <w:rPr>
          <w:strike/>
          <w:szCs w:val="18"/>
          <w:lang w:val="en-GB" w:eastAsia="fr-FR"/>
        </w:rPr>
        <w:t xml:space="preserve">Sensitivity, </w:t>
      </w:r>
      <w:r w:rsidRPr="00D403F5">
        <w:rPr>
          <w:szCs w:val="18"/>
          <w:u w:val="double"/>
          <w:lang w:val="en-GB" w:eastAsia="fr-FR"/>
        </w:rPr>
        <w:t>In clinically affected animals, sensitivity</w:t>
      </w:r>
      <w:r w:rsidRPr="00D403F5">
        <w:rPr>
          <w:szCs w:val="18"/>
          <w:lang w:val="en-GB" w:eastAsia="fr-FR"/>
        </w:rPr>
        <w:t xml:space="preserve"> and specificity of histopathology and immunohistochemistry have not been quantified.</w:t>
      </w:r>
    </w:p>
    <w:p w14:paraId="679724E6" w14:textId="77777777" w:rsidR="00C7266C" w:rsidRPr="00D403F5" w:rsidRDefault="00C7266C" w:rsidP="00D403F5">
      <w:pPr>
        <w:pStyle w:val="Para20"/>
        <w:spacing w:after="0"/>
        <w:ind w:left="426"/>
        <w:rPr>
          <w:szCs w:val="18"/>
          <w:u w:val="double"/>
          <w:lang w:val="en-GB" w:eastAsia="fr-FR"/>
        </w:rPr>
      </w:pPr>
      <w:r w:rsidRPr="00D403F5">
        <w:rPr>
          <w:szCs w:val="18"/>
          <w:u w:val="double"/>
          <w:lang w:val="en-GB" w:eastAsia="fr-FR"/>
        </w:rPr>
        <w:t xml:space="preserve">No reports are available on the use of cytopathology. </w:t>
      </w:r>
    </w:p>
    <w:p w14:paraId="2C6F7894" w14:textId="77777777" w:rsidR="00C7266C" w:rsidRPr="00D403F5" w:rsidRDefault="00C7266C" w:rsidP="00D403F5">
      <w:pPr>
        <w:pStyle w:val="11"/>
        <w:spacing w:after="0"/>
        <w:ind w:left="426" w:hanging="426"/>
        <w:rPr>
          <w:sz w:val="18"/>
          <w:szCs w:val="18"/>
          <w:lang w:val="en-GB"/>
        </w:rPr>
      </w:pPr>
      <w:r w:rsidRPr="00D403F5">
        <w:rPr>
          <w:sz w:val="18"/>
          <w:szCs w:val="18"/>
          <w:lang w:val="en-GB"/>
        </w:rPr>
        <w:t>4.3.</w:t>
      </w:r>
      <w:r w:rsidRPr="00D403F5">
        <w:rPr>
          <w:sz w:val="18"/>
          <w:szCs w:val="18"/>
          <w:lang w:val="en-GB"/>
        </w:rPr>
        <w:tab/>
        <w:t>Cell or artificial media culture for isolation</w:t>
      </w:r>
    </w:p>
    <w:p w14:paraId="4B718441" w14:textId="77777777" w:rsidR="00C7266C" w:rsidRPr="00D403F5" w:rsidRDefault="00C7266C" w:rsidP="00D403F5">
      <w:pPr>
        <w:pStyle w:val="Para20"/>
        <w:spacing w:after="0"/>
        <w:ind w:left="426"/>
        <w:rPr>
          <w:szCs w:val="18"/>
          <w:lang w:val="en-GB"/>
        </w:rPr>
      </w:pPr>
      <w:r w:rsidRPr="00D403F5">
        <w:rPr>
          <w:szCs w:val="18"/>
          <w:lang w:val="en-GB"/>
        </w:rPr>
        <w:t xml:space="preserve">Bsal can be isolated and cultured on artificial media, yet this is a laborious and difficult procedure, typically requiring between 4 weeks and 2 months. There is a significant probability of bacterial overgrowth, which hampers fungal isolation, resulting in poor sensitivity. The protocol of Fisher </w:t>
      </w:r>
      <w:r w:rsidRPr="00D403F5">
        <w:rPr>
          <w:i/>
          <w:szCs w:val="18"/>
          <w:lang w:val="en-GB"/>
        </w:rPr>
        <w:t>et al</w:t>
      </w:r>
      <w:r w:rsidRPr="00D403F5">
        <w:rPr>
          <w:szCs w:val="18"/>
          <w:lang w:val="en-GB"/>
        </w:rPr>
        <w:t>. (2018) can be used. Small (approximately 1 mm</w:t>
      </w:r>
      <w:r w:rsidRPr="00D403F5">
        <w:rPr>
          <w:szCs w:val="18"/>
          <w:vertAlign w:val="superscript"/>
          <w:lang w:val="en-GB"/>
        </w:rPr>
        <w:t>2</w:t>
      </w:r>
      <w:r w:rsidRPr="00D403F5">
        <w:rPr>
          <w:szCs w:val="18"/>
          <w:lang w:val="en-GB"/>
        </w:rPr>
        <w:t xml:space="preserve">) pieces of skin from an infected, diseased animal should first be thoroughly cleaned by wiping through agar plates. The cleaned pieces of skin can then each be transferred to a well of a 96-well plate, containing tryptone-gelatin hydrolysate lactose broth (TGhL) containing penicillin/streptomycin (200 mg/litre) and incubated at 15°C. Wells showing chytrid growth without bacterial contamination can be used for subculturing (Martel </w:t>
      </w:r>
      <w:r w:rsidRPr="00D403F5">
        <w:rPr>
          <w:i/>
          <w:szCs w:val="18"/>
          <w:lang w:val="en-GB"/>
        </w:rPr>
        <w:t>et al</w:t>
      </w:r>
      <w:r w:rsidRPr="00D403F5">
        <w:rPr>
          <w:szCs w:val="18"/>
          <w:lang w:val="en-GB"/>
        </w:rPr>
        <w:t xml:space="preserve">., 2013). Chytrid growth can be visualised by examining the wells under an inverted microscope (10–40 </w:t>
      </w:r>
      <w:r w:rsidRPr="00D403F5">
        <w:rPr>
          <w:rFonts w:cs="Arial"/>
          <w:szCs w:val="18"/>
          <w:lang w:val="en-GB"/>
        </w:rPr>
        <w:t>×</w:t>
      </w:r>
      <w:r w:rsidRPr="00D403F5">
        <w:rPr>
          <w:szCs w:val="18"/>
          <w:lang w:val="en-GB"/>
        </w:rPr>
        <w:t xml:space="preserve"> magnification).</w:t>
      </w:r>
    </w:p>
    <w:p w14:paraId="5CEB9E2F" w14:textId="77777777" w:rsidR="00C7266C" w:rsidRPr="00D403F5" w:rsidRDefault="00C7266C" w:rsidP="00D403F5">
      <w:pPr>
        <w:pStyle w:val="Para20"/>
        <w:spacing w:after="0"/>
        <w:ind w:left="426"/>
        <w:rPr>
          <w:szCs w:val="18"/>
          <w:lang w:val="en-GB"/>
        </w:rPr>
      </w:pPr>
      <w:r w:rsidRPr="00D403F5">
        <w:rPr>
          <w:szCs w:val="18"/>
          <w:lang w:val="en-GB"/>
        </w:rPr>
        <w:t xml:space="preserve">Given the difficulties to isolate Bsal from infected animals and the high uncertainty to obtain a viable culture, this method is not appropriate as first diagnostic approach, but (in rare cases) to confirm infection and for obtaining isolates for research (for example for epidemiological tracing). </w:t>
      </w:r>
    </w:p>
    <w:p w14:paraId="5620527B" w14:textId="77777777" w:rsidR="00C7266C" w:rsidRPr="00D403F5" w:rsidRDefault="00C7266C" w:rsidP="00D403F5">
      <w:pPr>
        <w:pStyle w:val="11"/>
        <w:spacing w:after="0"/>
        <w:ind w:left="426" w:hanging="426"/>
        <w:rPr>
          <w:sz w:val="18"/>
          <w:szCs w:val="18"/>
          <w:lang w:val="en-GB"/>
        </w:rPr>
      </w:pPr>
      <w:r w:rsidRPr="00D403F5">
        <w:rPr>
          <w:sz w:val="18"/>
          <w:szCs w:val="18"/>
          <w:lang w:val="en-GB"/>
        </w:rPr>
        <w:t>4.4.</w:t>
      </w:r>
      <w:r w:rsidRPr="00D403F5">
        <w:rPr>
          <w:sz w:val="18"/>
          <w:szCs w:val="18"/>
          <w:lang w:val="en-GB"/>
        </w:rPr>
        <w:tab/>
        <w:t xml:space="preserve">Nucleic acid amplification </w:t>
      </w:r>
    </w:p>
    <w:p w14:paraId="3109179E" w14:textId="77777777" w:rsidR="00C7266C" w:rsidRPr="00D403F5" w:rsidRDefault="00C7266C" w:rsidP="00D403F5">
      <w:pPr>
        <w:pStyle w:val="111"/>
        <w:spacing w:after="0"/>
        <w:rPr>
          <w:sz w:val="18"/>
          <w:szCs w:val="18"/>
        </w:rPr>
      </w:pPr>
      <w:r w:rsidRPr="00D403F5">
        <w:rPr>
          <w:sz w:val="18"/>
          <w:szCs w:val="18"/>
        </w:rPr>
        <w:t>4.4.1.</w:t>
      </w:r>
      <w:r w:rsidRPr="00D403F5">
        <w:rPr>
          <w:sz w:val="18"/>
          <w:szCs w:val="18"/>
        </w:rPr>
        <w:tab/>
        <w:t>Real-time PCR</w:t>
      </w:r>
    </w:p>
    <w:p w14:paraId="44DBE78F" w14:textId="77777777" w:rsidR="00C7266C" w:rsidRPr="00D403F5" w:rsidRDefault="00C7266C" w:rsidP="00D403F5">
      <w:pPr>
        <w:pStyle w:val="Para3"/>
        <w:spacing w:after="0"/>
        <w:rPr>
          <w:rFonts w:cs="Arial"/>
          <w:szCs w:val="18"/>
          <w:lang w:val="en-GB"/>
        </w:rPr>
      </w:pPr>
      <w:r w:rsidRPr="00D403F5">
        <w:rPr>
          <w:rFonts w:eastAsia="Calibri" w:cs="Arial"/>
          <w:color w:val="000000"/>
          <w:szCs w:val="18"/>
          <w:lang w:val="en-GB"/>
        </w:rPr>
        <w:t xml:space="preserve">The following information is derived from Blooi </w:t>
      </w:r>
      <w:r w:rsidRPr="00D403F5">
        <w:rPr>
          <w:rFonts w:eastAsia="Calibri" w:cs="Arial"/>
          <w:i/>
          <w:color w:val="000000"/>
          <w:szCs w:val="18"/>
          <w:lang w:val="en-GB"/>
        </w:rPr>
        <w:t>et al</w:t>
      </w:r>
      <w:r w:rsidRPr="00D403F5">
        <w:rPr>
          <w:rFonts w:eastAsia="Calibri" w:cs="Arial"/>
          <w:color w:val="000000"/>
          <w:szCs w:val="18"/>
          <w:lang w:val="en-GB"/>
        </w:rPr>
        <w:t xml:space="preserve">. </w:t>
      </w:r>
      <w:r w:rsidRPr="00D403F5">
        <w:rPr>
          <w:rFonts w:eastAsia="Calibri" w:cs="Arial"/>
          <w:color w:val="000000"/>
          <w:szCs w:val="18"/>
          <w:lang w:val="es-ES"/>
        </w:rPr>
        <w:t xml:space="preserve">(2013), Thomas </w:t>
      </w:r>
      <w:r w:rsidRPr="00D403F5">
        <w:rPr>
          <w:rFonts w:eastAsia="Calibri" w:cs="Arial"/>
          <w:i/>
          <w:color w:val="000000"/>
          <w:szCs w:val="18"/>
          <w:lang w:val="es-ES"/>
        </w:rPr>
        <w:t>et al</w:t>
      </w:r>
      <w:r w:rsidRPr="00D403F5">
        <w:rPr>
          <w:rFonts w:eastAsia="Calibri" w:cs="Arial"/>
          <w:color w:val="000000"/>
          <w:szCs w:val="18"/>
          <w:lang w:val="es-ES"/>
        </w:rPr>
        <w:t xml:space="preserve">. (2018) and Sabino Pinto </w:t>
      </w:r>
      <w:r w:rsidRPr="00D403F5">
        <w:rPr>
          <w:rFonts w:eastAsia="Calibri" w:cs="Arial"/>
          <w:i/>
          <w:color w:val="000000"/>
          <w:szCs w:val="18"/>
          <w:lang w:val="es-ES"/>
        </w:rPr>
        <w:t>et al</w:t>
      </w:r>
      <w:r w:rsidRPr="00D403F5">
        <w:rPr>
          <w:rFonts w:eastAsia="Calibri" w:cs="Arial"/>
          <w:color w:val="000000"/>
          <w:szCs w:val="18"/>
          <w:lang w:val="es-ES"/>
        </w:rPr>
        <w:t xml:space="preserve">. </w:t>
      </w:r>
      <w:r w:rsidRPr="00D403F5">
        <w:rPr>
          <w:rFonts w:eastAsia="Calibri" w:cs="Arial"/>
          <w:color w:val="000000"/>
          <w:szCs w:val="18"/>
          <w:lang w:val="en-GB"/>
        </w:rPr>
        <w:t xml:space="preserve">(2018). DNA from skin swabs can be extracted in 100 µl Prepman Ultra Reagent (Applied Biosystems, Foster City, CA) or by using the Qiagen DNeasy Blood and Tissue Kit (Qiagen, Hilden, Germany). The latter follows the animal tissues protocol (Qiagen DNeasy Blood and Tissue kit) with pre-treatment for Gram-positive bacteria and expanded initial incubation for 1 hour. DNA from skin tissue can be extracted using proteinase K digestion or DNA Easy Tissue Kit. Extracted DNA is diluted tenfold to minimise possible PCR inhibition. </w:t>
      </w:r>
      <w:r w:rsidRPr="00D403F5">
        <w:rPr>
          <w:rFonts w:cs="Arial"/>
          <w:szCs w:val="18"/>
          <w:lang w:val="en-GB"/>
        </w:rPr>
        <w:t xml:space="preserve">Controls should be run with each assay: at least a negative extraction control and a positive control; preferably, an internal PCR control is included. Positive control consists of DNA extracts of a tenfold dilution series of Bsal zoospores from 1 to 100.000 to allow quantification. </w:t>
      </w:r>
    </w:p>
    <w:p w14:paraId="434F26A6" w14:textId="77777777" w:rsidR="00C7266C" w:rsidRPr="00D403F5" w:rsidRDefault="00C7266C" w:rsidP="00D403F5">
      <w:pPr>
        <w:spacing w:after="0"/>
        <w:rPr>
          <w:rFonts w:ascii="Arial" w:eastAsia="Times New Roman" w:hAnsi="Arial" w:cs="Arial"/>
          <w:bCs/>
          <w:sz w:val="18"/>
          <w:szCs w:val="18"/>
        </w:rPr>
      </w:pPr>
      <w:r w:rsidRPr="00D403F5">
        <w:rPr>
          <w:rFonts w:cs="Arial"/>
          <w:sz w:val="18"/>
          <w:szCs w:val="18"/>
        </w:rPr>
        <w:br w:type="page"/>
      </w:r>
    </w:p>
    <w:p w14:paraId="4E8A9601" w14:textId="77777777" w:rsidR="00C7266C" w:rsidRPr="00D403F5" w:rsidRDefault="00C7266C" w:rsidP="00EA6B7E">
      <w:pPr>
        <w:spacing w:after="480"/>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35A98D30" w14:textId="77777777" w:rsidR="00C7266C" w:rsidRPr="00D403F5" w:rsidRDefault="00C7266C" w:rsidP="00D403F5">
      <w:pPr>
        <w:pStyle w:val="Para3"/>
        <w:spacing w:after="0"/>
        <w:rPr>
          <w:rFonts w:cs="Arial"/>
          <w:szCs w:val="18"/>
          <w:lang w:val="en-GB" w:eastAsia="fr-FR"/>
        </w:rPr>
      </w:pPr>
      <w:r w:rsidRPr="00D403F5">
        <w:rPr>
          <w:rFonts w:cs="Arial"/>
          <w:szCs w:val="18"/>
          <w:lang w:val="en-GB"/>
        </w:rPr>
        <w:t xml:space="preserve">A TaqMan PCR has been </w:t>
      </w:r>
      <w:r w:rsidRPr="00D403F5">
        <w:rPr>
          <w:rFonts w:cs="Arial"/>
          <w:szCs w:val="18"/>
          <w:u w:val="double"/>
        </w:rPr>
        <w:t>partially</w:t>
      </w:r>
      <w:r w:rsidRPr="00D403F5">
        <w:rPr>
          <w:rFonts w:cs="Arial"/>
          <w:szCs w:val="18"/>
          <w:lang w:val="en-GB"/>
        </w:rPr>
        <w:t xml:space="preserve"> validated </w:t>
      </w:r>
      <w:r w:rsidRPr="00D403F5">
        <w:rPr>
          <w:rFonts w:cs="Arial"/>
          <w:szCs w:val="18"/>
          <w:u w:val="double"/>
        </w:rPr>
        <w:t>to level 2 without however, stating its intended purpose</w:t>
      </w:r>
      <w:r w:rsidRPr="00D403F5">
        <w:rPr>
          <w:rFonts w:ascii="Times New Roman" w:hAnsi="Times New Roman"/>
          <w:szCs w:val="18"/>
        </w:rPr>
        <w:t xml:space="preserve"> </w:t>
      </w:r>
      <w:r w:rsidRPr="00D403F5">
        <w:rPr>
          <w:rFonts w:cs="Arial"/>
          <w:szCs w:val="18"/>
          <w:lang w:val="en-GB"/>
        </w:rPr>
        <w:t xml:space="preserve">(Thomas </w:t>
      </w:r>
      <w:r w:rsidRPr="00D403F5">
        <w:rPr>
          <w:rFonts w:cs="Arial"/>
          <w:i/>
          <w:szCs w:val="18"/>
          <w:lang w:val="en-GB"/>
        </w:rPr>
        <w:t>et al</w:t>
      </w:r>
      <w:r w:rsidRPr="00D403F5">
        <w:rPr>
          <w:rFonts w:cs="Arial"/>
          <w:szCs w:val="18"/>
          <w:lang w:val="en-GB"/>
        </w:rPr>
        <w:t xml:space="preserve">., 2018). SYBR green real-time PCR, may be used as well but needs further validation to determine specificity and sensitivity (Martel </w:t>
      </w:r>
      <w:r w:rsidRPr="00D403F5">
        <w:rPr>
          <w:rFonts w:cs="Arial"/>
          <w:i/>
          <w:szCs w:val="18"/>
          <w:lang w:val="en-GB"/>
        </w:rPr>
        <w:t>et al</w:t>
      </w:r>
      <w:r w:rsidRPr="00D403F5">
        <w:rPr>
          <w:rFonts w:cs="Arial"/>
          <w:szCs w:val="18"/>
          <w:lang w:val="en-GB"/>
        </w:rPr>
        <w:t xml:space="preserve">., 2013). The TaqMan PCR can either be used as simplex PCR or in combination with primers to detect </w:t>
      </w:r>
      <w:r w:rsidRPr="00D403F5">
        <w:rPr>
          <w:rFonts w:cs="Arial"/>
          <w:i/>
          <w:szCs w:val="18"/>
          <w:lang w:val="en-GB"/>
        </w:rPr>
        <w:t>B. dendrobatidis</w:t>
      </w:r>
      <w:r w:rsidRPr="00D403F5">
        <w:rPr>
          <w:rFonts w:cs="Arial"/>
          <w:szCs w:val="18"/>
          <w:lang w:val="en-GB"/>
        </w:rPr>
        <w:t xml:space="preserve"> in a duplex PCR (Blooi </w:t>
      </w:r>
      <w:r w:rsidRPr="00D403F5">
        <w:rPr>
          <w:rFonts w:cs="Arial"/>
          <w:i/>
          <w:szCs w:val="18"/>
          <w:lang w:val="en-GB"/>
        </w:rPr>
        <w:t>et al</w:t>
      </w:r>
      <w:r w:rsidRPr="00D403F5">
        <w:rPr>
          <w:rFonts w:cs="Arial"/>
          <w:szCs w:val="18"/>
          <w:lang w:val="en-GB"/>
        </w:rPr>
        <w:t>., 2013) and uses the forward primer STerF (</w:t>
      </w:r>
      <w:r w:rsidRPr="00D403F5">
        <w:rPr>
          <w:rFonts w:eastAsia="Calibri" w:cs="Arial"/>
          <w:szCs w:val="18"/>
          <w:lang w:val="en-GB"/>
        </w:rPr>
        <w:t xml:space="preserve">5’-TGC-TCC-ATC-TCC-CCC-TCT-TCA-3’), reverse primer STerR (5’-TGA-ACG-CAC-ATT-GCA-CTC-TAC-3’) and Cy5 labelled probe STerC (5’-ACA-AGA-AAA-TAC-TAT-TGA-TTC-TCA-AAC-AGG-CA-3’) to detect the presence of the 5.8S rRNA gene of Bsal. Intra- and interassay efficiency were 94 and 99%, respectively (Blooi </w:t>
      </w:r>
      <w:r w:rsidRPr="00D403F5">
        <w:rPr>
          <w:rFonts w:eastAsia="Calibri" w:cs="Arial"/>
          <w:i/>
          <w:szCs w:val="18"/>
          <w:lang w:val="en-GB"/>
        </w:rPr>
        <w:t>et al</w:t>
      </w:r>
      <w:r w:rsidRPr="00D403F5">
        <w:rPr>
          <w:rFonts w:eastAsia="Calibri" w:cs="Arial"/>
          <w:szCs w:val="18"/>
          <w:lang w:val="en-GB"/>
        </w:rPr>
        <w:t xml:space="preserve">., 2013). </w:t>
      </w:r>
      <w:r w:rsidRPr="00D403F5">
        <w:rPr>
          <w:szCs w:val="18"/>
          <w:lang w:val="en-GB"/>
        </w:rPr>
        <w:t xml:space="preserve">This TaqMan duplex PCR does not decrease detectability of both Bd and Bsal, except in case of mixed infections (Thomas </w:t>
      </w:r>
      <w:r w:rsidRPr="00D403F5">
        <w:rPr>
          <w:i/>
          <w:szCs w:val="18"/>
          <w:lang w:val="en-GB"/>
        </w:rPr>
        <w:t>et al</w:t>
      </w:r>
      <w:r w:rsidRPr="00D403F5">
        <w:rPr>
          <w:szCs w:val="18"/>
          <w:lang w:val="en-GB"/>
        </w:rPr>
        <w:t>., 2018). The use of simplex Bsal-specific PCR is therefore recommended in case Bd has been detected in the sample. The s</w:t>
      </w:r>
      <w:r w:rsidRPr="00D403F5">
        <w:rPr>
          <w:rFonts w:cs="Arial"/>
          <w:szCs w:val="18"/>
          <w:lang w:val="en-GB" w:eastAsia="fr-FR"/>
        </w:rPr>
        <w:t xml:space="preserve">ensitivity of this </w:t>
      </w:r>
      <w:r w:rsidRPr="00D403F5">
        <w:rPr>
          <w:rFonts w:cs="Arial"/>
          <w:szCs w:val="18"/>
          <w:u w:val="double"/>
          <w:lang w:val="en-GB" w:eastAsia="fr-FR"/>
        </w:rPr>
        <w:t>real-time</w:t>
      </w:r>
      <w:r w:rsidRPr="00D403F5">
        <w:rPr>
          <w:rFonts w:cs="Arial"/>
          <w:szCs w:val="18"/>
          <w:lang w:val="en-GB" w:eastAsia="fr-FR"/>
        </w:rPr>
        <w:t xml:space="preserve"> </w:t>
      </w:r>
      <w:r w:rsidRPr="00D403F5">
        <w:rPr>
          <w:rFonts w:cs="Arial"/>
          <w:strike/>
          <w:szCs w:val="18"/>
          <w:lang w:val="en-GB" w:eastAsia="fr-FR"/>
        </w:rPr>
        <w:t>q</w:t>
      </w:r>
      <w:r w:rsidRPr="00D403F5">
        <w:rPr>
          <w:rFonts w:cs="Arial"/>
          <w:szCs w:val="18"/>
          <w:lang w:val="en-GB" w:eastAsia="fr-FR"/>
        </w:rPr>
        <w:t xml:space="preserve">PCR is between 96 and 100% and diagnostic specificity 100% (95% CI: 73–100%; Thomas </w:t>
      </w:r>
      <w:r w:rsidRPr="00D403F5">
        <w:rPr>
          <w:rFonts w:cs="Arial"/>
          <w:i/>
          <w:szCs w:val="18"/>
          <w:lang w:val="en-GB" w:eastAsia="fr-FR"/>
        </w:rPr>
        <w:t>et al</w:t>
      </w:r>
      <w:r w:rsidRPr="00D403F5">
        <w:rPr>
          <w:rFonts w:cs="Arial"/>
          <w:szCs w:val="18"/>
          <w:lang w:val="en-GB" w:eastAsia="fr-FR"/>
        </w:rPr>
        <w:t xml:space="preserve">., 2018) when used in clinically affected animals. Although DNA quantities as low as 0.1 genomic equivalent can be detected (Blooi </w:t>
      </w:r>
      <w:r w:rsidRPr="00D403F5">
        <w:rPr>
          <w:rFonts w:cs="Arial"/>
          <w:i/>
          <w:szCs w:val="18"/>
          <w:lang w:val="en-GB" w:eastAsia="fr-FR"/>
        </w:rPr>
        <w:t>et al</w:t>
      </w:r>
      <w:r w:rsidRPr="00D403F5">
        <w:rPr>
          <w:rFonts w:cs="Arial"/>
          <w:szCs w:val="18"/>
          <w:lang w:val="en-GB" w:eastAsia="fr-FR"/>
        </w:rPr>
        <w:t xml:space="preserve">., 2013), Thomas </w:t>
      </w:r>
      <w:r w:rsidRPr="00D403F5">
        <w:rPr>
          <w:rFonts w:cs="Arial"/>
          <w:i/>
          <w:szCs w:val="18"/>
          <w:lang w:val="en-GB" w:eastAsia="fr-FR"/>
        </w:rPr>
        <w:t>et al</w:t>
      </w:r>
      <w:r w:rsidRPr="00D403F5">
        <w:rPr>
          <w:rFonts w:cs="Arial"/>
          <w:szCs w:val="18"/>
          <w:lang w:val="en-GB" w:eastAsia="fr-FR"/>
        </w:rPr>
        <w:t>. (2018) recommend a threshold of 1 genomic equivalent per reaction to reduce the likelihood of false positive results. Borderline results (≤ 1 GE per reaction) should be classified as suspect and need confirmation by sequencing (or isolation).</w:t>
      </w:r>
      <w:r w:rsidRPr="00D403F5">
        <w:rPr>
          <w:rFonts w:cs="Arial"/>
          <w:szCs w:val="18"/>
          <w:lang w:val="en-GB"/>
        </w:rPr>
        <w:t xml:space="preserve"> </w:t>
      </w:r>
    </w:p>
    <w:p w14:paraId="449A48B3" w14:textId="77777777" w:rsidR="00C7266C" w:rsidRPr="00D403F5" w:rsidRDefault="00C7266C" w:rsidP="00D403F5">
      <w:pPr>
        <w:pStyle w:val="Para3"/>
        <w:spacing w:after="0"/>
        <w:rPr>
          <w:rFonts w:cs="Arial"/>
          <w:szCs w:val="18"/>
          <w:lang w:val="en-GB" w:eastAsia="fr-FR"/>
        </w:rPr>
      </w:pPr>
      <w:r w:rsidRPr="00D403F5">
        <w:rPr>
          <w:rFonts w:cs="Arial"/>
          <w:szCs w:val="18"/>
          <w:lang w:val="en-GB" w:eastAsia="fr-FR"/>
        </w:rPr>
        <w:t>Samples are preferably run in duplicate. A sample is considered positive based on the combination of (1) the shape of the amplification curves (2) positive results in both duplications, (3) returning GE values above the detection threshold (1 GE per reaction) (4) low variability between duplicates (&lt; 0.3 Ct value).</w:t>
      </w:r>
    </w:p>
    <w:p w14:paraId="6DE3C1D5" w14:textId="77777777" w:rsidR="00C7266C" w:rsidRPr="00D403F5" w:rsidRDefault="00C7266C" w:rsidP="00D403F5">
      <w:pPr>
        <w:pStyle w:val="111"/>
        <w:spacing w:after="0"/>
        <w:rPr>
          <w:sz w:val="18"/>
          <w:szCs w:val="18"/>
        </w:rPr>
      </w:pPr>
      <w:r w:rsidRPr="00D403F5">
        <w:rPr>
          <w:sz w:val="18"/>
          <w:szCs w:val="18"/>
        </w:rPr>
        <w:t>4.4.2.</w:t>
      </w:r>
      <w:r w:rsidRPr="00D403F5">
        <w:rPr>
          <w:sz w:val="18"/>
          <w:szCs w:val="18"/>
        </w:rPr>
        <w:tab/>
        <w:t>Conventional PCR (PCR)</w:t>
      </w:r>
    </w:p>
    <w:p w14:paraId="558FFB2B" w14:textId="77777777" w:rsidR="00C7266C" w:rsidRPr="00D403F5" w:rsidRDefault="00C7266C" w:rsidP="00D403F5">
      <w:pPr>
        <w:pStyle w:val="Para3"/>
        <w:spacing w:after="0"/>
        <w:rPr>
          <w:szCs w:val="18"/>
          <w:lang w:val="en-GB"/>
        </w:rPr>
      </w:pPr>
      <w:r w:rsidRPr="00D403F5">
        <w:rPr>
          <w:rFonts w:cs="Arial"/>
          <w:strike/>
          <w:szCs w:val="18"/>
          <w:lang w:val="en-GB"/>
        </w:rPr>
        <w:t xml:space="preserve">The use of real-time PCR is recommended. </w:t>
      </w:r>
      <w:r w:rsidRPr="00D403F5">
        <w:rPr>
          <w:rFonts w:cs="Arial"/>
          <w:szCs w:val="18"/>
          <w:lang w:val="en-GB"/>
        </w:rPr>
        <w:t>No conventional PCR protocol has been validated.</w:t>
      </w:r>
    </w:p>
    <w:p w14:paraId="0FA384F4" w14:textId="77777777" w:rsidR="00C7266C" w:rsidRPr="00D403F5" w:rsidRDefault="00C7266C" w:rsidP="00D403F5">
      <w:pPr>
        <w:pStyle w:val="111"/>
        <w:spacing w:after="0"/>
        <w:rPr>
          <w:sz w:val="18"/>
          <w:szCs w:val="18"/>
        </w:rPr>
      </w:pPr>
      <w:r w:rsidRPr="00D403F5">
        <w:rPr>
          <w:sz w:val="18"/>
          <w:szCs w:val="18"/>
        </w:rPr>
        <w:t>4.4.3.</w:t>
      </w:r>
      <w:r w:rsidRPr="00D403F5">
        <w:rPr>
          <w:sz w:val="18"/>
          <w:szCs w:val="18"/>
        </w:rPr>
        <w:tab/>
        <w:t>Other nucleic acid amplification methods</w:t>
      </w:r>
    </w:p>
    <w:p w14:paraId="0F304070" w14:textId="77777777" w:rsidR="00C7266C" w:rsidRPr="00D403F5" w:rsidRDefault="00C7266C" w:rsidP="00D403F5">
      <w:pPr>
        <w:pStyle w:val="Para3"/>
        <w:spacing w:after="0"/>
        <w:rPr>
          <w:szCs w:val="18"/>
          <w:lang w:val="en-GB"/>
        </w:rPr>
      </w:pPr>
      <w:r w:rsidRPr="00D403F5">
        <w:rPr>
          <w:szCs w:val="18"/>
          <w:lang w:val="en-GB"/>
        </w:rPr>
        <w:t>None validated.</w:t>
      </w:r>
    </w:p>
    <w:p w14:paraId="4924BA37" w14:textId="77777777" w:rsidR="00C7266C" w:rsidRPr="00D403F5" w:rsidRDefault="00C7266C" w:rsidP="00D403F5">
      <w:pPr>
        <w:pStyle w:val="11"/>
        <w:spacing w:after="0"/>
        <w:ind w:left="425"/>
        <w:rPr>
          <w:sz w:val="18"/>
          <w:szCs w:val="18"/>
          <w:lang w:val="en-GB"/>
        </w:rPr>
      </w:pPr>
      <w:r w:rsidRPr="00D403F5">
        <w:rPr>
          <w:sz w:val="18"/>
          <w:szCs w:val="18"/>
          <w:lang w:val="en-GB"/>
        </w:rPr>
        <w:t>4.5.</w:t>
      </w:r>
      <w:r w:rsidRPr="00D403F5">
        <w:rPr>
          <w:sz w:val="18"/>
          <w:szCs w:val="18"/>
          <w:lang w:val="en-GB"/>
        </w:rPr>
        <w:tab/>
        <w:t xml:space="preserve">Amplicon sequencing </w:t>
      </w:r>
    </w:p>
    <w:p w14:paraId="2108AC4B" w14:textId="77777777" w:rsidR="00C7266C" w:rsidRPr="00D403F5" w:rsidRDefault="00C7266C" w:rsidP="00D403F5">
      <w:pPr>
        <w:pStyle w:val="Para20"/>
        <w:spacing w:after="0"/>
        <w:rPr>
          <w:rFonts w:cs="Arial"/>
          <w:strike/>
          <w:szCs w:val="18"/>
          <w:lang w:val="en-GB"/>
        </w:rPr>
      </w:pPr>
      <w:r w:rsidRPr="00D403F5">
        <w:rPr>
          <w:rFonts w:cs="Arial"/>
          <w:strike/>
          <w:szCs w:val="18"/>
          <w:lang w:val="en-GB"/>
        </w:rPr>
        <w:t>For confirmation of suspect samples, amplified products can be sequenced with the primers as described in 4.4.1.</w:t>
      </w:r>
    </w:p>
    <w:p w14:paraId="64C68AB1" w14:textId="77777777" w:rsidR="00C7266C" w:rsidRPr="00D403F5" w:rsidRDefault="00C7266C" w:rsidP="00D403F5">
      <w:pPr>
        <w:pStyle w:val="Para3"/>
        <w:spacing w:after="0"/>
        <w:ind w:left="426"/>
        <w:rPr>
          <w:szCs w:val="18"/>
          <w:u w:val="double"/>
          <w:lang w:val="en-GB"/>
        </w:rPr>
      </w:pPr>
      <w:r w:rsidRPr="00D403F5">
        <w:rPr>
          <w:rFonts w:cs="Arial"/>
          <w:szCs w:val="18"/>
          <w:u w:val="double"/>
          <w:lang w:val="en-GB"/>
        </w:rPr>
        <w:t>No conventional PCR protocol has been validated.</w:t>
      </w:r>
    </w:p>
    <w:p w14:paraId="2FC39326" w14:textId="77777777" w:rsidR="00C7266C" w:rsidRPr="00D403F5" w:rsidRDefault="00C7266C" w:rsidP="00D403F5">
      <w:pPr>
        <w:pStyle w:val="11"/>
        <w:spacing w:after="0"/>
        <w:ind w:left="425"/>
        <w:rPr>
          <w:sz w:val="18"/>
          <w:szCs w:val="18"/>
          <w:lang w:val="en-GB"/>
        </w:rPr>
      </w:pPr>
      <w:r w:rsidRPr="00D403F5">
        <w:rPr>
          <w:sz w:val="18"/>
          <w:szCs w:val="18"/>
          <w:lang w:val="en-GB"/>
        </w:rPr>
        <w:t>4.6.</w:t>
      </w:r>
      <w:r w:rsidRPr="00D403F5">
        <w:rPr>
          <w:sz w:val="18"/>
          <w:szCs w:val="18"/>
          <w:lang w:val="en-GB"/>
        </w:rPr>
        <w:tab/>
      </w:r>
      <w:r w:rsidRPr="00D403F5">
        <w:rPr>
          <w:i/>
          <w:sz w:val="18"/>
          <w:szCs w:val="18"/>
          <w:lang w:val="en-GB"/>
        </w:rPr>
        <w:t>In-situ</w:t>
      </w:r>
      <w:r w:rsidRPr="00D403F5">
        <w:rPr>
          <w:sz w:val="18"/>
          <w:szCs w:val="18"/>
          <w:lang w:val="en-GB"/>
        </w:rPr>
        <w:t xml:space="preserve"> hybridisation </w:t>
      </w:r>
      <w:r w:rsidRPr="00D403F5">
        <w:rPr>
          <w:strike/>
          <w:sz w:val="18"/>
          <w:szCs w:val="18"/>
          <w:lang w:val="en-GB"/>
        </w:rPr>
        <w:t>(and histoimmunochemistry)</w:t>
      </w:r>
    </w:p>
    <w:p w14:paraId="7CF0F364" w14:textId="77777777" w:rsidR="00C7266C" w:rsidRPr="00D403F5" w:rsidRDefault="00C7266C" w:rsidP="00D403F5">
      <w:pPr>
        <w:pStyle w:val="Para20"/>
        <w:spacing w:after="0"/>
        <w:ind w:left="426"/>
        <w:rPr>
          <w:rFonts w:cs="Arial"/>
          <w:szCs w:val="18"/>
          <w:lang w:val="en-GB"/>
        </w:rPr>
      </w:pPr>
      <w:r w:rsidRPr="00D403F5">
        <w:rPr>
          <w:rFonts w:cs="Arial"/>
          <w:szCs w:val="18"/>
          <w:u w:val="double"/>
          <w:lang w:val="en-GB"/>
        </w:rPr>
        <w:t>No</w:t>
      </w:r>
      <w:r w:rsidRPr="00D403F5">
        <w:rPr>
          <w:rFonts w:cs="Arial"/>
          <w:szCs w:val="18"/>
          <w:lang w:val="en-GB"/>
        </w:rPr>
        <w:t xml:space="preserve"> </w:t>
      </w:r>
      <w:r w:rsidRPr="00D403F5">
        <w:rPr>
          <w:rFonts w:cs="Arial"/>
          <w:i/>
          <w:szCs w:val="18"/>
          <w:lang w:val="en-GB"/>
        </w:rPr>
        <w:t>In-situ</w:t>
      </w:r>
      <w:r w:rsidRPr="00D403F5">
        <w:rPr>
          <w:rFonts w:cs="Arial"/>
          <w:szCs w:val="18"/>
          <w:lang w:val="en-GB"/>
        </w:rPr>
        <w:t xml:space="preserve"> hybridisation</w:t>
      </w:r>
      <w:r w:rsidRPr="00D403F5">
        <w:rPr>
          <w:rFonts w:cs="Arial"/>
          <w:strike/>
          <w:szCs w:val="18"/>
          <w:lang w:val="en-GB"/>
        </w:rPr>
        <w:t>:</w:t>
      </w:r>
      <w:r w:rsidRPr="00D403F5">
        <w:rPr>
          <w:rFonts w:cs="Arial"/>
          <w:szCs w:val="18"/>
          <w:lang w:val="en-GB"/>
        </w:rPr>
        <w:t xml:space="preserve"> </w:t>
      </w:r>
      <w:r w:rsidRPr="00D403F5">
        <w:rPr>
          <w:rFonts w:cs="Arial"/>
          <w:strike/>
          <w:szCs w:val="18"/>
          <w:lang w:val="en-GB"/>
        </w:rPr>
        <w:t xml:space="preserve">no </w:t>
      </w:r>
      <w:r w:rsidRPr="00D403F5">
        <w:rPr>
          <w:rFonts w:cs="Arial"/>
          <w:szCs w:val="18"/>
          <w:lang w:val="en-GB"/>
        </w:rPr>
        <w:t xml:space="preserve">validated protocols </w:t>
      </w:r>
      <w:r w:rsidRPr="00D403F5">
        <w:rPr>
          <w:rFonts w:cs="Arial"/>
          <w:szCs w:val="18"/>
          <w:u w:val="double"/>
          <w:lang w:val="en-GB"/>
        </w:rPr>
        <w:t>are</w:t>
      </w:r>
      <w:r w:rsidRPr="00D403F5">
        <w:rPr>
          <w:rFonts w:cs="Arial"/>
          <w:szCs w:val="18"/>
          <w:lang w:val="en-GB"/>
        </w:rPr>
        <w:t xml:space="preserve"> available. </w:t>
      </w:r>
    </w:p>
    <w:p w14:paraId="42B63452" w14:textId="77777777" w:rsidR="00C7266C" w:rsidRPr="00D403F5" w:rsidRDefault="00C7266C" w:rsidP="00D403F5">
      <w:pPr>
        <w:pStyle w:val="11"/>
        <w:spacing w:after="0"/>
        <w:ind w:left="425"/>
        <w:rPr>
          <w:sz w:val="18"/>
          <w:szCs w:val="18"/>
          <w:u w:val="double"/>
        </w:rPr>
      </w:pPr>
      <w:r w:rsidRPr="00D403F5">
        <w:rPr>
          <w:sz w:val="18"/>
          <w:szCs w:val="18"/>
          <w:u w:val="double"/>
        </w:rPr>
        <w:t>4.7.</w:t>
      </w:r>
      <w:r w:rsidRPr="00D403F5">
        <w:rPr>
          <w:sz w:val="18"/>
          <w:szCs w:val="18"/>
          <w:u w:val="double"/>
        </w:rPr>
        <w:tab/>
        <w:t xml:space="preserve">Immunohistochemistry </w:t>
      </w:r>
    </w:p>
    <w:p w14:paraId="63020454" w14:textId="77777777" w:rsidR="00C7266C" w:rsidRPr="00D403F5" w:rsidRDefault="00C7266C" w:rsidP="00D403F5">
      <w:pPr>
        <w:pStyle w:val="Para20"/>
        <w:spacing w:after="0"/>
        <w:ind w:left="426"/>
        <w:rPr>
          <w:szCs w:val="18"/>
          <w:lang w:val="en-GB"/>
        </w:rPr>
      </w:pPr>
      <w:r w:rsidRPr="00D403F5">
        <w:rPr>
          <w:szCs w:val="18"/>
          <w:lang w:val="en-GB" w:eastAsia="fr-FR"/>
        </w:rPr>
        <w:t xml:space="preserve">Immunohistochemistry is currently not Bsal specific, due to the lack of Bsal specific antibodies (Dillon </w:t>
      </w:r>
      <w:r w:rsidRPr="00D403F5">
        <w:rPr>
          <w:i/>
          <w:szCs w:val="18"/>
          <w:lang w:val="en-GB" w:eastAsia="fr-FR"/>
        </w:rPr>
        <w:t>et al</w:t>
      </w:r>
      <w:r w:rsidRPr="00D403F5">
        <w:rPr>
          <w:szCs w:val="18"/>
          <w:lang w:val="en-GB" w:eastAsia="fr-FR"/>
        </w:rPr>
        <w:t xml:space="preserve">., 2017; Thomas </w:t>
      </w:r>
      <w:r w:rsidRPr="00D403F5">
        <w:rPr>
          <w:i/>
          <w:szCs w:val="18"/>
          <w:lang w:val="en-GB" w:eastAsia="fr-FR"/>
        </w:rPr>
        <w:t>et al</w:t>
      </w:r>
      <w:r w:rsidRPr="00D403F5">
        <w:rPr>
          <w:szCs w:val="18"/>
          <w:lang w:val="en-GB" w:eastAsia="fr-FR"/>
        </w:rPr>
        <w:t xml:space="preserve">., 2018). </w:t>
      </w:r>
      <w:r w:rsidRPr="00D403F5">
        <w:rPr>
          <w:strike/>
          <w:szCs w:val="18"/>
          <w:lang w:val="en-GB" w:eastAsia="fr-FR"/>
        </w:rPr>
        <w:t>Sensitivity of immunohistochemistry in diseased or dead animals can be estimated to be high if clinically affected skin regions have been selected.</w:t>
      </w:r>
    </w:p>
    <w:p w14:paraId="5F6D02D9" w14:textId="77777777" w:rsidR="00C7266C" w:rsidRPr="00D403F5" w:rsidRDefault="00C7266C" w:rsidP="00D403F5">
      <w:pPr>
        <w:pStyle w:val="11"/>
        <w:spacing w:after="0"/>
        <w:ind w:left="425"/>
        <w:rPr>
          <w:sz w:val="18"/>
          <w:szCs w:val="18"/>
          <w:lang w:val="en-GB"/>
        </w:rPr>
      </w:pPr>
      <w:r w:rsidRPr="00D403F5">
        <w:rPr>
          <w:sz w:val="18"/>
          <w:szCs w:val="18"/>
          <w:lang w:val="en-GB"/>
        </w:rPr>
        <w:t>4.8.</w:t>
      </w:r>
      <w:r w:rsidRPr="00D403F5">
        <w:rPr>
          <w:sz w:val="18"/>
          <w:szCs w:val="18"/>
          <w:lang w:val="en-GB"/>
        </w:rPr>
        <w:tab/>
        <w:t>Bioassay</w:t>
      </w:r>
    </w:p>
    <w:p w14:paraId="74133418" w14:textId="77777777" w:rsidR="00C7266C" w:rsidRPr="00D403F5" w:rsidRDefault="00C7266C" w:rsidP="00D403F5">
      <w:pPr>
        <w:pStyle w:val="Para20"/>
        <w:spacing w:after="0"/>
        <w:ind w:left="426"/>
        <w:rPr>
          <w:rFonts w:cs="Arial"/>
          <w:szCs w:val="18"/>
          <w:lang w:val="en-GB"/>
        </w:rPr>
      </w:pPr>
      <w:r w:rsidRPr="00D403F5">
        <w:rPr>
          <w:rFonts w:cs="Arial"/>
          <w:szCs w:val="18"/>
          <w:lang w:val="en-GB"/>
        </w:rPr>
        <w:t>Not available.</w:t>
      </w:r>
    </w:p>
    <w:p w14:paraId="1FC260D3" w14:textId="77777777" w:rsidR="00C7266C" w:rsidRPr="00D403F5" w:rsidRDefault="00C7266C" w:rsidP="00D403F5">
      <w:pPr>
        <w:spacing w:after="0"/>
        <w:rPr>
          <w:rFonts w:ascii="Ottawa" w:eastAsia="MS Mincho" w:hAnsi="Ottawa" w:cs="Times New Roman"/>
          <w:b/>
          <w:sz w:val="18"/>
          <w:szCs w:val="18"/>
          <w:lang w:eastAsia="da-DK"/>
        </w:rPr>
      </w:pPr>
      <w:r w:rsidRPr="00D403F5">
        <w:rPr>
          <w:sz w:val="18"/>
          <w:szCs w:val="18"/>
        </w:rPr>
        <w:br w:type="page"/>
      </w:r>
    </w:p>
    <w:p w14:paraId="7F094BE6" w14:textId="77777777" w:rsidR="00C7266C" w:rsidRPr="00D403F5" w:rsidRDefault="00C7266C" w:rsidP="00EA6B7E">
      <w:pPr>
        <w:spacing w:after="480"/>
        <w:jc w:val="right"/>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22B1C12D" w14:textId="77777777" w:rsidR="00C7266C" w:rsidRPr="00D403F5" w:rsidRDefault="00C7266C" w:rsidP="00D403F5">
      <w:pPr>
        <w:pStyle w:val="11"/>
        <w:spacing w:after="0"/>
        <w:ind w:left="425"/>
        <w:rPr>
          <w:sz w:val="18"/>
          <w:szCs w:val="18"/>
          <w:lang w:val="en-GB"/>
        </w:rPr>
      </w:pPr>
      <w:r w:rsidRPr="00D403F5">
        <w:rPr>
          <w:sz w:val="18"/>
          <w:szCs w:val="18"/>
          <w:lang w:val="en-GB"/>
        </w:rPr>
        <w:t>4.9.</w:t>
      </w:r>
      <w:r w:rsidRPr="00D403F5">
        <w:rPr>
          <w:sz w:val="18"/>
          <w:szCs w:val="18"/>
          <w:lang w:val="en-GB"/>
        </w:rPr>
        <w:tab/>
        <w:t>Antibody-based or antigen detection methods (ELISA, etc.)</w:t>
      </w:r>
    </w:p>
    <w:p w14:paraId="184C902D" w14:textId="77777777" w:rsidR="00C7266C" w:rsidRPr="00D403F5" w:rsidRDefault="00C7266C" w:rsidP="00EA6B7E">
      <w:pPr>
        <w:pStyle w:val="Para20"/>
        <w:ind w:left="426"/>
        <w:rPr>
          <w:szCs w:val="18"/>
          <w:lang w:val="en-GB"/>
        </w:rPr>
      </w:pPr>
      <w:r w:rsidRPr="00D403F5">
        <w:rPr>
          <w:rFonts w:cs="Arial"/>
          <w:szCs w:val="18"/>
          <w:lang w:eastAsia="fr-FR"/>
        </w:rPr>
        <w:t xml:space="preserve">A lateral flow assay (LFA) using an IgM monoclonal antibody (MAb) was developed to detect infection in amphibian skin samples. This MAb does not discriminate between </w:t>
      </w:r>
      <w:r w:rsidRPr="00D403F5">
        <w:rPr>
          <w:rFonts w:cs="Arial"/>
          <w:i/>
          <w:szCs w:val="18"/>
          <w:lang w:eastAsia="fr-FR"/>
        </w:rPr>
        <w:t>B. salamandrivorans, B. dendrobatidis</w:t>
      </w:r>
      <w:r w:rsidRPr="00D403F5">
        <w:rPr>
          <w:rFonts w:cs="Arial"/>
          <w:szCs w:val="18"/>
          <w:lang w:eastAsia="fr-FR"/>
        </w:rPr>
        <w:t xml:space="preserve"> and </w:t>
      </w:r>
      <w:r w:rsidRPr="00D403F5">
        <w:rPr>
          <w:rFonts w:cs="Arial"/>
          <w:i/>
          <w:szCs w:val="18"/>
          <w:lang w:eastAsia="fr-FR"/>
        </w:rPr>
        <w:t>Homolaphlyctis polyrhiza</w:t>
      </w:r>
      <w:r w:rsidRPr="00D403F5">
        <w:rPr>
          <w:rFonts w:cs="Arial"/>
          <w:szCs w:val="18"/>
          <w:lang w:eastAsia="fr-FR"/>
        </w:rPr>
        <w:t xml:space="preserve"> (Dillon </w:t>
      </w:r>
      <w:r w:rsidRPr="00D403F5">
        <w:rPr>
          <w:rFonts w:cs="Arial"/>
          <w:i/>
          <w:szCs w:val="18"/>
          <w:lang w:eastAsia="fr-FR"/>
        </w:rPr>
        <w:t>et al.</w:t>
      </w:r>
      <w:r w:rsidRPr="00D403F5">
        <w:rPr>
          <w:rFonts w:cs="Arial"/>
          <w:szCs w:val="18"/>
          <w:lang w:eastAsia="fr-FR"/>
        </w:rPr>
        <w:t xml:space="preserve">, </w:t>
      </w:r>
      <w:r w:rsidRPr="00D403F5">
        <w:rPr>
          <w:rFonts w:cs="Arial"/>
          <w:szCs w:val="18"/>
          <w:u w:val="double"/>
          <w:lang w:eastAsia="fr-FR"/>
        </w:rPr>
        <w:t>2017</w:t>
      </w:r>
      <w:r w:rsidRPr="00D403F5">
        <w:rPr>
          <w:rFonts w:cs="Arial"/>
          <w:strike/>
          <w:szCs w:val="18"/>
          <w:lang w:eastAsia="fr-FR"/>
        </w:rPr>
        <w:t xml:space="preserve"> 2016</w:t>
      </w:r>
      <w:r w:rsidRPr="00D403F5">
        <w:rPr>
          <w:rFonts w:cs="Arial"/>
          <w:szCs w:val="18"/>
          <w:lang w:eastAsia="fr-FR"/>
        </w:rPr>
        <w:t xml:space="preserve">). The </w:t>
      </w:r>
      <w:r w:rsidRPr="00D403F5">
        <w:rPr>
          <w:rFonts w:cs="Arial"/>
          <w:szCs w:val="18"/>
          <w:lang w:val="en-GB" w:eastAsia="fr-FR"/>
        </w:rPr>
        <w:t xml:space="preserve">sensitivity of this test is likely to be lower than that of the </w:t>
      </w:r>
      <w:r w:rsidRPr="00D403F5">
        <w:rPr>
          <w:rFonts w:cs="Arial"/>
          <w:szCs w:val="18"/>
          <w:u w:val="double"/>
          <w:lang w:val="en-GB" w:eastAsia="fr-FR"/>
        </w:rPr>
        <w:t>real-time</w:t>
      </w:r>
      <w:r w:rsidRPr="00D403F5">
        <w:rPr>
          <w:rFonts w:cs="Arial"/>
          <w:szCs w:val="18"/>
          <w:lang w:val="en-GB" w:eastAsia="fr-FR"/>
        </w:rPr>
        <w:t xml:space="preserve"> </w:t>
      </w:r>
      <w:r w:rsidRPr="00D403F5">
        <w:rPr>
          <w:rFonts w:cs="Arial"/>
          <w:strike/>
          <w:szCs w:val="18"/>
          <w:lang w:val="en-GB" w:eastAsia="fr-FR"/>
        </w:rPr>
        <w:t>q</w:t>
      </w:r>
      <w:r w:rsidRPr="00D403F5">
        <w:rPr>
          <w:rFonts w:cs="Arial"/>
          <w:szCs w:val="18"/>
          <w:lang w:val="en-GB" w:eastAsia="fr-FR"/>
        </w:rPr>
        <w:t xml:space="preserve">PCR (Dillon </w:t>
      </w:r>
      <w:r w:rsidRPr="00D403F5">
        <w:rPr>
          <w:rFonts w:cs="Arial"/>
          <w:i/>
          <w:szCs w:val="18"/>
          <w:lang w:val="en-GB" w:eastAsia="fr-FR"/>
        </w:rPr>
        <w:t>et al.</w:t>
      </w:r>
      <w:r w:rsidRPr="00D403F5">
        <w:rPr>
          <w:rFonts w:cs="Arial"/>
          <w:szCs w:val="18"/>
          <w:lang w:val="en-GB" w:eastAsia="fr-FR"/>
        </w:rPr>
        <w:t xml:space="preserve">, 2017): in experimentally Bd inoculated frogs, 1/5 animals tested positive in LFA compared to 4/5 using </w:t>
      </w:r>
      <w:r w:rsidRPr="00D403F5">
        <w:rPr>
          <w:rFonts w:cs="Arial"/>
          <w:szCs w:val="18"/>
          <w:u w:val="double"/>
          <w:lang w:val="en-GB" w:eastAsia="fr-FR"/>
        </w:rPr>
        <w:t>real-time</w:t>
      </w:r>
      <w:r w:rsidRPr="00D403F5">
        <w:rPr>
          <w:rFonts w:cs="Arial"/>
          <w:szCs w:val="18"/>
          <w:lang w:val="en-GB" w:eastAsia="fr-FR"/>
        </w:rPr>
        <w:t xml:space="preserve"> </w:t>
      </w:r>
      <w:r w:rsidRPr="00D403F5">
        <w:rPr>
          <w:rFonts w:cs="Arial"/>
          <w:strike/>
          <w:szCs w:val="18"/>
          <w:lang w:val="en-GB" w:eastAsia="fr-FR"/>
        </w:rPr>
        <w:t>q</w:t>
      </w:r>
      <w:r w:rsidRPr="00D403F5">
        <w:rPr>
          <w:rFonts w:cs="Arial"/>
          <w:szCs w:val="18"/>
          <w:lang w:val="en-GB" w:eastAsia="fr-FR"/>
        </w:rPr>
        <w:t>PCR.</w:t>
      </w:r>
      <w:r w:rsidRPr="00D403F5">
        <w:rPr>
          <w:rFonts w:cs="Arial"/>
          <w:szCs w:val="18"/>
          <w:lang w:val="en-GB"/>
        </w:rPr>
        <w:t xml:space="preserve"> This would make this technique most useful in animals with high infection loads. Such techniques may be useful for point-of-care testing if specificity is increased and provided thorough validation. </w:t>
      </w:r>
    </w:p>
    <w:p w14:paraId="4C43C3FF" w14:textId="77777777" w:rsidR="00C7266C" w:rsidRPr="00D403F5" w:rsidRDefault="00C7266C" w:rsidP="00EA6B7E">
      <w:pPr>
        <w:pStyle w:val="11"/>
        <w:ind w:left="426" w:hanging="426"/>
        <w:rPr>
          <w:sz w:val="18"/>
          <w:szCs w:val="18"/>
          <w:lang w:val="en-GB"/>
        </w:rPr>
      </w:pPr>
      <w:r w:rsidRPr="00D403F5">
        <w:rPr>
          <w:sz w:val="18"/>
          <w:szCs w:val="18"/>
          <w:lang w:val="en-GB"/>
        </w:rPr>
        <w:t>4.10.</w:t>
      </w:r>
      <w:r w:rsidRPr="00D403F5">
        <w:rPr>
          <w:sz w:val="18"/>
          <w:szCs w:val="18"/>
          <w:lang w:val="en-GB"/>
        </w:rPr>
        <w:tab/>
        <w:t>Other serological methods</w:t>
      </w:r>
    </w:p>
    <w:p w14:paraId="5EC2E992" w14:textId="77777777" w:rsidR="00C7266C" w:rsidRPr="00D403F5" w:rsidRDefault="00C7266C" w:rsidP="00EA6B7E">
      <w:pPr>
        <w:pStyle w:val="Para20"/>
        <w:ind w:left="426"/>
        <w:rPr>
          <w:rFonts w:cs="Arial"/>
          <w:szCs w:val="18"/>
          <w:lang w:val="en-GB"/>
        </w:rPr>
      </w:pPr>
      <w:r w:rsidRPr="00D403F5">
        <w:rPr>
          <w:rFonts w:cs="Arial"/>
          <w:szCs w:val="18"/>
          <w:lang w:val="en-GB"/>
        </w:rPr>
        <w:t>Not available.</w:t>
      </w:r>
    </w:p>
    <w:p w14:paraId="7687815E" w14:textId="77777777" w:rsidR="00C7266C" w:rsidRPr="00D403F5" w:rsidRDefault="00C7266C" w:rsidP="00EA6B7E">
      <w:pPr>
        <w:pStyle w:val="13"/>
        <w:rPr>
          <w:sz w:val="18"/>
          <w:szCs w:val="18"/>
        </w:rPr>
      </w:pPr>
      <w:r w:rsidRPr="00D403F5">
        <w:rPr>
          <w:sz w:val="18"/>
          <w:szCs w:val="18"/>
        </w:rPr>
        <w:t>5.</w:t>
      </w:r>
      <w:r w:rsidRPr="00D403F5">
        <w:rPr>
          <w:sz w:val="18"/>
          <w:szCs w:val="18"/>
        </w:rPr>
        <w:tab/>
        <w:t>Test(s) recommended for surveillance to demonstrate freedom in apparently healthy populations</w:t>
      </w:r>
    </w:p>
    <w:p w14:paraId="477AF29A" w14:textId="77777777" w:rsidR="00C7266C" w:rsidRPr="00D403F5" w:rsidRDefault="00C7266C" w:rsidP="00EA6B7E">
      <w:pPr>
        <w:pStyle w:val="Para10"/>
        <w:ind w:left="284"/>
        <w:rPr>
          <w:szCs w:val="18"/>
          <w:lang w:val="en-GB"/>
        </w:rPr>
      </w:pPr>
      <w:r w:rsidRPr="00D403F5">
        <w:rPr>
          <w:rFonts w:cs="Arial"/>
          <w:szCs w:val="18"/>
          <w:lang w:val="en-GB"/>
        </w:rPr>
        <w:t>The use of real-time PCR on skin swabs is recommended</w:t>
      </w:r>
      <w:r w:rsidRPr="00D403F5">
        <w:rPr>
          <w:szCs w:val="18"/>
          <w:lang w:val="en-GB"/>
        </w:rPr>
        <w:t xml:space="preserve"> for surveillance.</w:t>
      </w:r>
    </w:p>
    <w:p w14:paraId="52B9D6BC" w14:textId="77777777" w:rsidR="00C7266C" w:rsidRPr="00D403F5" w:rsidRDefault="00C7266C" w:rsidP="00EA6B7E">
      <w:pPr>
        <w:pStyle w:val="13"/>
        <w:rPr>
          <w:sz w:val="18"/>
          <w:szCs w:val="18"/>
        </w:rPr>
      </w:pPr>
      <w:r w:rsidRPr="00D403F5">
        <w:rPr>
          <w:sz w:val="18"/>
          <w:szCs w:val="18"/>
        </w:rPr>
        <w:t>6.</w:t>
      </w:r>
      <w:r w:rsidRPr="00D403F5">
        <w:rPr>
          <w:sz w:val="18"/>
          <w:szCs w:val="18"/>
        </w:rPr>
        <w:tab/>
        <w:t>Corroborative diagnostic criteria</w:t>
      </w:r>
    </w:p>
    <w:p w14:paraId="3E6FCD81" w14:textId="77777777" w:rsidR="00C7266C" w:rsidRPr="00D403F5" w:rsidRDefault="00C7266C" w:rsidP="00EA6B7E">
      <w:pPr>
        <w:pStyle w:val="Para10"/>
        <w:ind w:left="284"/>
        <w:rPr>
          <w:rFonts w:cs="Arial"/>
          <w:szCs w:val="18"/>
        </w:rPr>
      </w:pPr>
      <w:r w:rsidRPr="00D403F5">
        <w:rPr>
          <w:rFonts w:cs="Arial"/>
          <w:szCs w:val="18"/>
        </w:rPr>
        <w:t xml:space="preserve">This Section only addresses the diagnostic test results for detection of infection in the </w:t>
      </w:r>
      <w:r w:rsidRPr="00D403F5">
        <w:rPr>
          <w:rFonts w:cs="Arial"/>
          <w:strike/>
          <w:szCs w:val="18"/>
        </w:rPr>
        <w:t>presence</w:t>
      </w:r>
      <w:r w:rsidRPr="00D403F5">
        <w:rPr>
          <w:rFonts w:cs="Arial"/>
          <w:szCs w:val="18"/>
        </w:rPr>
        <w:t xml:space="preserve"> </w:t>
      </w:r>
      <w:r w:rsidRPr="00D403F5">
        <w:rPr>
          <w:rFonts w:cs="Arial"/>
          <w:szCs w:val="18"/>
          <w:u w:val="double"/>
        </w:rPr>
        <w:t>absence</w:t>
      </w:r>
      <w:r w:rsidRPr="00D403F5">
        <w:rPr>
          <w:rFonts w:cs="Arial"/>
          <w:szCs w:val="18"/>
        </w:rPr>
        <w:t xml:space="preserve"> (Section 6.1.) or in the </w:t>
      </w:r>
      <w:r w:rsidRPr="00D403F5">
        <w:rPr>
          <w:rFonts w:cs="Arial"/>
          <w:szCs w:val="18"/>
          <w:u w:val="double"/>
        </w:rPr>
        <w:t>presence</w:t>
      </w:r>
      <w:r w:rsidRPr="00D403F5">
        <w:rPr>
          <w:rFonts w:cs="Arial"/>
          <w:szCs w:val="18"/>
        </w:rPr>
        <w:t xml:space="preserve"> </w:t>
      </w:r>
      <w:r w:rsidRPr="00D403F5">
        <w:rPr>
          <w:rFonts w:cs="Arial"/>
          <w:strike/>
          <w:szCs w:val="18"/>
        </w:rPr>
        <w:t>absence</w:t>
      </w:r>
      <w:r w:rsidRPr="00D403F5">
        <w:rPr>
          <w:rFonts w:cs="Arial"/>
          <w:szCs w:val="18"/>
        </w:rPr>
        <w:t xml:space="preserve"> of clinical signs (Section 6.2.) but does not evaluate whether the infectious agent is the cause of the clinical event.</w:t>
      </w:r>
    </w:p>
    <w:p w14:paraId="622B9438" w14:textId="77777777" w:rsidR="00C7266C" w:rsidRPr="00D403F5" w:rsidRDefault="00C7266C" w:rsidP="00EA6B7E">
      <w:pPr>
        <w:pStyle w:val="Para10"/>
        <w:ind w:left="284"/>
        <w:rPr>
          <w:rFonts w:cs="Arial"/>
          <w:szCs w:val="18"/>
          <w:lang w:val="en-GB"/>
        </w:rPr>
      </w:pPr>
      <w:r w:rsidRPr="00D403F5">
        <w:rPr>
          <w:rFonts w:cs="Arial"/>
          <w:szCs w:val="18"/>
          <w:lang w:val="en-GB"/>
        </w:rPr>
        <w:t xml:space="preserve">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w:t>
      </w:r>
    </w:p>
    <w:p w14:paraId="3CE217B0" w14:textId="77777777" w:rsidR="00C7266C" w:rsidRPr="00D403F5" w:rsidRDefault="00C7266C" w:rsidP="00EA6B7E">
      <w:pPr>
        <w:pStyle w:val="11"/>
        <w:ind w:left="426" w:hanging="426"/>
        <w:rPr>
          <w:sz w:val="18"/>
          <w:szCs w:val="18"/>
          <w:lang w:val="en-GB"/>
        </w:rPr>
      </w:pPr>
      <w:r w:rsidRPr="00D403F5">
        <w:rPr>
          <w:sz w:val="18"/>
          <w:szCs w:val="18"/>
          <w:lang w:val="en-GB"/>
        </w:rPr>
        <w:t>6.1.</w:t>
      </w:r>
      <w:r w:rsidRPr="00D403F5">
        <w:rPr>
          <w:sz w:val="18"/>
          <w:szCs w:val="18"/>
          <w:lang w:val="en-GB"/>
        </w:rPr>
        <w:tab/>
        <w:t>Apparently healthy animals or animals of unknown health status</w:t>
      </w:r>
      <w:r w:rsidRPr="00D403F5">
        <w:rPr>
          <w:rStyle w:val="af6"/>
          <w:rFonts w:cs="Arial"/>
          <w:sz w:val="18"/>
          <w:szCs w:val="18"/>
        </w:rPr>
        <w:footnoteReference w:id="9"/>
      </w:r>
    </w:p>
    <w:p w14:paraId="48B391A1" w14:textId="77777777" w:rsidR="00C7266C" w:rsidRPr="00D403F5" w:rsidRDefault="00C7266C" w:rsidP="00EA6B7E">
      <w:pPr>
        <w:pStyle w:val="Para20"/>
        <w:ind w:left="426"/>
        <w:rPr>
          <w:szCs w:val="18"/>
          <w:lang w:val="en-GB"/>
        </w:rPr>
      </w:pPr>
      <w:r w:rsidRPr="00D403F5">
        <w:rPr>
          <w:rFonts w:cs="Arial"/>
          <w:szCs w:val="18"/>
          <w:lang w:val="en-GB"/>
        </w:rPr>
        <w:t xml:space="preserve">Apparently healthy populations may fall under suspicion, and therefore be sampled, if there is an epidemiological link(s) to an infected population. </w:t>
      </w:r>
      <w:r w:rsidRPr="00D403F5">
        <w:rPr>
          <w:szCs w:val="18"/>
          <w:lang w:val="en-GB"/>
        </w:rPr>
        <w:t xml:space="preserve">Geographic proximity to, or movement of animals or animal products or equipment, etc., from a known infected population equate to an epidemiological link. Alternatively, healthy populations are sampled in surveys to demonstrate disease freedom. </w:t>
      </w:r>
    </w:p>
    <w:p w14:paraId="2BE6AD66" w14:textId="77777777" w:rsidR="00C7266C" w:rsidRPr="00D403F5" w:rsidRDefault="00C7266C" w:rsidP="00EA6B7E">
      <w:pPr>
        <w:pStyle w:val="Para20"/>
        <w:ind w:left="426"/>
        <w:rPr>
          <w:rFonts w:cs="Arial"/>
          <w:szCs w:val="18"/>
          <w:lang w:val="en-GB"/>
        </w:rPr>
      </w:pPr>
      <w:r w:rsidRPr="00D403F5">
        <w:rPr>
          <w:szCs w:val="18"/>
          <w:lang w:val="en-GB"/>
        </w:rPr>
        <w:t>Such surveys typically consist of non-invasive sampling using skin swabs that are examined for the presence of Bsal using real-time PCR. When applied to animals in the wild, confirmation by using a complementary technique, other than sequencing the PCR product, is often not feasible.</w:t>
      </w:r>
    </w:p>
    <w:p w14:paraId="4B96E8B6" w14:textId="77777777" w:rsidR="00C7266C" w:rsidRPr="00D403F5" w:rsidRDefault="00C7266C" w:rsidP="00EA6B7E">
      <w:pPr>
        <w:pStyle w:val="111"/>
        <w:spacing w:after="240"/>
        <w:rPr>
          <w:sz w:val="18"/>
          <w:szCs w:val="18"/>
        </w:rPr>
      </w:pPr>
      <w:r w:rsidRPr="00D403F5">
        <w:rPr>
          <w:sz w:val="18"/>
          <w:szCs w:val="18"/>
        </w:rPr>
        <w:t>6.1.1.</w:t>
      </w:r>
      <w:r w:rsidRPr="00D403F5">
        <w:rPr>
          <w:sz w:val="18"/>
          <w:szCs w:val="18"/>
        </w:rPr>
        <w:tab/>
        <w:t>Definition of suspect case in apparently healthy animals</w:t>
      </w:r>
    </w:p>
    <w:p w14:paraId="776A72F8" w14:textId="77777777" w:rsidR="00C7266C" w:rsidRPr="00D403F5" w:rsidRDefault="00C7266C" w:rsidP="00EA6B7E">
      <w:pPr>
        <w:pStyle w:val="Para3"/>
        <w:rPr>
          <w:szCs w:val="18"/>
          <w:lang w:val="en-GB"/>
        </w:rPr>
      </w:pPr>
      <w:r w:rsidRPr="00D403F5">
        <w:rPr>
          <w:szCs w:val="18"/>
          <w:lang w:val="en-GB"/>
        </w:rPr>
        <w:t xml:space="preserve">The presence of infection shall be suspected if </w:t>
      </w:r>
      <w:r w:rsidRPr="00D403F5">
        <w:rPr>
          <w:strike/>
          <w:szCs w:val="18"/>
          <w:lang w:val="en-GB"/>
        </w:rPr>
        <w:t xml:space="preserve">a positive result has been obtained on at least one animal from at least </w:t>
      </w:r>
      <w:r w:rsidRPr="00D403F5">
        <w:rPr>
          <w:szCs w:val="18"/>
          <w:lang w:val="en-GB"/>
        </w:rPr>
        <w:t xml:space="preserve">one of the following </w:t>
      </w:r>
      <w:r w:rsidRPr="00D403F5">
        <w:rPr>
          <w:strike/>
          <w:szCs w:val="18"/>
          <w:lang w:val="en-GB"/>
        </w:rPr>
        <w:t xml:space="preserve">diagnostic tests </w:t>
      </w:r>
      <w:r w:rsidRPr="00D403F5">
        <w:rPr>
          <w:szCs w:val="18"/>
          <w:u w:val="double"/>
          <w:lang w:val="en-GB"/>
        </w:rPr>
        <w:t>criteria is met</w:t>
      </w:r>
      <w:r w:rsidRPr="00D403F5">
        <w:rPr>
          <w:szCs w:val="18"/>
          <w:lang w:val="en-GB"/>
        </w:rPr>
        <w:t>:</w:t>
      </w:r>
    </w:p>
    <w:p w14:paraId="49C980AA" w14:textId="77777777" w:rsidR="00C7266C" w:rsidRPr="00D403F5" w:rsidRDefault="00C7266C" w:rsidP="00EA6B7E">
      <w:pPr>
        <w:pStyle w:val="Para3i"/>
        <w:ind w:left="1276" w:hanging="425"/>
        <w:rPr>
          <w:rFonts w:ascii="Arial" w:hAnsi="Arial"/>
          <w:sz w:val="18"/>
          <w:lang w:val="en-GB"/>
        </w:rPr>
      </w:pPr>
      <w:r w:rsidRPr="00D403F5">
        <w:rPr>
          <w:rFonts w:ascii="Arial" w:hAnsi="Arial"/>
          <w:sz w:val="18"/>
          <w:lang w:val="en-GB"/>
        </w:rPr>
        <w:t>i)</w:t>
      </w:r>
      <w:r w:rsidRPr="00D403F5">
        <w:rPr>
          <w:rFonts w:ascii="Arial" w:hAnsi="Arial"/>
          <w:sz w:val="18"/>
          <w:lang w:val="en-GB"/>
        </w:rPr>
        <w:tab/>
        <w:t xml:space="preserve">Positive result by real-time PCR. </w:t>
      </w:r>
    </w:p>
    <w:p w14:paraId="5259DB3D" w14:textId="77777777" w:rsidR="00C7266C" w:rsidRPr="00D403F5" w:rsidRDefault="00C7266C" w:rsidP="00EA6B7E">
      <w:pPr>
        <w:pStyle w:val="Para3i"/>
        <w:ind w:left="1276" w:hanging="425"/>
        <w:rPr>
          <w:rFonts w:ascii="Arial" w:hAnsi="Arial"/>
          <w:sz w:val="18"/>
          <w:lang w:val="en-GB"/>
        </w:rPr>
      </w:pPr>
      <w:r w:rsidRPr="00D403F5">
        <w:rPr>
          <w:rFonts w:ascii="Arial" w:hAnsi="Arial"/>
          <w:sz w:val="18"/>
          <w:lang w:val="en-GB"/>
        </w:rPr>
        <w:t>ii)</w:t>
      </w:r>
      <w:r w:rsidRPr="00D403F5">
        <w:rPr>
          <w:rFonts w:ascii="Arial" w:hAnsi="Arial"/>
          <w:sz w:val="18"/>
          <w:lang w:val="en-GB"/>
        </w:rPr>
        <w:tab/>
        <w:t xml:space="preserve">Histopathological changes </w:t>
      </w:r>
      <w:r w:rsidRPr="00D403F5">
        <w:rPr>
          <w:rFonts w:ascii="Arial" w:hAnsi="Arial"/>
          <w:strike/>
          <w:sz w:val="18"/>
          <w:lang w:val="en-GB"/>
        </w:rPr>
        <w:t xml:space="preserve">(including immunohistochemistry) </w:t>
      </w:r>
      <w:r w:rsidRPr="00D403F5">
        <w:rPr>
          <w:rFonts w:ascii="Arial" w:hAnsi="Arial"/>
          <w:sz w:val="18"/>
          <w:lang w:val="en-GB"/>
        </w:rPr>
        <w:t xml:space="preserve">consistent with the presence of the pathogen or the disease. </w:t>
      </w:r>
    </w:p>
    <w:p w14:paraId="5C3C9910" w14:textId="77777777" w:rsidR="00C7266C" w:rsidRPr="00D403F5" w:rsidRDefault="00C7266C" w:rsidP="00D403F5">
      <w:pPr>
        <w:spacing w:after="0"/>
        <w:rPr>
          <w:rFonts w:ascii="Arial" w:eastAsia="MS Mincho" w:hAnsi="Arial" w:cs="Arial"/>
          <w:sz w:val="18"/>
          <w:szCs w:val="18"/>
        </w:rPr>
      </w:pPr>
      <w:r w:rsidRPr="00D403F5">
        <w:rPr>
          <w:rFonts w:ascii="Arial" w:hAnsi="Arial"/>
          <w:sz w:val="18"/>
          <w:szCs w:val="18"/>
        </w:rPr>
        <w:br w:type="page"/>
      </w:r>
    </w:p>
    <w:p w14:paraId="1BC8D5DA" w14:textId="77777777" w:rsidR="00C7266C" w:rsidRPr="00D403F5" w:rsidRDefault="00C7266C" w:rsidP="00EA6B7E">
      <w:pPr>
        <w:spacing w:after="480"/>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02C0DA46" w14:textId="77777777" w:rsidR="00C7266C" w:rsidRPr="00D403F5" w:rsidRDefault="00C7266C" w:rsidP="00D403F5">
      <w:pPr>
        <w:pStyle w:val="Para3i"/>
        <w:spacing w:after="0"/>
        <w:ind w:left="1276" w:hanging="425"/>
        <w:rPr>
          <w:rFonts w:ascii="Arial" w:hAnsi="Arial"/>
          <w:sz w:val="18"/>
          <w:lang w:val="en-GB"/>
        </w:rPr>
      </w:pPr>
      <w:r w:rsidRPr="00D403F5">
        <w:rPr>
          <w:rFonts w:ascii="Arial" w:hAnsi="Arial"/>
          <w:sz w:val="18"/>
          <w:lang w:val="en-GB"/>
        </w:rPr>
        <w:t>iii)</w:t>
      </w:r>
      <w:r w:rsidRPr="00D403F5">
        <w:rPr>
          <w:rFonts w:ascii="Arial" w:hAnsi="Arial"/>
          <w:sz w:val="18"/>
          <w:lang w:val="en-GB"/>
        </w:rPr>
        <w:tab/>
        <w:t xml:space="preserve">The presence of motile spores, compatible with chytrid zoospores, in wet mount of urodele skin. </w:t>
      </w:r>
    </w:p>
    <w:p w14:paraId="3B826D3F" w14:textId="77777777" w:rsidR="00C7266C" w:rsidRPr="00D403F5" w:rsidRDefault="00C7266C" w:rsidP="00D403F5">
      <w:pPr>
        <w:pStyle w:val="Para3i"/>
        <w:spacing w:after="0"/>
        <w:ind w:left="1276" w:hanging="425"/>
        <w:rPr>
          <w:rFonts w:ascii="Arial" w:hAnsi="Arial"/>
          <w:sz w:val="18"/>
          <w:lang w:val="en-GB"/>
        </w:rPr>
      </w:pPr>
      <w:r w:rsidRPr="00D403F5">
        <w:rPr>
          <w:rFonts w:ascii="Arial" w:hAnsi="Arial"/>
          <w:sz w:val="18"/>
          <w:lang w:val="en-GB"/>
        </w:rPr>
        <w:t>iv)</w:t>
      </w:r>
      <w:r w:rsidRPr="00D403F5">
        <w:rPr>
          <w:rFonts w:ascii="Arial" w:hAnsi="Arial"/>
          <w:sz w:val="18"/>
          <w:lang w:val="en-GB"/>
        </w:rPr>
        <w:tab/>
        <w:t>Positive result from lateral flow assay (LFA).</w:t>
      </w:r>
    </w:p>
    <w:p w14:paraId="15A5DE1D" w14:textId="77777777" w:rsidR="00C7266C" w:rsidRPr="00D403F5" w:rsidRDefault="00C7266C" w:rsidP="00D403F5">
      <w:pPr>
        <w:pStyle w:val="111"/>
        <w:spacing w:after="0"/>
        <w:rPr>
          <w:sz w:val="18"/>
          <w:szCs w:val="18"/>
        </w:rPr>
      </w:pPr>
      <w:r w:rsidRPr="00D403F5">
        <w:rPr>
          <w:sz w:val="18"/>
          <w:szCs w:val="18"/>
        </w:rPr>
        <w:t>6.1.2.</w:t>
      </w:r>
      <w:r w:rsidRPr="00D403F5">
        <w:rPr>
          <w:sz w:val="18"/>
          <w:szCs w:val="18"/>
        </w:rPr>
        <w:tab/>
        <w:t>Definition of confirmed case in apparently healthy animals</w:t>
      </w:r>
    </w:p>
    <w:p w14:paraId="1746A8F3" w14:textId="77777777" w:rsidR="00C7266C" w:rsidRPr="00D403F5" w:rsidRDefault="00C7266C" w:rsidP="00D403F5">
      <w:pPr>
        <w:pStyle w:val="Para3"/>
        <w:spacing w:after="0"/>
        <w:rPr>
          <w:szCs w:val="18"/>
          <w:lang w:val="en-GB"/>
        </w:rPr>
      </w:pPr>
      <w:r w:rsidRPr="00D403F5">
        <w:rPr>
          <w:szCs w:val="18"/>
          <w:lang w:val="en-GB"/>
        </w:rPr>
        <w:t>The presence of infection is confirmed if</w:t>
      </w:r>
      <w:r w:rsidRPr="00D403F5">
        <w:rPr>
          <w:strike/>
          <w:szCs w:val="18"/>
          <w:lang w:val="en-GB"/>
        </w:rPr>
        <w:t xml:space="preserve"> positive results have been obtained on at least</w:t>
      </w:r>
      <w:r w:rsidRPr="00D403F5">
        <w:rPr>
          <w:szCs w:val="18"/>
          <w:u w:val="double"/>
        </w:rPr>
        <w:t xml:space="preserve">, in addition to the criteria in </w:t>
      </w:r>
      <w:r w:rsidRPr="00D403F5">
        <w:rPr>
          <w:spacing w:val="-2"/>
          <w:szCs w:val="18"/>
          <w:u w:val="double"/>
        </w:rPr>
        <w:t>Section 6.1.1.</w:t>
      </w:r>
      <w:r w:rsidRPr="00D403F5">
        <w:rPr>
          <w:szCs w:val="18"/>
          <w:u w:val="double"/>
        </w:rPr>
        <w:t>,</w:t>
      </w:r>
      <w:r w:rsidRPr="00D403F5">
        <w:rPr>
          <w:szCs w:val="18"/>
        </w:rPr>
        <w:t xml:space="preserve"> </w:t>
      </w:r>
      <w:r w:rsidRPr="00D403F5">
        <w:rPr>
          <w:szCs w:val="18"/>
          <w:lang w:val="en-GB"/>
        </w:rPr>
        <w:t xml:space="preserve">one </w:t>
      </w:r>
      <w:r w:rsidRPr="00D403F5">
        <w:rPr>
          <w:strike/>
          <w:szCs w:val="18"/>
          <w:lang w:val="en-GB"/>
        </w:rPr>
        <w:t xml:space="preserve">animal from two tests used in </w:t>
      </w:r>
      <w:r w:rsidRPr="00D403F5">
        <w:rPr>
          <w:szCs w:val="18"/>
          <w:u w:val="double"/>
          <w:lang w:val="en-GB"/>
        </w:rPr>
        <w:t>of</w:t>
      </w:r>
      <w:r w:rsidRPr="00D403F5">
        <w:rPr>
          <w:szCs w:val="18"/>
          <w:lang w:val="en-GB"/>
        </w:rPr>
        <w:t xml:space="preserve"> the following </w:t>
      </w:r>
      <w:r w:rsidRPr="00D403F5">
        <w:rPr>
          <w:strike/>
          <w:szCs w:val="18"/>
          <w:lang w:val="en-GB"/>
        </w:rPr>
        <w:t xml:space="preserve">combination </w:t>
      </w:r>
      <w:r w:rsidRPr="00D403F5">
        <w:rPr>
          <w:szCs w:val="18"/>
          <w:u w:val="double"/>
          <w:lang w:val="en-GB"/>
        </w:rPr>
        <w:t>criteria is met</w:t>
      </w:r>
      <w:r w:rsidRPr="00D403F5">
        <w:rPr>
          <w:szCs w:val="18"/>
          <w:lang w:val="en-GB"/>
        </w:rPr>
        <w:t>:</w:t>
      </w:r>
    </w:p>
    <w:p w14:paraId="0CCC1E6A" w14:textId="77777777" w:rsidR="00C7266C" w:rsidRPr="00D403F5" w:rsidRDefault="00C7266C" w:rsidP="00D403F5">
      <w:pPr>
        <w:pStyle w:val="Para3"/>
        <w:spacing w:after="0"/>
        <w:ind w:left="1276" w:hanging="425"/>
        <w:rPr>
          <w:szCs w:val="18"/>
          <w:lang w:val="en-GB"/>
        </w:rPr>
      </w:pPr>
      <w:r w:rsidRPr="00D403F5">
        <w:rPr>
          <w:szCs w:val="18"/>
          <w:lang w:val="en-GB"/>
        </w:rPr>
        <w:t>i)</w:t>
      </w:r>
      <w:r w:rsidRPr="00D403F5">
        <w:rPr>
          <w:szCs w:val="18"/>
          <w:lang w:val="en-GB"/>
        </w:rPr>
        <w:tab/>
        <w:t>Positive result by real-time PCR on skin swab or skin tissue</w:t>
      </w:r>
      <w:r w:rsidRPr="00D403F5">
        <w:rPr>
          <w:strike/>
          <w:szCs w:val="18"/>
          <w:lang w:val="en-GB"/>
        </w:rPr>
        <w:t>, and by histopathology or immunohistochemistry on skin tissue</w:t>
      </w:r>
      <w:r w:rsidRPr="00D403F5">
        <w:rPr>
          <w:szCs w:val="18"/>
          <w:lang w:val="en-GB"/>
        </w:rPr>
        <w:t xml:space="preserve">. </w:t>
      </w:r>
    </w:p>
    <w:p w14:paraId="0DB77B76" w14:textId="77777777" w:rsidR="00C7266C" w:rsidRPr="00D403F5" w:rsidRDefault="00C7266C" w:rsidP="00D403F5">
      <w:pPr>
        <w:pStyle w:val="Para3"/>
        <w:spacing w:after="0"/>
        <w:ind w:left="1276" w:hanging="425"/>
        <w:rPr>
          <w:szCs w:val="18"/>
          <w:lang w:val="en-GB"/>
        </w:rPr>
      </w:pPr>
      <w:r w:rsidRPr="00D403F5">
        <w:rPr>
          <w:szCs w:val="18"/>
          <w:lang w:val="en-GB"/>
        </w:rPr>
        <w:t>ii)</w:t>
      </w:r>
      <w:r w:rsidRPr="00D403F5">
        <w:rPr>
          <w:szCs w:val="18"/>
          <w:lang w:val="en-GB"/>
        </w:rPr>
        <w:tab/>
      </w:r>
      <w:r w:rsidRPr="00D403F5">
        <w:rPr>
          <w:strike/>
          <w:szCs w:val="18"/>
          <w:lang w:val="en-GB"/>
        </w:rPr>
        <w:t xml:space="preserve">Positive result by real-time PCR on skin swab or skin tissue, and </w:t>
      </w:r>
      <w:r w:rsidRPr="00D403F5">
        <w:rPr>
          <w:szCs w:val="18"/>
          <w:lang w:val="en-GB"/>
        </w:rPr>
        <w:t xml:space="preserve">Pathogenic agent isolation from the skin </w:t>
      </w:r>
      <w:r w:rsidRPr="00D403F5">
        <w:rPr>
          <w:szCs w:val="18"/>
          <w:u w:val="double"/>
          <w:lang w:val="en-GB"/>
        </w:rPr>
        <w:t>in culture</w:t>
      </w:r>
      <w:r w:rsidRPr="00D403F5">
        <w:rPr>
          <w:szCs w:val="18"/>
          <w:lang w:val="en-GB"/>
        </w:rPr>
        <w:t xml:space="preserve"> and </w:t>
      </w:r>
      <w:r w:rsidRPr="00D403F5">
        <w:rPr>
          <w:strike/>
          <w:szCs w:val="18"/>
          <w:lang w:val="en-GB"/>
        </w:rPr>
        <w:t xml:space="preserve">confirmation </w:t>
      </w:r>
      <w:r w:rsidRPr="00D403F5">
        <w:rPr>
          <w:szCs w:val="18"/>
          <w:u w:val="double"/>
          <w:lang w:val="en-GB"/>
        </w:rPr>
        <w:t>identification</w:t>
      </w:r>
      <w:r w:rsidRPr="00D403F5">
        <w:rPr>
          <w:szCs w:val="18"/>
          <w:lang w:val="en-GB"/>
        </w:rPr>
        <w:t xml:space="preserve"> by real-time PCR. </w:t>
      </w:r>
    </w:p>
    <w:p w14:paraId="53082520" w14:textId="77777777" w:rsidR="00C7266C" w:rsidRPr="00D403F5" w:rsidRDefault="00C7266C" w:rsidP="00D403F5">
      <w:pPr>
        <w:pStyle w:val="11"/>
        <w:spacing w:after="0"/>
        <w:ind w:left="426" w:hanging="426"/>
        <w:rPr>
          <w:sz w:val="18"/>
          <w:szCs w:val="18"/>
          <w:lang w:val="en-GB"/>
        </w:rPr>
      </w:pPr>
      <w:r w:rsidRPr="00D403F5">
        <w:rPr>
          <w:sz w:val="18"/>
          <w:szCs w:val="18"/>
          <w:lang w:val="en-GB"/>
        </w:rPr>
        <w:t>6.2.</w:t>
      </w:r>
      <w:r w:rsidRPr="00D403F5">
        <w:rPr>
          <w:sz w:val="18"/>
          <w:szCs w:val="18"/>
          <w:lang w:val="en-GB"/>
        </w:rPr>
        <w:tab/>
        <w:t>Clinically affected animals</w:t>
      </w:r>
    </w:p>
    <w:p w14:paraId="7A850C7F" w14:textId="77777777" w:rsidR="00C7266C" w:rsidRPr="00D403F5" w:rsidRDefault="00C7266C" w:rsidP="00D403F5">
      <w:pPr>
        <w:pStyle w:val="Para20"/>
        <w:spacing w:after="0"/>
        <w:ind w:left="426"/>
        <w:rPr>
          <w:szCs w:val="18"/>
          <w:lang w:val="en-GB"/>
        </w:rPr>
      </w:pPr>
      <w:r w:rsidRPr="00D403F5">
        <w:rPr>
          <w:szCs w:val="18"/>
          <w:lang w:val="en-GB"/>
        </w:rPr>
        <w:t xml:space="preserve">Clinical signs are not pathognomonic for a single disease; however, they may narrow the range of possible diagnoses. </w:t>
      </w:r>
    </w:p>
    <w:p w14:paraId="5D3D561A" w14:textId="77777777" w:rsidR="00C7266C" w:rsidRPr="00D403F5" w:rsidRDefault="00C7266C" w:rsidP="00D403F5">
      <w:pPr>
        <w:pStyle w:val="111"/>
        <w:spacing w:after="0"/>
        <w:rPr>
          <w:sz w:val="18"/>
          <w:szCs w:val="18"/>
        </w:rPr>
      </w:pPr>
      <w:r w:rsidRPr="00D403F5">
        <w:rPr>
          <w:sz w:val="18"/>
          <w:szCs w:val="18"/>
        </w:rPr>
        <w:t>6.2.1.</w:t>
      </w:r>
      <w:r w:rsidRPr="00D403F5">
        <w:rPr>
          <w:sz w:val="18"/>
          <w:szCs w:val="18"/>
        </w:rPr>
        <w:tab/>
        <w:t>Definition of suspect case in clinically affected animals</w:t>
      </w:r>
    </w:p>
    <w:p w14:paraId="151D07ED" w14:textId="77777777" w:rsidR="00C7266C" w:rsidRPr="00D403F5" w:rsidRDefault="00C7266C" w:rsidP="00D403F5">
      <w:pPr>
        <w:pStyle w:val="Para3"/>
        <w:spacing w:after="0"/>
        <w:rPr>
          <w:szCs w:val="18"/>
          <w:lang w:val="en-GB"/>
        </w:rPr>
      </w:pPr>
      <w:r w:rsidRPr="00D403F5">
        <w:rPr>
          <w:szCs w:val="18"/>
          <w:lang w:val="en-GB"/>
        </w:rPr>
        <w:t>The presence of infection shall be suspected if at least one of the following criteria are met:</w:t>
      </w:r>
    </w:p>
    <w:p w14:paraId="15C5D8D4" w14:textId="77777777" w:rsidR="00C7266C" w:rsidRPr="00D403F5" w:rsidRDefault="00C7266C" w:rsidP="00D403F5">
      <w:pPr>
        <w:pStyle w:val="Para3i"/>
        <w:spacing w:after="0"/>
        <w:ind w:left="1276" w:hanging="425"/>
        <w:rPr>
          <w:rFonts w:ascii="Arial" w:hAnsi="Arial"/>
          <w:sz w:val="18"/>
          <w:lang w:val="en-GB"/>
        </w:rPr>
      </w:pPr>
      <w:r w:rsidRPr="00D403F5">
        <w:rPr>
          <w:rFonts w:ascii="Arial" w:hAnsi="Arial"/>
          <w:sz w:val="18"/>
          <w:lang w:val="en-GB"/>
        </w:rPr>
        <w:t>i)</w:t>
      </w:r>
      <w:r w:rsidRPr="00D403F5">
        <w:rPr>
          <w:rFonts w:ascii="Arial" w:hAnsi="Arial"/>
          <w:sz w:val="18"/>
          <w:lang w:val="en-GB"/>
        </w:rPr>
        <w:tab/>
      </w:r>
      <w:r w:rsidRPr="00D403F5">
        <w:rPr>
          <w:rFonts w:ascii="Arial" w:hAnsi="Arial"/>
          <w:sz w:val="18"/>
          <w:lang w:val="en-GB" w:bidi="en-US"/>
        </w:rPr>
        <w:t>Clinical signs (haemorrhages, ulcerations, presence of sloughed skin, see Section 2.3.2.), notably the presence of skin ulcers and/or disecdysis.</w:t>
      </w:r>
    </w:p>
    <w:p w14:paraId="621C0CAA" w14:textId="77777777" w:rsidR="00C7266C" w:rsidRPr="00D403F5" w:rsidRDefault="00C7266C" w:rsidP="00D403F5">
      <w:pPr>
        <w:pStyle w:val="Para3i"/>
        <w:spacing w:after="0"/>
        <w:ind w:left="1276" w:hanging="425"/>
        <w:rPr>
          <w:rFonts w:ascii="Arial" w:hAnsi="Arial"/>
          <w:sz w:val="18"/>
          <w:lang w:val="en-GB"/>
        </w:rPr>
      </w:pPr>
      <w:r w:rsidRPr="00D403F5">
        <w:rPr>
          <w:rFonts w:ascii="Arial" w:hAnsi="Arial"/>
          <w:sz w:val="18"/>
          <w:lang w:val="en-GB"/>
        </w:rPr>
        <w:t>ii)</w:t>
      </w:r>
      <w:r w:rsidRPr="00D403F5">
        <w:rPr>
          <w:rFonts w:ascii="Arial" w:hAnsi="Arial"/>
          <w:sz w:val="18"/>
          <w:lang w:val="en-GB"/>
        </w:rPr>
        <w:tab/>
        <w:t xml:space="preserve">Positive result by real-time PCR on at least one swab or skin tissue. </w:t>
      </w:r>
    </w:p>
    <w:p w14:paraId="691EB2D1" w14:textId="77777777" w:rsidR="00C7266C" w:rsidRPr="00D403F5" w:rsidRDefault="00C7266C" w:rsidP="00D403F5">
      <w:pPr>
        <w:pStyle w:val="Para3i"/>
        <w:spacing w:after="0"/>
        <w:ind w:left="1276" w:hanging="425"/>
        <w:rPr>
          <w:rFonts w:ascii="Arial" w:hAnsi="Arial"/>
          <w:sz w:val="18"/>
          <w:lang w:val="en-GB"/>
        </w:rPr>
      </w:pPr>
      <w:r w:rsidRPr="00D403F5">
        <w:rPr>
          <w:rFonts w:ascii="Arial" w:hAnsi="Arial"/>
          <w:sz w:val="18"/>
          <w:lang w:val="en-GB"/>
        </w:rPr>
        <w:t>iii)</w:t>
      </w:r>
      <w:r w:rsidRPr="00D403F5">
        <w:rPr>
          <w:rFonts w:ascii="Arial" w:hAnsi="Arial"/>
          <w:sz w:val="18"/>
          <w:lang w:val="en-GB"/>
        </w:rPr>
        <w:tab/>
        <w:t>Histopathological changes consistent with the presence of the pathogenic agent or the disease.</w:t>
      </w:r>
    </w:p>
    <w:p w14:paraId="59BEECB1" w14:textId="77777777" w:rsidR="00C7266C" w:rsidRPr="00D403F5" w:rsidRDefault="00C7266C" w:rsidP="00D403F5">
      <w:pPr>
        <w:pStyle w:val="Para3i"/>
        <w:spacing w:after="0"/>
        <w:ind w:left="1276" w:hanging="425"/>
        <w:rPr>
          <w:rFonts w:ascii="Arial" w:hAnsi="Arial"/>
          <w:sz w:val="18"/>
          <w:lang w:val="en-GB"/>
        </w:rPr>
      </w:pPr>
      <w:r w:rsidRPr="00D403F5">
        <w:rPr>
          <w:rFonts w:ascii="Arial" w:hAnsi="Arial"/>
          <w:sz w:val="18"/>
          <w:lang w:val="en-GB"/>
        </w:rPr>
        <w:t>iv)</w:t>
      </w:r>
      <w:r w:rsidRPr="00D403F5">
        <w:rPr>
          <w:rFonts w:ascii="Arial" w:hAnsi="Arial"/>
          <w:sz w:val="18"/>
          <w:lang w:val="en-GB"/>
        </w:rPr>
        <w:tab/>
        <w:t>Visual observation (by microscopy) of motile spores, compatible with amphibian chytrid zoospores, in a wet mount of the skin of at least one diseased urodele.</w:t>
      </w:r>
    </w:p>
    <w:p w14:paraId="0C8B2A4E" w14:textId="77777777" w:rsidR="00C7266C" w:rsidRPr="00D403F5" w:rsidRDefault="00C7266C" w:rsidP="00D403F5">
      <w:pPr>
        <w:pStyle w:val="Para3i"/>
        <w:spacing w:after="0"/>
        <w:ind w:left="1276" w:hanging="425"/>
        <w:rPr>
          <w:rFonts w:ascii="Arial" w:hAnsi="Arial"/>
          <w:sz w:val="18"/>
          <w:lang w:val="en-GB"/>
        </w:rPr>
      </w:pPr>
      <w:r w:rsidRPr="00D403F5">
        <w:rPr>
          <w:rFonts w:ascii="Arial" w:hAnsi="Arial"/>
          <w:sz w:val="18"/>
          <w:lang w:val="en-GB"/>
        </w:rPr>
        <w:t>v)</w:t>
      </w:r>
      <w:r w:rsidRPr="00D403F5">
        <w:rPr>
          <w:rFonts w:ascii="Arial" w:hAnsi="Arial"/>
          <w:sz w:val="18"/>
          <w:lang w:val="en-GB"/>
        </w:rPr>
        <w:tab/>
        <w:t xml:space="preserve">Positive result of antigen detection </w:t>
      </w:r>
      <w:r w:rsidRPr="00D403F5">
        <w:rPr>
          <w:rFonts w:ascii="Arial" w:hAnsi="Arial"/>
          <w:strike/>
          <w:sz w:val="18"/>
          <w:lang w:val="en-GB"/>
        </w:rPr>
        <w:t>technique such as</w:t>
      </w:r>
      <w:r w:rsidRPr="00D403F5">
        <w:rPr>
          <w:rFonts w:ascii="Arial" w:hAnsi="Arial"/>
          <w:sz w:val="18"/>
          <w:lang w:val="en-GB"/>
        </w:rPr>
        <w:t xml:space="preserve"> </w:t>
      </w:r>
      <w:r w:rsidRPr="00D403F5">
        <w:rPr>
          <w:rFonts w:ascii="Arial" w:hAnsi="Arial"/>
          <w:sz w:val="18"/>
          <w:u w:val="double"/>
          <w:lang w:val="en-GB"/>
        </w:rPr>
        <w:t>by</w:t>
      </w:r>
      <w:r w:rsidRPr="00D403F5">
        <w:rPr>
          <w:rFonts w:ascii="Arial" w:hAnsi="Arial"/>
          <w:sz w:val="18"/>
          <w:lang w:val="en-GB"/>
        </w:rPr>
        <w:t xml:space="preserve"> LFA.</w:t>
      </w:r>
      <w:r w:rsidRPr="00D403F5" w:rsidDel="00032617">
        <w:rPr>
          <w:rFonts w:ascii="Arial" w:hAnsi="Arial"/>
          <w:sz w:val="18"/>
          <w:lang w:val="en-GB"/>
        </w:rPr>
        <w:t xml:space="preserve"> </w:t>
      </w:r>
    </w:p>
    <w:p w14:paraId="51E2AA4E" w14:textId="77777777" w:rsidR="00C7266C" w:rsidRPr="00D403F5" w:rsidRDefault="00C7266C" w:rsidP="00D403F5">
      <w:pPr>
        <w:pStyle w:val="Para3i"/>
        <w:spacing w:after="0"/>
        <w:ind w:left="1276" w:hanging="425"/>
        <w:rPr>
          <w:rFonts w:ascii="Arial" w:hAnsi="Arial"/>
          <w:strike/>
          <w:sz w:val="18"/>
          <w:lang w:val="en-GB"/>
        </w:rPr>
      </w:pPr>
      <w:r w:rsidRPr="00D403F5">
        <w:rPr>
          <w:rFonts w:ascii="Arial" w:hAnsi="Arial"/>
          <w:strike/>
          <w:sz w:val="18"/>
          <w:lang w:val="en-GB"/>
        </w:rPr>
        <w:t>vi)</w:t>
      </w:r>
      <w:r w:rsidRPr="00D403F5">
        <w:rPr>
          <w:rFonts w:ascii="Arial" w:hAnsi="Arial"/>
          <w:strike/>
          <w:sz w:val="18"/>
          <w:lang w:val="en-GB"/>
        </w:rPr>
        <w:tab/>
        <w:t>Positive result from immunohistochemistry.</w:t>
      </w:r>
      <w:r w:rsidRPr="00D403F5" w:rsidDel="00032617">
        <w:rPr>
          <w:rFonts w:ascii="Arial" w:hAnsi="Arial"/>
          <w:strike/>
          <w:sz w:val="18"/>
          <w:lang w:val="en-GB"/>
        </w:rPr>
        <w:t xml:space="preserve"> </w:t>
      </w:r>
    </w:p>
    <w:p w14:paraId="7FAC6679" w14:textId="77777777" w:rsidR="00C7266C" w:rsidRPr="00D403F5" w:rsidRDefault="00C7266C" w:rsidP="00D403F5">
      <w:pPr>
        <w:pStyle w:val="111"/>
        <w:spacing w:after="0"/>
        <w:rPr>
          <w:sz w:val="18"/>
          <w:szCs w:val="18"/>
        </w:rPr>
      </w:pPr>
      <w:r w:rsidRPr="00D403F5">
        <w:rPr>
          <w:sz w:val="18"/>
          <w:szCs w:val="18"/>
        </w:rPr>
        <w:t>6.2.2.</w:t>
      </w:r>
      <w:r w:rsidRPr="00D403F5">
        <w:rPr>
          <w:sz w:val="18"/>
          <w:szCs w:val="18"/>
        </w:rPr>
        <w:tab/>
        <w:t>Definition of confirmed case in clinically affected animals</w:t>
      </w:r>
    </w:p>
    <w:p w14:paraId="13E41EA1" w14:textId="77777777" w:rsidR="00C7266C" w:rsidRPr="00D403F5" w:rsidRDefault="00C7266C" w:rsidP="00D403F5">
      <w:pPr>
        <w:pStyle w:val="Para3"/>
        <w:spacing w:after="0"/>
        <w:rPr>
          <w:szCs w:val="18"/>
          <w:lang w:val="en-GB"/>
        </w:rPr>
      </w:pPr>
      <w:r w:rsidRPr="00D403F5">
        <w:rPr>
          <w:szCs w:val="18"/>
          <w:lang w:val="en-GB"/>
        </w:rPr>
        <w:t xml:space="preserve">The presence of infection is confirmed if positive results have been obtained on at least one animal from </w:t>
      </w:r>
      <w:r w:rsidRPr="00D403F5">
        <w:rPr>
          <w:strike/>
          <w:szCs w:val="18"/>
          <w:lang w:val="en-GB"/>
        </w:rPr>
        <w:t xml:space="preserve">two tests used in </w:t>
      </w:r>
      <w:r w:rsidRPr="00D403F5">
        <w:rPr>
          <w:szCs w:val="18"/>
          <w:u w:val="double"/>
          <w:lang w:val="en-GB"/>
        </w:rPr>
        <w:t>one of</w:t>
      </w:r>
      <w:r w:rsidRPr="00D403F5">
        <w:rPr>
          <w:szCs w:val="18"/>
          <w:lang w:val="en-GB"/>
        </w:rPr>
        <w:t xml:space="preserve"> the following </w:t>
      </w:r>
      <w:r w:rsidRPr="00D403F5">
        <w:rPr>
          <w:strike/>
          <w:szCs w:val="18"/>
          <w:lang w:val="en-GB"/>
        </w:rPr>
        <w:t xml:space="preserve">combination </w:t>
      </w:r>
      <w:r w:rsidRPr="00D403F5">
        <w:rPr>
          <w:szCs w:val="18"/>
          <w:u w:val="double"/>
          <w:lang w:val="en-GB"/>
        </w:rPr>
        <w:t>diagnostic tests</w:t>
      </w:r>
      <w:r w:rsidRPr="00D403F5">
        <w:rPr>
          <w:szCs w:val="18"/>
          <w:lang w:val="en-GB"/>
        </w:rPr>
        <w:t>:</w:t>
      </w:r>
    </w:p>
    <w:p w14:paraId="3177C4E8" w14:textId="77777777" w:rsidR="00C7266C" w:rsidRPr="00D403F5" w:rsidRDefault="00C7266C" w:rsidP="00D403F5">
      <w:pPr>
        <w:pStyle w:val="Para3"/>
        <w:spacing w:after="0"/>
        <w:ind w:left="1276" w:hanging="425"/>
        <w:rPr>
          <w:szCs w:val="18"/>
          <w:lang w:val="en-GB"/>
        </w:rPr>
      </w:pPr>
      <w:r w:rsidRPr="00D403F5">
        <w:rPr>
          <w:szCs w:val="18"/>
          <w:lang w:val="en-GB"/>
        </w:rPr>
        <w:t>i)</w:t>
      </w:r>
      <w:r w:rsidRPr="00D403F5">
        <w:rPr>
          <w:szCs w:val="18"/>
          <w:lang w:val="en-GB"/>
        </w:rPr>
        <w:tab/>
        <w:t>Positive result by real-time PCR on skin swab or skin tissue</w:t>
      </w:r>
      <w:r w:rsidRPr="00D403F5">
        <w:rPr>
          <w:strike/>
          <w:szCs w:val="18"/>
          <w:lang w:val="en-GB"/>
        </w:rPr>
        <w:t xml:space="preserve"> and by histopathology</w:t>
      </w:r>
      <w:r w:rsidRPr="00D403F5">
        <w:rPr>
          <w:szCs w:val="18"/>
          <w:lang w:val="en-GB"/>
        </w:rPr>
        <w:t>.</w:t>
      </w:r>
    </w:p>
    <w:p w14:paraId="5AC9B785" w14:textId="77777777" w:rsidR="00C7266C" w:rsidRPr="00D403F5" w:rsidRDefault="00C7266C" w:rsidP="00D403F5">
      <w:pPr>
        <w:pStyle w:val="Para3"/>
        <w:spacing w:after="0"/>
        <w:ind w:left="1276" w:hanging="425"/>
        <w:rPr>
          <w:szCs w:val="18"/>
          <w:lang w:val="en-GB"/>
        </w:rPr>
      </w:pPr>
      <w:r w:rsidRPr="00D403F5">
        <w:rPr>
          <w:szCs w:val="18"/>
          <w:lang w:val="en-GB"/>
        </w:rPr>
        <w:t>ii)</w:t>
      </w:r>
      <w:r w:rsidRPr="00D403F5">
        <w:rPr>
          <w:szCs w:val="18"/>
          <w:lang w:val="en-GB"/>
        </w:rPr>
        <w:tab/>
      </w:r>
      <w:r w:rsidRPr="00D403F5">
        <w:rPr>
          <w:strike/>
          <w:szCs w:val="18"/>
          <w:lang w:val="en-GB"/>
        </w:rPr>
        <w:t xml:space="preserve">Positive result by real-time PCR on skin swab or skin tissue, and </w:t>
      </w:r>
      <w:r w:rsidRPr="00D403F5">
        <w:rPr>
          <w:szCs w:val="18"/>
          <w:lang w:val="en-GB"/>
        </w:rPr>
        <w:t xml:space="preserve">Pathogenic agent isolation from the skin </w:t>
      </w:r>
      <w:r w:rsidRPr="00D403F5">
        <w:rPr>
          <w:szCs w:val="18"/>
          <w:u w:val="double"/>
          <w:lang w:val="en-GB"/>
        </w:rPr>
        <w:t>in culture and identification by real-time PCR</w:t>
      </w:r>
      <w:r w:rsidRPr="00D403F5">
        <w:rPr>
          <w:strike/>
          <w:szCs w:val="18"/>
          <w:lang w:val="en-GB"/>
        </w:rPr>
        <w:t xml:space="preserve"> and confirmation by real-time PCR</w:t>
      </w:r>
      <w:r w:rsidRPr="00D403F5">
        <w:rPr>
          <w:szCs w:val="18"/>
          <w:lang w:val="en-GB"/>
        </w:rPr>
        <w:t xml:space="preserve">. </w:t>
      </w:r>
    </w:p>
    <w:p w14:paraId="07924ED9" w14:textId="77777777" w:rsidR="00C7266C" w:rsidRPr="00D403F5" w:rsidRDefault="00C7266C" w:rsidP="00D403F5">
      <w:pPr>
        <w:pStyle w:val="Para3"/>
        <w:spacing w:after="0"/>
        <w:rPr>
          <w:szCs w:val="18"/>
          <w:lang w:val="en-GB"/>
        </w:rPr>
      </w:pPr>
      <w:r w:rsidRPr="00D403F5">
        <w:rPr>
          <w:strike/>
          <w:szCs w:val="18"/>
          <w:lang w:val="en-GB"/>
        </w:rPr>
        <w:t>Reference Laboratories should be contacted for specimen referral when testing laboratories cannot undertake any of the recommended test methods and testing is being undertaken that will result in notification to the OIE.</w:t>
      </w:r>
    </w:p>
    <w:p w14:paraId="12E79308" w14:textId="77777777" w:rsidR="00C7266C" w:rsidRPr="00D403F5" w:rsidRDefault="00C7266C" w:rsidP="00D403F5">
      <w:pPr>
        <w:spacing w:after="0"/>
        <w:rPr>
          <w:rFonts w:ascii="Ottawa" w:eastAsia="Times New Roman" w:hAnsi="Ottawa" w:cs="Times New Roman"/>
          <w:b/>
          <w:bCs/>
          <w:sz w:val="18"/>
          <w:szCs w:val="18"/>
          <w:lang w:eastAsia="fr-FR"/>
        </w:rPr>
      </w:pPr>
      <w:r w:rsidRPr="00D403F5">
        <w:rPr>
          <w:sz w:val="18"/>
          <w:szCs w:val="18"/>
        </w:rPr>
        <w:br w:type="page"/>
      </w:r>
    </w:p>
    <w:p w14:paraId="59005639" w14:textId="77777777" w:rsidR="00C7266C" w:rsidRPr="00D403F5" w:rsidRDefault="00C7266C" w:rsidP="00EA6B7E">
      <w:pPr>
        <w:spacing w:after="480"/>
        <w:jc w:val="right"/>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7CF8AB02" w14:textId="77777777" w:rsidR="00C7266C" w:rsidRPr="00D403F5" w:rsidRDefault="00C7266C" w:rsidP="00D403F5">
      <w:pPr>
        <w:pStyle w:val="111"/>
        <w:spacing w:after="0"/>
        <w:ind w:left="426" w:hanging="426"/>
        <w:rPr>
          <w:sz w:val="18"/>
          <w:szCs w:val="18"/>
        </w:rPr>
      </w:pPr>
      <w:r w:rsidRPr="00D403F5">
        <w:rPr>
          <w:sz w:val="18"/>
          <w:szCs w:val="18"/>
        </w:rPr>
        <w:t>6.3.</w:t>
      </w:r>
      <w:r w:rsidRPr="00D403F5">
        <w:rPr>
          <w:sz w:val="18"/>
          <w:szCs w:val="18"/>
        </w:rPr>
        <w:tab/>
        <w:t>Diagnostic sensitivity and specificity for diagnostic tests</w:t>
      </w:r>
    </w:p>
    <w:tbl>
      <w:tblPr>
        <w:tblW w:w="9127" w:type="dxa"/>
        <w:tblInd w:w="108" w:type="dxa"/>
        <w:tblCellMar>
          <w:left w:w="0" w:type="dxa"/>
          <w:right w:w="0" w:type="dxa"/>
        </w:tblCellMar>
        <w:tblLook w:val="04A0" w:firstRow="1" w:lastRow="0" w:firstColumn="1" w:lastColumn="0" w:noHBand="0" w:noVBand="1"/>
      </w:tblPr>
      <w:tblGrid>
        <w:gridCol w:w="680"/>
        <w:gridCol w:w="1077"/>
        <w:gridCol w:w="1191"/>
        <w:gridCol w:w="1192"/>
        <w:gridCol w:w="1303"/>
        <w:gridCol w:w="680"/>
        <w:gridCol w:w="680"/>
        <w:gridCol w:w="1304"/>
        <w:gridCol w:w="1020"/>
      </w:tblGrid>
      <w:tr w:rsidR="00C7266C" w:rsidRPr="00D403F5" w14:paraId="691FB6AC" w14:textId="77777777" w:rsidTr="00C7266C">
        <w:tc>
          <w:tcPr>
            <w:tcW w:w="6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C577EA"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Test type</w:t>
            </w:r>
          </w:p>
        </w:tc>
        <w:tc>
          <w:tcPr>
            <w:tcW w:w="10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964684"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Test purpose</w:t>
            </w:r>
          </w:p>
        </w:tc>
        <w:tc>
          <w:tcPr>
            <w:tcW w:w="1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41C0F32"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Source populations</w:t>
            </w:r>
          </w:p>
        </w:tc>
        <w:tc>
          <w:tcPr>
            <w:tcW w:w="11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7FB174"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Tissue or sample types</w:t>
            </w:r>
          </w:p>
        </w:tc>
        <w:tc>
          <w:tcPr>
            <w:tcW w:w="13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4C78323"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Species</w:t>
            </w:r>
          </w:p>
        </w:tc>
        <w:tc>
          <w:tcPr>
            <w:tcW w:w="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4FEA0F1"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DSe (</w:t>
            </w:r>
            <w:r w:rsidRPr="00D403F5">
              <w:rPr>
                <w:rFonts w:ascii="Arial" w:hAnsi="Arial"/>
                <w:b/>
                <w:bCs/>
                <w:i/>
                <w:iCs/>
                <w:sz w:val="18"/>
                <w:szCs w:val="18"/>
                <w:u w:val="double"/>
                <w:lang w:val="en-IE" w:eastAsia="fr-FR"/>
              </w:rPr>
              <w:t>n</w:t>
            </w:r>
            <w:r w:rsidRPr="00D403F5">
              <w:rPr>
                <w:rFonts w:ascii="Arial" w:hAnsi="Arial"/>
                <w:b/>
                <w:bCs/>
                <w:sz w:val="18"/>
                <w:szCs w:val="18"/>
                <w:u w:val="double"/>
                <w:lang w:val="en-IE" w:eastAsia="fr-FR"/>
              </w:rPr>
              <w:t>)</w:t>
            </w:r>
          </w:p>
        </w:tc>
        <w:tc>
          <w:tcPr>
            <w:tcW w:w="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712579"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DSp (</w:t>
            </w:r>
            <w:r w:rsidRPr="00D403F5">
              <w:rPr>
                <w:rFonts w:ascii="Arial" w:hAnsi="Arial"/>
                <w:b/>
                <w:bCs/>
                <w:i/>
                <w:iCs/>
                <w:sz w:val="18"/>
                <w:szCs w:val="18"/>
                <w:u w:val="double"/>
                <w:lang w:val="en-IE" w:eastAsia="fr-FR"/>
              </w:rPr>
              <w:t>n</w:t>
            </w:r>
            <w:r w:rsidRPr="00D403F5">
              <w:rPr>
                <w:rFonts w:ascii="Arial" w:hAnsi="Arial"/>
                <w:b/>
                <w:bCs/>
                <w:sz w:val="18"/>
                <w:szCs w:val="18"/>
                <w:u w:val="double"/>
                <w:lang w:val="en-IE" w:eastAsia="fr-FR"/>
              </w:rPr>
              <w:t>)</w:t>
            </w:r>
          </w:p>
        </w:tc>
        <w:tc>
          <w:tcPr>
            <w:tcW w:w="13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AB790B0"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Reference test</w:t>
            </w:r>
          </w:p>
        </w:tc>
        <w:tc>
          <w:tcPr>
            <w:tcW w:w="10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3681D5" w14:textId="77777777" w:rsidR="00C7266C" w:rsidRPr="00D403F5" w:rsidRDefault="00C7266C" w:rsidP="00D403F5">
            <w:pPr>
              <w:spacing w:after="0"/>
              <w:ind w:left="-57"/>
              <w:jc w:val="center"/>
              <w:rPr>
                <w:rFonts w:ascii="Arial" w:eastAsia="Calibri" w:hAnsi="Arial"/>
                <w:sz w:val="18"/>
                <w:szCs w:val="18"/>
                <w:u w:val="double"/>
              </w:rPr>
            </w:pPr>
            <w:r w:rsidRPr="00D403F5">
              <w:rPr>
                <w:rFonts w:ascii="Arial" w:hAnsi="Arial"/>
                <w:b/>
                <w:bCs/>
                <w:sz w:val="18"/>
                <w:szCs w:val="18"/>
                <w:u w:val="double"/>
                <w:lang w:val="en-IE" w:eastAsia="fr-FR"/>
              </w:rPr>
              <w:t>Citation</w:t>
            </w:r>
          </w:p>
        </w:tc>
      </w:tr>
      <w:tr w:rsidR="00C7266C" w:rsidRPr="00D403F5" w14:paraId="00670106" w14:textId="77777777" w:rsidTr="00C7266C">
        <w:tc>
          <w:tcPr>
            <w:tcW w:w="6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AFCCB7"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Real-time PCR</w:t>
            </w:r>
          </w:p>
        </w:tc>
        <w:tc>
          <w:tcPr>
            <w:tcW w:w="10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4D2EFE"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 xml:space="preserve">Diagnosis </w:t>
            </w:r>
          </w:p>
        </w:tc>
        <w:tc>
          <w:tcPr>
            <w:tcW w:w="11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10AE0C"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Experimentally infected salamanders (clinical and subclinical infection)</w:t>
            </w:r>
          </w:p>
        </w:tc>
        <w:tc>
          <w:tcPr>
            <w:tcW w:w="11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F1FD9D"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Skin swabs</w:t>
            </w:r>
          </w:p>
        </w:tc>
        <w:tc>
          <w:tcPr>
            <w:tcW w:w="13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9B6899" w14:textId="77777777" w:rsidR="00C7266C" w:rsidRPr="00D403F5" w:rsidRDefault="00C7266C" w:rsidP="00D403F5">
            <w:pPr>
              <w:spacing w:after="0"/>
              <w:ind w:left="-57"/>
              <w:jc w:val="center"/>
              <w:rPr>
                <w:rFonts w:ascii="Arial Narrow" w:eastAsia="Calibri" w:hAnsi="Arial Narrow"/>
                <w:i/>
                <w:sz w:val="18"/>
                <w:szCs w:val="18"/>
                <w:u w:val="double"/>
              </w:rPr>
            </w:pPr>
            <w:r w:rsidRPr="00D403F5">
              <w:rPr>
                <w:rFonts w:ascii="Arial Narrow" w:hAnsi="Arial Narrow"/>
                <w:i/>
                <w:sz w:val="18"/>
                <w:szCs w:val="18"/>
                <w:u w:val="double"/>
                <w:lang w:val="en-IE" w:eastAsia="fr-FR"/>
              </w:rPr>
              <w:t>Salamandra salamandra</w:t>
            </w:r>
          </w:p>
        </w:tc>
        <w:tc>
          <w:tcPr>
            <w:tcW w:w="6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087306"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96–100 (26)</w:t>
            </w:r>
          </w:p>
        </w:tc>
        <w:tc>
          <w:tcPr>
            <w:tcW w:w="6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3184EC"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 xml:space="preserve">100 </w:t>
            </w:r>
            <w:r w:rsidRPr="00D403F5">
              <w:rPr>
                <w:rFonts w:ascii="Arial Narrow" w:hAnsi="Arial Narrow"/>
                <w:sz w:val="18"/>
                <w:szCs w:val="18"/>
                <w:u w:val="double"/>
                <w:lang w:val="fr-FR" w:eastAsia="fr-FR"/>
              </w:rPr>
              <w:br/>
              <w:t>(12)</w:t>
            </w:r>
          </w:p>
        </w:tc>
        <w:tc>
          <w:tcPr>
            <w:tcW w:w="13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C5201C"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fr-FR" w:eastAsia="fr-FR"/>
              </w:rPr>
              <w:t>Droplet digital PCR</w:t>
            </w:r>
          </w:p>
        </w:tc>
        <w:tc>
          <w:tcPr>
            <w:tcW w:w="10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6DABDC" w14:textId="77777777" w:rsidR="00C7266C" w:rsidRPr="00D403F5" w:rsidRDefault="00C7266C" w:rsidP="00D403F5">
            <w:pPr>
              <w:spacing w:after="0"/>
              <w:ind w:left="-57"/>
              <w:jc w:val="center"/>
              <w:rPr>
                <w:rFonts w:ascii="Arial Narrow" w:eastAsia="Calibri" w:hAnsi="Arial Narrow"/>
                <w:sz w:val="18"/>
                <w:szCs w:val="18"/>
                <w:u w:val="double"/>
              </w:rPr>
            </w:pPr>
            <w:r w:rsidRPr="00D403F5">
              <w:rPr>
                <w:rFonts w:ascii="Arial Narrow" w:hAnsi="Arial Narrow"/>
                <w:sz w:val="18"/>
                <w:szCs w:val="18"/>
                <w:u w:val="double"/>
                <w:lang w:val="en-IE" w:eastAsia="fr-FR"/>
              </w:rPr>
              <w:t xml:space="preserve">Thomas </w:t>
            </w:r>
            <w:r w:rsidRPr="00D403F5">
              <w:rPr>
                <w:rFonts w:ascii="Arial Narrow" w:hAnsi="Arial Narrow"/>
                <w:i/>
                <w:sz w:val="18"/>
                <w:szCs w:val="18"/>
                <w:u w:val="double"/>
                <w:lang w:val="en-IE" w:eastAsia="fr-FR"/>
              </w:rPr>
              <w:t>et al.</w:t>
            </w:r>
            <w:r w:rsidRPr="00D403F5">
              <w:rPr>
                <w:rFonts w:ascii="Arial Narrow" w:hAnsi="Arial Narrow"/>
                <w:sz w:val="18"/>
                <w:szCs w:val="18"/>
                <w:u w:val="double"/>
                <w:lang w:val="en-IE" w:eastAsia="fr-FR"/>
              </w:rPr>
              <w:t xml:space="preserve"> (2018)</w:t>
            </w:r>
          </w:p>
        </w:tc>
      </w:tr>
    </w:tbl>
    <w:p w14:paraId="0A9EFE74" w14:textId="77777777" w:rsidR="00C7266C" w:rsidRPr="00D403F5" w:rsidRDefault="00C7266C" w:rsidP="00D403F5">
      <w:pPr>
        <w:pStyle w:val="13"/>
        <w:spacing w:after="0"/>
        <w:rPr>
          <w:sz w:val="18"/>
          <w:szCs w:val="18"/>
          <w:lang w:bidi="en-US"/>
        </w:rPr>
      </w:pPr>
      <w:r w:rsidRPr="00D403F5">
        <w:rPr>
          <w:sz w:val="18"/>
          <w:szCs w:val="18"/>
          <w:lang w:bidi="en-US"/>
        </w:rPr>
        <w:t>7.</w:t>
      </w:r>
      <w:r w:rsidRPr="00D403F5">
        <w:rPr>
          <w:sz w:val="18"/>
          <w:szCs w:val="18"/>
          <w:lang w:bidi="en-US"/>
        </w:rPr>
        <w:tab/>
        <w:t>References</w:t>
      </w:r>
    </w:p>
    <w:p w14:paraId="10944F42"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smallCaps/>
          <w:sz w:val="18"/>
          <w:szCs w:val="18"/>
        </w:rPr>
        <w:t xml:space="preserve">Blooi M., </w:t>
      </w:r>
      <w:r w:rsidRPr="00D403F5">
        <w:rPr>
          <w:rFonts w:ascii="Arial" w:hAnsi="Arial" w:cs="Arial"/>
          <w:smallCaps/>
          <w:sz w:val="18"/>
          <w:szCs w:val="18"/>
        </w:rPr>
        <w:t>Martel A., Haesebrouck F.</w:t>
      </w:r>
      <w:r w:rsidRPr="00D403F5">
        <w:rPr>
          <w:rStyle w:val="author"/>
          <w:rFonts w:ascii="Arial" w:eastAsiaTheme="majorEastAsia" w:hAnsi="Arial" w:cs="Arial"/>
          <w:color w:val="1C1D1E"/>
          <w:sz w:val="18"/>
          <w:szCs w:val="18"/>
        </w:rPr>
        <w:t>,</w:t>
      </w:r>
      <w:r w:rsidRPr="00D403F5">
        <w:rPr>
          <w:rFonts w:ascii="Arial" w:hAnsi="Arial" w:cs="Arial"/>
          <w:color w:val="1C1D1E"/>
          <w:sz w:val="18"/>
          <w:szCs w:val="18"/>
        </w:rPr>
        <w:t xml:space="preserve"> </w:t>
      </w:r>
      <w:r w:rsidRPr="00D403F5">
        <w:rPr>
          <w:rFonts w:ascii="Arial" w:hAnsi="Arial"/>
          <w:smallCaps/>
          <w:sz w:val="18"/>
          <w:szCs w:val="18"/>
        </w:rPr>
        <w:t xml:space="preserve">Vercammen F., </w:t>
      </w:r>
      <w:r w:rsidRPr="00D403F5">
        <w:rPr>
          <w:rStyle w:val="author"/>
          <w:rFonts w:ascii="Arial" w:eastAsiaTheme="majorEastAsia" w:hAnsi="Arial" w:cs="Arial"/>
          <w:smallCaps/>
          <w:color w:val="1C1D1E"/>
          <w:sz w:val="18"/>
          <w:szCs w:val="18"/>
        </w:rPr>
        <w:t>Bonte</w:t>
      </w:r>
      <w:r w:rsidRPr="00D403F5">
        <w:rPr>
          <w:rStyle w:val="author"/>
          <w:rFonts w:ascii="Arial" w:eastAsiaTheme="majorEastAsia" w:hAnsi="Arial" w:cs="Arial"/>
          <w:color w:val="1C1D1E"/>
          <w:sz w:val="18"/>
          <w:szCs w:val="18"/>
        </w:rPr>
        <w:t xml:space="preserve"> D.</w:t>
      </w:r>
      <w:r w:rsidRPr="00D403F5">
        <w:rPr>
          <w:rFonts w:ascii="Arial" w:hAnsi="Arial" w:cs="Arial"/>
          <w:color w:val="1C1D1E"/>
          <w:sz w:val="18"/>
          <w:szCs w:val="18"/>
        </w:rPr>
        <w:t xml:space="preserve"> &amp; </w:t>
      </w:r>
      <w:r w:rsidRPr="00D403F5">
        <w:rPr>
          <w:rFonts w:ascii="Arial" w:hAnsi="Arial" w:cs="Arial"/>
          <w:smallCaps/>
          <w:sz w:val="18"/>
          <w:szCs w:val="18"/>
        </w:rPr>
        <w:t>Pasmans F</w:t>
      </w:r>
      <w:r w:rsidRPr="00D403F5">
        <w:rPr>
          <w:rFonts w:ascii="Arial" w:hAnsi="Arial" w:cs="Arial"/>
          <w:bCs/>
          <w:sz w:val="18"/>
          <w:szCs w:val="18"/>
        </w:rPr>
        <w:t>. (</w:t>
      </w:r>
      <w:r w:rsidRPr="00D403F5">
        <w:rPr>
          <w:rStyle w:val="pubyear"/>
          <w:rFonts w:ascii="Arial" w:eastAsiaTheme="majorEastAsia" w:hAnsi="Arial" w:cs="Arial"/>
          <w:color w:val="1C1D1E"/>
          <w:sz w:val="18"/>
          <w:szCs w:val="18"/>
        </w:rPr>
        <w:t>2015a</w:t>
      </w:r>
      <w:r w:rsidRPr="00D403F5">
        <w:rPr>
          <w:rFonts w:ascii="Arial" w:hAnsi="Arial" w:cs="Arial"/>
          <w:color w:val="1C1D1E"/>
          <w:sz w:val="18"/>
          <w:szCs w:val="18"/>
        </w:rPr>
        <w:t xml:space="preserve">). </w:t>
      </w:r>
      <w:r w:rsidRPr="00D403F5">
        <w:rPr>
          <w:rStyle w:val="articletitle"/>
          <w:rFonts w:ascii="Arial" w:eastAsiaTheme="majorEastAsia" w:hAnsi="Arial" w:cs="Arial"/>
          <w:color w:val="1C1D1E"/>
          <w:sz w:val="18"/>
          <w:szCs w:val="18"/>
        </w:rPr>
        <w:t xml:space="preserve">Treatment of urodelans based on temperature dependent infection dynamics of </w:t>
      </w:r>
      <w:r w:rsidRPr="00D403F5">
        <w:rPr>
          <w:rStyle w:val="articletitle"/>
          <w:rFonts w:ascii="Arial" w:eastAsiaTheme="majorEastAsia" w:hAnsi="Arial" w:cs="Arial"/>
          <w:i/>
          <w:iCs/>
          <w:color w:val="1C1D1E"/>
          <w:sz w:val="18"/>
          <w:szCs w:val="18"/>
        </w:rPr>
        <w:t>Batrachochytrium salamandrivorans</w:t>
      </w:r>
      <w:r w:rsidRPr="00D403F5">
        <w:rPr>
          <w:rFonts w:ascii="Arial" w:hAnsi="Arial" w:cs="Arial"/>
          <w:color w:val="1C1D1E"/>
          <w:sz w:val="18"/>
          <w:szCs w:val="18"/>
        </w:rPr>
        <w:t xml:space="preserve">. </w:t>
      </w:r>
      <w:r w:rsidRPr="00D403F5">
        <w:rPr>
          <w:rStyle w:val="journaltitle"/>
          <w:rFonts w:ascii="Arial" w:eastAsiaTheme="majorEastAsia" w:hAnsi="Arial" w:cs="Arial"/>
          <w:i/>
          <w:iCs/>
          <w:color w:val="1C1D1E"/>
          <w:sz w:val="18"/>
          <w:szCs w:val="18"/>
        </w:rPr>
        <w:t>Scientific Reports</w:t>
      </w:r>
      <w:r w:rsidRPr="00D403F5">
        <w:rPr>
          <w:rFonts w:ascii="Arial" w:hAnsi="Arial" w:cs="Arial"/>
          <w:color w:val="1C1D1E"/>
          <w:sz w:val="18"/>
          <w:szCs w:val="18"/>
        </w:rPr>
        <w:t xml:space="preserve">, </w:t>
      </w:r>
      <w:r w:rsidRPr="00D403F5">
        <w:rPr>
          <w:rStyle w:val="vol"/>
          <w:rFonts w:ascii="Arial" w:eastAsiaTheme="majorEastAsia" w:hAnsi="Arial" w:cs="Arial"/>
          <w:b/>
          <w:bCs/>
          <w:color w:val="1C1D1E"/>
          <w:sz w:val="18"/>
          <w:szCs w:val="18"/>
        </w:rPr>
        <w:t>5</w:t>
      </w:r>
      <w:r w:rsidRPr="00D403F5">
        <w:rPr>
          <w:rFonts w:ascii="Arial" w:hAnsi="Arial" w:cs="Arial"/>
          <w:color w:val="1C1D1E"/>
          <w:sz w:val="18"/>
          <w:szCs w:val="18"/>
        </w:rPr>
        <w:t xml:space="preserve">, </w:t>
      </w:r>
      <w:r w:rsidRPr="00D403F5">
        <w:rPr>
          <w:rStyle w:val="pagefirst"/>
          <w:rFonts w:ascii="Arial" w:eastAsiaTheme="majorEastAsia" w:hAnsi="Arial" w:cs="Arial"/>
          <w:color w:val="1C1D1E"/>
          <w:sz w:val="18"/>
          <w:szCs w:val="18"/>
        </w:rPr>
        <w:t>8037</w:t>
      </w:r>
      <w:r w:rsidRPr="00D403F5">
        <w:rPr>
          <w:rFonts w:ascii="Arial" w:hAnsi="Arial" w:cs="Arial"/>
          <w:color w:val="1C1D1E"/>
          <w:sz w:val="18"/>
          <w:szCs w:val="18"/>
        </w:rPr>
        <w:t>.</w:t>
      </w:r>
      <w:r w:rsidRPr="00D403F5">
        <w:rPr>
          <w:rFonts w:ascii="Arial" w:hAnsi="Arial" w:cs="Arial"/>
          <w:color w:val="1C1D1E"/>
          <w:sz w:val="18"/>
          <w:szCs w:val="18"/>
          <w:shd w:val="clear" w:color="auto" w:fill="EFEFF0"/>
        </w:rPr>
        <w:t xml:space="preserve"> </w:t>
      </w:r>
      <w:hyperlink r:id="rId115" w:history="1">
        <w:r w:rsidRPr="00D403F5">
          <w:rPr>
            <w:rStyle w:val="aa"/>
            <w:rFonts w:ascii="Arial" w:hAnsi="Arial" w:cs="Arial"/>
            <w:color w:val="002596"/>
            <w:sz w:val="18"/>
            <w:szCs w:val="18"/>
          </w:rPr>
          <w:t>https://doi.org/10.1038/srep08037</w:t>
        </w:r>
      </w:hyperlink>
    </w:p>
    <w:p w14:paraId="24B151CA" w14:textId="77777777" w:rsidR="00C7266C" w:rsidRPr="00D403F5" w:rsidRDefault="00C7266C" w:rsidP="00D403F5">
      <w:pPr>
        <w:pStyle w:val="a4"/>
        <w:spacing w:after="0"/>
        <w:ind w:left="0"/>
        <w:contextualSpacing w:val="0"/>
        <w:jc w:val="both"/>
        <w:rPr>
          <w:rFonts w:ascii="Arial" w:hAnsi="Arial" w:cs="Arial"/>
          <w:sz w:val="18"/>
          <w:szCs w:val="18"/>
          <w:u w:val="double"/>
          <w:lang w:val="fr-FR"/>
        </w:rPr>
      </w:pPr>
      <w:r w:rsidRPr="00D403F5">
        <w:rPr>
          <w:rFonts w:ascii="Arial" w:hAnsi="Arial" w:cs="Arial"/>
          <w:smallCaps/>
          <w:sz w:val="18"/>
          <w:szCs w:val="18"/>
          <w:u w:val="double"/>
        </w:rPr>
        <w:t>Blooi M., Martel A., Vercammen F., Haesebrouck F. &amp; Pasmans F</w:t>
      </w:r>
      <w:r w:rsidRPr="00D403F5">
        <w:rPr>
          <w:rFonts w:ascii="Arial" w:hAnsi="Arial" w:cs="Arial"/>
          <w:bCs/>
          <w:sz w:val="18"/>
          <w:szCs w:val="18"/>
          <w:u w:val="double"/>
        </w:rPr>
        <w:t xml:space="preserve">. (2015b). </w:t>
      </w:r>
      <w:r w:rsidRPr="00D403F5">
        <w:rPr>
          <w:rFonts w:ascii="Arial" w:hAnsi="Arial" w:cs="Arial"/>
          <w:sz w:val="18"/>
          <w:szCs w:val="18"/>
          <w:u w:val="double"/>
        </w:rPr>
        <w:t xml:space="preserve">Treatment of urodelans based on temperature dependent infection dynamics of </w:t>
      </w:r>
      <w:r w:rsidRPr="00D403F5">
        <w:rPr>
          <w:rFonts w:ascii="Arial" w:hAnsi="Arial" w:cs="Arial"/>
          <w:i/>
          <w:sz w:val="18"/>
          <w:szCs w:val="18"/>
          <w:u w:val="double"/>
        </w:rPr>
        <w:t>Batrachochytrium salamandrivorans</w:t>
      </w:r>
      <w:r w:rsidRPr="00D403F5">
        <w:rPr>
          <w:rFonts w:ascii="Arial" w:hAnsi="Arial" w:cs="Arial"/>
          <w:sz w:val="18"/>
          <w:szCs w:val="18"/>
          <w:u w:val="double"/>
        </w:rPr>
        <w:t xml:space="preserve">. </w:t>
      </w:r>
      <w:r w:rsidRPr="00D403F5">
        <w:rPr>
          <w:rFonts w:ascii="Arial" w:hAnsi="Arial" w:cs="Arial"/>
          <w:i/>
          <w:sz w:val="18"/>
          <w:szCs w:val="18"/>
          <w:u w:val="double"/>
          <w:lang w:val="fr-FR"/>
        </w:rPr>
        <w:t>Scientific Reports</w:t>
      </w:r>
      <w:r w:rsidRPr="00D403F5">
        <w:rPr>
          <w:rFonts w:ascii="Arial" w:hAnsi="Arial" w:cs="Arial"/>
          <w:sz w:val="18"/>
          <w:szCs w:val="18"/>
          <w:u w:val="double"/>
          <w:lang w:val="fr-FR"/>
        </w:rPr>
        <w:t xml:space="preserve">, </w:t>
      </w:r>
      <w:r w:rsidRPr="00D403F5">
        <w:rPr>
          <w:rFonts w:ascii="Arial" w:hAnsi="Arial" w:cs="Arial"/>
          <w:b/>
          <w:sz w:val="18"/>
          <w:szCs w:val="18"/>
          <w:u w:val="double"/>
          <w:lang w:val="fr-FR"/>
        </w:rPr>
        <w:t>5</w:t>
      </w:r>
      <w:r w:rsidRPr="00D403F5">
        <w:rPr>
          <w:rFonts w:ascii="Arial" w:hAnsi="Arial" w:cs="Arial"/>
          <w:sz w:val="18"/>
          <w:szCs w:val="18"/>
          <w:u w:val="double"/>
          <w:lang w:val="fr-FR"/>
        </w:rPr>
        <w:t>, 8037.</w:t>
      </w:r>
    </w:p>
    <w:p w14:paraId="419B6D2A"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smallCaps/>
          <w:sz w:val="18"/>
          <w:szCs w:val="18"/>
          <w:lang w:val="fr-FR"/>
        </w:rPr>
        <w:t>Blooi M., Pasmans F., Longcore J.E., Spitzen-van der Sluijs A., Vercammen F. &amp; Martel A.</w:t>
      </w:r>
      <w:r w:rsidRPr="00D403F5">
        <w:rPr>
          <w:rFonts w:ascii="Arial" w:hAnsi="Arial"/>
          <w:sz w:val="18"/>
          <w:szCs w:val="18"/>
          <w:lang w:val="fr-FR"/>
        </w:rPr>
        <w:t xml:space="preserve"> (2013). </w:t>
      </w:r>
      <w:r w:rsidRPr="00D403F5">
        <w:rPr>
          <w:rFonts w:ascii="Arial" w:hAnsi="Arial" w:cs="Arial"/>
          <w:sz w:val="18"/>
          <w:szCs w:val="18"/>
        </w:rPr>
        <w:t xml:space="preserve">Duplex real-time PCR for rapid simultaneous detection of </w:t>
      </w:r>
      <w:r w:rsidRPr="00D403F5">
        <w:rPr>
          <w:rFonts w:ascii="Arial" w:hAnsi="Arial" w:cs="Arial"/>
          <w:i/>
          <w:sz w:val="18"/>
          <w:szCs w:val="18"/>
        </w:rPr>
        <w:t>Batrachochytrium</w:t>
      </w:r>
      <w:r w:rsidRPr="00D403F5">
        <w:rPr>
          <w:rFonts w:ascii="Arial" w:hAnsi="Arial" w:cs="Arial"/>
          <w:sz w:val="18"/>
          <w:szCs w:val="18"/>
        </w:rPr>
        <w:t xml:space="preserve"> </w:t>
      </w:r>
      <w:r w:rsidRPr="00D403F5">
        <w:rPr>
          <w:rFonts w:ascii="Arial" w:hAnsi="Arial" w:cs="Arial"/>
          <w:i/>
          <w:sz w:val="18"/>
          <w:szCs w:val="18"/>
        </w:rPr>
        <w:t>dendrobatidis</w:t>
      </w:r>
      <w:r w:rsidRPr="00D403F5">
        <w:rPr>
          <w:rFonts w:ascii="Arial" w:hAnsi="Arial" w:cs="Arial"/>
          <w:sz w:val="18"/>
          <w:szCs w:val="18"/>
        </w:rPr>
        <w:t xml:space="preserve"> and </w:t>
      </w:r>
      <w:r w:rsidRPr="00D403F5">
        <w:rPr>
          <w:rFonts w:ascii="Arial" w:hAnsi="Arial" w:cs="Arial"/>
          <w:i/>
          <w:sz w:val="18"/>
          <w:szCs w:val="18"/>
        </w:rPr>
        <w:t>Batrachochytrium salamandrivorans</w:t>
      </w:r>
      <w:r w:rsidRPr="00D403F5">
        <w:rPr>
          <w:rFonts w:ascii="Arial" w:hAnsi="Arial" w:cs="Arial"/>
          <w:sz w:val="18"/>
          <w:szCs w:val="18"/>
        </w:rPr>
        <w:t xml:space="preserve"> in amphibian samples. </w:t>
      </w:r>
      <w:r w:rsidRPr="00D403F5">
        <w:rPr>
          <w:rFonts w:ascii="Arial" w:hAnsi="Arial" w:cs="Arial"/>
          <w:i/>
          <w:sz w:val="18"/>
          <w:szCs w:val="18"/>
        </w:rPr>
        <w:t>J. Clin. Microbiol</w:t>
      </w:r>
      <w:r w:rsidRPr="00D403F5">
        <w:rPr>
          <w:rFonts w:ascii="Arial" w:hAnsi="Arial" w:cs="Arial"/>
          <w:sz w:val="18"/>
          <w:szCs w:val="18"/>
        </w:rPr>
        <w:t xml:space="preserve">., </w:t>
      </w:r>
      <w:r w:rsidRPr="00D403F5">
        <w:rPr>
          <w:rFonts w:ascii="Arial" w:hAnsi="Arial" w:cs="Arial"/>
          <w:b/>
          <w:sz w:val="18"/>
          <w:szCs w:val="18"/>
        </w:rPr>
        <w:t>51</w:t>
      </w:r>
      <w:r w:rsidRPr="00D403F5">
        <w:rPr>
          <w:rFonts w:ascii="Arial" w:hAnsi="Arial" w:cs="Arial"/>
          <w:sz w:val="18"/>
          <w:szCs w:val="18"/>
        </w:rPr>
        <w:t>, 4173–4177.</w:t>
      </w:r>
    </w:p>
    <w:p w14:paraId="02B7BDFD"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Blooi M., Pasmans F., Rouffaer L., Haesebrouck F., Vercammen F. &amp; Martel A</w:t>
      </w:r>
      <w:r w:rsidRPr="00D403F5">
        <w:rPr>
          <w:rFonts w:ascii="Arial" w:hAnsi="Arial" w:cs="Arial"/>
          <w:sz w:val="18"/>
          <w:szCs w:val="18"/>
        </w:rPr>
        <w:t>. (</w:t>
      </w:r>
      <w:r w:rsidRPr="00D403F5">
        <w:rPr>
          <w:rFonts w:ascii="Arial" w:hAnsi="Arial" w:cs="Arial"/>
          <w:sz w:val="18"/>
          <w:szCs w:val="18"/>
          <w:u w:val="double"/>
        </w:rPr>
        <w:t>2015c</w:t>
      </w:r>
      <w:r w:rsidRPr="00D403F5">
        <w:rPr>
          <w:rFonts w:ascii="Arial" w:hAnsi="Arial" w:cs="Arial"/>
          <w:strike/>
          <w:sz w:val="18"/>
          <w:szCs w:val="18"/>
        </w:rPr>
        <w:t xml:space="preserve"> 2015b</w:t>
      </w:r>
      <w:r w:rsidRPr="00D403F5">
        <w:rPr>
          <w:rFonts w:ascii="Arial" w:hAnsi="Arial" w:cs="Arial"/>
          <w:sz w:val="18"/>
          <w:szCs w:val="18"/>
        </w:rPr>
        <w:t xml:space="preserve">). Successful treatment of </w:t>
      </w:r>
      <w:r w:rsidRPr="00D403F5">
        <w:rPr>
          <w:rFonts w:ascii="Arial" w:hAnsi="Arial" w:cs="Arial"/>
          <w:i/>
          <w:sz w:val="18"/>
          <w:szCs w:val="18"/>
        </w:rPr>
        <w:t>Batrachochytrium salamandrivorans</w:t>
      </w:r>
      <w:r w:rsidRPr="00D403F5">
        <w:rPr>
          <w:rFonts w:ascii="Arial" w:hAnsi="Arial" w:cs="Arial"/>
          <w:sz w:val="18"/>
          <w:szCs w:val="18"/>
        </w:rPr>
        <w:t xml:space="preserve"> infections in salamanders requires synergy between voriconazole, polymyxin E and temperature.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5</w:t>
      </w:r>
      <w:r w:rsidRPr="00D403F5">
        <w:rPr>
          <w:rFonts w:ascii="Arial" w:hAnsi="Arial" w:cs="Arial"/>
          <w:sz w:val="18"/>
          <w:szCs w:val="18"/>
        </w:rPr>
        <w:t>, 11788.</w:t>
      </w:r>
    </w:p>
    <w:p w14:paraId="5E0046FC"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Dillon M.J., Bowkett A.E., Bungard M.J., Beckman K.M., O’Brien M.F., Bates K., Fisher M.C., Stevens J.R. &amp; Thornton C.R.</w:t>
      </w:r>
      <w:r w:rsidRPr="00D403F5">
        <w:rPr>
          <w:rFonts w:ascii="Arial" w:hAnsi="Arial" w:cs="Arial"/>
          <w:sz w:val="18"/>
          <w:szCs w:val="18"/>
        </w:rPr>
        <w:t xml:space="preserve"> (2017). Tracking the amphibian pathogens </w:t>
      </w:r>
      <w:r w:rsidRPr="00D403F5">
        <w:rPr>
          <w:rFonts w:ascii="Arial" w:hAnsi="Arial" w:cs="Arial"/>
          <w:i/>
          <w:sz w:val="18"/>
          <w:szCs w:val="18"/>
        </w:rPr>
        <w:t>Batrachochytrium dendrobatidis</w:t>
      </w:r>
      <w:r w:rsidRPr="00D403F5">
        <w:rPr>
          <w:rFonts w:ascii="Arial" w:hAnsi="Arial" w:cs="Arial"/>
          <w:sz w:val="18"/>
          <w:szCs w:val="18"/>
        </w:rPr>
        <w:t xml:space="preserve"> and </w:t>
      </w:r>
      <w:r w:rsidRPr="00D403F5">
        <w:rPr>
          <w:rFonts w:ascii="Arial" w:hAnsi="Arial" w:cs="Arial"/>
          <w:i/>
          <w:sz w:val="18"/>
          <w:szCs w:val="18"/>
        </w:rPr>
        <w:t>Batrachochytrium salamandrivorans</w:t>
      </w:r>
      <w:r w:rsidRPr="00D403F5">
        <w:rPr>
          <w:rFonts w:ascii="Arial" w:hAnsi="Arial" w:cs="Arial"/>
          <w:sz w:val="18"/>
          <w:szCs w:val="18"/>
        </w:rPr>
        <w:t xml:space="preserve"> using a highly specific monoclonal antibody and lateral-flow technology. </w:t>
      </w:r>
      <w:r w:rsidRPr="00D403F5">
        <w:rPr>
          <w:rFonts w:ascii="Arial" w:hAnsi="Arial" w:cs="Arial"/>
          <w:i/>
          <w:sz w:val="18"/>
          <w:szCs w:val="18"/>
        </w:rPr>
        <w:t>Microb. Biotechnol.</w:t>
      </w:r>
      <w:r w:rsidRPr="00D403F5">
        <w:rPr>
          <w:rFonts w:ascii="Arial" w:hAnsi="Arial" w:cs="Arial"/>
          <w:sz w:val="18"/>
          <w:szCs w:val="18"/>
        </w:rPr>
        <w:t xml:space="preserve">, </w:t>
      </w:r>
      <w:r w:rsidRPr="00D403F5">
        <w:rPr>
          <w:rFonts w:ascii="Arial" w:hAnsi="Arial" w:cs="Arial"/>
          <w:b/>
          <w:sz w:val="18"/>
          <w:szCs w:val="18"/>
        </w:rPr>
        <w:t>10</w:t>
      </w:r>
      <w:r w:rsidRPr="00D403F5">
        <w:rPr>
          <w:rFonts w:ascii="Arial" w:hAnsi="Arial" w:cs="Arial"/>
          <w:sz w:val="18"/>
          <w:szCs w:val="18"/>
        </w:rPr>
        <w:t>, 381–394.</w:t>
      </w:r>
    </w:p>
    <w:p w14:paraId="4BB0149B"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Farrer R.A., Martel A., Verbrugghe E., Abouelleil A., Ducatelle R., Longcore J.E., James T.Y., Pasmans F., Fisher M.C. &amp; Cuoma C.A.</w:t>
      </w:r>
      <w:r w:rsidRPr="00D403F5">
        <w:rPr>
          <w:rFonts w:ascii="Arial" w:hAnsi="Arial" w:cs="Arial"/>
          <w:sz w:val="18"/>
          <w:szCs w:val="18"/>
        </w:rPr>
        <w:t xml:space="preserve"> (2017). Evolutionary innovations underpin niche-specific infection strategies across emerging pathogenic chytrid fungi. </w:t>
      </w:r>
      <w:r w:rsidRPr="00D403F5">
        <w:rPr>
          <w:rFonts w:ascii="Arial" w:hAnsi="Arial" w:cs="Arial"/>
          <w:i/>
          <w:sz w:val="18"/>
          <w:szCs w:val="18"/>
        </w:rPr>
        <w:t>Nature Communications</w:t>
      </w:r>
      <w:r w:rsidRPr="00D403F5">
        <w:rPr>
          <w:rFonts w:ascii="Arial" w:hAnsi="Arial" w:cs="Arial"/>
          <w:sz w:val="18"/>
          <w:szCs w:val="18"/>
        </w:rPr>
        <w:t xml:space="preserve">, </w:t>
      </w:r>
      <w:r w:rsidRPr="00D403F5">
        <w:rPr>
          <w:rFonts w:ascii="Arial" w:hAnsi="Arial" w:cs="Arial"/>
          <w:b/>
          <w:sz w:val="18"/>
          <w:szCs w:val="18"/>
        </w:rPr>
        <w:t>8</w:t>
      </w:r>
      <w:r w:rsidRPr="00D403F5">
        <w:rPr>
          <w:rFonts w:ascii="Arial" w:hAnsi="Arial" w:cs="Arial"/>
          <w:sz w:val="18"/>
          <w:szCs w:val="18"/>
        </w:rPr>
        <w:t xml:space="preserve">: 14742.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w:t>
      </w:r>
      <w:r w:rsidRPr="00D403F5">
        <w:rPr>
          <w:rFonts w:ascii="Arial" w:hAnsi="Arial" w:cs="Arial"/>
          <w:sz w:val="18"/>
          <w:szCs w:val="18"/>
        </w:rPr>
        <w:t>10.1038/ncomms14742.</w:t>
      </w:r>
    </w:p>
    <w:p w14:paraId="3D134DBC"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Fisher M.C., Ghosh P., Shelton J.M.G., Bates K., Brookes L., Wierzbicki C., Rosa G.M., Farrer R.A., Aanensen D.M., Alvarado-Rybak M., Bataille A., Berger L., Böll S., Bosch J., Clare F.C., Courtois E., Crottini A., Cunningham A.A., Doherty-Bone T.M., Gebresenbet F., Gower D.J., Höglund J., James T.Y., Jenkinson T.S., Kosch T.A., Lambertini C., Laurila A., Lin C.F., Loyau A., Martel A., Meurling S., Miaud C., Minting P., Ndriantsoa S., O’Hanlon S., Pasmans F., Rakotonanahary T., Rabemananjara F.C.E., Ribeiro L.P., Schmellder D.S., Schmidt B.R., Skerratt L., Smith F., Soto-Azat C., Tessa G., Toledo L.F., Valenzuela-Sánchez A., Verster R., Vörös J., Wadman B., Webb R.J., Weldon C., Wombwell E., Zamudio K.R., Longcore J.E. &amp; Garner T.W.J.</w:t>
      </w:r>
      <w:r w:rsidRPr="00D403F5">
        <w:rPr>
          <w:rFonts w:ascii="Arial" w:hAnsi="Arial" w:cs="Arial"/>
          <w:sz w:val="18"/>
          <w:szCs w:val="18"/>
        </w:rPr>
        <w:t xml:space="preserve"> (2018). Development and worldwide use of non-lethal, and minimal population-level impact, protocols for the isolation of amphibian chytrid fungi.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color w:val="000000"/>
          <w:sz w:val="18"/>
          <w:szCs w:val="18"/>
          <w:shd w:val="clear" w:color="auto" w:fill="FFFFFF"/>
        </w:rPr>
        <w:t>8</w:t>
      </w:r>
      <w:r w:rsidRPr="00D403F5">
        <w:rPr>
          <w:rFonts w:ascii="Arial" w:hAnsi="Arial" w:cs="Arial"/>
          <w:color w:val="000000"/>
          <w:sz w:val="18"/>
          <w:szCs w:val="18"/>
          <w:shd w:val="clear" w:color="auto" w:fill="FFFFFF"/>
        </w:rPr>
        <w:t xml:space="preserve"> (1), 7772. doi: 10.1038/s41598-018-24472-2</w:t>
      </w:r>
      <w:r w:rsidRPr="00D403F5">
        <w:rPr>
          <w:rFonts w:ascii="Arial" w:hAnsi="Arial" w:cs="Arial"/>
          <w:sz w:val="18"/>
          <w:szCs w:val="18"/>
        </w:rPr>
        <w:t>.</w:t>
      </w:r>
    </w:p>
    <w:p w14:paraId="2899ED74"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 xml:space="preserve">Fitzpatrick L., Pasmans F., Martel A. &amp; Cunningham A.A. </w:t>
      </w:r>
      <w:r w:rsidRPr="00D403F5">
        <w:rPr>
          <w:rFonts w:ascii="Arial" w:hAnsi="Arial" w:cs="Arial"/>
          <w:sz w:val="18"/>
          <w:szCs w:val="18"/>
        </w:rPr>
        <w:t xml:space="preserve">(2018). Epidemiological tracing of </w:t>
      </w:r>
      <w:r w:rsidRPr="00D403F5">
        <w:rPr>
          <w:rFonts w:ascii="Arial" w:hAnsi="Arial" w:cs="Arial"/>
          <w:i/>
          <w:sz w:val="18"/>
          <w:szCs w:val="18"/>
        </w:rPr>
        <w:t>Batrachochytrium salamandrivorans</w:t>
      </w:r>
      <w:r w:rsidRPr="00D403F5">
        <w:rPr>
          <w:rFonts w:ascii="Arial" w:hAnsi="Arial" w:cs="Arial"/>
          <w:sz w:val="18"/>
          <w:szCs w:val="18"/>
        </w:rPr>
        <w:t xml:space="preserve"> identifies widespread infection and associated mortalities in private amphibian collections.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8</w:t>
      </w:r>
      <w:r w:rsidRPr="00D403F5">
        <w:rPr>
          <w:rFonts w:ascii="Arial" w:hAnsi="Arial" w:cs="Arial"/>
          <w:sz w:val="18"/>
          <w:szCs w:val="18"/>
        </w:rPr>
        <w:t>, 13845.</w:t>
      </w:r>
    </w:p>
    <w:p w14:paraId="343751E9"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Laking A.E., Ngo H.N., Pasmans F., Martel A. &amp; Nguyen T.T</w:t>
      </w:r>
      <w:r w:rsidRPr="00D403F5">
        <w:rPr>
          <w:rFonts w:ascii="Arial" w:hAnsi="Arial" w:cs="Arial"/>
          <w:sz w:val="18"/>
          <w:szCs w:val="18"/>
        </w:rPr>
        <w:t xml:space="preserve">. (2017). </w:t>
      </w:r>
      <w:r w:rsidRPr="00D403F5">
        <w:rPr>
          <w:rFonts w:ascii="Arial" w:hAnsi="Arial" w:cs="Arial"/>
          <w:i/>
          <w:sz w:val="18"/>
          <w:szCs w:val="18"/>
        </w:rPr>
        <w:t>Batrachochytrium salamandrivorans</w:t>
      </w:r>
      <w:r w:rsidRPr="00D403F5">
        <w:rPr>
          <w:rFonts w:ascii="Arial" w:hAnsi="Arial" w:cs="Arial"/>
          <w:sz w:val="18"/>
          <w:szCs w:val="18"/>
        </w:rPr>
        <w:t xml:space="preserve"> is the predominant chytrid fungus in Vietnamese salamanders.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7</w:t>
      </w:r>
      <w:r w:rsidRPr="00D403F5">
        <w:rPr>
          <w:rFonts w:ascii="Arial" w:hAnsi="Arial" w:cs="Arial"/>
          <w:sz w:val="18"/>
          <w:szCs w:val="18"/>
        </w:rPr>
        <w:t xml:space="preserve">, 44443.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w:t>
      </w:r>
      <w:r w:rsidRPr="00D403F5">
        <w:rPr>
          <w:rFonts w:ascii="Arial" w:hAnsi="Arial" w:cs="Arial"/>
          <w:sz w:val="18"/>
          <w:szCs w:val="18"/>
        </w:rPr>
        <w:t>10.1038/srep44443</w:t>
      </w:r>
    </w:p>
    <w:p w14:paraId="499BE54A" w14:textId="77777777" w:rsidR="00EA6B7E" w:rsidRDefault="00EA6B7E" w:rsidP="00D403F5">
      <w:pPr>
        <w:spacing w:after="0"/>
        <w:rPr>
          <w:rFonts w:ascii="Times New Roman" w:hAnsi="Times New Roman" w:cs="Times New Roman"/>
          <w:noProof/>
          <w:sz w:val="18"/>
          <w:szCs w:val="18"/>
          <w:u w:val="single"/>
          <w:lang w:val="en-US"/>
        </w:rPr>
      </w:pPr>
      <w:r>
        <w:rPr>
          <w:rFonts w:ascii="Times New Roman" w:hAnsi="Times New Roman" w:cs="Times New Roman"/>
          <w:noProof/>
          <w:sz w:val="18"/>
          <w:szCs w:val="18"/>
          <w:u w:val="single"/>
          <w:lang w:val="en-US"/>
        </w:rPr>
        <w:br w:type="page"/>
      </w:r>
    </w:p>
    <w:p w14:paraId="494E1828" w14:textId="023BC25C" w:rsidR="00C7266C" w:rsidRPr="00D403F5" w:rsidRDefault="00C7266C" w:rsidP="00EA6B7E">
      <w:pPr>
        <w:spacing w:after="480"/>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54019F6E" w14:textId="77777777" w:rsidR="00C7266C" w:rsidRPr="00D403F5" w:rsidRDefault="00C7266C" w:rsidP="00D403F5">
      <w:pPr>
        <w:pStyle w:val="a4"/>
        <w:spacing w:after="0"/>
        <w:ind w:left="0"/>
        <w:contextualSpacing w:val="0"/>
        <w:jc w:val="both"/>
        <w:rPr>
          <w:rFonts w:ascii="Arial" w:hAnsi="Arial" w:cs="Arial"/>
          <w:bCs/>
          <w:sz w:val="18"/>
          <w:szCs w:val="18"/>
        </w:rPr>
      </w:pPr>
      <w:r w:rsidRPr="00D403F5">
        <w:rPr>
          <w:rFonts w:ascii="Arial" w:hAnsi="Arial" w:cs="Arial"/>
          <w:smallCaps/>
          <w:sz w:val="18"/>
          <w:szCs w:val="18"/>
        </w:rPr>
        <w:t>Martel A., Blooi M., Adriaensen C., Van Rooij P., Beukema W., Fisher M.C., Farrer R.A., Schmidt B.R., Tobler U., Goka K., Lips K.R., Muletz C., Zamudio K., Bosch J., Lötters S., Wombwell E., Garner T.W.J., Spitzen-van der Sluijs A., Salvidio S., Ducatelle R., Nishikawa K., Nguyen T.T., Van Bocxlaer I., Bossuyt F. &amp; Pasmans F.</w:t>
      </w:r>
      <w:r w:rsidRPr="00D403F5">
        <w:rPr>
          <w:rFonts w:ascii="Arial" w:hAnsi="Arial" w:cs="Arial"/>
          <w:bCs/>
          <w:sz w:val="18"/>
          <w:szCs w:val="18"/>
        </w:rPr>
        <w:t xml:space="preserve"> (2014). Recent introduction of a chytrid fungus endangers Western Palearctic salamanders. </w:t>
      </w:r>
      <w:r w:rsidRPr="00D403F5">
        <w:rPr>
          <w:rFonts w:ascii="Arial" w:hAnsi="Arial" w:cs="Arial"/>
          <w:bCs/>
          <w:i/>
          <w:sz w:val="18"/>
          <w:szCs w:val="18"/>
        </w:rPr>
        <w:t>Science</w:t>
      </w:r>
      <w:r w:rsidRPr="00D403F5">
        <w:rPr>
          <w:rFonts w:ascii="Arial" w:hAnsi="Arial" w:cs="Arial"/>
          <w:bCs/>
          <w:sz w:val="18"/>
          <w:szCs w:val="18"/>
        </w:rPr>
        <w:t xml:space="preserve">, </w:t>
      </w:r>
      <w:r w:rsidRPr="00D403F5">
        <w:rPr>
          <w:rFonts w:ascii="Arial" w:hAnsi="Arial" w:cs="Arial"/>
          <w:b/>
          <w:bCs/>
          <w:sz w:val="18"/>
          <w:szCs w:val="18"/>
        </w:rPr>
        <w:t>346</w:t>
      </w:r>
      <w:r w:rsidRPr="00D403F5">
        <w:rPr>
          <w:rFonts w:ascii="Arial" w:hAnsi="Arial" w:cs="Arial"/>
          <w:bCs/>
          <w:sz w:val="18"/>
          <w:szCs w:val="18"/>
        </w:rPr>
        <w:t>, 630</w:t>
      </w:r>
      <w:r w:rsidRPr="00D403F5">
        <w:rPr>
          <w:rFonts w:ascii="Arial" w:hAnsi="Arial" w:cs="Arial"/>
          <w:sz w:val="18"/>
          <w:szCs w:val="18"/>
        </w:rPr>
        <w:t>–</w:t>
      </w:r>
      <w:r w:rsidRPr="00D403F5">
        <w:rPr>
          <w:rFonts w:ascii="Arial" w:hAnsi="Arial" w:cs="Arial"/>
          <w:bCs/>
          <w:sz w:val="18"/>
          <w:szCs w:val="18"/>
        </w:rPr>
        <w:t>631.</w:t>
      </w:r>
    </w:p>
    <w:p w14:paraId="5D4E2430" w14:textId="77777777" w:rsidR="00C7266C" w:rsidRPr="00D403F5" w:rsidRDefault="00C7266C" w:rsidP="00D403F5">
      <w:pPr>
        <w:pStyle w:val="a4"/>
        <w:spacing w:after="0"/>
        <w:ind w:left="0"/>
        <w:contextualSpacing w:val="0"/>
        <w:jc w:val="both"/>
        <w:rPr>
          <w:rFonts w:ascii="Arial" w:hAnsi="Arial" w:cs="Arial"/>
          <w:sz w:val="18"/>
          <w:szCs w:val="18"/>
          <w:lang w:val="en-IE"/>
        </w:rPr>
      </w:pPr>
      <w:r w:rsidRPr="00D403F5">
        <w:rPr>
          <w:rFonts w:ascii="Arial" w:hAnsi="Arial" w:cs="Arial"/>
          <w:smallCaps/>
          <w:sz w:val="18"/>
          <w:szCs w:val="18"/>
        </w:rPr>
        <w:t>Martel A., Spitzen-van der Sluijs A., Blooi M., Bert W., Ducatelle R., Fisher M.C., Woeltjes A., Bosman W., Chiers K., Bossuyt F. &amp; Pasmans F.</w:t>
      </w:r>
      <w:r w:rsidRPr="00D403F5">
        <w:rPr>
          <w:rFonts w:ascii="Arial" w:hAnsi="Arial" w:cs="Arial"/>
          <w:sz w:val="18"/>
          <w:szCs w:val="18"/>
        </w:rPr>
        <w:t xml:space="preserve"> (2013). </w:t>
      </w:r>
      <w:r w:rsidRPr="00D403F5">
        <w:rPr>
          <w:rFonts w:ascii="Arial" w:hAnsi="Arial" w:cs="Arial"/>
          <w:i/>
          <w:sz w:val="18"/>
          <w:szCs w:val="18"/>
        </w:rPr>
        <w:t>Batrachochytrium salamandrivorans</w:t>
      </w:r>
      <w:r w:rsidRPr="00D403F5">
        <w:rPr>
          <w:rFonts w:ascii="Arial" w:hAnsi="Arial" w:cs="Arial"/>
          <w:sz w:val="18"/>
          <w:szCs w:val="18"/>
        </w:rPr>
        <w:t xml:space="preserve"> sp nov causes lethal chytridiomycosis in amphibians. </w:t>
      </w:r>
      <w:r w:rsidRPr="00D403F5">
        <w:rPr>
          <w:rFonts w:ascii="Arial" w:hAnsi="Arial" w:cs="Arial"/>
          <w:i/>
          <w:sz w:val="18"/>
          <w:szCs w:val="18"/>
        </w:rPr>
        <w:t xml:space="preserve">Proc. Natl Acad. Sci. </w:t>
      </w:r>
      <w:r w:rsidRPr="00D403F5">
        <w:rPr>
          <w:rFonts w:ascii="Arial" w:hAnsi="Arial" w:cs="Arial"/>
          <w:i/>
          <w:sz w:val="18"/>
          <w:szCs w:val="18"/>
          <w:lang w:val="en-IE"/>
        </w:rPr>
        <w:t>USA,</w:t>
      </w:r>
      <w:r w:rsidRPr="00D403F5">
        <w:rPr>
          <w:rFonts w:ascii="Arial" w:hAnsi="Arial" w:cs="Arial"/>
          <w:sz w:val="18"/>
          <w:szCs w:val="18"/>
          <w:lang w:val="en-IE"/>
        </w:rPr>
        <w:t xml:space="preserve"> </w:t>
      </w:r>
      <w:r w:rsidRPr="00D403F5">
        <w:rPr>
          <w:rFonts w:ascii="Arial" w:hAnsi="Arial" w:cs="Arial"/>
          <w:b/>
          <w:sz w:val="18"/>
          <w:szCs w:val="18"/>
          <w:lang w:val="en-IE"/>
        </w:rPr>
        <w:t>110</w:t>
      </w:r>
      <w:r w:rsidRPr="00D403F5">
        <w:rPr>
          <w:rFonts w:ascii="Arial" w:hAnsi="Arial" w:cs="Arial"/>
          <w:sz w:val="18"/>
          <w:szCs w:val="18"/>
          <w:lang w:val="en-IE"/>
        </w:rPr>
        <w:t>, 15325–15329.</w:t>
      </w:r>
    </w:p>
    <w:p w14:paraId="19CF2E7D"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lang w:val="en-IE"/>
        </w:rPr>
        <w:t>Nguyen T.T., Nguyen T.V., Ziegler T., Pasmans F. &amp; Martel A.</w:t>
      </w:r>
      <w:r w:rsidRPr="00D403F5">
        <w:rPr>
          <w:rFonts w:ascii="Arial" w:hAnsi="Arial" w:cs="Arial"/>
          <w:sz w:val="18"/>
          <w:szCs w:val="18"/>
          <w:lang w:val="en-IE"/>
        </w:rPr>
        <w:t xml:space="preserve"> (2017). </w:t>
      </w:r>
      <w:r w:rsidRPr="00D403F5">
        <w:rPr>
          <w:rFonts w:ascii="Arial" w:hAnsi="Arial" w:cs="Arial"/>
          <w:sz w:val="18"/>
          <w:szCs w:val="18"/>
        </w:rPr>
        <w:t xml:space="preserve">Trade in wild anurans vectors the urodelan pathogen </w:t>
      </w:r>
      <w:r w:rsidRPr="00D403F5">
        <w:rPr>
          <w:rFonts w:ascii="Arial" w:hAnsi="Arial" w:cs="Arial"/>
          <w:i/>
          <w:sz w:val="18"/>
          <w:szCs w:val="18"/>
        </w:rPr>
        <w:t>Batrachochytrium salamandrivorans</w:t>
      </w:r>
      <w:r w:rsidRPr="00D403F5">
        <w:rPr>
          <w:rFonts w:ascii="Arial" w:hAnsi="Arial" w:cs="Arial"/>
          <w:sz w:val="18"/>
          <w:szCs w:val="18"/>
        </w:rPr>
        <w:t xml:space="preserve"> into Europe. </w:t>
      </w:r>
      <w:r w:rsidRPr="00D403F5">
        <w:rPr>
          <w:rFonts w:ascii="Arial" w:hAnsi="Arial" w:cs="Arial"/>
          <w:i/>
          <w:sz w:val="18"/>
          <w:szCs w:val="18"/>
        </w:rPr>
        <w:t>Amphibia Reptilia</w:t>
      </w:r>
      <w:r w:rsidRPr="00D403F5">
        <w:rPr>
          <w:rFonts w:ascii="Arial" w:hAnsi="Arial" w:cs="Arial"/>
          <w:sz w:val="18"/>
          <w:szCs w:val="18"/>
        </w:rPr>
        <w:t xml:space="preserve">, </w:t>
      </w:r>
      <w:r w:rsidRPr="00D403F5">
        <w:rPr>
          <w:rFonts w:ascii="Arial" w:hAnsi="Arial" w:cs="Arial"/>
          <w:b/>
          <w:sz w:val="18"/>
          <w:szCs w:val="18"/>
        </w:rPr>
        <w:t>38</w:t>
      </w:r>
      <w:r w:rsidRPr="00D403F5">
        <w:rPr>
          <w:rFonts w:ascii="Arial" w:hAnsi="Arial" w:cs="Arial"/>
          <w:sz w:val="18"/>
          <w:szCs w:val="18"/>
        </w:rPr>
        <w:t xml:space="preserve">, 554–556. </w:t>
      </w:r>
      <w:r w:rsidRPr="00D403F5">
        <w:rPr>
          <w:rFonts w:ascii="Arial" w:hAnsi="Arial" w:cs="Arial"/>
          <w:bCs/>
          <w:sz w:val="18"/>
          <w:szCs w:val="18"/>
        </w:rPr>
        <w:t xml:space="preserve">doi: </w:t>
      </w:r>
      <w:r w:rsidRPr="00D403F5">
        <w:rPr>
          <w:rFonts w:ascii="Arial" w:hAnsi="Arial" w:cs="Arial"/>
          <w:sz w:val="18"/>
          <w:szCs w:val="18"/>
        </w:rPr>
        <w:t>10.1163/15685381-00003125</w:t>
      </w:r>
    </w:p>
    <w:p w14:paraId="3C373E36" w14:textId="77777777" w:rsidR="00C7266C" w:rsidRPr="00D403F5" w:rsidRDefault="00C7266C" w:rsidP="00D403F5">
      <w:pPr>
        <w:pStyle w:val="a4"/>
        <w:spacing w:after="0"/>
        <w:ind w:left="0"/>
        <w:contextualSpacing w:val="0"/>
        <w:jc w:val="both"/>
        <w:rPr>
          <w:rFonts w:ascii="Arial" w:hAnsi="Arial" w:cs="Arial"/>
          <w:sz w:val="18"/>
          <w:szCs w:val="18"/>
          <w:lang w:val="es-ES"/>
        </w:rPr>
      </w:pPr>
      <w:r w:rsidRPr="00D403F5">
        <w:rPr>
          <w:rFonts w:ascii="Arial" w:hAnsi="Arial" w:cs="Arial"/>
          <w:smallCaps/>
          <w:sz w:val="18"/>
          <w:szCs w:val="18"/>
        </w:rPr>
        <w:t>Sabino-Pinto J., Bletz M., Hendrix R., Perl R.G.B., Martel A., Pasmans F., Lötters S., Mutschmann F., Schmeller D.S., Schmidt B.R., Veith M., Wagner N., Vences M. &amp; Steinfartz S.</w:t>
      </w:r>
      <w:r w:rsidRPr="00D403F5">
        <w:rPr>
          <w:rFonts w:ascii="Arial" w:hAnsi="Arial" w:cs="Arial"/>
          <w:sz w:val="18"/>
          <w:szCs w:val="18"/>
        </w:rPr>
        <w:t xml:space="preserve"> (2015). First detection of the emerging fungal pathogen </w:t>
      </w:r>
      <w:r w:rsidRPr="00D403F5">
        <w:rPr>
          <w:rFonts w:ascii="Arial" w:hAnsi="Arial" w:cs="Arial"/>
          <w:i/>
          <w:sz w:val="18"/>
          <w:szCs w:val="18"/>
        </w:rPr>
        <w:t>Batrachochytrium salamandrivorans</w:t>
      </w:r>
      <w:r w:rsidRPr="00D403F5">
        <w:rPr>
          <w:rFonts w:ascii="Arial" w:hAnsi="Arial" w:cs="Arial"/>
          <w:sz w:val="18"/>
          <w:szCs w:val="18"/>
        </w:rPr>
        <w:t xml:space="preserve"> in Germany. </w:t>
      </w:r>
      <w:r w:rsidRPr="00D403F5">
        <w:rPr>
          <w:rFonts w:ascii="Arial" w:hAnsi="Arial" w:cs="Arial"/>
          <w:i/>
          <w:sz w:val="18"/>
          <w:szCs w:val="18"/>
          <w:lang w:val="es-ES"/>
        </w:rPr>
        <w:t>Amphibia Reptilia</w:t>
      </w:r>
      <w:r w:rsidRPr="00D403F5">
        <w:rPr>
          <w:rFonts w:ascii="Arial" w:hAnsi="Arial" w:cs="Arial"/>
          <w:sz w:val="18"/>
          <w:szCs w:val="18"/>
          <w:lang w:val="es-ES"/>
        </w:rPr>
        <w:t xml:space="preserve">, </w:t>
      </w:r>
      <w:r w:rsidRPr="00D403F5">
        <w:rPr>
          <w:rFonts w:ascii="Arial" w:hAnsi="Arial" w:cs="Arial"/>
          <w:b/>
          <w:sz w:val="18"/>
          <w:szCs w:val="18"/>
          <w:lang w:val="es-ES"/>
        </w:rPr>
        <w:t>36</w:t>
      </w:r>
      <w:r w:rsidRPr="00D403F5">
        <w:rPr>
          <w:rFonts w:ascii="Arial" w:hAnsi="Arial" w:cs="Arial"/>
          <w:sz w:val="18"/>
          <w:szCs w:val="18"/>
          <w:lang w:val="es-ES"/>
        </w:rPr>
        <w:t>, 411–416.</w:t>
      </w:r>
    </w:p>
    <w:p w14:paraId="2E5A7E6D"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lang w:val="es-ES"/>
        </w:rPr>
        <w:t>Sabino-Pinto J., Tobias Krause E., Bletz M.C., Martel A., Pasmans F., Steinfartz S. &amp; Vences M.</w:t>
      </w:r>
      <w:r w:rsidRPr="00D403F5">
        <w:rPr>
          <w:rFonts w:ascii="Arial" w:hAnsi="Arial" w:cs="Arial"/>
          <w:sz w:val="18"/>
          <w:szCs w:val="18"/>
          <w:lang w:val="es-ES"/>
        </w:rPr>
        <w:t xml:space="preserve"> (2018). </w:t>
      </w:r>
      <w:r w:rsidRPr="00D403F5">
        <w:rPr>
          <w:rFonts w:ascii="Arial" w:hAnsi="Arial" w:cs="Arial"/>
          <w:sz w:val="18"/>
          <w:szCs w:val="18"/>
        </w:rPr>
        <w:t xml:space="preserve">Detectability vs. time and costs in pooled DNA extraction of cutaneous swabs: a study on the amphibian chytrid fungi. </w:t>
      </w:r>
      <w:r w:rsidRPr="00D403F5">
        <w:rPr>
          <w:rFonts w:ascii="Arial" w:hAnsi="Arial" w:cs="Arial"/>
          <w:i/>
          <w:sz w:val="18"/>
          <w:szCs w:val="18"/>
        </w:rPr>
        <w:t>Amphibia Reptilia</w:t>
      </w:r>
      <w:r w:rsidRPr="00D403F5">
        <w:rPr>
          <w:rFonts w:ascii="Arial" w:hAnsi="Arial" w:cs="Arial"/>
          <w:sz w:val="18"/>
          <w:szCs w:val="18"/>
        </w:rPr>
        <w:t xml:space="preserve">, </w:t>
      </w:r>
      <w:r w:rsidRPr="00D403F5">
        <w:rPr>
          <w:rFonts w:ascii="Arial" w:hAnsi="Arial" w:cs="Arial"/>
          <w:b/>
          <w:sz w:val="18"/>
          <w:szCs w:val="18"/>
        </w:rPr>
        <w:t>40</w:t>
      </w:r>
      <w:r w:rsidRPr="00D403F5">
        <w:rPr>
          <w:rFonts w:ascii="Arial" w:hAnsi="Arial" w:cs="Arial"/>
          <w:sz w:val="18"/>
          <w:szCs w:val="18"/>
        </w:rPr>
        <w:t>, 1–11.</w:t>
      </w:r>
    </w:p>
    <w:p w14:paraId="60B0E926" w14:textId="77777777" w:rsidR="00C7266C" w:rsidRPr="00D403F5" w:rsidRDefault="00C7266C" w:rsidP="00D403F5">
      <w:pPr>
        <w:pStyle w:val="a4"/>
        <w:spacing w:after="0"/>
        <w:ind w:left="0"/>
        <w:contextualSpacing w:val="0"/>
        <w:jc w:val="both"/>
        <w:rPr>
          <w:rFonts w:ascii="Arial" w:hAnsi="Arial" w:cs="Arial"/>
          <w:sz w:val="18"/>
          <w:szCs w:val="18"/>
          <w:lang w:val="nb-NO"/>
        </w:rPr>
      </w:pPr>
      <w:r w:rsidRPr="00D403F5">
        <w:rPr>
          <w:rFonts w:ascii="Arial" w:hAnsi="Arial" w:cs="Arial"/>
          <w:smallCaps/>
          <w:sz w:val="18"/>
          <w:szCs w:val="18"/>
        </w:rPr>
        <w:t xml:space="preserve">Spitzen-van der Sluijs A., Martel A., Asselberghs J., Bales E.K., Beukema W., Bletz M.C., Dalbeck L., Goverse E., Kerres A., Kinet T., Kirst K., Laudelout A., Marin </w:t>
      </w:r>
      <w:r w:rsidRPr="00D403F5">
        <w:rPr>
          <w:rFonts w:ascii="Arial" w:hAnsi="Arial" w:cs="Arial"/>
          <w:caps/>
          <w:sz w:val="18"/>
          <w:szCs w:val="18"/>
        </w:rPr>
        <w:t>d.a.,</w:t>
      </w:r>
      <w:r w:rsidRPr="00D403F5">
        <w:rPr>
          <w:rFonts w:ascii="Arial" w:hAnsi="Arial" w:cs="Arial"/>
          <w:smallCaps/>
          <w:sz w:val="18"/>
          <w:szCs w:val="18"/>
        </w:rPr>
        <w:t xml:space="preserve"> Fonte L.F., Nöllert A., Ohlhoff D., Sabino-Pinto J., Schmidt B.R., Speybroeck J., Spikmans F., Steinfartz S., Veith M., Vences M., Wagner N., Pasmans F. &amp; Lötters S.</w:t>
      </w:r>
      <w:r w:rsidRPr="00D403F5">
        <w:rPr>
          <w:rFonts w:ascii="Arial" w:hAnsi="Arial" w:cs="Arial"/>
          <w:sz w:val="18"/>
          <w:szCs w:val="18"/>
        </w:rPr>
        <w:t xml:space="preserve"> (2016). Expanding distribution of lethal amphibian fungus </w:t>
      </w:r>
      <w:r w:rsidRPr="00D403F5">
        <w:rPr>
          <w:rFonts w:ascii="Arial" w:hAnsi="Arial" w:cs="Arial"/>
          <w:i/>
          <w:sz w:val="18"/>
          <w:szCs w:val="18"/>
        </w:rPr>
        <w:t>Batrachochytrium salamandrivorans</w:t>
      </w:r>
      <w:r w:rsidRPr="00D403F5">
        <w:rPr>
          <w:rFonts w:ascii="Arial" w:hAnsi="Arial" w:cs="Arial"/>
          <w:sz w:val="18"/>
          <w:szCs w:val="18"/>
        </w:rPr>
        <w:t xml:space="preserve"> in Europe. </w:t>
      </w:r>
      <w:r w:rsidRPr="00D403F5">
        <w:rPr>
          <w:rFonts w:ascii="Arial" w:hAnsi="Arial" w:cs="Arial"/>
          <w:i/>
          <w:sz w:val="18"/>
          <w:szCs w:val="18"/>
          <w:lang w:val="nb-NO"/>
        </w:rPr>
        <w:t>Emerg. Infect. Dis</w:t>
      </w:r>
      <w:r w:rsidRPr="00D403F5">
        <w:rPr>
          <w:rFonts w:ascii="Arial" w:hAnsi="Arial" w:cs="Arial"/>
          <w:sz w:val="18"/>
          <w:szCs w:val="18"/>
          <w:lang w:val="nb-NO"/>
        </w:rPr>
        <w:t xml:space="preserve">., </w:t>
      </w:r>
      <w:r w:rsidRPr="00D403F5">
        <w:rPr>
          <w:rFonts w:ascii="Arial" w:hAnsi="Arial" w:cs="Arial"/>
          <w:b/>
          <w:sz w:val="18"/>
          <w:szCs w:val="18"/>
          <w:lang w:val="nb-NO"/>
        </w:rPr>
        <w:t>22</w:t>
      </w:r>
      <w:r w:rsidRPr="00D403F5">
        <w:rPr>
          <w:rFonts w:ascii="Arial" w:hAnsi="Arial" w:cs="Arial"/>
          <w:sz w:val="18"/>
          <w:szCs w:val="18"/>
          <w:lang w:val="nb-NO"/>
        </w:rPr>
        <w:t>, 1286–1288.</w:t>
      </w:r>
    </w:p>
    <w:p w14:paraId="7DED3091"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lang w:val="nb-NO"/>
        </w:rPr>
        <w:t>Spitzen-van der Sluijs A., Stegen G., Bogaerts S., Canessa S., Steinfartz S., Janssen N., Bosman W., Pasmans F. &amp; Martel A.</w:t>
      </w:r>
      <w:r w:rsidRPr="00D403F5">
        <w:rPr>
          <w:rFonts w:ascii="Arial" w:hAnsi="Arial" w:cs="Arial"/>
          <w:sz w:val="18"/>
          <w:szCs w:val="18"/>
          <w:lang w:val="nb-NO"/>
        </w:rPr>
        <w:t xml:space="preserve"> (2018). </w:t>
      </w:r>
      <w:r w:rsidRPr="00D403F5">
        <w:rPr>
          <w:rFonts w:ascii="Arial" w:hAnsi="Arial" w:cs="Arial"/>
          <w:sz w:val="18"/>
          <w:szCs w:val="18"/>
        </w:rPr>
        <w:t xml:space="preserve">Post-epizootic salamander persistence in a disease-free refugium suggests poor dispersal ability of </w:t>
      </w:r>
      <w:r w:rsidRPr="00D403F5">
        <w:rPr>
          <w:rFonts w:ascii="Arial" w:hAnsi="Arial" w:cs="Arial"/>
          <w:i/>
          <w:sz w:val="18"/>
          <w:szCs w:val="18"/>
        </w:rPr>
        <w:t>Batrachochytrium salamandrivorans</w:t>
      </w:r>
      <w:r w:rsidRPr="00D403F5">
        <w:rPr>
          <w:rFonts w:ascii="Arial" w:hAnsi="Arial" w:cs="Arial"/>
          <w:sz w:val="18"/>
          <w:szCs w:val="18"/>
        </w:rPr>
        <w:t xml:space="preserve">.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8</w:t>
      </w:r>
      <w:r w:rsidRPr="00D403F5">
        <w:rPr>
          <w:rFonts w:ascii="Arial" w:hAnsi="Arial" w:cs="Arial"/>
          <w:sz w:val="18"/>
          <w:szCs w:val="18"/>
        </w:rPr>
        <w:t>, 3800.</w:t>
      </w:r>
    </w:p>
    <w:p w14:paraId="0F6D1BBF"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 xml:space="preserve">Stegen G., Pasmans F., Schmidt B.R., Rouffaer L.O., Van Praet S., Schaub M., Canessa S., Laudelout A., Kinet T., Adriaensen C., Haesebrouck F., Bert W., Bossuyt F. &amp; Martel A. </w:t>
      </w:r>
      <w:r w:rsidRPr="00D403F5">
        <w:rPr>
          <w:rFonts w:ascii="Arial" w:hAnsi="Arial" w:cs="Arial"/>
          <w:sz w:val="18"/>
          <w:szCs w:val="18"/>
        </w:rPr>
        <w:t xml:space="preserve">(2017). Drivers of </w:t>
      </w:r>
      <w:r w:rsidRPr="00D403F5">
        <w:rPr>
          <w:rFonts w:ascii="Arial" w:hAnsi="Arial" w:cs="Arial"/>
          <w:i/>
          <w:sz w:val="18"/>
          <w:szCs w:val="18"/>
        </w:rPr>
        <w:t>Batrachochytrium salamandrivorans</w:t>
      </w:r>
      <w:r w:rsidRPr="00D403F5">
        <w:rPr>
          <w:rFonts w:ascii="Arial" w:hAnsi="Arial" w:cs="Arial"/>
          <w:sz w:val="18"/>
          <w:szCs w:val="18"/>
        </w:rPr>
        <w:t xml:space="preserve"> mediated salamander extirpation. </w:t>
      </w:r>
      <w:r w:rsidRPr="00D403F5">
        <w:rPr>
          <w:rFonts w:ascii="Arial" w:hAnsi="Arial" w:cs="Arial"/>
          <w:i/>
          <w:sz w:val="18"/>
          <w:szCs w:val="18"/>
        </w:rPr>
        <w:t>Nature</w:t>
      </w:r>
      <w:r w:rsidRPr="00D403F5">
        <w:rPr>
          <w:rFonts w:ascii="Arial" w:hAnsi="Arial" w:cs="Arial"/>
          <w:sz w:val="18"/>
          <w:szCs w:val="18"/>
        </w:rPr>
        <w:t xml:space="preserve">, </w:t>
      </w:r>
      <w:r w:rsidRPr="00D403F5">
        <w:rPr>
          <w:rFonts w:ascii="Arial" w:hAnsi="Arial" w:cs="Arial"/>
          <w:b/>
          <w:sz w:val="18"/>
          <w:szCs w:val="18"/>
        </w:rPr>
        <w:t>544</w:t>
      </w:r>
      <w:r w:rsidRPr="00D403F5">
        <w:rPr>
          <w:rFonts w:ascii="Arial" w:hAnsi="Arial" w:cs="Arial"/>
          <w:sz w:val="18"/>
          <w:szCs w:val="18"/>
        </w:rPr>
        <w:t xml:space="preserve">, 353–356.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xml:space="preserve"> </w:t>
      </w:r>
      <w:r w:rsidRPr="00D403F5">
        <w:rPr>
          <w:rFonts w:ascii="Arial" w:hAnsi="Arial" w:cs="Arial"/>
          <w:sz w:val="18"/>
          <w:szCs w:val="18"/>
        </w:rPr>
        <w:t>10.1038/nature22059</w:t>
      </w:r>
    </w:p>
    <w:p w14:paraId="67CE259B"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Thomas V., Blooi M., Van Rooij P., Van Praet S., Verbrugghe E., Grasselli E., Lukac M., Smith S., Pasmans F. &amp; Martel A.</w:t>
      </w:r>
      <w:r w:rsidRPr="00D403F5">
        <w:rPr>
          <w:rFonts w:ascii="Arial" w:hAnsi="Arial" w:cs="Arial"/>
          <w:sz w:val="18"/>
          <w:szCs w:val="18"/>
        </w:rPr>
        <w:t xml:space="preserve"> (2018). Recommendations on diagnostic tools for </w:t>
      </w:r>
      <w:r w:rsidRPr="00D403F5">
        <w:rPr>
          <w:rFonts w:ascii="Arial" w:hAnsi="Arial" w:cs="Arial"/>
          <w:i/>
          <w:sz w:val="18"/>
          <w:szCs w:val="18"/>
        </w:rPr>
        <w:t>Batrachochytrium salamandrivorans</w:t>
      </w:r>
      <w:r w:rsidRPr="00D403F5">
        <w:rPr>
          <w:rFonts w:ascii="Arial" w:hAnsi="Arial" w:cs="Arial"/>
          <w:sz w:val="18"/>
          <w:szCs w:val="18"/>
        </w:rPr>
        <w:t xml:space="preserve">. </w:t>
      </w:r>
      <w:r w:rsidRPr="00D403F5">
        <w:rPr>
          <w:rFonts w:ascii="Arial" w:hAnsi="Arial" w:cs="Arial"/>
          <w:i/>
          <w:sz w:val="18"/>
          <w:szCs w:val="18"/>
        </w:rPr>
        <w:t>Transbound. Emerg. Dis</w:t>
      </w:r>
      <w:r w:rsidRPr="00D403F5">
        <w:rPr>
          <w:rFonts w:ascii="Arial" w:hAnsi="Arial" w:cs="Arial"/>
          <w:sz w:val="18"/>
          <w:szCs w:val="18"/>
        </w:rPr>
        <w:t xml:space="preserve">., </w:t>
      </w:r>
      <w:r w:rsidRPr="00D403F5">
        <w:rPr>
          <w:rFonts w:ascii="Arial" w:hAnsi="Arial" w:cs="Arial"/>
          <w:b/>
          <w:sz w:val="18"/>
          <w:szCs w:val="18"/>
        </w:rPr>
        <w:t>65</w:t>
      </w:r>
      <w:r w:rsidRPr="00D403F5">
        <w:rPr>
          <w:rFonts w:ascii="Arial" w:hAnsi="Arial" w:cs="Arial"/>
          <w:sz w:val="18"/>
          <w:szCs w:val="18"/>
        </w:rPr>
        <w:t>, e478-e488.</w:t>
      </w:r>
    </w:p>
    <w:p w14:paraId="6A85A67D" w14:textId="77777777" w:rsidR="00C7266C" w:rsidRPr="00D403F5" w:rsidRDefault="00C7266C" w:rsidP="00D403F5">
      <w:pPr>
        <w:pStyle w:val="a4"/>
        <w:spacing w:after="0"/>
        <w:ind w:left="0"/>
        <w:contextualSpacing w:val="0"/>
        <w:jc w:val="both"/>
        <w:rPr>
          <w:rFonts w:ascii="Arial" w:hAnsi="Arial" w:cs="Arial"/>
          <w:sz w:val="18"/>
          <w:szCs w:val="18"/>
          <w:lang w:val="nb-NO"/>
        </w:rPr>
      </w:pPr>
      <w:r w:rsidRPr="00D403F5">
        <w:rPr>
          <w:rFonts w:ascii="Arial" w:hAnsi="Arial" w:cs="Arial"/>
          <w:smallCaps/>
          <w:sz w:val="18"/>
          <w:szCs w:val="18"/>
        </w:rPr>
        <w:t>Van Rooij P., Martel A., Haesebrouck F. &amp; Pasmans F.</w:t>
      </w:r>
      <w:r w:rsidRPr="00D403F5">
        <w:rPr>
          <w:rFonts w:ascii="Arial" w:hAnsi="Arial" w:cs="Arial"/>
          <w:sz w:val="18"/>
          <w:szCs w:val="18"/>
        </w:rPr>
        <w:t xml:space="preserve"> (2015). Amphibian chytridiomycosis: a review with focus on fungus-host interactions. </w:t>
      </w:r>
      <w:r w:rsidRPr="00D403F5">
        <w:rPr>
          <w:rFonts w:ascii="Arial" w:hAnsi="Arial" w:cs="Arial"/>
          <w:i/>
          <w:sz w:val="18"/>
          <w:szCs w:val="18"/>
          <w:lang w:val="nb-NO"/>
        </w:rPr>
        <w:t>Vet. Res</w:t>
      </w:r>
      <w:r w:rsidRPr="00D403F5">
        <w:rPr>
          <w:rFonts w:ascii="Arial" w:hAnsi="Arial" w:cs="Arial"/>
          <w:sz w:val="18"/>
          <w:szCs w:val="18"/>
          <w:lang w:val="nb-NO"/>
        </w:rPr>
        <w:t xml:space="preserve">., </w:t>
      </w:r>
      <w:r w:rsidRPr="00D403F5">
        <w:rPr>
          <w:rFonts w:ascii="Arial" w:hAnsi="Arial" w:cs="Arial"/>
          <w:b/>
          <w:sz w:val="18"/>
          <w:szCs w:val="18"/>
          <w:lang w:val="nb-NO"/>
        </w:rPr>
        <w:t>46</w:t>
      </w:r>
      <w:r w:rsidRPr="00D403F5">
        <w:rPr>
          <w:rFonts w:ascii="Arial" w:hAnsi="Arial" w:cs="Arial"/>
          <w:sz w:val="18"/>
          <w:szCs w:val="18"/>
          <w:lang w:val="nb-NO"/>
        </w:rPr>
        <w:t>, 137.</w:t>
      </w:r>
    </w:p>
    <w:p w14:paraId="2450FAEE"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lang w:val="nb-NO"/>
        </w:rPr>
        <w:t>Van Rooij P., Pasmans F., Coen Y. &amp; Martel A. (</w:t>
      </w:r>
      <w:r w:rsidRPr="00D403F5">
        <w:rPr>
          <w:rFonts w:ascii="Arial" w:hAnsi="Arial" w:cs="Arial"/>
          <w:sz w:val="18"/>
          <w:szCs w:val="18"/>
          <w:lang w:val="nb-NO"/>
        </w:rPr>
        <w:t xml:space="preserve">2017). </w:t>
      </w:r>
      <w:r w:rsidRPr="00D403F5">
        <w:rPr>
          <w:rFonts w:ascii="Arial" w:hAnsi="Arial" w:cs="Arial"/>
          <w:sz w:val="18"/>
          <w:szCs w:val="18"/>
        </w:rPr>
        <w:t xml:space="preserve">Efficacy of chemical disinfectants for the containment of the salamander chytrid fungus </w:t>
      </w:r>
      <w:r w:rsidRPr="00D403F5">
        <w:rPr>
          <w:rFonts w:ascii="Arial" w:hAnsi="Arial" w:cs="Arial"/>
          <w:i/>
          <w:sz w:val="18"/>
          <w:szCs w:val="18"/>
        </w:rPr>
        <w:t>Batrachochytrium salamandrivorans</w:t>
      </w:r>
      <w:r w:rsidRPr="00D403F5">
        <w:rPr>
          <w:rFonts w:ascii="Arial" w:hAnsi="Arial" w:cs="Arial"/>
          <w:sz w:val="18"/>
          <w:szCs w:val="18"/>
        </w:rPr>
        <w:t xml:space="preserve">. </w:t>
      </w:r>
      <w:r w:rsidRPr="00D403F5">
        <w:rPr>
          <w:rFonts w:ascii="Arial" w:hAnsi="Arial" w:cs="Arial"/>
          <w:i/>
          <w:sz w:val="18"/>
          <w:szCs w:val="18"/>
        </w:rPr>
        <w:t>PLoS One</w:t>
      </w:r>
      <w:r w:rsidRPr="00D403F5">
        <w:rPr>
          <w:rFonts w:ascii="Arial" w:hAnsi="Arial" w:cs="Arial"/>
          <w:sz w:val="18"/>
          <w:szCs w:val="18"/>
        </w:rPr>
        <w:t xml:space="preserve">, 12, e0186269. </w:t>
      </w:r>
      <w:r w:rsidRPr="00D403F5">
        <w:rPr>
          <w:rStyle w:val="frlabel"/>
          <w:rFonts w:ascii="Arial" w:hAnsi="Arial" w:cs="Arial"/>
          <w:bCs/>
          <w:color w:val="333333"/>
          <w:sz w:val="18"/>
          <w:szCs w:val="18"/>
          <w:shd w:val="clear" w:color="auto" w:fill="F8F8F8"/>
        </w:rPr>
        <w:t>doi:</w:t>
      </w:r>
      <w:r w:rsidRPr="00D403F5">
        <w:rPr>
          <w:rFonts w:ascii="Arial" w:hAnsi="Arial" w:cs="Arial"/>
          <w:color w:val="333333"/>
          <w:sz w:val="18"/>
          <w:szCs w:val="18"/>
          <w:shd w:val="clear" w:color="auto" w:fill="F8F8F8"/>
        </w:rPr>
        <w:t xml:space="preserve"> </w:t>
      </w:r>
      <w:r w:rsidRPr="00D403F5">
        <w:rPr>
          <w:rFonts w:ascii="Arial" w:hAnsi="Arial" w:cs="Arial"/>
          <w:sz w:val="18"/>
          <w:szCs w:val="18"/>
        </w:rPr>
        <w:t>10.1371/journal.pone.0186269</w:t>
      </w:r>
    </w:p>
    <w:p w14:paraId="51B7370E"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White L.W., Forzán M.J., Pessier A.P., Allender M.C., Ballard J.R., Catenazzi A., Fenton H., Martel A., Pasmans F., Miller D.L., Ossiboff R.J., Richgels K.L.D. &amp; Kerby J.L.</w:t>
      </w:r>
      <w:r w:rsidRPr="00D403F5">
        <w:rPr>
          <w:rFonts w:ascii="Arial" w:hAnsi="Arial" w:cs="Arial"/>
          <w:sz w:val="18"/>
          <w:szCs w:val="18"/>
        </w:rPr>
        <w:t xml:space="preserve"> (2016). Amphibian: a case definition and diagnostic criteria for </w:t>
      </w:r>
      <w:r w:rsidRPr="00D403F5">
        <w:rPr>
          <w:rFonts w:ascii="Arial" w:hAnsi="Arial" w:cs="Arial"/>
          <w:i/>
          <w:sz w:val="18"/>
          <w:szCs w:val="18"/>
        </w:rPr>
        <w:t>Batrachochytrium salamandrivorans</w:t>
      </w:r>
      <w:r w:rsidRPr="00D403F5">
        <w:rPr>
          <w:rFonts w:ascii="Arial" w:hAnsi="Arial" w:cs="Arial"/>
          <w:sz w:val="18"/>
          <w:szCs w:val="18"/>
        </w:rPr>
        <w:t xml:space="preserve"> chytridiomycosis. </w:t>
      </w:r>
      <w:r w:rsidRPr="00D403F5">
        <w:rPr>
          <w:rFonts w:ascii="Arial" w:hAnsi="Arial" w:cs="Arial"/>
          <w:i/>
          <w:sz w:val="18"/>
          <w:szCs w:val="18"/>
        </w:rPr>
        <w:t>Herpetological Review</w:t>
      </w:r>
      <w:r w:rsidRPr="00D403F5">
        <w:rPr>
          <w:rFonts w:ascii="Arial" w:hAnsi="Arial" w:cs="Arial"/>
          <w:sz w:val="18"/>
          <w:szCs w:val="18"/>
        </w:rPr>
        <w:t xml:space="preserve">, </w:t>
      </w:r>
      <w:r w:rsidRPr="00D403F5">
        <w:rPr>
          <w:rFonts w:ascii="Arial" w:hAnsi="Arial" w:cs="Arial"/>
          <w:b/>
          <w:sz w:val="18"/>
          <w:szCs w:val="18"/>
        </w:rPr>
        <w:t>47</w:t>
      </w:r>
      <w:r w:rsidRPr="00D403F5">
        <w:rPr>
          <w:rFonts w:ascii="Arial" w:hAnsi="Arial" w:cs="Arial"/>
          <w:sz w:val="18"/>
          <w:szCs w:val="18"/>
        </w:rPr>
        <w:t>, 207.</w:t>
      </w:r>
    </w:p>
    <w:p w14:paraId="7CC7EF92"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Yap T.A., Koo M.S., Ambrose R.F., Wake D.B. &amp; Vredenburg V.T.</w:t>
      </w:r>
      <w:r w:rsidRPr="00D403F5">
        <w:rPr>
          <w:rFonts w:ascii="Arial" w:hAnsi="Arial" w:cs="Arial"/>
          <w:sz w:val="18"/>
          <w:szCs w:val="18"/>
        </w:rPr>
        <w:t xml:space="preserve"> (2015). BIODIVERSITY: Averting a North American biodiversity crisis. </w:t>
      </w:r>
      <w:r w:rsidRPr="00D403F5">
        <w:rPr>
          <w:rFonts w:ascii="Arial" w:hAnsi="Arial" w:cs="Arial"/>
          <w:i/>
          <w:sz w:val="18"/>
          <w:szCs w:val="18"/>
        </w:rPr>
        <w:t>Science</w:t>
      </w:r>
      <w:r w:rsidRPr="00D403F5">
        <w:rPr>
          <w:rFonts w:ascii="Arial" w:hAnsi="Arial" w:cs="Arial"/>
          <w:sz w:val="18"/>
          <w:szCs w:val="18"/>
        </w:rPr>
        <w:t xml:space="preserve">, </w:t>
      </w:r>
      <w:r w:rsidRPr="00D403F5">
        <w:rPr>
          <w:rFonts w:ascii="Arial" w:hAnsi="Arial" w:cs="Arial"/>
          <w:b/>
          <w:sz w:val="18"/>
          <w:szCs w:val="18"/>
        </w:rPr>
        <w:t>349</w:t>
      </w:r>
      <w:r w:rsidRPr="00D403F5">
        <w:rPr>
          <w:rFonts w:ascii="Arial" w:hAnsi="Arial" w:cs="Arial"/>
          <w:sz w:val="18"/>
          <w:szCs w:val="18"/>
        </w:rPr>
        <w:t>, 481–482.</w:t>
      </w:r>
    </w:p>
    <w:p w14:paraId="1D3EABED" w14:textId="77777777" w:rsidR="00C7266C" w:rsidRPr="00D403F5" w:rsidRDefault="00C7266C" w:rsidP="00D403F5">
      <w:pPr>
        <w:spacing w:after="0"/>
        <w:rPr>
          <w:rFonts w:ascii="Arial" w:eastAsia="Times New Roman" w:hAnsi="Arial" w:cs="Arial"/>
          <w:smallCaps/>
          <w:sz w:val="18"/>
          <w:szCs w:val="18"/>
        </w:rPr>
      </w:pPr>
      <w:r w:rsidRPr="00D403F5">
        <w:rPr>
          <w:rFonts w:ascii="Arial" w:hAnsi="Arial" w:cs="Arial"/>
          <w:smallCaps/>
          <w:sz w:val="18"/>
          <w:szCs w:val="18"/>
        </w:rPr>
        <w:br w:type="page"/>
      </w:r>
    </w:p>
    <w:p w14:paraId="08566E8E" w14:textId="77777777" w:rsidR="00C7266C" w:rsidRPr="00D403F5" w:rsidRDefault="00C7266C" w:rsidP="00EA6B7E">
      <w:pPr>
        <w:spacing w:after="480"/>
        <w:jc w:val="right"/>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t>Annex 11</w:t>
      </w:r>
      <w:r w:rsidRPr="00D403F5">
        <w:rPr>
          <w:rFonts w:ascii="Times New Roman" w:hAnsi="Times New Roman" w:cs="Times New Roman"/>
          <w:noProof/>
          <w:sz w:val="18"/>
          <w:szCs w:val="18"/>
          <w:lang w:val="en-US"/>
        </w:rPr>
        <w:t xml:space="preserve"> (contd)</w:t>
      </w:r>
    </w:p>
    <w:p w14:paraId="76DBEDB0" w14:textId="77777777" w:rsidR="00C7266C" w:rsidRPr="00D403F5" w:rsidRDefault="00C7266C" w:rsidP="00D403F5">
      <w:pPr>
        <w:pStyle w:val="a4"/>
        <w:spacing w:after="0"/>
        <w:ind w:left="0"/>
        <w:contextualSpacing w:val="0"/>
        <w:jc w:val="both"/>
        <w:rPr>
          <w:rFonts w:ascii="Arial" w:hAnsi="Arial" w:cs="Arial"/>
          <w:sz w:val="18"/>
          <w:szCs w:val="18"/>
        </w:rPr>
      </w:pPr>
      <w:r w:rsidRPr="00D403F5">
        <w:rPr>
          <w:rFonts w:ascii="Arial" w:hAnsi="Arial" w:cs="Arial"/>
          <w:smallCaps/>
          <w:sz w:val="18"/>
          <w:szCs w:val="18"/>
        </w:rPr>
        <w:t xml:space="preserve">Zhiyong Y., Martel A., Wu J., Van Praet S., Canessa S. &amp; Pasmans F. </w:t>
      </w:r>
      <w:r w:rsidRPr="00D403F5">
        <w:rPr>
          <w:rFonts w:ascii="Arial" w:hAnsi="Arial" w:cs="Arial"/>
          <w:sz w:val="18"/>
          <w:szCs w:val="18"/>
        </w:rPr>
        <w:t xml:space="preserve">(2018). Widespread occurrence of an emerging fungal pathogen in heavily traded Chinese urodelan species. </w:t>
      </w:r>
      <w:r w:rsidRPr="00D403F5">
        <w:rPr>
          <w:rFonts w:ascii="Arial" w:hAnsi="Arial" w:cs="Arial"/>
          <w:i/>
          <w:sz w:val="18"/>
          <w:szCs w:val="18"/>
        </w:rPr>
        <w:t>Conservation Letters</w:t>
      </w:r>
      <w:r w:rsidRPr="00D403F5">
        <w:rPr>
          <w:rFonts w:ascii="Arial" w:hAnsi="Arial" w:cs="Arial"/>
          <w:sz w:val="18"/>
          <w:szCs w:val="18"/>
        </w:rPr>
        <w:t>, 11: e12436.</w:t>
      </w:r>
    </w:p>
    <w:p w14:paraId="6E3A6A4D" w14:textId="77777777" w:rsidR="00C7266C" w:rsidRPr="00D403F5" w:rsidRDefault="00C7266C" w:rsidP="00D403F5">
      <w:pPr>
        <w:pStyle w:val="Para10"/>
        <w:spacing w:after="0"/>
        <w:jc w:val="center"/>
        <w:rPr>
          <w:rFonts w:cs="Arial"/>
          <w:szCs w:val="18"/>
          <w:lang w:val="en-GB"/>
        </w:rPr>
      </w:pPr>
      <w:r w:rsidRPr="00D403F5">
        <w:rPr>
          <w:rFonts w:cs="Arial"/>
          <w:szCs w:val="18"/>
          <w:lang w:val="en-GB"/>
        </w:rPr>
        <w:t>*</w:t>
      </w:r>
      <w:r w:rsidRPr="00D403F5">
        <w:rPr>
          <w:rFonts w:cs="Arial"/>
          <w:szCs w:val="18"/>
          <w:lang w:val="en-GB"/>
        </w:rPr>
        <w:br/>
        <w:t>*   *</w:t>
      </w:r>
    </w:p>
    <w:p w14:paraId="520D056E" w14:textId="77777777" w:rsidR="00C7266C" w:rsidRPr="00D403F5" w:rsidRDefault="00C7266C" w:rsidP="00D403F5">
      <w:pPr>
        <w:spacing w:after="0"/>
        <w:jc w:val="center"/>
        <w:rPr>
          <w:rFonts w:ascii="Arial" w:hAnsi="Arial" w:cs="Arial"/>
          <w:sz w:val="18"/>
          <w:szCs w:val="18"/>
        </w:rPr>
      </w:pPr>
      <w:r w:rsidRPr="00D403F5">
        <w:rPr>
          <w:rStyle w:val="ReflabnoteCar"/>
          <w:rFonts w:eastAsia="MS Mincho"/>
        </w:rPr>
        <w:t xml:space="preserve">NB: There </w:t>
      </w:r>
      <w:r w:rsidRPr="00D403F5">
        <w:rPr>
          <w:rFonts w:ascii="Arial" w:hAnsi="Arial" w:cs="Arial"/>
          <w:sz w:val="18"/>
          <w:szCs w:val="18"/>
        </w:rPr>
        <w:t xml:space="preserve">are currently no OIE Reference Laboratories for infection with </w:t>
      </w:r>
      <w:r w:rsidRPr="00D403F5">
        <w:rPr>
          <w:rFonts w:ascii="Arial" w:hAnsi="Arial" w:cs="Arial"/>
          <w:i/>
          <w:sz w:val="18"/>
          <w:szCs w:val="18"/>
        </w:rPr>
        <w:t>Batrachochytrium salamandrivorans</w:t>
      </w:r>
    </w:p>
    <w:p w14:paraId="589637BC" w14:textId="77777777" w:rsidR="00C7266C" w:rsidRPr="00D403F5" w:rsidRDefault="00C7266C" w:rsidP="00D403F5">
      <w:pPr>
        <w:spacing w:after="0"/>
        <w:jc w:val="center"/>
        <w:rPr>
          <w:rFonts w:ascii="Arial" w:hAnsi="Arial" w:cs="Arial"/>
          <w:b/>
          <w:sz w:val="18"/>
          <w:szCs w:val="18"/>
        </w:rPr>
      </w:pPr>
      <w:r w:rsidRPr="00D403F5">
        <w:rPr>
          <w:rFonts w:ascii="Arial" w:hAnsi="Arial" w:cs="Arial"/>
          <w:b/>
          <w:bCs/>
          <w:sz w:val="18"/>
          <w:szCs w:val="18"/>
        </w:rPr>
        <w:t>NB:</w:t>
      </w:r>
      <w:r w:rsidRPr="00D403F5">
        <w:rPr>
          <w:rFonts w:ascii="Arial" w:hAnsi="Arial" w:cs="Arial"/>
          <w:sz w:val="18"/>
          <w:szCs w:val="18"/>
        </w:rPr>
        <w:t xml:space="preserve"> First adopted in 20XX.</w:t>
      </w:r>
    </w:p>
    <w:p w14:paraId="15E4FAEB" w14:textId="77777777" w:rsidR="00C7266C" w:rsidRPr="00D403F5" w:rsidRDefault="00C7266C" w:rsidP="00D403F5">
      <w:pPr>
        <w:spacing w:after="0"/>
        <w:rPr>
          <w:sz w:val="18"/>
          <w:szCs w:val="18"/>
        </w:rPr>
      </w:pPr>
    </w:p>
    <w:p w14:paraId="0C7AD820" w14:textId="77777777" w:rsidR="00C7266C" w:rsidRPr="00D403F5" w:rsidRDefault="00C7266C" w:rsidP="00D403F5">
      <w:pPr>
        <w:spacing w:after="0"/>
        <w:rPr>
          <w:sz w:val="18"/>
          <w:szCs w:val="18"/>
        </w:rPr>
      </w:pPr>
    </w:p>
    <w:p w14:paraId="5FC1F36D" w14:textId="77777777" w:rsidR="00C7266C" w:rsidRPr="00D403F5" w:rsidRDefault="00C7266C" w:rsidP="00D403F5">
      <w:pPr>
        <w:spacing w:after="0"/>
        <w:rPr>
          <w:sz w:val="18"/>
          <w:szCs w:val="18"/>
        </w:rPr>
      </w:pPr>
    </w:p>
    <w:p w14:paraId="2EA49875" w14:textId="77777777" w:rsidR="00C7266C" w:rsidRPr="00D403F5" w:rsidRDefault="00C7266C" w:rsidP="00D403F5">
      <w:pPr>
        <w:spacing w:after="0"/>
        <w:rPr>
          <w:sz w:val="18"/>
          <w:szCs w:val="18"/>
        </w:rPr>
      </w:pPr>
    </w:p>
    <w:p w14:paraId="7B797DA4" w14:textId="77777777" w:rsidR="00C7266C" w:rsidRPr="00D403F5" w:rsidRDefault="00C7266C" w:rsidP="00D403F5">
      <w:pPr>
        <w:spacing w:after="0"/>
        <w:rPr>
          <w:sz w:val="18"/>
          <w:szCs w:val="18"/>
        </w:rPr>
      </w:pPr>
    </w:p>
    <w:p w14:paraId="7ED6052B" w14:textId="77777777" w:rsidR="00C7266C" w:rsidRPr="00D403F5" w:rsidRDefault="00C7266C" w:rsidP="00D403F5">
      <w:pPr>
        <w:spacing w:after="0"/>
        <w:rPr>
          <w:sz w:val="18"/>
          <w:szCs w:val="18"/>
        </w:rPr>
      </w:pPr>
    </w:p>
    <w:p w14:paraId="739147EA" w14:textId="77777777" w:rsidR="00C7266C" w:rsidRPr="00D403F5" w:rsidRDefault="00C7266C" w:rsidP="00D403F5">
      <w:pPr>
        <w:spacing w:after="0"/>
        <w:rPr>
          <w:sz w:val="18"/>
          <w:szCs w:val="18"/>
        </w:rPr>
      </w:pPr>
    </w:p>
    <w:p w14:paraId="2780E19B" w14:textId="77777777" w:rsidR="00C7266C" w:rsidRPr="00D403F5" w:rsidRDefault="00C7266C" w:rsidP="00D403F5">
      <w:pPr>
        <w:spacing w:after="0"/>
        <w:rPr>
          <w:sz w:val="18"/>
          <w:szCs w:val="18"/>
        </w:rPr>
      </w:pPr>
    </w:p>
    <w:p w14:paraId="165BCC0E" w14:textId="77777777" w:rsidR="00C7266C" w:rsidRPr="00D403F5" w:rsidRDefault="00C7266C" w:rsidP="00D403F5">
      <w:pPr>
        <w:spacing w:after="0"/>
        <w:rPr>
          <w:sz w:val="18"/>
          <w:szCs w:val="18"/>
        </w:rPr>
      </w:pPr>
    </w:p>
    <w:p w14:paraId="5AAFF945" w14:textId="77777777" w:rsidR="00C7266C" w:rsidRPr="00D403F5" w:rsidRDefault="00C7266C" w:rsidP="00D403F5">
      <w:pPr>
        <w:spacing w:after="0"/>
        <w:rPr>
          <w:sz w:val="18"/>
          <w:szCs w:val="18"/>
        </w:rPr>
      </w:pPr>
    </w:p>
    <w:p w14:paraId="2BFAB125" w14:textId="77777777" w:rsidR="00C7266C" w:rsidRPr="00D403F5" w:rsidRDefault="00C7266C" w:rsidP="00D403F5">
      <w:pPr>
        <w:spacing w:after="0"/>
        <w:rPr>
          <w:sz w:val="18"/>
          <w:szCs w:val="18"/>
        </w:rPr>
      </w:pPr>
    </w:p>
    <w:p w14:paraId="4B6AB38E" w14:textId="77777777" w:rsidR="00C7266C" w:rsidRPr="00D403F5" w:rsidRDefault="00C7266C" w:rsidP="00D403F5">
      <w:pPr>
        <w:spacing w:after="0"/>
        <w:rPr>
          <w:sz w:val="18"/>
          <w:szCs w:val="18"/>
        </w:rPr>
      </w:pPr>
    </w:p>
    <w:p w14:paraId="577723A1" w14:textId="77777777" w:rsidR="00C7266C" w:rsidRPr="00D403F5" w:rsidRDefault="00C7266C" w:rsidP="00D403F5">
      <w:pPr>
        <w:spacing w:after="0"/>
        <w:rPr>
          <w:sz w:val="18"/>
          <w:szCs w:val="18"/>
        </w:rPr>
      </w:pPr>
    </w:p>
    <w:p w14:paraId="109EB78D" w14:textId="77777777" w:rsidR="00C7266C" w:rsidRPr="00D403F5" w:rsidRDefault="00C7266C" w:rsidP="00D403F5">
      <w:pPr>
        <w:spacing w:after="0"/>
        <w:rPr>
          <w:sz w:val="18"/>
          <w:szCs w:val="18"/>
        </w:rPr>
      </w:pPr>
    </w:p>
    <w:p w14:paraId="33F44A74" w14:textId="77777777" w:rsidR="00C7266C" w:rsidRPr="00D403F5" w:rsidRDefault="00C7266C" w:rsidP="00D403F5">
      <w:pPr>
        <w:spacing w:after="0"/>
        <w:rPr>
          <w:sz w:val="18"/>
          <w:szCs w:val="18"/>
        </w:rPr>
      </w:pPr>
    </w:p>
    <w:p w14:paraId="0F2125A5" w14:textId="77777777" w:rsidR="00C7266C" w:rsidRPr="00D403F5" w:rsidRDefault="00C7266C" w:rsidP="00D403F5">
      <w:pPr>
        <w:spacing w:after="0"/>
        <w:ind w:left="107"/>
        <w:jc w:val="both"/>
        <w:rPr>
          <w:rFonts w:ascii="Arial" w:hAnsi="Arial" w:cs="Arial"/>
          <w:sz w:val="18"/>
          <w:szCs w:val="18"/>
        </w:rPr>
        <w:sectPr w:rsidR="00C7266C" w:rsidRPr="00D403F5" w:rsidSect="00C7266C">
          <w:headerReference w:type="even" r:id="rId116"/>
          <w:headerReference w:type="default" r:id="rId117"/>
          <w:headerReference w:type="first" r:id="rId118"/>
          <w:footerReference w:type="first" r:id="rId119"/>
          <w:pgSz w:w="12240" w:h="15840" w:code="1"/>
          <w:pgMar w:top="1418" w:right="1418" w:bottom="1418" w:left="1418" w:header="709" w:footer="709" w:gutter="0"/>
          <w:cols w:space="720"/>
          <w:vAlign w:val="both"/>
          <w:docGrid w:linePitch="360"/>
        </w:sectPr>
      </w:pPr>
    </w:p>
    <w:p w14:paraId="3B8C9BC8" w14:textId="286F0743" w:rsidR="00C7266C" w:rsidRPr="00D403F5" w:rsidRDefault="00C7266C" w:rsidP="006237A8">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 xml:space="preserve">Annex </w:t>
      </w:r>
      <w:r w:rsidR="00983DC1" w:rsidRPr="00D403F5">
        <w:rPr>
          <w:rFonts w:ascii="Times New Roman" w:hAnsi="Times New Roman" w:cs="Times New Roman"/>
          <w:noProof/>
          <w:sz w:val="18"/>
          <w:szCs w:val="18"/>
          <w:u w:val="single"/>
          <w:lang w:val="en-US"/>
        </w:rPr>
        <w:t>12</w:t>
      </w:r>
    </w:p>
    <w:p w14:paraId="1C4128B1" w14:textId="77777777" w:rsidR="00C7266C" w:rsidRPr="006237A8" w:rsidRDefault="00C7266C" w:rsidP="00D403F5">
      <w:pPr>
        <w:pStyle w:val="Chaptertitle"/>
        <w:spacing w:after="0"/>
        <w:rPr>
          <w:rFonts w:cs="Arial"/>
          <w:b/>
          <w:spacing w:val="0"/>
          <w:sz w:val="28"/>
          <w:szCs w:val="28"/>
          <w:lang w:val="en-IE"/>
        </w:rPr>
      </w:pPr>
      <w:r w:rsidRPr="006237A8">
        <w:rPr>
          <w:rFonts w:cs="Arial"/>
          <w:lang w:val="en-IE"/>
        </w:rPr>
        <w:t>CHAPTER 2.3.4.</w:t>
      </w:r>
      <w:r w:rsidRPr="006237A8">
        <w:rPr>
          <w:rFonts w:cs="Arial"/>
          <w:lang w:val="en-IE"/>
        </w:rPr>
        <w:br/>
      </w:r>
      <w:r w:rsidRPr="00D403F5">
        <w:rPr>
          <w:rFonts w:cs="Arial"/>
          <w:sz w:val="18"/>
          <w:szCs w:val="18"/>
          <w:lang w:val="en-IE"/>
        </w:rPr>
        <w:br/>
      </w:r>
      <w:r w:rsidRPr="006237A8">
        <w:rPr>
          <w:rFonts w:cs="Arial"/>
          <w:b/>
          <w:sz w:val="28"/>
          <w:szCs w:val="28"/>
          <w:lang w:val="en-IE"/>
        </w:rPr>
        <w:t xml:space="preserve">infection with infectious </w:t>
      </w:r>
      <w:r w:rsidRPr="006237A8">
        <w:rPr>
          <w:rFonts w:cs="Arial"/>
          <w:b/>
          <w:sz w:val="28"/>
          <w:szCs w:val="28"/>
          <w:lang w:val="en-IE"/>
        </w:rPr>
        <w:br/>
        <w:t>haematopoietic necrosis virus</w:t>
      </w:r>
    </w:p>
    <w:p w14:paraId="0AC2CA66" w14:textId="77777777" w:rsidR="00C7266C" w:rsidRPr="006237A8" w:rsidRDefault="00C7266C" w:rsidP="006237A8">
      <w:pPr>
        <w:pStyle w:val="13"/>
        <w:spacing w:before="240"/>
        <w:rPr>
          <w:rFonts w:ascii="Arial" w:hAnsi="Arial"/>
          <w:sz w:val="18"/>
          <w:szCs w:val="18"/>
          <w:lang w:val="en-IE"/>
        </w:rPr>
      </w:pPr>
      <w:r w:rsidRPr="006237A8">
        <w:rPr>
          <w:rFonts w:ascii="Arial" w:hAnsi="Arial"/>
          <w:sz w:val="18"/>
          <w:szCs w:val="18"/>
          <w:lang w:val="en-IE"/>
        </w:rPr>
        <w:t>1.</w:t>
      </w:r>
      <w:r w:rsidRPr="006237A8">
        <w:rPr>
          <w:rFonts w:ascii="Arial" w:hAnsi="Arial"/>
          <w:sz w:val="18"/>
          <w:szCs w:val="18"/>
          <w:lang w:val="en-IE"/>
        </w:rPr>
        <w:tab/>
        <w:t>Scope</w:t>
      </w:r>
    </w:p>
    <w:p w14:paraId="6DDB5217" w14:textId="77777777" w:rsidR="00C7266C" w:rsidRPr="00D403F5" w:rsidRDefault="00C7266C" w:rsidP="006237A8">
      <w:pPr>
        <w:pStyle w:val="Para10"/>
        <w:rPr>
          <w:szCs w:val="18"/>
        </w:rPr>
      </w:pPr>
      <w:r w:rsidRPr="00D403F5">
        <w:rPr>
          <w:szCs w:val="18"/>
        </w:rPr>
        <w:t xml:space="preserve">Infection with infectious haematopoietic necrosis virus means infection with the pathogenic agent Salmonid novirhabdovirus (commonly known as infectious haematopoietic necrosis virus [IHNV]) of the Genus </w:t>
      </w:r>
      <w:r w:rsidRPr="00D403F5">
        <w:rPr>
          <w:i/>
          <w:iCs/>
          <w:szCs w:val="18"/>
        </w:rPr>
        <w:t>Novirhabdovirus</w:t>
      </w:r>
      <w:r w:rsidRPr="00D403F5">
        <w:rPr>
          <w:szCs w:val="18"/>
        </w:rPr>
        <w:t xml:space="preserve"> and Family </w:t>
      </w:r>
      <w:r w:rsidRPr="00D403F5">
        <w:rPr>
          <w:i/>
          <w:iCs/>
          <w:szCs w:val="18"/>
        </w:rPr>
        <w:t>Rhabdoviridae</w:t>
      </w:r>
      <w:r w:rsidRPr="00D403F5">
        <w:rPr>
          <w:szCs w:val="18"/>
        </w:rPr>
        <w:t>.</w:t>
      </w:r>
    </w:p>
    <w:p w14:paraId="11E92E8D" w14:textId="77777777" w:rsidR="00C7266C" w:rsidRPr="00D403F5" w:rsidRDefault="00C7266C" w:rsidP="006237A8">
      <w:pPr>
        <w:pStyle w:val="13"/>
        <w:rPr>
          <w:sz w:val="18"/>
          <w:szCs w:val="18"/>
          <w:lang w:val="en-IE"/>
        </w:rPr>
      </w:pPr>
      <w:r w:rsidRPr="00D403F5">
        <w:rPr>
          <w:sz w:val="18"/>
          <w:szCs w:val="18"/>
          <w:lang w:val="en-IE"/>
        </w:rPr>
        <w:t>2.</w:t>
      </w:r>
      <w:r w:rsidRPr="00D403F5">
        <w:rPr>
          <w:sz w:val="18"/>
          <w:szCs w:val="18"/>
          <w:lang w:val="en-IE"/>
        </w:rPr>
        <w:tab/>
        <w:t>Disease information</w:t>
      </w:r>
    </w:p>
    <w:p w14:paraId="39AB83CE" w14:textId="77777777" w:rsidR="00C7266C" w:rsidRPr="00D403F5" w:rsidRDefault="00C7266C" w:rsidP="006237A8">
      <w:pPr>
        <w:pStyle w:val="11"/>
        <w:tabs>
          <w:tab w:val="left" w:pos="1418"/>
        </w:tabs>
        <w:rPr>
          <w:sz w:val="18"/>
          <w:szCs w:val="18"/>
          <w:lang w:val="en-IE"/>
        </w:rPr>
      </w:pPr>
      <w:r w:rsidRPr="00D403F5">
        <w:rPr>
          <w:sz w:val="18"/>
          <w:szCs w:val="18"/>
          <w:lang w:val="en-IE"/>
        </w:rPr>
        <w:t>2.1.</w:t>
      </w:r>
      <w:r w:rsidRPr="00D403F5">
        <w:rPr>
          <w:sz w:val="18"/>
          <w:szCs w:val="18"/>
          <w:lang w:val="en-IE"/>
        </w:rPr>
        <w:tab/>
        <w:t>Agent factors</w:t>
      </w:r>
    </w:p>
    <w:p w14:paraId="03EC529A" w14:textId="77777777" w:rsidR="00C7266C" w:rsidRPr="00D403F5" w:rsidRDefault="00C7266C" w:rsidP="006237A8">
      <w:pPr>
        <w:pStyle w:val="111"/>
        <w:spacing w:after="240"/>
        <w:rPr>
          <w:sz w:val="18"/>
          <w:szCs w:val="18"/>
          <w:lang w:val="en-IE"/>
        </w:rPr>
      </w:pPr>
      <w:r w:rsidRPr="00D403F5">
        <w:rPr>
          <w:sz w:val="18"/>
          <w:szCs w:val="18"/>
          <w:lang w:val="en-IE"/>
        </w:rPr>
        <w:t>2.1.1.</w:t>
      </w:r>
      <w:r w:rsidRPr="00D403F5">
        <w:rPr>
          <w:sz w:val="18"/>
          <w:szCs w:val="18"/>
          <w:lang w:val="en-IE"/>
        </w:rPr>
        <w:tab/>
        <w:t>Aetiological agent</w:t>
      </w:r>
    </w:p>
    <w:p w14:paraId="1C298C7A" w14:textId="77777777" w:rsidR="00C7266C" w:rsidRPr="00D403F5" w:rsidRDefault="00C7266C" w:rsidP="006237A8">
      <w:pPr>
        <w:pStyle w:val="Para3"/>
        <w:rPr>
          <w:rFonts w:eastAsiaTheme="minorEastAsia" w:cs="Arial"/>
          <w:szCs w:val="18"/>
          <w:lang w:eastAsia="zh-CN"/>
        </w:rPr>
      </w:pPr>
      <w:r w:rsidRPr="00D403F5">
        <w:rPr>
          <w:szCs w:val="18"/>
        </w:rPr>
        <w:t>IHNV</w:t>
      </w:r>
      <w:r w:rsidRPr="00D403F5">
        <w:rPr>
          <w:rFonts w:cs="Arial"/>
          <w:szCs w:val="18"/>
        </w:rPr>
        <w:t xml:space="preserve"> consists of</w:t>
      </w:r>
      <w:r w:rsidRPr="00D403F5">
        <w:rPr>
          <w:szCs w:val="18"/>
        </w:rPr>
        <w:t xml:space="preserve"> a bullet-shaped </w:t>
      </w:r>
      <w:r w:rsidRPr="00D403F5">
        <w:rPr>
          <w:rFonts w:cs="Arial"/>
          <w:szCs w:val="18"/>
        </w:rPr>
        <w:t xml:space="preserve">particle </w:t>
      </w:r>
      <w:r w:rsidRPr="00D403F5">
        <w:rPr>
          <w:rFonts w:eastAsiaTheme="minorHAnsi" w:cs="Arial"/>
          <w:szCs w:val="18"/>
        </w:rPr>
        <w:t>of approximately 150–190 nm in length and 65–75 nm</w:t>
      </w:r>
      <w:r w:rsidRPr="00D403F5">
        <w:rPr>
          <w:rFonts w:cs="Arial"/>
          <w:szCs w:val="18"/>
        </w:rPr>
        <w:t xml:space="preserve"> in diameter that encapsulates</w:t>
      </w:r>
      <w:r w:rsidRPr="00D403F5">
        <w:rPr>
          <w:szCs w:val="18"/>
        </w:rPr>
        <w:t xml:space="preserve"> a non-segmented, negative-sense, single-stranded RNA genome of approximately 11,000</w:t>
      </w:r>
      <w:r w:rsidRPr="00D403F5">
        <w:rPr>
          <w:rFonts w:cs="Arial"/>
          <w:szCs w:val="18"/>
        </w:rPr>
        <w:t xml:space="preserve"> </w:t>
      </w:r>
      <w:r w:rsidRPr="00D403F5">
        <w:rPr>
          <w:szCs w:val="18"/>
        </w:rPr>
        <w:t>nucleotides</w:t>
      </w:r>
      <w:r w:rsidRPr="00D403F5">
        <w:rPr>
          <w:rFonts w:cs="Arial"/>
          <w:szCs w:val="18"/>
        </w:rPr>
        <w:t>. The viral genome codes for</w:t>
      </w:r>
      <w:r w:rsidRPr="00D403F5">
        <w:rPr>
          <w:szCs w:val="18"/>
        </w:rPr>
        <w:t xml:space="preserve"> six proteins in the following order: a nucleoprotein (N), a phosphoprotein (P), a matrix protein (M), a glycoprotein (G), a non-virion protein (NV), and a polymerase (L). </w:t>
      </w:r>
      <w:r w:rsidRPr="00D403F5">
        <w:rPr>
          <w:rFonts w:eastAsiaTheme="minorHAnsi" w:cs="Arial"/>
          <w:szCs w:val="18"/>
        </w:rPr>
        <w:t>Due to the primary position of the nucleoprotein gene on the IHNV genome, nucleoprotein transcripts and protein are the first and most abundant during viral infection and is typically the preferred target</w:t>
      </w:r>
      <w:r w:rsidRPr="00D403F5">
        <w:rPr>
          <w:rFonts w:eastAsiaTheme="minorEastAsia" w:cs="Arial"/>
          <w:szCs w:val="18"/>
          <w:lang w:eastAsia="zh-CN"/>
        </w:rPr>
        <w:t xml:space="preserve"> </w:t>
      </w:r>
      <w:r w:rsidRPr="00D403F5">
        <w:rPr>
          <w:rFonts w:eastAsiaTheme="minorHAnsi" w:cs="Arial"/>
          <w:szCs w:val="18"/>
        </w:rPr>
        <w:t>of diagnostic tests. The glycoprotein forms spike-like projections on the surface of the mature virion and is the primary antigenic component of the virus such that anti</w:t>
      </w:r>
      <w:r w:rsidRPr="00D403F5">
        <w:rPr>
          <w:rFonts w:eastAsiaTheme="minorEastAsia" w:cs="Arial"/>
          <w:szCs w:val="18"/>
          <w:lang w:eastAsia="zh-CN"/>
        </w:rPr>
        <w:t xml:space="preserve"> </w:t>
      </w:r>
      <w:r w:rsidRPr="00D403F5">
        <w:rPr>
          <w:rFonts w:eastAsiaTheme="minorHAnsi" w:cs="Arial"/>
          <w:szCs w:val="18"/>
        </w:rPr>
        <w:t>glycoprotein serum is sufficient to neutralise infections.</w:t>
      </w:r>
    </w:p>
    <w:p w14:paraId="00FEF672" w14:textId="77777777" w:rsidR="00C7266C" w:rsidRPr="00D403F5" w:rsidRDefault="00C7266C" w:rsidP="006237A8">
      <w:pPr>
        <w:pStyle w:val="Para3"/>
        <w:rPr>
          <w:rFonts w:cs="Arial"/>
          <w:szCs w:val="18"/>
        </w:rPr>
      </w:pPr>
      <w:r w:rsidRPr="00D403F5">
        <w:rPr>
          <w:rFonts w:cs="Arial"/>
          <w:szCs w:val="18"/>
        </w:rPr>
        <w:t xml:space="preserve">The type strain of IHNV is the Western Regional Aquaculture Center (WRAC) strain available from the American Type Culture Collection (ATCC VR-1392). The GenBank accession number of the genomic sequence of the WRAC strain is L40883 (Morzunov </w:t>
      </w:r>
      <w:r w:rsidRPr="00D403F5">
        <w:rPr>
          <w:rFonts w:cs="Arial"/>
          <w:i/>
          <w:szCs w:val="18"/>
        </w:rPr>
        <w:t>et al.,</w:t>
      </w:r>
      <w:r w:rsidRPr="00D403F5">
        <w:rPr>
          <w:rFonts w:cs="Arial"/>
          <w:szCs w:val="18"/>
        </w:rPr>
        <w:t xml:space="preserve"> 1995; </w:t>
      </w:r>
      <w:r w:rsidRPr="00D403F5">
        <w:rPr>
          <w:rFonts w:cs="Arial"/>
          <w:noProof/>
          <w:szCs w:val="18"/>
        </w:rPr>
        <w:t>Winton &amp; Einer-Jensen, 2002)</w:t>
      </w:r>
      <w:r w:rsidRPr="00D403F5">
        <w:rPr>
          <w:rFonts w:cs="Arial"/>
          <w:szCs w:val="18"/>
        </w:rPr>
        <w:t xml:space="preserve">. </w:t>
      </w:r>
    </w:p>
    <w:p w14:paraId="504129E3" w14:textId="77777777" w:rsidR="00C7266C" w:rsidRPr="00D403F5" w:rsidRDefault="00C7266C" w:rsidP="006237A8">
      <w:pPr>
        <w:pStyle w:val="Para3"/>
        <w:rPr>
          <w:rFonts w:cs="Arial"/>
          <w:szCs w:val="18"/>
          <w:lang w:eastAsia="fr-FR"/>
        </w:rPr>
      </w:pPr>
      <w:r w:rsidRPr="00D403F5">
        <w:rPr>
          <w:rFonts w:cs="Arial"/>
          <w:szCs w:val="18"/>
        </w:rPr>
        <w:t>Phylogenetic analyses based on G-gene nucleotide sequences</w:t>
      </w:r>
      <w:r w:rsidRPr="00D403F5">
        <w:rPr>
          <w:rFonts w:eastAsiaTheme="minorEastAsia" w:cs="Arial"/>
          <w:szCs w:val="18"/>
          <w:lang w:eastAsia="zh-CN"/>
        </w:rPr>
        <w:t xml:space="preserve"> </w:t>
      </w:r>
      <w:r w:rsidRPr="00D403F5">
        <w:rPr>
          <w:rFonts w:cs="Arial"/>
          <w:szCs w:val="18"/>
        </w:rPr>
        <w:t xml:space="preserve">have classified IHNV isolates into five major genogroups denoted U, M, L, E, and J that correspond to geographical location rather than host species (Cieslak </w:t>
      </w:r>
      <w:r w:rsidRPr="00D403F5">
        <w:rPr>
          <w:rFonts w:cs="Arial"/>
          <w:i/>
          <w:szCs w:val="18"/>
        </w:rPr>
        <w:t>et al.,</w:t>
      </w:r>
      <w:r w:rsidRPr="00D403F5">
        <w:rPr>
          <w:rFonts w:cs="Arial"/>
          <w:szCs w:val="18"/>
        </w:rPr>
        <w:t xml:space="preserve"> 2017; Enzmann </w:t>
      </w:r>
      <w:r w:rsidRPr="00D403F5">
        <w:rPr>
          <w:rFonts w:cs="Arial"/>
          <w:i/>
          <w:szCs w:val="18"/>
        </w:rPr>
        <w:t>et al.,</w:t>
      </w:r>
      <w:r w:rsidRPr="00D403F5">
        <w:rPr>
          <w:rFonts w:cs="Arial"/>
          <w:szCs w:val="18"/>
        </w:rPr>
        <w:t xml:space="preserve"> 2005; 2010; Johansson </w:t>
      </w:r>
      <w:r w:rsidRPr="00D403F5">
        <w:rPr>
          <w:rFonts w:cs="Arial"/>
          <w:i/>
          <w:szCs w:val="18"/>
        </w:rPr>
        <w:t>et al.,</w:t>
      </w:r>
      <w:r w:rsidRPr="00D403F5">
        <w:rPr>
          <w:rFonts w:cs="Arial"/>
          <w:szCs w:val="18"/>
        </w:rPr>
        <w:t xml:space="preserve"> 2009; Kim </w:t>
      </w:r>
      <w:r w:rsidRPr="00D403F5">
        <w:rPr>
          <w:rFonts w:cs="Arial"/>
          <w:i/>
          <w:szCs w:val="18"/>
        </w:rPr>
        <w:t>et al.,</w:t>
      </w:r>
      <w:r w:rsidRPr="00D403F5">
        <w:rPr>
          <w:rFonts w:cs="Arial"/>
          <w:szCs w:val="18"/>
        </w:rPr>
        <w:t xml:space="preserve"> 1999; Kolodziejek </w:t>
      </w:r>
      <w:r w:rsidRPr="00D403F5">
        <w:rPr>
          <w:rFonts w:cs="Arial"/>
          <w:i/>
          <w:szCs w:val="18"/>
        </w:rPr>
        <w:t>et al.,</w:t>
      </w:r>
      <w:r w:rsidRPr="00D403F5">
        <w:rPr>
          <w:rFonts w:cs="Arial"/>
          <w:szCs w:val="18"/>
        </w:rPr>
        <w:t xml:space="preserve"> 2008; Kurath </w:t>
      </w:r>
      <w:r w:rsidRPr="00D403F5">
        <w:rPr>
          <w:rFonts w:cs="Arial"/>
          <w:i/>
          <w:szCs w:val="18"/>
        </w:rPr>
        <w:t>et al.,</w:t>
      </w:r>
      <w:r w:rsidRPr="00D403F5">
        <w:rPr>
          <w:rFonts w:cs="Arial"/>
          <w:szCs w:val="18"/>
        </w:rPr>
        <w:t xml:space="preserve"> 2003; </w:t>
      </w:r>
      <w:r w:rsidRPr="00D403F5">
        <w:rPr>
          <w:rStyle w:val="rfrencesChar"/>
          <w:rFonts w:cs="Arial"/>
          <w:szCs w:val="18"/>
          <w:lang w:val="en-US"/>
        </w:rPr>
        <w:t xml:space="preserve">Nishizawa </w:t>
      </w:r>
      <w:r w:rsidRPr="00D403F5">
        <w:rPr>
          <w:rStyle w:val="rfrencesChar"/>
          <w:rFonts w:cs="Arial"/>
          <w:i/>
          <w:szCs w:val="18"/>
          <w:lang w:val="en-US"/>
        </w:rPr>
        <w:t>et al.,</w:t>
      </w:r>
      <w:r w:rsidRPr="00D403F5">
        <w:rPr>
          <w:rStyle w:val="rfrencesChar"/>
          <w:rFonts w:cs="Arial"/>
          <w:szCs w:val="18"/>
          <w:lang w:val="en-US"/>
        </w:rPr>
        <w:t xml:space="preserve"> 2006</w:t>
      </w:r>
      <w:r w:rsidRPr="00D403F5">
        <w:rPr>
          <w:rFonts w:cs="Arial"/>
          <w:szCs w:val="18"/>
        </w:rPr>
        <w:t xml:space="preserve">). Nevertheless, </w:t>
      </w:r>
      <w:r w:rsidRPr="00D403F5">
        <w:rPr>
          <w:rFonts w:cs="Arial"/>
          <w:szCs w:val="18"/>
          <w:lang w:eastAsia="fr-FR"/>
        </w:rPr>
        <w:t>IHNV displays a strong phylogeographic signature reflecting the host species from which the virus is most commonly isolated in various geographical areas (e.g. sockeye salmon [</w:t>
      </w:r>
      <w:r w:rsidRPr="00D403F5">
        <w:rPr>
          <w:i/>
          <w:szCs w:val="18"/>
        </w:rPr>
        <w:t>Oncorhynchus nerka</w:t>
      </w:r>
      <w:r w:rsidRPr="00D403F5">
        <w:rPr>
          <w:rFonts w:cs="Arial"/>
          <w:szCs w:val="18"/>
          <w:lang w:eastAsia="fr-FR"/>
        </w:rPr>
        <w:t>] in the Northeast Pacific – U genogroup; Chinook salmon [</w:t>
      </w:r>
      <w:r w:rsidRPr="00D403F5">
        <w:rPr>
          <w:i/>
          <w:szCs w:val="18"/>
        </w:rPr>
        <w:t>Oncorhynchus tshawytscha</w:t>
      </w:r>
      <w:r w:rsidRPr="00D403F5">
        <w:rPr>
          <w:rFonts w:cs="Arial"/>
          <w:szCs w:val="18"/>
          <w:lang w:eastAsia="fr-FR"/>
        </w:rPr>
        <w:t>] in California, USA – L genogroup; and rainbow trout [</w:t>
      </w:r>
      <w:r w:rsidRPr="00D403F5">
        <w:rPr>
          <w:rFonts w:cs="Arial"/>
          <w:i/>
          <w:szCs w:val="18"/>
        </w:rPr>
        <w:t>Oncorhynchus mykiss</w:t>
      </w:r>
      <w:r w:rsidRPr="00D403F5">
        <w:rPr>
          <w:rFonts w:cs="Arial"/>
          <w:szCs w:val="18"/>
          <w:lang w:eastAsia="fr-FR"/>
        </w:rPr>
        <w:t xml:space="preserve">] in Europe, Asia and Idaho, USA – E, J and M genogroups, respectively). </w:t>
      </w:r>
      <w:r w:rsidRPr="00D403F5">
        <w:rPr>
          <w:rFonts w:cs="Arial"/>
          <w:szCs w:val="18"/>
        </w:rPr>
        <w:t>Additionally, experimental infections</w:t>
      </w:r>
      <w:r w:rsidRPr="00D403F5">
        <w:rPr>
          <w:rFonts w:eastAsiaTheme="minorEastAsia" w:cs="Arial"/>
          <w:szCs w:val="18"/>
          <w:lang w:eastAsia="zh-CN"/>
        </w:rPr>
        <w:t xml:space="preserve"> </w:t>
      </w:r>
      <w:r w:rsidRPr="00D403F5">
        <w:rPr>
          <w:rFonts w:cs="Arial"/>
          <w:szCs w:val="18"/>
          <w:lang w:eastAsia="fr-FR"/>
        </w:rPr>
        <w:t xml:space="preserve">demonstrating </w:t>
      </w:r>
      <w:r w:rsidRPr="00D403F5">
        <w:rPr>
          <w:rFonts w:cs="Arial"/>
          <w:szCs w:val="18"/>
        </w:rPr>
        <w:t xml:space="preserve">that U and M genogroup viruses had higher virulence in sockeye salmon and rainbow trout, respectively </w:t>
      </w:r>
      <w:r w:rsidRPr="00D403F5">
        <w:rPr>
          <w:rFonts w:cs="Arial"/>
          <w:noProof/>
          <w:szCs w:val="18"/>
        </w:rPr>
        <w:t xml:space="preserve">(Garver </w:t>
      </w:r>
      <w:r w:rsidRPr="00D403F5">
        <w:rPr>
          <w:rFonts w:cs="Arial"/>
          <w:i/>
          <w:iCs/>
          <w:noProof/>
          <w:szCs w:val="18"/>
        </w:rPr>
        <w:t>et al</w:t>
      </w:r>
      <w:r w:rsidRPr="00D403F5">
        <w:rPr>
          <w:rFonts w:cs="Arial"/>
          <w:noProof/>
          <w:szCs w:val="18"/>
        </w:rPr>
        <w:t>., 2006)</w:t>
      </w:r>
      <w:r w:rsidRPr="00D403F5">
        <w:rPr>
          <w:rFonts w:cs="Arial"/>
          <w:szCs w:val="18"/>
        </w:rPr>
        <w:t xml:space="preserve">, </w:t>
      </w:r>
      <w:r w:rsidRPr="00D403F5">
        <w:rPr>
          <w:rFonts w:cs="Arial"/>
          <w:szCs w:val="18"/>
          <w:lang w:eastAsia="fr-FR"/>
        </w:rPr>
        <w:t>supports the observation that IHNV strains isolated from its historical phylogeographic host tends to be more virulent for the same species in comparison to other species.</w:t>
      </w:r>
    </w:p>
    <w:p w14:paraId="6EF0C553" w14:textId="77777777" w:rsidR="00C7266C" w:rsidRPr="00D403F5" w:rsidRDefault="00C7266C" w:rsidP="006237A8">
      <w:pPr>
        <w:pStyle w:val="111"/>
        <w:spacing w:after="240"/>
        <w:rPr>
          <w:sz w:val="18"/>
          <w:szCs w:val="18"/>
          <w:lang w:val="en-IE"/>
        </w:rPr>
      </w:pPr>
      <w:r w:rsidRPr="00D403F5">
        <w:rPr>
          <w:sz w:val="18"/>
          <w:szCs w:val="18"/>
          <w:lang w:val="en-IE"/>
        </w:rPr>
        <w:t>2.1.2.</w:t>
      </w:r>
      <w:r w:rsidRPr="00D403F5">
        <w:rPr>
          <w:sz w:val="18"/>
          <w:szCs w:val="18"/>
          <w:lang w:val="en-IE"/>
        </w:rPr>
        <w:tab/>
        <w:t>Survival and stability in processed or stored samples</w:t>
      </w:r>
    </w:p>
    <w:p w14:paraId="25CF00FB" w14:textId="77777777" w:rsidR="00C7266C" w:rsidRPr="00D403F5" w:rsidRDefault="00C7266C" w:rsidP="006237A8">
      <w:pPr>
        <w:pStyle w:val="Para3"/>
        <w:rPr>
          <w:szCs w:val="18"/>
        </w:rPr>
      </w:pPr>
      <w:r w:rsidRPr="00D403F5">
        <w:rPr>
          <w:szCs w:val="18"/>
        </w:rPr>
        <w:t>IHNV stability in host tissues during storage</w:t>
      </w:r>
      <w:r w:rsidRPr="00D403F5">
        <w:rPr>
          <w:rFonts w:eastAsiaTheme="minorEastAsia"/>
          <w:szCs w:val="18"/>
          <w:lang w:eastAsia="zh-CN"/>
        </w:rPr>
        <w:t xml:space="preserve"> </w:t>
      </w:r>
      <w:r w:rsidRPr="00D403F5">
        <w:rPr>
          <w:szCs w:val="18"/>
        </w:rPr>
        <w:t>and processing is largely influenced by temperature. The virus is more stable at lower temperature and remained infectious for at least 3 days at 4°C in naturally infected or IHNV-seeded tissue (</w:t>
      </w:r>
      <w:r w:rsidRPr="00D403F5">
        <w:rPr>
          <w:rFonts w:cs="Arial"/>
          <w:szCs w:val="18"/>
        </w:rPr>
        <w:t xml:space="preserve">Burke &amp; Mulcahy, 1983; </w:t>
      </w:r>
      <w:r w:rsidRPr="00D403F5">
        <w:rPr>
          <w:szCs w:val="18"/>
        </w:rPr>
        <w:t xml:space="preserve">Gosting &amp; Gould, 1981; </w:t>
      </w:r>
      <w:r w:rsidRPr="00D403F5">
        <w:rPr>
          <w:rFonts w:cs="Arial"/>
          <w:szCs w:val="18"/>
        </w:rPr>
        <w:t xml:space="preserve">Hostnik </w:t>
      </w:r>
      <w:r w:rsidRPr="00D403F5">
        <w:rPr>
          <w:rFonts w:cs="Arial"/>
          <w:i/>
          <w:szCs w:val="18"/>
        </w:rPr>
        <w:t>et al.,</w:t>
      </w:r>
      <w:r w:rsidRPr="00D403F5">
        <w:rPr>
          <w:rFonts w:cs="Arial"/>
          <w:szCs w:val="18"/>
        </w:rPr>
        <w:t xml:space="preserve"> 2002; Pietsch </w:t>
      </w:r>
      <w:r w:rsidRPr="00D403F5">
        <w:rPr>
          <w:rFonts w:cs="Arial"/>
          <w:i/>
          <w:szCs w:val="18"/>
        </w:rPr>
        <w:t>et al.</w:t>
      </w:r>
      <w:r w:rsidRPr="00D403F5">
        <w:rPr>
          <w:rFonts w:cs="Arial"/>
          <w:szCs w:val="18"/>
        </w:rPr>
        <w:t>, 1977)</w:t>
      </w:r>
      <w:r w:rsidRPr="00D403F5">
        <w:rPr>
          <w:szCs w:val="18"/>
        </w:rPr>
        <w:t xml:space="preserve">. For long-term survival of infectious virus, tissues should be stored at temperatures below –20°C </w:t>
      </w:r>
      <w:r w:rsidRPr="00D403F5">
        <w:rPr>
          <w:noProof/>
          <w:szCs w:val="18"/>
        </w:rPr>
        <w:t>(</w:t>
      </w:r>
      <w:r w:rsidRPr="00D403F5">
        <w:rPr>
          <w:rFonts w:cs="Arial"/>
          <w:szCs w:val="18"/>
        </w:rPr>
        <w:t xml:space="preserve">Burke &amp; Mulcahy, 1983; </w:t>
      </w:r>
      <w:r w:rsidRPr="00D403F5">
        <w:rPr>
          <w:noProof/>
          <w:szCs w:val="18"/>
        </w:rPr>
        <w:t xml:space="preserve">McClure </w:t>
      </w:r>
      <w:r w:rsidRPr="00D403F5">
        <w:rPr>
          <w:i/>
          <w:noProof/>
          <w:szCs w:val="18"/>
        </w:rPr>
        <w:t>et al.,</w:t>
      </w:r>
      <w:r w:rsidRPr="00D403F5">
        <w:rPr>
          <w:noProof/>
          <w:szCs w:val="18"/>
        </w:rPr>
        <w:t xml:space="preserve"> 2008)</w:t>
      </w:r>
      <w:r w:rsidRPr="00D403F5">
        <w:rPr>
          <w:szCs w:val="18"/>
        </w:rPr>
        <w:t xml:space="preserve">. The preferred method for retaining infectious virus is to maintain the IHNV sample on ice with rapid processing and inoculation of cell cultures as soon as possible due to the progressive reduction in titre with increasing temperature </w:t>
      </w:r>
      <w:r w:rsidRPr="00D403F5">
        <w:rPr>
          <w:rFonts w:cs="Arial"/>
          <w:noProof/>
          <w:szCs w:val="18"/>
          <w:lang w:eastAsia="fr-FR"/>
        </w:rPr>
        <w:t>(</w:t>
      </w:r>
      <w:r w:rsidRPr="00D403F5">
        <w:rPr>
          <w:rFonts w:cs="Arial"/>
          <w:szCs w:val="18"/>
        </w:rPr>
        <w:t xml:space="preserve">Barlic-Maganja </w:t>
      </w:r>
      <w:r w:rsidRPr="00D403F5">
        <w:rPr>
          <w:rFonts w:cs="Arial"/>
          <w:i/>
          <w:szCs w:val="18"/>
        </w:rPr>
        <w:t>et al.,</w:t>
      </w:r>
      <w:r w:rsidRPr="00D403F5">
        <w:rPr>
          <w:rFonts w:cs="Arial"/>
          <w:szCs w:val="18"/>
        </w:rPr>
        <w:t xml:space="preserve"> 2002; </w:t>
      </w:r>
      <w:r w:rsidRPr="00D403F5">
        <w:rPr>
          <w:szCs w:val="18"/>
        </w:rPr>
        <w:t>Gosting &amp; Gould, 1981)</w:t>
      </w:r>
      <w:r w:rsidRPr="00D403F5">
        <w:rPr>
          <w:rFonts w:cs="Arial"/>
          <w:szCs w:val="18"/>
          <w:lang w:eastAsia="fr-FR"/>
        </w:rPr>
        <w:t>.</w:t>
      </w:r>
    </w:p>
    <w:p w14:paraId="11657261" w14:textId="77777777" w:rsidR="00C7266C" w:rsidRPr="00D403F5" w:rsidRDefault="00C7266C" w:rsidP="00D403F5">
      <w:pPr>
        <w:spacing w:after="0"/>
        <w:rPr>
          <w:rFonts w:ascii="Ottawa" w:hAnsi="Ottawa"/>
          <w:b/>
          <w:bCs/>
          <w:sz w:val="18"/>
          <w:szCs w:val="18"/>
          <w:lang w:val="en-IE" w:eastAsia="fr-FR"/>
        </w:rPr>
      </w:pPr>
      <w:r w:rsidRPr="00D403F5">
        <w:rPr>
          <w:sz w:val="18"/>
          <w:szCs w:val="18"/>
          <w:lang w:val="en-IE"/>
        </w:rPr>
        <w:br w:type="page"/>
      </w:r>
    </w:p>
    <w:p w14:paraId="7BE1BADE" w14:textId="17EE7FD7" w:rsidR="00C7266C" w:rsidRPr="00D403F5" w:rsidRDefault="00C7266C" w:rsidP="006237A8">
      <w:pPr>
        <w:spacing w:after="480"/>
        <w:rPr>
          <w:rFonts w:ascii="Times New Roman" w:hAnsi="Times New Roman" w:cs="Times New Roman"/>
          <w:sz w:val="18"/>
          <w:szCs w:val="18"/>
        </w:rPr>
      </w:pPr>
      <w:r w:rsidRPr="00D403F5">
        <w:rPr>
          <w:rFonts w:ascii="Times New Roman" w:hAnsi="Times New Roman" w:cs="Times New Roman"/>
          <w:noProof/>
          <w:sz w:val="18"/>
          <w:szCs w:val="18"/>
          <w:u w:val="single"/>
          <w:lang w:val="en-US"/>
        </w:rPr>
        <w:t xml:space="preserve">Annex </w:t>
      </w:r>
      <w:r w:rsidR="00983DC1" w:rsidRPr="00D403F5">
        <w:rPr>
          <w:rFonts w:ascii="Times New Roman" w:hAnsi="Times New Roman" w:cs="Times New Roman"/>
          <w:noProof/>
          <w:sz w:val="18"/>
          <w:szCs w:val="18"/>
          <w:u w:val="single"/>
          <w:lang w:val="en-US"/>
        </w:rPr>
        <w:t>12</w:t>
      </w:r>
      <w:r w:rsidRPr="00D403F5">
        <w:rPr>
          <w:rFonts w:ascii="Times New Roman" w:hAnsi="Times New Roman" w:cs="Times New Roman"/>
          <w:noProof/>
          <w:sz w:val="18"/>
          <w:szCs w:val="18"/>
          <w:u w:val="single"/>
          <w:lang w:val="en-US"/>
        </w:rPr>
        <w:t xml:space="preserve"> </w:t>
      </w:r>
      <w:r w:rsidRPr="00D403F5">
        <w:rPr>
          <w:rFonts w:ascii="Times New Roman" w:hAnsi="Times New Roman" w:cs="Times New Roman"/>
          <w:noProof/>
          <w:sz w:val="18"/>
          <w:szCs w:val="18"/>
          <w:lang w:val="en-US"/>
        </w:rPr>
        <w:t>(contd)</w:t>
      </w:r>
    </w:p>
    <w:p w14:paraId="1DCAC95E" w14:textId="77777777" w:rsidR="00C7266C" w:rsidRPr="00D403F5" w:rsidRDefault="00C7266C" w:rsidP="006237A8">
      <w:pPr>
        <w:pStyle w:val="111"/>
        <w:spacing w:after="240"/>
        <w:rPr>
          <w:sz w:val="18"/>
          <w:szCs w:val="18"/>
          <w:lang w:val="en-IE"/>
        </w:rPr>
      </w:pPr>
      <w:r w:rsidRPr="00D403F5">
        <w:rPr>
          <w:sz w:val="18"/>
          <w:szCs w:val="18"/>
          <w:lang w:val="en-IE"/>
        </w:rPr>
        <w:t>2.1.3.</w:t>
      </w:r>
      <w:r w:rsidRPr="00D403F5">
        <w:rPr>
          <w:sz w:val="18"/>
          <w:szCs w:val="18"/>
          <w:lang w:val="en-IE"/>
        </w:rPr>
        <w:tab/>
        <w:t xml:space="preserve">Survival and stability outside the host </w:t>
      </w:r>
    </w:p>
    <w:p w14:paraId="079BD239" w14:textId="77777777" w:rsidR="00C7266C" w:rsidRPr="00D403F5" w:rsidRDefault="00C7266C" w:rsidP="006237A8">
      <w:pPr>
        <w:pStyle w:val="Para3"/>
        <w:rPr>
          <w:szCs w:val="18"/>
        </w:rPr>
      </w:pPr>
      <w:r w:rsidRPr="00D403F5">
        <w:rPr>
          <w:rFonts w:cs="Arial"/>
          <w:szCs w:val="18"/>
        </w:rPr>
        <w:t xml:space="preserve">IHNV can survive outside the host tissue in freshwater and seawater, but is impacted by temperature, UV exposure, microbial community and suspended sediments. At </w:t>
      </w:r>
      <w:r w:rsidRPr="00D403F5">
        <w:rPr>
          <w:szCs w:val="18"/>
        </w:rPr>
        <w:t xml:space="preserve">4°C–15°C, </w:t>
      </w:r>
      <w:r w:rsidRPr="00D403F5">
        <w:rPr>
          <w:rFonts w:cs="Arial"/>
          <w:szCs w:val="18"/>
        </w:rPr>
        <w:t>10</w:t>
      </w:r>
      <w:r w:rsidRPr="00D403F5">
        <w:rPr>
          <w:rFonts w:cs="Arial"/>
          <w:szCs w:val="18"/>
          <w:vertAlign w:val="superscript"/>
        </w:rPr>
        <w:t xml:space="preserve">5 </w:t>
      </w:r>
      <w:r w:rsidRPr="00D403F5">
        <w:rPr>
          <w:rFonts w:cs="Arial"/>
          <w:szCs w:val="18"/>
        </w:rPr>
        <w:t>pfu/ml of IHNV remained detectable via cell culture</w:t>
      </w:r>
      <w:r w:rsidRPr="00D403F5">
        <w:rPr>
          <w:rFonts w:eastAsiaTheme="minorEastAsia" w:cs="Arial"/>
          <w:szCs w:val="18"/>
          <w:lang w:eastAsia="zh-CN"/>
        </w:rPr>
        <w:t xml:space="preserve"> </w:t>
      </w:r>
      <w:r w:rsidRPr="00D403F5">
        <w:rPr>
          <w:rFonts w:cs="Arial"/>
          <w:szCs w:val="18"/>
        </w:rPr>
        <w:t xml:space="preserve">after 1 week in either fresh or salt water </w:t>
      </w:r>
      <w:r w:rsidRPr="00D403F5">
        <w:rPr>
          <w:rFonts w:cs="Arial"/>
          <w:noProof/>
          <w:szCs w:val="18"/>
        </w:rPr>
        <w:t xml:space="preserve">(Kell </w:t>
      </w:r>
      <w:r w:rsidRPr="00D403F5">
        <w:rPr>
          <w:rFonts w:cs="Arial"/>
          <w:i/>
          <w:noProof/>
          <w:szCs w:val="18"/>
        </w:rPr>
        <w:t>et al.,</w:t>
      </w:r>
      <w:r w:rsidRPr="00D403F5">
        <w:rPr>
          <w:rFonts w:cs="Arial"/>
          <w:noProof/>
          <w:szCs w:val="18"/>
        </w:rPr>
        <w:t xml:space="preserve"> 2014)</w:t>
      </w:r>
      <w:r w:rsidRPr="00D403F5">
        <w:rPr>
          <w:szCs w:val="18"/>
        </w:rPr>
        <w:t xml:space="preserve">. However, when exposed to sunlight (UV-A and UV-B), IHNV at the water surface is rapidly inactivated with six orders of magnitude of virus rendered non-infectious within 3 hours (Garver </w:t>
      </w:r>
      <w:r w:rsidRPr="00D403F5">
        <w:rPr>
          <w:i/>
          <w:szCs w:val="18"/>
        </w:rPr>
        <w:t>et al.,</w:t>
      </w:r>
      <w:r w:rsidRPr="00D403F5">
        <w:rPr>
          <w:szCs w:val="18"/>
        </w:rPr>
        <w:t xml:space="preserve"> 2013). In addition, infectious virus is inactivated by the microbial community within the water source and with increased</w:t>
      </w:r>
      <w:r w:rsidRPr="00D403F5">
        <w:rPr>
          <w:rFonts w:eastAsiaTheme="minorEastAsia"/>
          <w:szCs w:val="18"/>
          <w:lang w:eastAsia="zh-CN"/>
        </w:rPr>
        <w:t xml:space="preserve"> amounts of </w:t>
      </w:r>
      <w:r w:rsidRPr="00D403F5">
        <w:rPr>
          <w:szCs w:val="18"/>
        </w:rPr>
        <w:t xml:space="preserve">suspended sediments (Garver </w:t>
      </w:r>
      <w:r w:rsidRPr="00D403F5">
        <w:rPr>
          <w:i/>
          <w:szCs w:val="18"/>
        </w:rPr>
        <w:t>et al.,</w:t>
      </w:r>
      <w:r w:rsidRPr="00D403F5">
        <w:rPr>
          <w:szCs w:val="18"/>
        </w:rPr>
        <w:t xml:space="preserve"> 2013; </w:t>
      </w:r>
      <w:r w:rsidRPr="00D403F5">
        <w:rPr>
          <w:rFonts w:cs="Arial"/>
          <w:szCs w:val="18"/>
        </w:rPr>
        <w:t xml:space="preserve">Kamei </w:t>
      </w:r>
      <w:r w:rsidRPr="00D403F5">
        <w:rPr>
          <w:rFonts w:cs="Arial"/>
          <w:i/>
          <w:szCs w:val="18"/>
        </w:rPr>
        <w:t>et al.,</w:t>
      </w:r>
      <w:r w:rsidRPr="00D403F5">
        <w:rPr>
          <w:rFonts w:cs="Arial"/>
          <w:szCs w:val="18"/>
        </w:rPr>
        <w:t xml:space="preserve"> 1987</w:t>
      </w:r>
      <w:r w:rsidRPr="00D403F5">
        <w:rPr>
          <w:szCs w:val="18"/>
        </w:rPr>
        <w:t>).</w:t>
      </w:r>
    </w:p>
    <w:p w14:paraId="7FDC9B96" w14:textId="77777777" w:rsidR="00C7266C" w:rsidRPr="00D403F5" w:rsidRDefault="00C7266C" w:rsidP="006237A8">
      <w:pPr>
        <w:pStyle w:val="Para3"/>
        <w:rPr>
          <w:rFonts w:cs="Arial"/>
          <w:szCs w:val="18"/>
        </w:rPr>
      </w:pPr>
      <w:r w:rsidRPr="00D403F5">
        <w:rPr>
          <w:rFonts w:cs="Arial"/>
          <w:szCs w:val="18"/>
        </w:rPr>
        <w:t>For inactivation methods, see Section 2.4.6.</w:t>
      </w:r>
    </w:p>
    <w:p w14:paraId="4D49C340" w14:textId="77777777" w:rsidR="00C7266C" w:rsidRPr="00D403F5" w:rsidRDefault="00C7266C" w:rsidP="006237A8">
      <w:pPr>
        <w:pStyle w:val="11"/>
        <w:rPr>
          <w:sz w:val="18"/>
          <w:szCs w:val="18"/>
          <w:lang w:val="en-IE"/>
        </w:rPr>
      </w:pPr>
      <w:r w:rsidRPr="00D403F5">
        <w:rPr>
          <w:sz w:val="18"/>
          <w:szCs w:val="18"/>
          <w:lang w:val="en-IE"/>
        </w:rPr>
        <w:t>2.2.</w:t>
      </w:r>
      <w:r w:rsidRPr="00D403F5">
        <w:rPr>
          <w:sz w:val="18"/>
          <w:szCs w:val="18"/>
          <w:lang w:val="en-IE"/>
        </w:rPr>
        <w:tab/>
        <w:t>Host factors</w:t>
      </w:r>
    </w:p>
    <w:p w14:paraId="21D44E89" w14:textId="77777777" w:rsidR="00C7266C" w:rsidRPr="00D403F5" w:rsidRDefault="00C7266C" w:rsidP="006237A8">
      <w:pPr>
        <w:pStyle w:val="111"/>
        <w:spacing w:after="240"/>
        <w:rPr>
          <w:sz w:val="18"/>
          <w:szCs w:val="18"/>
          <w:lang w:val="en-IE"/>
        </w:rPr>
      </w:pPr>
      <w:r w:rsidRPr="00D403F5">
        <w:rPr>
          <w:sz w:val="18"/>
          <w:szCs w:val="18"/>
          <w:lang w:val="en-IE"/>
        </w:rPr>
        <w:t>2.2.1.</w:t>
      </w:r>
      <w:r w:rsidRPr="00D403F5">
        <w:rPr>
          <w:sz w:val="18"/>
          <w:szCs w:val="18"/>
          <w:lang w:val="en-IE"/>
        </w:rPr>
        <w:tab/>
        <w:t xml:space="preserve">Susceptible host species </w:t>
      </w:r>
    </w:p>
    <w:p w14:paraId="68D5A0E7" w14:textId="77777777" w:rsidR="00C7266C" w:rsidRPr="00D403F5" w:rsidRDefault="00C7266C" w:rsidP="006237A8">
      <w:pPr>
        <w:pStyle w:val="Para3"/>
        <w:rPr>
          <w:rFonts w:eastAsiaTheme="minorEastAsia" w:cs="Arial"/>
          <w:szCs w:val="18"/>
          <w:lang w:eastAsia="zh-CN"/>
        </w:rPr>
      </w:pPr>
      <w:r w:rsidRPr="00D403F5">
        <w:rPr>
          <w:rFonts w:cs="Arial"/>
          <w:szCs w:val="18"/>
        </w:rPr>
        <w:t xml:space="preserve">Species that fulfil the criteria for listing as susceptible to infection with IHNV according to Chapter 1.5 of </w:t>
      </w:r>
      <w:r w:rsidRPr="00D403F5">
        <w:rPr>
          <w:rFonts w:cs="Arial"/>
          <w:i/>
          <w:iCs/>
          <w:szCs w:val="18"/>
        </w:rPr>
        <w:t>Aquatic Animal Health Code</w:t>
      </w:r>
      <w:r w:rsidRPr="00D403F5">
        <w:rPr>
          <w:rFonts w:cs="Arial"/>
          <w:szCs w:val="18"/>
        </w:rPr>
        <w:t xml:space="preserve"> (</w:t>
      </w:r>
      <w:r w:rsidRPr="00D403F5">
        <w:rPr>
          <w:rFonts w:cs="Arial"/>
          <w:i/>
          <w:iCs/>
          <w:szCs w:val="18"/>
        </w:rPr>
        <w:t>Aquatic Code</w:t>
      </w:r>
      <w:r w:rsidRPr="00D403F5">
        <w:rPr>
          <w:rFonts w:cs="Arial"/>
          <w:szCs w:val="18"/>
        </w:rPr>
        <w:t xml:space="preserve">) are: </w:t>
      </w:r>
    </w:p>
    <w:tbl>
      <w:tblPr>
        <w:tblStyle w:val="af2"/>
        <w:tblW w:w="8075" w:type="dxa"/>
        <w:tblInd w:w="851" w:type="dxa"/>
        <w:tblLook w:val="04A0" w:firstRow="1" w:lastRow="0" w:firstColumn="1" w:lastColumn="0" w:noHBand="0" w:noVBand="1"/>
      </w:tblPr>
      <w:tblGrid>
        <w:gridCol w:w="1979"/>
        <w:gridCol w:w="2835"/>
        <w:gridCol w:w="3261"/>
      </w:tblGrid>
      <w:tr w:rsidR="00C7266C" w:rsidRPr="00D403F5" w14:paraId="3CD01054" w14:textId="77777777" w:rsidTr="00C7266C">
        <w:trPr>
          <w:tblHeader/>
        </w:trPr>
        <w:tc>
          <w:tcPr>
            <w:tcW w:w="1979" w:type="dxa"/>
            <w:vAlign w:val="center"/>
          </w:tcPr>
          <w:p w14:paraId="668AB487" w14:textId="77777777" w:rsidR="00C7266C" w:rsidRPr="00D403F5" w:rsidRDefault="00C7266C" w:rsidP="00D403F5">
            <w:pPr>
              <w:pStyle w:val="Para3"/>
              <w:spacing w:after="0"/>
              <w:ind w:left="0"/>
              <w:jc w:val="center"/>
              <w:rPr>
                <w:b/>
                <w:szCs w:val="18"/>
              </w:rPr>
            </w:pPr>
            <w:r w:rsidRPr="00D403F5">
              <w:rPr>
                <w:b/>
                <w:szCs w:val="18"/>
              </w:rPr>
              <w:t>Family</w:t>
            </w:r>
          </w:p>
        </w:tc>
        <w:tc>
          <w:tcPr>
            <w:tcW w:w="2835" w:type="dxa"/>
            <w:vAlign w:val="center"/>
          </w:tcPr>
          <w:p w14:paraId="723C8D7C" w14:textId="77777777" w:rsidR="00C7266C" w:rsidRPr="00D403F5" w:rsidRDefault="00C7266C" w:rsidP="00D403F5">
            <w:pPr>
              <w:pStyle w:val="Para3"/>
              <w:spacing w:after="0"/>
              <w:ind w:left="0"/>
              <w:jc w:val="center"/>
              <w:rPr>
                <w:b/>
                <w:szCs w:val="18"/>
              </w:rPr>
            </w:pPr>
            <w:r w:rsidRPr="00D403F5">
              <w:rPr>
                <w:b/>
                <w:szCs w:val="18"/>
              </w:rPr>
              <w:t>Scientific name</w:t>
            </w:r>
          </w:p>
        </w:tc>
        <w:tc>
          <w:tcPr>
            <w:tcW w:w="3261" w:type="dxa"/>
            <w:vAlign w:val="center"/>
          </w:tcPr>
          <w:p w14:paraId="180CC436" w14:textId="77777777" w:rsidR="00C7266C" w:rsidRPr="00D403F5" w:rsidRDefault="00C7266C" w:rsidP="00D403F5">
            <w:pPr>
              <w:pStyle w:val="Para3"/>
              <w:spacing w:after="0"/>
              <w:ind w:left="0"/>
              <w:jc w:val="center"/>
              <w:rPr>
                <w:b/>
                <w:szCs w:val="18"/>
              </w:rPr>
            </w:pPr>
            <w:r w:rsidRPr="00D403F5">
              <w:rPr>
                <w:b/>
                <w:szCs w:val="18"/>
              </w:rPr>
              <w:t>Common name</w:t>
            </w:r>
          </w:p>
        </w:tc>
      </w:tr>
      <w:tr w:rsidR="00C7266C" w:rsidRPr="00D403F5" w14:paraId="1947B82A" w14:textId="77777777" w:rsidTr="00C7266C">
        <w:tc>
          <w:tcPr>
            <w:tcW w:w="1979" w:type="dxa"/>
            <w:vAlign w:val="center"/>
          </w:tcPr>
          <w:p w14:paraId="150F2FA6" w14:textId="77777777" w:rsidR="00C7266C" w:rsidRPr="00D403F5" w:rsidRDefault="00C7266C" w:rsidP="00D403F5">
            <w:pPr>
              <w:pStyle w:val="Para3"/>
              <w:spacing w:after="0"/>
              <w:ind w:left="0"/>
              <w:jc w:val="center"/>
              <w:rPr>
                <w:i/>
                <w:szCs w:val="18"/>
              </w:rPr>
            </w:pPr>
            <w:r w:rsidRPr="00D403F5">
              <w:rPr>
                <w:rFonts w:cs="Arial"/>
                <w:color w:val="000000"/>
                <w:szCs w:val="18"/>
              </w:rPr>
              <w:t>Esocidae</w:t>
            </w:r>
          </w:p>
        </w:tc>
        <w:tc>
          <w:tcPr>
            <w:tcW w:w="2835" w:type="dxa"/>
            <w:vAlign w:val="center"/>
          </w:tcPr>
          <w:p w14:paraId="02A3B193" w14:textId="77777777" w:rsidR="00C7266C" w:rsidRPr="00D403F5" w:rsidRDefault="00C7266C" w:rsidP="00D403F5">
            <w:pPr>
              <w:pStyle w:val="Para3"/>
              <w:spacing w:after="0"/>
              <w:ind w:left="0"/>
              <w:jc w:val="center"/>
              <w:rPr>
                <w:szCs w:val="18"/>
              </w:rPr>
            </w:pPr>
            <w:r w:rsidRPr="00D403F5">
              <w:rPr>
                <w:i/>
                <w:szCs w:val="18"/>
              </w:rPr>
              <w:t>Esox lucius</w:t>
            </w:r>
          </w:p>
        </w:tc>
        <w:tc>
          <w:tcPr>
            <w:tcW w:w="3261" w:type="dxa"/>
            <w:vAlign w:val="center"/>
          </w:tcPr>
          <w:p w14:paraId="5CE005B4" w14:textId="77777777" w:rsidR="00C7266C" w:rsidRPr="00D403F5" w:rsidRDefault="00C7266C" w:rsidP="00D403F5">
            <w:pPr>
              <w:pStyle w:val="Para3"/>
              <w:spacing w:after="0"/>
              <w:ind w:left="0"/>
              <w:jc w:val="center"/>
              <w:rPr>
                <w:szCs w:val="18"/>
              </w:rPr>
            </w:pPr>
            <w:r w:rsidRPr="00D403F5">
              <w:rPr>
                <w:szCs w:val="18"/>
              </w:rPr>
              <w:t>Northern pike</w:t>
            </w:r>
          </w:p>
        </w:tc>
      </w:tr>
      <w:tr w:rsidR="00C7266C" w:rsidRPr="00D403F5" w14:paraId="1B691645" w14:textId="77777777" w:rsidTr="00C7266C">
        <w:tc>
          <w:tcPr>
            <w:tcW w:w="1979" w:type="dxa"/>
            <w:vMerge w:val="restart"/>
            <w:vAlign w:val="center"/>
          </w:tcPr>
          <w:p w14:paraId="6F70F1B5" w14:textId="77777777" w:rsidR="00C7266C" w:rsidRPr="00D403F5" w:rsidRDefault="00C7266C" w:rsidP="00D403F5">
            <w:pPr>
              <w:pStyle w:val="Para3"/>
              <w:spacing w:after="0"/>
              <w:ind w:left="0"/>
              <w:jc w:val="center"/>
              <w:rPr>
                <w:rFonts w:cs="Arial"/>
                <w:i/>
                <w:iCs/>
                <w:szCs w:val="18"/>
              </w:rPr>
            </w:pPr>
            <w:r w:rsidRPr="00D403F5">
              <w:rPr>
                <w:rFonts w:ascii="Calibri" w:hAnsi="Calibri" w:cs="Calibri"/>
                <w:color w:val="000000"/>
                <w:szCs w:val="18"/>
              </w:rPr>
              <w:t>Salmonidae</w:t>
            </w:r>
          </w:p>
        </w:tc>
        <w:tc>
          <w:tcPr>
            <w:tcW w:w="2835" w:type="dxa"/>
            <w:vAlign w:val="center"/>
          </w:tcPr>
          <w:p w14:paraId="5AF58D69" w14:textId="77777777" w:rsidR="00C7266C" w:rsidRPr="00D403F5" w:rsidRDefault="00C7266C" w:rsidP="00D403F5">
            <w:pPr>
              <w:pStyle w:val="Para3"/>
              <w:spacing w:after="0"/>
              <w:ind w:left="0"/>
              <w:jc w:val="center"/>
              <w:rPr>
                <w:i/>
                <w:szCs w:val="18"/>
              </w:rPr>
            </w:pPr>
            <w:r w:rsidRPr="00D403F5">
              <w:rPr>
                <w:rFonts w:cs="Arial"/>
                <w:i/>
                <w:iCs/>
                <w:szCs w:val="18"/>
              </w:rPr>
              <w:t>Salmo marmoratus</w:t>
            </w:r>
          </w:p>
        </w:tc>
        <w:tc>
          <w:tcPr>
            <w:tcW w:w="3261" w:type="dxa"/>
            <w:vAlign w:val="center"/>
          </w:tcPr>
          <w:p w14:paraId="193EDB20" w14:textId="77777777" w:rsidR="00C7266C" w:rsidRPr="00D403F5" w:rsidRDefault="00C7266C" w:rsidP="00D403F5">
            <w:pPr>
              <w:pStyle w:val="Para3"/>
              <w:spacing w:after="0"/>
              <w:ind w:left="0"/>
              <w:jc w:val="center"/>
              <w:rPr>
                <w:szCs w:val="18"/>
              </w:rPr>
            </w:pPr>
            <w:r w:rsidRPr="00D403F5">
              <w:rPr>
                <w:rFonts w:cs="Arial"/>
                <w:iCs/>
                <w:szCs w:val="18"/>
              </w:rPr>
              <w:t>Marble trout</w:t>
            </w:r>
          </w:p>
        </w:tc>
      </w:tr>
      <w:tr w:rsidR="00C7266C" w:rsidRPr="00D403F5" w14:paraId="5880FB25" w14:textId="77777777" w:rsidTr="00C7266C">
        <w:tc>
          <w:tcPr>
            <w:tcW w:w="1979" w:type="dxa"/>
            <w:vMerge/>
            <w:vAlign w:val="center"/>
          </w:tcPr>
          <w:p w14:paraId="29881F06" w14:textId="77777777" w:rsidR="00C7266C" w:rsidRPr="00D403F5" w:rsidRDefault="00C7266C" w:rsidP="00D403F5">
            <w:pPr>
              <w:pStyle w:val="Para3"/>
              <w:spacing w:after="0"/>
              <w:ind w:left="0"/>
              <w:jc w:val="center"/>
              <w:rPr>
                <w:i/>
                <w:szCs w:val="18"/>
              </w:rPr>
            </w:pPr>
          </w:p>
        </w:tc>
        <w:tc>
          <w:tcPr>
            <w:tcW w:w="2835" w:type="dxa"/>
            <w:vAlign w:val="center"/>
          </w:tcPr>
          <w:p w14:paraId="661AE75E" w14:textId="77777777" w:rsidR="00C7266C" w:rsidRPr="00D403F5" w:rsidRDefault="00C7266C" w:rsidP="00D403F5">
            <w:pPr>
              <w:pStyle w:val="Para3"/>
              <w:spacing w:after="0"/>
              <w:ind w:left="0"/>
              <w:jc w:val="center"/>
              <w:rPr>
                <w:szCs w:val="18"/>
              </w:rPr>
            </w:pPr>
            <w:r w:rsidRPr="00D403F5">
              <w:rPr>
                <w:i/>
                <w:szCs w:val="18"/>
              </w:rPr>
              <w:t>Salmo salar</w:t>
            </w:r>
          </w:p>
        </w:tc>
        <w:tc>
          <w:tcPr>
            <w:tcW w:w="3261" w:type="dxa"/>
            <w:vAlign w:val="center"/>
          </w:tcPr>
          <w:p w14:paraId="312AF836" w14:textId="77777777" w:rsidR="00C7266C" w:rsidRPr="00D403F5" w:rsidRDefault="00C7266C" w:rsidP="00D403F5">
            <w:pPr>
              <w:pStyle w:val="Para3"/>
              <w:spacing w:after="0"/>
              <w:ind w:left="0"/>
              <w:jc w:val="center"/>
              <w:rPr>
                <w:szCs w:val="18"/>
              </w:rPr>
            </w:pPr>
            <w:r w:rsidRPr="00D403F5">
              <w:rPr>
                <w:szCs w:val="18"/>
              </w:rPr>
              <w:t>Atlantic salmon</w:t>
            </w:r>
          </w:p>
        </w:tc>
      </w:tr>
      <w:tr w:rsidR="00C7266C" w:rsidRPr="00D403F5" w14:paraId="3B9A6ABD" w14:textId="77777777" w:rsidTr="00C7266C">
        <w:tc>
          <w:tcPr>
            <w:tcW w:w="1979" w:type="dxa"/>
            <w:vMerge/>
            <w:vAlign w:val="center"/>
          </w:tcPr>
          <w:p w14:paraId="672F97E0" w14:textId="77777777" w:rsidR="00C7266C" w:rsidRPr="00D403F5" w:rsidRDefault="00C7266C" w:rsidP="00D403F5">
            <w:pPr>
              <w:pStyle w:val="Para3"/>
              <w:spacing w:after="0"/>
              <w:ind w:left="0"/>
              <w:jc w:val="center"/>
              <w:rPr>
                <w:i/>
                <w:szCs w:val="18"/>
              </w:rPr>
            </w:pPr>
          </w:p>
        </w:tc>
        <w:tc>
          <w:tcPr>
            <w:tcW w:w="2835" w:type="dxa"/>
            <w:vAlign w:val="center"/>
          </w:tcPr>
          <w:p w14:paraId="27E2599F" w14:textId="77777777" w:rsidR="00C7266C" w:rsidRPr="00D403F5" w:rsidRDefault="00C7266C" w:rsidP="00D403F5">
            <w:pPr>
              <w:pStyle w:val="Para3"/>
              <w:spacing w:after="0"/>
              <w:ind w:left="0"/>
              <w:jc w:val="center"/>
              <w:rPr>
                <w:i/>
                <w:szCs w:val="18"/>
              </w:rPr>
            </w:pPr>
            <w:r w:rsidRPr="00D403F5">
              <w:rPr>
                <w:i/>
                <w:szCs w:val="18"/>
              </w:rPr>
              <w:t>Salmo trutta</w:t>
            </w:r>
          </w:p>
        </w:tc>
        <w:tc>
          <w:tcPr>
            <w:tcW w:w="3261" w:type="dxa"/>
            <w:vAlign w:val="center"/>
          </w:tcPr>
          <w:p w14:paraId="3194FC28" w14:textId="77777777" w:rsidR="00C7266C" w:rsidRPr="00D403F5" w:rsidRDefault="00C7266C" w:rsidP="00D403F5">
            <w:pPr>
              <w:pStyle w:val="Para3"/>
              <w:spacing w:after="0"/>
              <w:ind w:left="0"/>
              <w:jc w:val="center"/>
              <w:rPr>
                <w:szCs w:val="18"/>
              </w:rPr>
            </w:pPr>
            <w:r w:rsidRPr="00D403F5">
              <w:rPr>
                <w:szCs w:val="18"/>
              </w:rPr>
              <w:t>Brown trout</w:t>
            </w:r>
          </w:p>
        </w:tc>
      </w:tr>
      <w:tr w:rsidR="00C7266C" w:rsidRPr="00D403F5" w14:paraId="3E89FBB2" w14:textId="77777777" w:rsidTr="00C7266C">
        <w:tc>
          <w:tcPr>
            <w:tcW w:w="1979" w:type="dxa"/>
            <w:vMerge/>
            <w:vAlign w:val="center"/>
          </w:tcPr>
          <w:p w14:paraId="2DFDB731" w14:textId="77777777" w:rsidR="00C7266C" w:rsidRPr="00D403F5" w:rsidRDefault="00C7266C" w:rsidP="00D403F5">
            <w:pPr>
              <w:pStyle w:val="Para3"/>
              <w:spacing w:after="0"/>
              <w:ind w:left="0"/>
              <w:jc w:val="center"/>
              <w:rPr>
                <w:szCs w:val="18"/>
              </w:rPr>
            </w:pPr>
          </w:p>
        </w:tc>
        <w:tc>
          <w:tcPr>
            <w:tcW w:w="2835" w:type="dxa"/>
            <w:vAlign w:val="center"/>
          </w:tcPr>
          <w:p w14:paraId="7969A72B" w14:textId="77777777" w:rsidR="00C7266C" w:rsidRPr="00D403F5" w:rsidRDefault="00C7266C" w:rsidP="00D403F5">
            <w:pPr>
              <w:pStyle w:val="Para3"/>
              <w:spacing w:after="0"/>
              <w:ind w:left="0"/>
              <w:jc w:val="center"/>
              <w:rPr>
                <w:i/>
                <w:szCs w:val="18"/>
              </w:rPr>
            </w:pPr>
            <w:r w:rsidRPr="00D403F5">
              <w:rPr>
                <w:i/>
                <w:szCs w:val="18"/>
              </w:rPr>
              <w:t>Salvelinus alpinus</w:t>
            </w:r>
          </w:p>
        </w:tc>
        <w:tc>
          <w:tcPr>
            <w:tcW w:w="3261" w:type="dxa"/>
            <w:vAlign w:val="center"/>
          </w:tcPr>
          <w:p w14:paraId="653F0AB0" w14:textId="77777777" w:rsidR="00C7266C" w:rsidRPr="00D403F5" w:rsidRDefault="00C7266C" w:rsidP="00D403F5">
            <w:pPr>
              <w:pStyle w:val="Para3"/>
              <w:spacing w:after="0"/>
              <w:ind w:left="0"/>
              <w:jc w:val="center"/>
              <w:rPr>
                <w:szCs w:val="18"/>
              </w:rPr>
            </w:pPr>
            <w:r w:rsidRPr="00D403F5">
              <w:rPr>
                <w:szCs w:val="18"/>
              </w:rPr>
              <w:t>Arctic char</w:t>
            </w:r>
          </w:p>
        </w:tc>
      </w:tr>
      <w:tr w:rsidR="00C7266C" w:rsidRPr="00D403F5" w14:paraId="3254305B" w14:textId="77777777" w:rsidTr="00C7266C">
        <w:tc>
          <w:tcPr>
            <w:tcW w:w="1979" w:type="dxa"/>
            <w:vMerge/>
            <w:vAlign w:val="center"/>
          </w:tcPr>
          <w:p w14:paraId="4E89BBDF" w14:textId="77777777" w:rsidR="00C7266C" w:rsidRPr="00D403F5" w:rsidRDefault="00C7266C" w:rsidP="00D403F5">
            <w:pPr>
              <w:pStyle w:val="Para3"/>
              <w:spacing w:after="0"/>
              <w:ind w:left="0"/>
              <w:jc w:val="center"/>
              <w:rPr>
                <w:szCs w:val="18"/>
              </w:rPr>
            </w:pPr>
          </w:p>
        </w:tc>
        <w:tc>
          <w:tcPr>
            <w:tcW w:w="2835" w:type="dxa"/>
            <w:vAlign w:val="center"/>
          </w:tcPr>
          <w:p w14:paraId="14F93C8C" w14:textId="77777777" w:rsidR="00C7266C" w:rsidRPr="00D403F5" w:rsidRDefault="00C7266C" w:rsidP="00D403F5">
            <w:pPr>
              <w:pStyle w:val="Para3"/>
              <w:spacing w:after="0"/>
              <w:ind w:left="0"/>
              <w:jc w:val="center"/>
              <w:rPr>
                <w:i/>
                <w:szCs w:val="18"/>
              </w:rPr>
            </w:pPr>
            <w:r w:rsidRPr="00D403F5">
              <w:rPr>
                <w:i/>
                <w:szCs w:val="18"/>
              </w:rPr>
              <w:t>Salvelinus fontinalis</w:t>
            </w:r>
          </w:p>
        </w:tc>
        <w:tc>
          <w:tcPr>
            <w:tcW w:w="3261" w:type="dxa"/>
            <w:vAlign w:val="center"/>
          </w:tcPr>
          <w:p w14:paraId="389474DE" w14:textId="77777777" w:rsidR="00C7266C" w:rsidRPr="00D403F5" w:rsidRDefault="00C7266C" w:rsidP="00D403F5">
            <w:pPr>
              <w:pStyle w:val="Para3"/>
              <w:spacing w:after="0"/>
              <w:ind w:left="0"/>
              <w:jc w:val="center"/>
              <w:rPr>
                <w:szCs w:val="18"/>
              </w:rPr>
            </w:pPr>
            <w:r w:rsidRPr="00D403F5">
              <w:rPr>
                <w:szCs w:val="18"/>
              </w:rPr>
              <w:t>Brook trout</w:t>
            </w:r>
          </w:p>
        </w:tc>
      </w:tr>
      <w:tr w:rsidR="00C7266C" w:rsidRPr="00D403F5" w14:paraId="1FF34A74" w14:textId="77777777" w:rsidTr="00C7266C">
        <w:tc>
          <w:tcPr>
            <w:tcW w:w="1979" w:type="dxa"/>
            <w:vMerge/>
            <w:vAlign w:val="center"/>
          </w:tcPr>
          <w:p w14:paraId="62CFE661" w14:textId="77777777" w:rsidR="00C7266C" w:rsidRPr="00D403F5" w:rsidRDefault="00C7266C" w:rsidP="00D403F5">
            <w:pPr>
              <w:pStyle w:val="Para3"/>
              <w:spacing w:after="0"/>
              <w:ind w:left="0"/>
              <w:jc w:val="center"/>
              <w:rPr>
                <w:szCs w:val="18"/>
              </w:rPr>
            </w:pPr>
          </w:p>
        </w:tc>
        <w:tc>
          <w:tcPr>
            <w:tcW w:w="2835" w:type="dxa"/>
            <w:vAlign w:val="center"/>
          </w:tcPr>
          <w:p w14:paraId="5CC5F07A" w14:textId="77777777" w:rsidR="00C7266C" w:rsidRPr="00D403F5" w:rsidRDefault="00C7266C" w:rsidP="00D403F5">
            <w:pPr>
              <w:pStyle w:val="Para3"/>
              <w:spacing w:after="0"/>
              <w:ind w:left="0"/>
              <w:jc w:val="center"/>
              <w:rPr>
                <w:szCs w:val="18"/>
              </w:rPr>
            </w:pPr>
            <w:r w:rsidRPr="00D403F5">
              <w:rPr>
                <w:szCs w:val="18"/>
              </w:rPr>
              <w:t xml:space="preserve">Salvelinus </w:t>
            </w:r>
            <w:r w:rsidRPr="00D403F5">
              <w:rPr>
                <w:i/>
                <w:szCs w:val="18"/>
              </w:rPr>
              <w:t>namaycush</w:t>
            </w:r>
          </w:p>
        </w:tc>
        <w:tc>
          <w:tcPr>
            <w:tcW w:w="3261" w:type="dxa"/>
            <w:vAlign w:val="center"/>
          </w:tcPr>
          <w:p w14:paraId="30A75EF9" w14:textId="77777777" w:rsidR="00C7266C" w:rsidRPr="00D403F5" w:rsidRDefault="00C7266C" w:rsidP="00D403F5">
            <w:pPr>
              <w:pStyle w:val="Para3"/>
              <w:spacing w:after="0"/>
              <w:ind w:left="0"/>
              <w:jc w:val="center"/>
              <w:rPr>
                <w:szCs w:val="18"/>
              </w:rPr>
            </w:pPr>
            <w:r w:rsidRPr="00D403F5">
              <w:rPr>
                <w:szCs w:val="18"/>
              </w:rPr>
              <w:t>Lake trout</w:t>
            </w:r>
          </w:p>
        </w:tc>
      </w:tr>
      <w:tr w:rsidR="00C7266C" w:rsidRPr="00D403F5" w14:paraId="65C5D1F6" w14:textId="77777777" w:rsidTr="00C7266C">
        <w:tc>
          <w:tcPr>
            <w:tcW w:w="1979" w:type="dxa"/>
            <w:vMerge/>
            <w:vAlign w:val="center"/>
          </w:tcPr>
          <w:p w14:paraId="537C0F5E" w14:textId="77777777" w:rsidR="00C7266C" w:rsidRPr="00D403F5" w:rsidRDefault="00C7266C" w:rsidP="00D403F5">
            <w:pPr>
              <w:pStyle w:val="Para3"/>
              <w:spacing w:after="0"/>
              <w:ind w:left="0"/>
              <w:jc w:val="center"/>
              <w:rPr>
                <w:i/>
                <w:szCs w:val="18"/>
              </w:rPr>
            </w:pPr>
          </w:p>
        </w:tc>
        <w:tc>
          <w:tcPr>
            <w:tcW w:w="2835" w:type="dxa"/>
            <w:vAlign w:val="center"/>
          </w:tcPr>
          <w:p w14:paraId="59667113" w14:textId="77777777" w:rsidR="00C7266C" w:rsidRPr="00D403F5" w:rsidRDefault="00C7266C" w:rsidP="00D403F5">
            <w:pPr>
              <w:pStyle w:val="Para3"/>
              <w:spacing w:after="0"/>
              <w:ind w:left="0"/>
              <w:jc w:val="center"/>
              <w:rPr>
                <w:szCs w:val="18"/>
              </w:rPr>
            </w:pPr>
            <w:r w:rsidRPr="00D403F5">
              <w:rPr>
                <w:i/>
                <w:szCs w:val="18"/>
              </w:rPr>
              <w:t>Oncorhynchus clarki</w:t>
            </w:r>
          </w:p>
        </w:tc>
        <w:tc>
          <w:tcPr>
            <w:tcW w:w="3261" w:type="dxa"/>
            <w:vAlign w:val="center"/>
          </w:tcPr>
          <w:p w14:paraId="4A0CBD45" w14:textId="77777777" w:rsidR="00C7266C" w:rsidRPr="00D403F5" w:rsidRDefault="00C7266C" w:rsidP="00D403F5">
            <w:pPr>
              <w:pStyle w:val="Para3"/>
              <w:spacing w:after="0"/>
              <w:ind w:left="0"/>
              <w:jc w:val="center"/>
              <w:rPr>
                <w:szCs w:val="18"/>
              </w:rPr>
            </w:pPr>
            <w:r w:rsidRPr="00D403F5">
              <w:rPr>
                <w:szCs w:val="18"/>
              </w:rPr>
              <w:t>Cutthroat trout</w:t>
            </w:r>
          </w:p>
        </w:tc>
      </w:tr>
      <w:tr w:rsidR="00C7266C" w:rsidRPr="00D403F5" w14:paraId="03F13FDD" w14:textId="77777777" w:rsidTr="00C7266C">
        <w:tc>
          <w:tcPr>
            <w:tcW w:w="1979" w:type="dxa"/>
            <w:vMerge/>
            <w:vAlign w:val="center"/>
          </w:tcPr>
          <w:p w14:paraId="7114B8A9" w14:textId="77777777" w:rsidR="00C7266C" w:rsidRPr="00D403F5" w:rsidRDefault="00C7266C" w:rsidP="00D403F5">
            <w:pPr>
              <w:pStyle w:val="Para3"/>
              <w:spacing w:after="0"/>
              <w:ind w:left="0"/>
              <w:jc w:val="center"/>
              <w:rPr>
                <w:i/>
                <w:szCs w:val="18"/>
              </w:rPr>
            </w:pPr>
          </w:p>
        </w:tc>
        <w:tc>
          <w:tcPr>
            <w:tcW w:w="2835" w:type="dxa"/>
            <w:vAlign w:val="center"/>
          </w:tcPr>
          <w:p w14:paraId="42FD139F" w14:textId="77777777" w:rsidR="00C7266C" w:rsidRPr="00D403F5" w:rsidRDefault="00C7266C" w:rsidP="00D403F5">
            <w:pPr>
              <w:pStyle w:val="Para3"/>
              <w:spacing w:after="0"/>
              <w:ind w:left="0"/>
              <w:jc w:val="center"/>
              <w:rPr>
                <w:szCs w:val="18"/>
              </w:rPr>
            </w:pPr>
            <w:r w:rsidRPr="00D403F5">
              <w:rPr>
                <w:i/>
                <w:szCs w:val="18"/>
              </w:rPr>
              <w:t>Oncorhynchus tshawytscha</w:t>
            </w:r>
          </w:p>
        </w:tc>
        <w:tc>
          <w:tcPr>
            <w:tcW w:w="3261" w:type="dxa"/>
            <w:vAlign w:val="center"/>
          </w:tcPr>
          <w:p w14:paraId="01E687B8" w14:textId="77777777" w:rsidR="00C7266C" w:rsidRPr="00D403F5" w:rsidRDefault="00C7266C" w:rsidP="00D403F5">
            <w:pPr>
              <w:pStyle w:val="Para3"/>
              <w:spacing w:after="0"/>
              <w:ind w:left="0"/>
              <w:jc w:val="center"/>
              <w:rPr>
                <w:szCs w:val="18"/>
              </w:rPr>
            </w:pPr>
            <w:r w:rsidRPr="00D403F5">
              <w:rPr>
                <w:szCs w:val="18"/>
              </w:rPr>
              <w:t>Chinook salmon</w:t>
            </w:r>
          </w:p>
        </w:tc>
      </w:tr>
      <w:tr w:rsidR="00C7266C" w:rsidRPr="00D403F5" w14:paraId="2277B782" w14:textId="77777777" w:rsidTr="00C7266C">
        <w:tc>
          <w:tcPr>
            <w:tcW w:w="1979" w:type="dxa"/>
            <w:vMerge/>
            <w:vAlign w:val="center"/>
          </w:tcPr>
          <w:p w14:paraId="592BC698" w14:textId="77777777" w:rsidR="00C7266C" w:rsidRPr="00D403F5" w:rsidRDefault="00C7266C" w:rsidP="00D403F5">
            <w:pPr>
              <w:pStyle w:val="Para3"/>
              <w:spacing w:after="0"/>
              <w:ind w:left="0"/>
              <w:jc w:val="center"/>
              <w:rPr>
                <w:i/>
                <w:szCs w:val="18"/>
              </w:rPr>
            </w:pPr>
          </w:p>
        </w:tc>
        <w:tc>
          <w:tcPr>
            <w:tcW w:w="2835" w:type="dxa"/>
            <w:vAlign w:val="center"/>
          </w:tcPr>
          <w:p w14:paraId="7F6EA6BA" w14:textId="77777777" w:rsidR="00C7266C" w:rsidRPr="00D403F5" w:rsidRDefault="00C7266C" w:rsidP="00D403F5">
            <w:pPr>
              <w:pStyle w:val="Para3"/>
              <w:spacing w:after="0"/>
              <w:ind w:left="0"/>
              <w:jc w:val="center"/>
              <w:rPr>
                <w:szCs w:val="18"/>
              </w:rPr>
            </w:pPr>
            <w:r w:rsidRPr="00D403F5">
              <w:rPr>
                <w:i/>
                <w:szCs w:val="18"/>
              </w:rPr>
              <w:t>Oncorhynchus</w:t>
            </w:r>
            <w:r w:rsidRPr="00D403F5">
              <w:rPr>
                <w:szCs w:val="18"/>
              </w:rPr>
              <w:t xml:space="preserve"> </w:t>
            </w:r>
            <w:r w:rsidRPr="00D403F5">
              <w:rPr>
                <w:i/>
                <w:szCs w:val="18"/>
              </w:rPr>
              <w:t>keta</w:t>
            </w:r>
          </w:p>
        </w:tc>
        <w:tc>
          <w:tcPr>
            <w:tcW w:w="3261" w:type="dxa"/>
            <w:vAlign w:val="center"/>
          </w:tcPr>
          <w:p w14:paraId="52FF2D3F" w14:textId="77777777" w:rsidR="00C7266C" w:rsidRPr="00D403F5" w:rsidRDefault="00C7266C" w:rsidP="00D403F5">
            <w:pPr>
              <w:pStyle w:val="Para3"/>
              <w:spacing w:after="0"/>
              <w:ind w:left="0"/>
              <w:jc w:val="center"/>
              <w:rPr>
                <w:szCs w:val="18"/>
              </w:rPr>
            </w:pPr>
            <w:r w:rsidRPr="00D403F5">
              <w:rPr>
                <w:szCs w:val="18"/>
              </w:rPr>
              <w:t>Chum salmon</w:t>
            </w:r>
          </w:p>
        </w:tc>
      </w:tr>
      <w:tr w:rsidR="00C7266C" w:rsidRPr="00D403F5" w14:paraId="00FEE8F8" w14:textId="77777777" w:rsidTr="00C7266C">
        <w:tc>
          <w:tcPr>
            <w:tcW w:w="1979" w:type="dxa"/>
            <w:vMerge/>
            <w:vAlign w:val="center"/>
          </w:tcPr>
          <w:p w14:paraId="65C7C619" w14:textId="77777777" w:rsidR="00C7266C" w:rsidRPr="00D403F5" w:rsidRDefault="00C7266C" w:rsidP="00D403F5">
            <w:pPr>
              <w:pStyle w:val="Para3"/>
              <w:spacing w:after="0"/>
              <w:ind w:left="0"/>
              <w:jc w:val="center"/>
              <w:rPr>
                <w:i/>
                <w:szCs w:val="18"/>
              </w:rPr>
            </w:pPr>
          </w:p>
        </w:tc>
        <w:tc>
          <w:tcPr>
            <w:tcW w:w="2835" w:type="dxa"/>
            <w:vAlign w:val="center"/>
          </w:tcPr>
          <w:p w14:paraId="3C079F0C" w14:textId="77777777" w:rsidR="00C7266C" w:rsidRPr="00D403F5" w:rsidRDefault="00C7266C" w:rsidP="00D403F5">
            <w:pPr>
              <w:pStyle w:val="Para3"/>
              <w:spacing w:after="0"/>
              <w:ind w:left="0"/>
              <w:jc w:val="center"/>
              <w:rPr>
                <w:szCs w:val="18"/>
              </w:rPr>
            </w:pPr>
            <w:r w:rsidRPr="00D403F5">
              <w:rPr>
                <w:i/>
                <w:szCs w:val="18"/>
              </w:rPr>
              <w:t>Oncorhynchus</w:t>
            </w:r>
            <w:r w:rsidRPr="00D403F5">
              <w:rPr>
                <w:szCs w:val="18"/>
              </w:rPr>
              <w:t xml:space="preserve"> </w:t>
            </w:r>
            <w:r w:rsidRPr="00D403F5">
              <w:rPr>
                <w:i/>
                <w:szCs w:val="18"/>
              </w:rPr>
              <w:t>kisutch</w:t>
            </w:r>
          </w:p>
        </w:tc>
        <w:tc>
          <w:tcPr>
            <w:tcW w:w="3261" w:type="dxa"/>
            <w:vAlign w:val="center"/>
          </w:tcPr>
          <w:p w14:paraId="0B6D73C4" w14:textId="77777777" w:rsidR="00C7266C" w:rsidRPr="00D403F5" w:rsidRDefault="00C7266C" w:rsidP="00D403F5">
            <w:pPr>
              <w:pStyle w:val="Para3"/>
              <w:spacing w:after="0"/>
              <w:ind w:left="0"/>
              <w:jc w:val="center"/>
              <w:rPr>
                <w:szCs w:val="18"/>
              </w:rPr>
            </w:pPr>
            <w:r w:rsidRPr="00D403F5">
              <w:rPr>
                <w:szCs w:val="18"/>
              </w:rPr>
              <w:t>Coho salmon</w:t>
            </w:r>
          </w:p>
        </w:tc>
      </w:tr>
      <w:tr w:rsidR="00C7266C" w:rsidRPr="00D403F5" w14:paraId="209C7351" w14:textId="77777777" w:rsidTr="00C7266C">
        <w:tc>
          <w:tcPr>
            <w:tcW w:w="1979" w:type="dxa"/>
            <w:vMerge/>
            <w:vAlign w:val="center"/>
          </w:tcPr>
          <w:p w14:paraId="4E3C1F80" w14:textId="77777777" w:rsidR="00C7266C" w:rsidRPr="00D403F5" w:rsidRDefault="00C7266C" w:rsidP="00D403F5">
            <w:pPr>
              <w:pStyle w:val="Para3"/>
              <w:spacing w:after="0"/>
              <w:ind w:left="0"/>
              <w:jc w:val="center"/>
              <w:rPr>
                <w:i/>
                <w:szCs w:val="18"/>
              </w:rPr>
            </w:pPr>
          </w:p>
        </w:tc>
        <w:tc>
          <w:tcPr>
            <w:tcW w:w="2835" w:type="dxa"/>
            <w:vAlign w:val="center"/>
          </w:tcPr>
          <w:p w14:paraId="73914E2F" w14:textId="77777777" w:rsidR="00C7266C" w:rsidRPr="00D403F5" w:rsidRDefault="00C7266C" w:rsidP="00D403F5">
            <w:pPr>
              <w:pStyle w:val="Para3"/>
              <w:spacing w:after="0"/>
              <w:ind w:left="0"/>
              <w:jc w:val="center"/>
              <w:rPr>
                <w:szCs w:val="18"/>
              </w:rPr>
            </w:pPr>
            <w:r w:rsidRPr="00D403F5">
              <w:rPr>
                <w:i/>
                <w:szCs w:val="18"/>
              </w:rPr>
              <w:t>Oncorhynchus masou</w:t>
            </w:r>
          </w:p>
        </w:tc>
        <w:tc>
          <w:tcPr>
            <w:tcW w:w="3261" w:type="dxa"/>
            <w:vAlign w:val="center"/>
          </w:tcPr>
          <w:p w14:paraId="287160D4" w14:textId="77777777" w:rsidR="00C7266C" w:rsidRPr="00D403F5" w:rsidRDefault="00C7266C" w:rsidP="00D403F5">
            <w:pPr>
              <w:pStyle w:val="Para3"/>
              <w:spacing w:after="0"/>
              <w:ind w:left="0"/>
              <w:jc w:val="center"/>
              <w:rPr>
                <w:szCs w:val="18"/>
              </w:rPr>
            </w:pPr>
            <w:r w:rsidRPr="00D403F5">
              <w:rPr>
                <w:szCs w:val="18"/>
              </w:rPr>
              <w:t>Masou salmon</w:t>
            </w:r>
          </w:p>
        </w:tc>
      </w:tr>
      <w:tr w:rsidR="00C7266C" w:rsidRPr="00D403F5" w14:paraId="0B406DAB" w14:textId="77777777" w:rsidTr="00C7266C">
        <w:tc>
          <w:tcPr>
            <w:tcW w:w="1979" w:type="dxa"/>
            <w:vMerge/>
            <w:vAlign w:val="center"/>
          </w:tcPr>
          <w:p w14:paraId="2D00BD26" w14:textId="77777777" w:rsidR="00C7266C" w:rsidRPr="00D403F5" w:rsidRDefault="00C7266C" w:rsidP="00D403F5">
            <w:pPr>
              <w:pStyle w:val="Para3"/>
              <w:spacing w:after="0"/>
              <w:ind w:left="0"/>
              <w:jc w:val="center"/>
              <w:rPr>
                <w:i/>
                <w:szCs w:val="18"/>
              </w:rPr>
            </w:pPr>
          </w:p>
        </w:tc>
        <w:tc>
          <w:tcPr>
            <w:tcW w:w="2835" w:type="dxa"/>
            <w:vAlign w:val="center"/>
          </w:tcPr>
          <w:p w14:paraId="106522AA" w14:textId="77777777" w:rsidR="00C7266C" w:rsidRPr="00D403F5" w:rsidRDefault="00C7266C" w:rsidP="00D403F5">
            <w:pPr>
              <w:pStyle w:val="Para3"/>
              <w:spacing w:after="0"/>
              <w:ind w:left="0"/>
              <w:jc w:val="center"/>
              <w:rPr>
                <w:szCs w:val="18"/>
              </w:rPr>
            </w:pPr>
            <w:r w:rsidRPr="00D403F5">
              <w:rPr>
                <w:i/>
                <w:szCs w:val="18"/>
              </w:rPr>
              <w:t>Oncorhynchus mykiss</w:t>
            </w:r>
          </w:p>
        </w:tc>
        <w:tc>
          <w:tcPr>
            <w:tcW w:w="3261" w:type="dxa"/>
            <w:vAlign w:val="center"/>
          </w:tcPr>
          <w:p w14:paraId="12EF8EA8" w14:textId="77777777" w:rsidR="00C7266C" w:rsidRPr="00D403F5" w:rsidRDefault="00C7266C" w:rsidP="00D403F5">
            <w:pPr>
              <w:pStyle w:val="Para3"/>
              <w:spacing w:after="0"/>
              <w:ind w:left="0"/>
              <w:jc w:val="center"/>
              <w:rPr>
                <w:szCs w:val="18"/>
              </w:rPr>
            </w:pPr>
            <w:r w:rsidRPr="00D403F5">
              <w:rPr>
                <w:szCs w:val="18"/>
              </w:rPr>
              <w:t xml:space="preserve">Rainbow trout </w:t>
            </w:r>
          </w:p>
        </w:tc>
      </w:tr>
      <w:tr w:rsidR="00C7266C" w:rsidRPr="00D403F5" w14:paraId="72C01749" w14:textId="77777777" w:rsidTr="00C7266C">
        <w:tc>
          <w:tcPr>
            <w:tcW w:w="1979" w:type="dxa"/>
            <w:vMerge/>
            <w:vAlign w:val="center"/>
          </w:tcPr>
          <w:p w14:paraId="41BBFA29" w14:textId="77777777" w:rsidR="00C7266C" w:rsidRPr="00D403F5" w:rsidRDefault="00C7266C" w:rsidP="00D403F5">
            <w:pPr>
              <w:pStyle w:val="Para3"/>
              <w:spacing w:after="0"/>
              <w:ind w:left="0"/>
              <w:jc w:val="center"/>
              <w:rPr>
                <w:i/>
                <w:szCs w:val="18"/>
              </w:rPr>
            </w:pPr>
          </w:p>
        </w:tc>
        <w:tc>
          <w:tcPr>
            <w:tcW w:w="2835" w:type="dxa"/>
            <w:vAlign w:val="center"/>
          </w:tcPr>
          <w:p w14:paraId="6378C3D8" w14:textId="77777777" w:rsidR="00C7266C" w:rsidRPr="00D403F5" w:rsidRDefault="00C7266C" w:rsidP="00D403F5">
            <w:pPr>
              <w:pStyle w:val="Para3"/>
              <w:spacing w:after="0"/>
              <w:ind w:left="0"/>
              <w:jc w:val="center"/>
              <w:rPr>
                <w:szCs w:val="18"/>
              </w:rPr>
            </w:pPr>
            <w:r w:rsidRPr="00D403F5">
              <w:rPr>
                <w:i/>
                <w:szCs w:val="18"/>
              </w:rPr>
              <w:t>Oncorhynchus nerka</w:t>
            </w:r>
          </w:p>
        </w:tc>
        <w:tc>
          <w:tcPr>
            <w:tcW w:w="3261" w:type="dxa"/>
            <w:vAlign w:val="center"/>
          </w:tcPr>
          <w:p w14:paraId="2AFE2437" w14:textId="77777777" w:rsidR="00C7266C" w:rsidRPr="00D403F5" w:rsidRDefault="00C7266C" w:rsidP="00D403F5">
            <w:pPr>
              <w:pStyle w:val="Para3"/>
              <w:spacing w:after="0"/>
              <w:ind w:left="0"/>
              <w:jc w:val="center"/>
              <w:rPr>
                <w:szCs w:val="18"/>
              </w:rPr>
            </w:pPr>
            <w:r w:rsidRPr="00D403F5">
              <w:rPr>
                <w:szCs w:val="18"/>
              </w:rPr>
              <w:t xml:space="preserve">Sockeye salmon </w:t>
            </w:r>
          </w:p>
        </w:tc>
      </w:tr>
    </w:tbl>
    <w:p w14:paraId="4E4A4C65" w14:textId="77777777" w:rsidR="00C7266C" w:rsidRPr="00D403F5" w:rsidRDefault="00C7266C" w:rsidP="006237A8">
      <w:pPr>
        <w:pStyle w:val="111"/>
        <w:spacing w:before="240" w:after="240"/>
        <w:rPr>
          <w:sz w:val="18"/>
          <w:szCs w:val="18"/>
          <w:lang w:val="en-IE"/>
        </w:rPr>
      </w:pPr>
      <w:r w:rsidRPr="00D403F5">
        <w:rPr>
          <w:sz w:val="18"/>
          <w:szCs w:val="18"/>
          <w:lang w:val="en-IE"/>
        </w:rPr>
        <w:t>2.2.2.</w:t>
      </w:r>
      <w:r w:rsidRPr="00D403F5">
        <w:rPr>
          <w:sz w:val="18"/>
          <w:szCs w:val="18"/>
          <w:lang w:val="en-IE"/>
        </w:rPr>
        <w:tab/>
        <w:t>Species with incomplete evidence for susceptibility</w:t>
      </w:r>
    </w:p>
    <w:p w14:paraId="1361A8B8" w14:textId="77777777" w:rsidR="00C7266C" w:rsidRPr="00D403F5" w:rsidRDefault="00C7266C" w:rsidP="006237A8">
      <w:pPr>
        <w:pStyle w:val="Para3"/>
        <w:rPr>
          <w:rFonts w:cs="Arial"/>
          <w:iCs/>
          <w:szCs w:val="18"/>
        </w:rPr>
      </w:pPr>
      <w:r w:rsidRPr="00D403F5">
        <w:rPr>
          <w:rFonts w:cs="Arial"/>
          <w:iCs/>
          <w:szCs w:val="18"/>
        </w:rPr>
        <w:t xml:space="preserve">Species for which there is incomplete evidence to fulfil the criteria for listing as susceptible to infection </w:t>
      </w:r>
      <w:r w:rsidRPr="00D403F5">
        <w:rPr>
          <w:rFonts w:cs="Arial"/>
          <w:szCs w:val="18"/>
        </w:rPr>
        <w:t xml:space="preserve">with IHNV according to Chapter 1.5 of the </w:t>
      </w:r>
      <w:r w:rsidRPr="00D403F5">
        <w:rPr>
          <w:rFonts w:cs="Arial"/>
          <w:i/>
          <w:iCs/>
          <w:szCs w:val="18"/>
        </w:rPr>
        <w:t>Aquatic Code</w:t>
      </w:r>
      <w:r w:rsidRPr="00D403F5">
        <w:rPr>
          <w:rFonts w:cs="Arial"/>
          <w:iCs/>
          <w:szCs w:val="18"/>
        </w:rPr>
        <w:t xml:space="preserve"> are:</w:t>
      </w:r>
    </w:p>
    <w:tbl>
      <w:tblPr>
        <w:tblStyle w:val="af2"/>
        <w:tblW w:w="8502" w:type="dxa"/>
        <w:tblInd w:w="851" w:type="dxa"/>
        <w:tblLook w:val="04A0" w:firstRow="1" w:lastRow="0" w:firstColumn="1" w:lastColumn="0" w:noHBand="0" w:noVBand="1"/>
      </w:tblPr>
      <w:tblGrid>
        <w:gridCol w:w="2695"/>
        <w:gridCol w:w="2695"/>
        <w:gridCol w:w="3112"/>
      </w:tblGrid>
      <w:tr w:rsidR="00C7266C" w:rsidRPr="00D403F5" w14:paraId="6416456E" w14:textId="77777777" w:rsidTr="00C7266C">
        <w:tc>
          <w:tcPr>
            <w:tcW w:w="2695" w:type="dxa"/>
            <w:vAlign w:val="center"/>
          </w:tcPr>
          <w:p w14:paraId="24924F25" w14:textId="77777777" w:rsidR="00C7266C" w:rsidRPr="00D403F5" w:rsidRDefault="00C7266C" w:rsidP="00D403F5">
            <w:pPr>
              <w:pStyle w:val="Para3"/>
              <w:spacing w:after="0"/>
              <w:ind w:left="0"/>
              <w:jc w:val="center"/>
              <w:rPr>
                <w:b/>
                <w:szCs w:val="18"/>
              </w:rPr>
            </w:pPr>
            <w:r w:rsidRPr="00D403F5">
              <w:rPr>
                <w:b/>
                <w:szCs w:val="18"/>
              </w:rPr>
              <w:t>Family</w:t>
            </w:r>
          </w:p>
        </w:tc>
        <w:tc>
          <w:tcPr>
            <w:tcW w:w="2695" w:type="dxa"/>
            <w:vAlign w:val="center"/>
          </w:tcPr>
          <w:p w14:paraId="1BF3100A" w14:textId="77777777" w:rsidR="00C7266C" w:rsidRPr="00D403F5" w:rsidRDefault="00C7266C" w:rsidP="00D403F5">
            <w:pPr>
              <w:pStyle w:val="Para3"/>
              <w:spacing w:after="0"/>
              <w:ind w:left="0"/>
              <w:jc w:val="center"/>
              <w:rPr>
                <w:b/>
                <w:szCs w:val="18"/>
              </w:rPr>
            </w:pPr>
            <w:r w:rsidRPr="00D403F5">
              <w:rPr>
                <w:b/>
                <w:szCs w:val="18"/>
              </w:rPr>
              <w:t>Scientific name</w:t>
            </w:r>
          </w:p>
        </w:tc>
        <w:tc>
          <w:tcPr>
            <w:tcW w:w="3112" w:type="dxa"/>
            <w:vAlign w:val="center"/>
          </w:tcPr>
          <w:p w14:paraId="56BB220E" w14:textId="77777777" w:rsidR="00C7266C" w:rsidRPr="00D403F5" w:rsidRDefault="00C7266C" w:rsidP="00D403F5">
            <w:pPr>
              <w:pStyle w:val="Para3"/>
              <w:spacing w:after="0"/>
              <w:ind w:left="0"/>
              <w:jc w:val="center"/>
              <w:rPr>
                <w:b/>
                <w:szCs w:val="18"/>
              </w:rPr>
            </w:pPr>
            <w:r w:rsidRPr="00D403F5">
              <w:rPr>
                <w:b/>
                <w:szCs w:val="18"/>
              </w:rPr>
              <w:t>Common name</w:t>
            </w:r>
          </w:p>
        </w:tc>
      </w:tr>
      <w:tr w:rsidR="00C7266C" w:rsidRPr="00D403F5" w14:paraId="04C8564A" w14:textId="77777777" w:rsidTr="00C7266C">
        <w:tc>
          <w:tcPr>
            <w:tcW w:w="2695" w:type="dxa"/>
            <w:vAlign w:val="center"/>
          </w:tcPr>
          <w:p w14:paraId="45727EB4" w14:textId="77777777" w:rsidR="00C7266C" w:rsidRPr="00D403F5" w:rsidRDefault="00C7266C" w:rsidP="00D403F5">
            <w:pPr>
              <w:pStyle w:val="Para3"/>
              <w:spacing w:after="0"/>
              <w:ind w:left="0"/>
              <w:jc w:val="center"/>
              <w:rPr>
                <w:rFonts w:cs="Arial"/>
                <w:i/>
                <w:iCs/>
                <w:szCs w:val="18"/>
              </w:rPr>
            </w:pPr>
            <w:r w:rsidRPr="00D403F5">
              <w:rPr>
                <w:iCs/>
                <w:szCs w:val="18"/>
              </w:rPr>
              <w:t>Acipenseridae</w:t>
            </w:r>
          </w:p>
        </w:tc>
        <w:tc>
          <w:tcPr>
            <w:tcW w:w="2695" w:type="dxa"/>
            <w:vAlign w:val="center"/>
          </w:tcPr>
          <w:p w14:paraId="54738EE3" w14:textId="77777777" w:rsidR="00C7266C" w:rsidRPr="00D403F5" w:rsidRDefault="00C7266C" w:rsidP="00D403F5">
            <w:pPr>
              <w:pStyle w:val="Para3"/>
              <w:spacing w:after="0"/>
              <w:ind w:left="0"/>
              <w:jc w:val="center"/>
              <w:rPr>
                <w:rFonts w:cs="Arial"/>
                <w:i/>
                <w:iCs/>
                <w:szCs w:val="18"/>
              </w:rPr>
            </w:pPr>
            <w:r w:rsidRPr="00D403F5">
              <w:rPr>
                <w:i/>
                <w:szCs w:val="18"/>
              </w:rPr>
              <w:t>Acipenser transmontanus</w:t>
            </w:r>
          </w:p>
        </w:tc>
        <w:tc>
          <w:tcPr>
            <w:tcW w:w="3112" w:type="dxa"/>
            <w:vAlign w:val="center"/>
          </w:tcPr>
          <w:p w14:paraId="703D8FF3" w14:textId="77777777" w:rsidR="00C7266C" w:rsidRPr="00D403F5" w:rsidRDefault="00C7266C" w:rsidP="00D403F5">
            <w:pPr>
              <w:pStyle w:val="Para3"/>
              <w:spacing w:after="0"/>
              <w:ind w:left="0"/>
              <w:jc w:val="center"/>
              <w:rPr>
                <w:rFonts w:cs="Arial"/>
                <w:iCs/>
                <w:szCs w:val="18"/>
              </w:rPr>
            </w:pPr>
            <w:r w:rsidRPr="00D403F5">
              <w:rPr>
                <w:szCs w:val="18"/>
              </w:rPr>
              <w:t>White sturgeon</w:t>
            </w:r>
          </w:p>
        </w:tc>
      </w:tr>
      <w:tr w:rsidR="00C7266C" w:rsidRPr="00D403F5" w14:paraId="2160A9E6" w14:textId="77777777" w:rsidTr="00C7266C">
        <w:tc>
          <w:tcPr>
            <w:tcW w:w="2695" w:type="dxa"/>
            <w:vAlign w:val="center"/>
          </w:tcPr>
          <w:p w14:paraId="14A315D9" w14:textId="77777777" w:rsidR="00C7266C" w:rsidRPr="00D403F5" w:rsidRDefault="00C7266C" w:rsidP="00D403F5">
            <w:pPr>
              <w:pStyle w:val="Para3"/>
              <w:spacing w:after="0"/>
              <w:ind w:left="0"/>
              <w:jc w:val="center"/>
              <w:rPr>
                <w:rFonts w:cs="Arial"/>
                <w:i/>
                <w:iCs/>
                <w:szCs w:val="18"/>
              </w:rPr>
            </w:pPr>
            <w:r w:rsidRPr="00D403F5">
              <w:rPr>
                <w:rStyle w:val="slabel1"/>
                <w:color w:val="000000"/>
                <w:szCs w:val="18"/>
              </w:rPr>
              <w:t>Anguillidae</w:t>
            </w:r>
          </w:p>
        </w:tc>
        <w:tc>
          <w:tcPr>
            <w:tcW w:w="2695" w:type="dxa"/>
            <w:vAlign w:val="center"/>
          </w:tcPr>
          <w:p w14:paraId="4F89EBD0" w14:textId="77777777" w:rsidR="00C7266C" w:rsidRPr="00D403F5" w:rsidRDefault="00C7266C" w:rsidP="00D403F5">
            <w:pPr>
              <w:pStyle w:val="Para3"/>
              <w:spacing w:after="0"/>
              <w:ind w:left="0"/>
              <w:jc w:val="center"/>
              <w:rPr>
                <w:rFonts w:cs="Arial"/>
                <w:i/>
                <w:iCs/>
                <w:szCs w:val="18"/>
              </w:rPr>
            </w:pPr>
            <w:r w:rsidRPr="00D403F5">
              <w:rPr>
                <w:rFonts w:cs="Arial"/>
                <w:i/>
                <w:iCs/>
                <w:szCs w:val="18"/>
              </w:rPr>
              <w:t>Anguilla anguilla</w:t>
            </w:r>
          </w:p>
        </w:tc>
        <w:tc>
          <w:tcPr>
            <w:tcW w:w="3112" w:type="dxa"/>
            <w:vAlign w:val="center"/>
          </w:tcPr>
          <w:p w14:paraId="79287D6D" w14:textId="77777777" w:rsidR="00C7266C" w:rsidRPr="00D403F5" w:rsidRDefault="00C7266C" w:rsidP="00D403F5">
            <w:pPr>
              <w:pStyle w:val="Para3"/>
              <w:spacing w:after="0"/>
              <w:ind w:left="0"/>
              <w:jc w:val="center"/>
              <w:rPr>
                <w:rFonts w:cs="Arial"/>
                <w:iCs/>
                <w:szCs w:val="18"/>
              </w:rPr>
            </w:pPr>
            <w:r w:rsidRPr="00D403F5">
              <w:rPr>
                <w:rFonts w:cs="Arial"/>
                <w:iCs/>
                <w:szCs w:val="18"/>
              </w:rPr>
              <w:t>European eel</w:t>
            </w:r>
          </w:p>
        </w:tc>
      </w:tr>
      <w:tr w:rsidR="00C7266C" w:rsidRPr="00D403F5" w14:paraId="0BE9D71D" w14:textId="77777777" w:rsidTr="00C7266C">
        <w:tc>
          <w:tcPr>
            <w:tcW w:w="2695" w:type="dxa"/>
            <w:vAlign w:val="center"/>
          </w:tcPr>
          <w:p w14:paraId="1462943B" w14:textId="77777777" w:rsidR="00C7266C" w:rsidRPr="00D403F5" w:rsidRDefault="00C7266C" w:rsidP="00D403F5">
            <w:pPr>
              <w:pStyle w:val="Para3"/>
              <w:spacing w:after="0"/>
              <w:ind w:left="0"/>
              <w:jc w:val="center"/>
              <w:rPr>
                <w:rFonts w:cs="Arial"/>
                <w:iCs/>
                <w:szCs w:val="18"/>
              </w:rPr>
            </w:pPr>
            <w:r w:rsidRPr="00D403F5">
              <w:rPr>
                <w:szCs w:val="18"/>
              </w:rPr>
              <w:t>Aulorhynchidae</w:t>
            </w:r>
          </w:p>
        </w:tc>
        <w:tc>
          <w:tcPr>
            <w:tcW w:w="2695" w:type="dxa"/>
            <w:vAlign w:val="center"/>
          </w:tcPr>
          <w:p w14:paraId="24DD4D56" w14:textId="77777777" w:rsidR="00C7266C" w:rsidRPr="00D403F5" w:rsidRDefault="00C7266C" w:rsidP="00D403F5">
            <w:pPr>
              <w:pStyle w:val="Para3"/>
              <w:spacing w:after="0"/>
              <w:ind w:left="0"/>
              <w:jc w:val="center"/>
              <w:rPr>
                <w:rFonts w:cs="Arial"/>
                <w:i/>
                <w:iCs/>
                <w:szCs w:val="18"/>
              </w:rPr>
            </w:pPr>
            <w:r w:rsidRPr="00D403F5">
              <w:rPr>
                <w:i/>
                <w:szCs w:val="18"/>
              </w:rPr>
              <w:t>Aulorhychus flavidus</w:t>
            </w:r>
          </w:p>
        </w:tc>
        <w:tc>
          <w:tcPr>
            <w:tcW w:w="3112" w:type="dxa"/>
            <w:vAlign w:val="center"/>
          </w:tcPr>
          <w:p w14:paraId="58ECB508" w14:textId="77777777" w:rsidR="00C7266C" w:rsidRPr="00D403F5" w:rsidRDefault="00C7266C" w:rsidP="00D403F5">
            <w:pPr>
              <w:pStyle w:val="Para3"/>
              <w:spacing w:after="0"/>
              <w:ind w:left="0"/>
              <w:jc w:val="center"/>
              <w:rPr>
                <w:rFonts w:cs="Arial"/>
                <w:iCs/>
                <w:szCs w:val="18"/>
                <w:vertAlign w:val="superscript"/>
              </w:rPr>
            </w:pPr>
            <w:r w:rsidRPr="00D403F5">
              <w:rPr>
                <w:szCs w:val="18"/>
              </w:rPr>
              <w:t>Tube-snout</w:t>
            </w:r>
          </w:p>
        </w:tc>
      </w:tr>
      <w:tr w:rsidR="00C7266C" w:rsidRPr="00D403F5" w14:paraId="27E649C2" w14:textId="77777777" w:rsidTr="00C7266C">
        <w:tc>
          <w:tcPr>
            <w:tcW w:w="2695" w:type="dxa"/>
            <w:vAlign w:val="center"/>
          </w:tcPr>
          <w:p w14:paraId="24EE39E5" w14:textId="77777777" w:rsidR="00C7266C" w:rsidRPr="00D403F5" w:rsidRDefault="00C7266C" w:rsidP="00D403F5">
            <w:pPr>
              <w:pStyle w:val="Para3"/>
              <w:spacing w:after="0"/>
              <w:ind w:left="0"/>
              <w:jc w:val="center"/>
              <w:rPr>
                <w:rFonts w:cs="Arial"/>
                <w:i/>
                <w:iCs/>
                <w:szCs w:val="18"/>
              </w:rPr>
            </w:pPr>
            <w:r w:rsidRPr="00D403F5">
              <w:rPr>
                <w:rFonts w:cs="Arial"/>
                <w:color w:val="000000"/>
                <w:szCs w:val="18"/>
              </w:rPr>
              <w:t>Clupeidae</w:t>
            </w:r>
          </w:p>
        </w:tc>
        <w:tc>
          <w:tcPr>
            <w:tcW w:w="2695" w:type="dxa"/>
            <w:vAlign w:val="center"/>
          </w:tcPr>
          <w:p w14:paraId="622FCF2B" w14:textId="77777777" w:rsidR="00C7266C" w:rsidRPr="00D403F5" w:rsidRDefault="00C7266C" w:rsidP="00D403F5">
            <w:pPr>
              <w:pStyle w:val="Para3"/>
              <w:spacing w:after="0"/>
              <w:ind w:left="0"/>
              <w:jc w:val="center"/>
              <w:rPr>
                <w:rFonts w:cs="Arial"/>
                <w:i/>
                <w:iCs/>
                <w:szCs w:val="18"/>
              </w:rPr>
            </w:pPr>
            <w:r w:rsidRPr="00D403F5">
              <w:rPr>
                <w:i/>
                <w:szCs w:val="18"/>
              </w:rPr>
              <w:t>Clupea pallasii</w:t>
            </w:r>
          </w:p>
        </w:tc>
        <w:tc>
          <w:tcPr>
            <w:tcW w:w="3112" w:type="dxa"/>
            <w:vAlign w:val="center"/>
          </w:tcPr>
          <w:p w14:paraId="5F2BA1AD" w14:textId="77777777" w:rsidR="00C7266C" w:rsidRPr="00D403F5" w:rsidRDefault="00C7266C" w:rsidP="00D403F5">
            <w:pPr>
              <w:pStyle w:val="Para3"/>
              <w:spacing w:after="0"/>
              <w:ind w:left="0"/>
              <w:jc w:val="center"/>
              <w:rPr>
                <w:rFonts w:cs="Arial"/>
                <w:iCs/>
                <w:szCs w:val="18"/>
              </w:rPr>
            </w:pPr>
            <w:r w:rsidRPr="00D403F5">
              <w:rPr>
                <w:szCs w:val="18"/>
              </w:rPr>
              <w:t>Pacific herring</w:t>
            </w:r>
          </w:p>
        </w:tc>
      </w:tr>
      <w:tr w:rsidR="00C7266C" w:rsidRPr="00D403F5" w14:paraId="3F718659" w14:textId="77777777" w:rsidTr="00C7266C">
        <w:tc>
          <w:tcPr>
            <w:tcW w:w="2695" w:type="dxa"/>
            <w:vAlign w:val="center"/>
          </w:tcPr>
          <w:p w14:paraId="48A85E22" w14:textId="77777777" w:rsidR="00C7266C" w:rsidRPr="00D403F5" w:rsidRDefault="00C7266C" w:rsidP="00D403F5">
            <w:pPr>
              <w:pStyle w:val="Para3"/>
              <w:spacing w:after="0"/>
              <w:ind w:left="0"/>
              <w:jc w:val="center"/>
              <w:rPr>
                <w:rFonts w:cs="Arial"/>
                <w:i/>
                <w:iCs/>
                <w:color w:val="222222"/>
                <w:szCs w:val="18"/>
                <w:shd w:val="clear" w:color="auto" w:fill="FFFFFF"/>
              </w:rPr>
            </w:pPr>
            <w:r w:rsidRPr="00D403F5">
              <w:rPr>
                <w:rFonts w:cs="Arial"/>
                <w:color w:val="000000"/>
                <w:szCs w:val="18"/>
              </w:rPr>
              <w:t>Embiotocidae</w:t>
            </w:r>
          </w:p>
        </w:tc>
        <w:tc>
          <w:tcPr>
            <w:tcW w:w="2695" w:type="dxa"/>
            <w:vAlign w:val="center"/>
          </w:tcPr>
          <w:p w14:paraId="7E302334" w14:textId="77777777" w:rsidR="00C7266C" w:rsidRPr="00D403F5" w:rsidRDefault="00C7266C" w:rsidP="00D403F5">
            <w:pPr>
              <w:pStyle w:val="Para3"/>
              <w:spacing w:after="0"/>
              <w:ind w:left="0"/>
              <w:jc w:val="center"/>
              <w:rPr>
                <w:rFonts w:cs="Arial"/>
                <w:i/>
                <w:iCs/>
                <w:szCs w:val="18"/>
              </w:rPr>
            </w:pPr>
            <w:r w:rsidRPr="00D403F5">
              <w:rPr>
                <w:i/>
                <w:szCs w:val="18"/>
              </w:rPr>
              <w:t>Cymatogaster aggregate</w:t>
            </w:r>
          </w:p>
        </w:tc>
        <w:tc>
          <w:tcPr>
            <w:tcW w:w="3112" w:type="dxa"/>
            <w:vAlign w:val="center"/>
          </w:tcPr>
          <w:p w14:paraId="17C36E77" w14:textId="77777777" w:rsidR="00C7266C" w:rsidRPr="00D403F5" w:rsidRDefault="00C7266C" w:rsidP="00D403F5">
            <w:pPr>
              <w:pStyle w:val="Para3"/>
              <w:spacing w:after="0"/>
              <w:ind w:left="0"/>
              <w:jc w:val="center"/>
              <w:rPr>
                <w:rFonts w:cs="Arial"/>
                <w:iCs/>
                <w:szCs w:val="18"/>
              </w:rPr>
            </w:pPr>
            <w:r w:rsidRPr="00D403F5">
              <w:rPr>
                <w:szCs w:val="18"/>
              </w:rPr>
              <w:t>Shiner perch</w:t>
            </w:r>
          </w:p>
        </w:tc>
      </w:tr>
      <w:tr w:rsidR="00C7266C" w:rsidRPr="00D403F5" w14:paraId="632D6EA4" w14:textId="77777777" w:rsidTr="00C7266C">
        <w:tc>
          <w:tcPr>
            <w:tcW w:w="2695" w:type="dxa"/>
            <w:vAlign w:val="center"/>
          </w:tcPr>
          <w:p w14:paraId="013BEA3D" w14:textId="77777777" w:rsidR="00C7266C" w:rsidRPr="00D403F5" w:rsidRDefault="00C7266C" w:rsidP="00D403F5">
            <w:pPr>
              <w:pStyle w:val="Para3"/>
              <w:spacing w:after="0"/>
              <w:ind w:left="0"/>
              <w:jc w:val="center"/>
              <w:rPr>
                <w:rFonts w:cs="Arial"/>
                <w:i/>
                <w:iCs/>
                <w:szCs w:val="18"/>
              </w:rPr>
            </w:pPr>
            <w:r w:rsidRPr="00D403F5">
              <w:rPr>
                <w:color w:val="000000"/>
                <w:szCs w:val="18"/>
              </w:rPr>
              <w:t>Schophthalmidae</w:t>
            </w:r>
          </w:p>
        </w:tc>
        <w:tc>
          <w:tcPr>
            <w:tcW w:w="2695" w:type="dxa"/>
            <w:vAlign w:val="center"/>
          </w:tcPr>
          <w:p w14:paraId="7295DAD5" w14:textId="77777777" w:rsidR="00C7266C" w:rsidRPr="00D403F5" w:rsidRDefault="00C7266C" w:rsidP="00D403F5">
            <w:pPr>
              <w:pStyle w:val="Para3"/>
              <w:spacing w:after="0"/>
              <w:ind w:left="0"/>
              <w:jc w:val="center"/>
              <w:rPr>
                <w:rFonts w:cs="Arial"/>
                <w:i/>
                <w:iCs/>
                <w:szCs w:val="18"/>
              </w:rPr>
            </w:pPr>
            <w:r w:rsidRPr="00D403F5">
              <w:rPr>
                <w:i/>
                <w:iCs/>
                <w:color w:val="000000"/>
                <w:szCs w:val="18"/>
              </w:rPr>
              <w:t>Scophthalmus maxima</w:t>
            </w:r>
          </w:p>
        </w:tc>
        <w:tc>
          <w:tcPr>
            <w:tcW w:w="3112" w:type="dxa"/>
            <w:vAlign w:val="center"/>
          </w:tcPr>
          <w:p w14:paraId="79F911D1" w14:textId="77777777" w:rsidR="00C7266C" w:rsidRPr="00D403F5" w:rsidRDefault="00C7266C" w:rsidP="00D403F5">
            <w:pPr>
              <w:pStyle w:val="Para3"/>
              <w:spacing w:after="0"/>
              <w:ind w:left="0"/>
              <w:jc w:val="center"/>
              <w:rPr>
                <w:rFonts w:cs="Arial"/>
                <w:iCs/>
                <w:szCs w:val="18"/>
              </w:rPr>
            </w:pPr>
            <w:r w:rsidRPr="00D403F5">
              <w:rPr>
                <w:color w:val="000000"/>
                <w:szCs w:val="18"/>
              </w:rPr>
              <w:t>Turbot</w:t>
            </w:r>
          </w:p>
        </w:tc>
      </w:tr>
    </w:tbl>
    <w:p w14:paraId="60FA832F" w14:textId="26EB6C92" w:rsidR="00C7266C" w:rsidRPr="00D403F5" w:rsidRDefault="00983DC1" w:rsidP="00D403F5">
      <w:pPr>
        <w:spacing w:after="0"/>
        <w:jc w:val="right"/>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05879AB6" w14:textId="77777777" w:rsidR="00C7266C" w:rsidRPr="00D403F5" w:rsidRDefault="00C7266C" w:rsidP="006237A8">
      <w:pPr>
        <w:spacing w:after="240"/>
        <w:rPr>
          <w:rFonts w:ascii="Arial" w:hAnsi="Arial" w:cs="Arial"/>
          <w:sz w:val="18"/>
          <w:szCs w:val="18"/>
        </w:rPr>
      </w:pPr>
      <w:r w:rsidRPr="00D403F5">
        <w:rPr>
          <w:rFonts w:ascii="Arial" w:hAnsi="Arial" w:cs="Arial"/>
          <w:sz w:val="18"/>
          <w:szCs w:val="18"/>
        </w:rPr>
        <w:t>In addition, pathogen-specific positive polymerase chain reaction (PCR) results have been reported in the following species, but an active infection has not been demonstrated:</w:t>
      </w:r>
    </w:p>
    <w:tbl>
      <w:tblPr>
        <w:tblStyle w:val="af2"/>
        <w:tblW w:w="8502" w:type="dxa"/>
        <w:tblInd w:w="851" w:type="dxa"/>
        <w:tblLook w:val="04A0" w:firstRow="1" w:lastRow="0" w:firstColumn="1" w:lastColumn="0" w:noHBand="0" w:noVBand="1"/>
      </w:tblPr>
      <w:tblGrid>
        <w:gridCol w:w="2695"/>
        <w:gridCol w:w="2695"/>
        <w:gridCol w:w="3112"/>
      </w:tblGrid>
      <w:tr w:rsidR="00C7266C" w:rsidRPr="00D403F5" w14:paraId="2D456365" w14:textId="77777777" w:rsidTr="00C7266C">
        <w:tc>
          <w:tcPr>
            <w:tcW w:w="2695" w:type="dxa"/>
            <w:vAlign w:val="center"/>
          </w:tcPr>
          <w:p w14:paraId="3E46FC87" w14:textId="77777777" w:rsidR="00C7266C" w:rsidRPr="00D403F5" w:rsidRDefault="00C7266C" w:rsidP="00D403F5">
            <w:pPr>
              <w:pStyle w:val="Para3"/>
              <w:spacing w:after="0"/>
              <w:ind w:left="0"/>
              <w:jc w:val="center"/>
              <w:rPr>
                <w:b/>
                <w:szCs w:val="18"/>
              </w:rPr>
            </w:pPr>
            <w:r w:rsidRPr="00D403F5">
              <w:rPr>
                <w:b/>
                <w:szCs w:val="18"/>
              </w:rPr>
              <w:t>Family</w:t>
            </w:r>
          </w:p>
        </w:tc>
        <w:tc>
          <w:tcPr>
            <w:tcW w:w="2695" w:type="dxa"/>
            <w:vAlign w:val="center"/>
          </w:tcPr>
          <w:p w14:paraId="44529AAA" w14:textId="77777777" w:rsidR="00C7266C" w:rsidRPr="00D403F5" w:rsidRDefault="00C7266C" w:rsidP="00D403F5">
            <w:pPr>
              <w:pStyle w:val="Para3"/>
              <w:spacing w:after="0"/>
              <w:ind w:left="0"/>
              <w:jc w:val="center"/>
              <w:rPr>
                <w:b/>
                <w:szCs w:val="18"/>
              </w:rPr>
            </w:pPr>
            <w:r w:rsidRPr="00D403F5">
              <w:rPr>
                <w:b/>
                <w:szCs w:val="18"/>
              </w:rPr>
              <w:t>Scientific name</w:t>
            </w:r>
          </w:p>
        </w:tc>
        <w:tc>
          <w:tcPr>
            <w:tcW w:w="3112" w:type="dxa"/>
            <w:vAlign w:val="center"/>
          </w:tcPr>
          <w:p w14:paraId="30043A82" w14:textId="77777777" w:rsidR="00C7266C" w:rsidRPr="00D403F5" w:rsidRDefault="00C7266C" w:rsidP="00D403F5">
            <w:pPr>
              <w:pStyle w:val="Para3"/>
              <w:spacing w:after="0"/>
              <w:ind w:left="0"/>
              <w:jc w:val="center"/>
              <w:rPr>
                <w:b/>
                <w:szCs w:val="18"/>
              </w:rPr>
            </w:pPr>
            <w:r w:rsidRPr="00D403F5">
              <w:rPr>
                <w:b/>
                <w:szCs w:val="18"/>
              </w:rPr>
              <w:t>Common name</w:t>
            </w:r>
          </w:p>
        </w:tc>
      </w:tr>
      <w:tr w:rsidR="00C7266C" w:rsidRPr="00D403F5" w14:paraId="404C117F" w14:textId="77777777" w:rsidTr="00C7266C">
        <w:tc>
          <w:tcPr>
            <w:tcW w:w="2695" w:type="dxa"/>
            <w:vAlign w:val="center"/>
          </w:tcPr>
          <w:p w14:paraId="5A02EF2F" w14:textId="77777777" w:rsidR="00C7266C" w:rsidRPr="00D403F5" w:rsidRDefault="00C7266C" w:rsidP="00D403F5">
            <w:pPr>
              <w:pStyle w:val="Para3"/>
              <w:spacing w:after="0"/>
              <w:ind w:left="0"/>
              <w:jc w:val="center"/>
              <w:rPr>
                <w:b/>
                <w:szCs w:val="18"/>
              </w:rPr>
            </w:pPr>
            <w:r w:rsidRPr="00D403F5">
              <w:rPr>
                <w:rFonts w:cs="Arial"/>
                <w:szCs w:val="18"/>
              </w:rPr>
              <w:t>Cyprinidae</w:t>
            </w:r>
          </w:p>
        </w:tc>
        <w:tc>
          <w:tcPr>
            <w:tcW w:w="2695" w:type="dxa"/>
            <w:vAlign w:val="center"/>
          </w:tcPr>
          <w:p w14:paraId="3D9EC194" w14:textId="77777777" w:rsidR="00C7266C" w:rsidRPr="00D403F5" w:rsidRDefault="00C7266C" w:rsidP="00D403F5">
            <w:pPr>
              <w:pStyle w:val="Para3"/>
              <w:spacing w:after="0"/>
              <w:ind w:left="0"/>
              <w:jc w:val="center"/>
              <w:rPr>
                <w:b/>
                <w:szCs w:val="18"/>
              </w:rPr>
            </w:pPr>
            <w:r w:rsidRPr="00D403F5">
              <w:rPr>
                <w:rFonts w:cs="Arial"/>
                <w:i/>
                <w:iCs/>
                <w:szCs w:val="18"/>
              </w:rPr>
              <w:t>Cyprinus carpio</w:t>
            </w:r>
          </w:p>
        </w:tc>
        <w:tc>
          <w:tcPr>
            <w:tcW w:w="3112" w:type="dxa"/>
            <w:vAlign w:val="center"/>
          </w:tcPr>
          <w:p w14:paraId="0E752D00" w14:textId="77777777" w:rsidR="00C7266C" w:rsidRPr="00D403F5" w:rsidRDefault="00C7266C" w:rsidP="00D403F5">
            <w:pPr>
              <w:pStyle w:val="Para3"/>
              <w:spacing w:after="0"/>
              <w:ind w:left="0"/>
              <w:jc w:val="center"/>
              <w:rPr>
                <w:b/>
                <w:szCs w:val="18"/>
              </w:rPr>
            </w:pPr>
            <w:r w:rsidRPr="00D403F5">
              <w:rPr>
                <w:rFonts w:cs="Arial"/>
                <w:iCs/>
                <w:szCs w:val="18"/>
              </w:rPr>
              <w:t>Common carp</w:t>
            </w:r>
          </w:p>
        </w:tc>
      </w:tr>
      <w:tr w:rsidR="00C7266C" w:rsidRPr="00D403F5" w14:paraId="2FC7F206" w14:textId="77777777" w:rsidTr="00C7266C">
        <w:tc>
          <w:tcPr>
            <w:tcW w:w="2695" w:type="dxa"/>
            <w:vAlign w:val="center"/>
          </w:tcPr>
          <w:p w14:paraId="41480D54" w14:textId="77777777" w:rsidR="00C7266C" w:rsidRPr="00D403F5" w:rsidRDefault="00C7266C" w:rsidP="00D403F5">
            <w:pPr>
              <w:pStyle w:val="Para3"/>
              <w:spacing w:after="0"/>
              <w:ind w:left="0"/>
              <w:jc w:val="center"/>
              <w:rPr>
                <w:rFonts w:cs="Arial"/>
                <w:szCs w:val="18"/>
              </w:rPr>
            </w:pPr>
            <w:r w:rsidRPr="00D403F5">
              <w:rPr>
                <w:rFonts w:cs="Arial"/>
                <w:szCs w:val="18"/>
              </w:rPr>
              <w:t>Percidae</w:t>
            </w:r>
          </w:p>
        </w:tc>
        <w:tc>
          <w:tcPr>
            <w:tcW w:w="2695" w:type="dxa"/>
            <w:vAlign w:val="center"/>
          </w:tcPr>
          <w:p w14:paraId="04342157" w14:textId="77777777" w:rsidR="00C7266C" w:rsidRPr="00D403F5" w:rsidRDefault="00C7266C" w:rsidP="00D403F5">
            <w:pPr>
              <w:pStyle w:val="Para3"/>
              <w:spacing w:after="0"/>
              <w:ind w:left="0"/>
              <w:jc w:val="center"/>
              <w:rPr>
                <w:rFonts w:cs="Arial"/>
                <w:i/>
                <w:iCs/>
                <w:szCs w:val="18"/>
              </w:rPr>
            </w:pPr>
            <w:r w:rsidRPr="00D403F5">
              <w:rPr>
                <w:rFonts w:cs="Arial"/>
                <w:i/>
                <w:iCs/>
                <w:szCs w:val="18"/>
              </w:rPr>
              <w:t>Perca flavescens</w:t>
            </w:r>
          </w:p>
        </w:tc>
        <w:tc>
          <w:tcPr>
            <w:tcW w:w="3112" w:type="dxa"/>
            <w:vAlign w:val="center"/>
          </w:tcPr>
          <w:p w14:paraId="5EEFC791" w14:textId="77777777" w:rsidR="00C7266C" w:rsidRPr="00D403F5" w:rsidRDefault="00C7266C" w:rsidP="00D403F5">
            <w:pPr>
              <w:pStyle w:val="Para3"/>
              <w:spacing w:after="0"/>
              <w:ind w:left="0"/>
              <w:jc w:val="center"/>
              <w:rPr>
                <w:rFonts w:cs="Arial"/>
                <w:iCs/>
                <w:szCs w:val="18"/>
              </w:rPr>
            </w:pPr>
            <w:r w:rsidRPr="00D403F5">
              <w:rPr>
                <w:rFonts w:cs="Arial"/>
                <w:iCs/>
                <w:szCs w:val="18"/>
              </w:rPr>
              <w:t>American yellow perch</w:t>
            </w:r>
          </w:p>
        </w:tc>
      </w:tr>
    </w:tbl>
    <w:p w14:paraId="43779FF8" w14:textId="77777777" w:rsidR="006237A8" w:rsidRDefault="006237A8" w:rsidP="00D403F5">
      <w:pPr>
        <w:spacing w:after="0"/>
        <w:ind w:hanging="567"/>
        <w:rPr>
          <w:rFonts w:ascii="Ottawa" w:hAnsi="Ottawa"/>
          <w:b/>
          <w:bCs/>
          <w:sz w:val="18"/>
          <w:szCs w:val="18"/>
          <w:lang w:val="en-IE" w:eastAsia="fr-FR"/>
        </w:rPr>
      </w:pPr>
      <w:bookmarkStart w:id="81" w:name="_Hlk21507808"/>
      <w:r>
        <w:rPr>
          <w:rFonts w:ascii="Ottawa" w:hAnsi="Ottawa"/>
          <w:b/>
          <w:bCs/>
          <w:sz w:val="18"/>
          <w:szCs w:val="18"/>
          <w:lang w:val="en-IE" w:eastAsia="fr-FR"/>
        </w:rPr>
        <w:br w:type="page"/>
      </w:r>
    </w:p>
    <w:p w14:paraId="5F40B8D8" w14:textId="77777777" w:rsidR="006237A8" w:rsidRPr="00D403F5" w:rsidRDefault="006237A8" w:rsidP="006237A8">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2733AA83" w14:textId="5749C0D5" w:rsidR="00C7266C" w:rsidRPr="006237A8" w:rsidRDefault="00C7266C" w:rsidP="006237A8">
      <w:pPr>
        <w:pStyle w:val="111"/>
        <w:spacing w:after="240"/>
        <w:rPr>
          <w:bCs w:val="0"/>
          <w:sz w:val="18"/>
          <w:szCs w:val="18"/>
          <w:lang w:val="en-IE"/>
        </w:rPr>
      </w:pPr>
      <w:r w:rsidRPr="006237A8">
        <w:rPr>
          <w:bCs w:val="0"/>
          <w:sz w:val="18"/>
          <w:szCs w:val="18"/>
          <w:lang w:val="en-IE"/>
        </w:rPr>
        <w:t>2.2.3.</w:t>
      </w:r>
      <w:r w:rsidRPr="006237A8">
        <w:rPr>
          <w:bCs w:val="0"/>
          <w:sz w:val="18"/>
          <w:szCs w:val="18"/>
          <w:lang w:val="en-IE"/>
        </w:rPr>
        <w:tab/>
        <w:t>Non-susceptible species</w:t>
      </w:r>
    </w:p>
    <w:p w14:paraId="04211B44" w14:textId="77777777" w:rsidR="00C7266C" w:rsidRPr="00D403F5" w:rsidRDefault="00C7266C" w:rsidP="006237A8">
      <w:pPr>
        <w:spacing w:after="240"/>
        <w:ind w:left="851"/>
        <w:rPr>
          <w:rFonts w:ascii="Arial" w:hAnsi="Arial" w:cs="Arial"/>
          <w:bCs/>
          <w:iCs/>
          <w:sz w:val="18"/>
          <w:szCs w:val="18"/>
        </w:rPr>
      </w:pPr>
      <w:r w:rsidRPr="00D403F5">
        <w:rPr>
          <w:rFonts w:ascii="Arial" w:hAnsi="Arial" w:cs="Arial"/>
          <w:bCs/>
          <w:iCs/>
          <w:sz w:val="18"/>
          <w:szCs w:val="18"/>
        </w:rPr>
        <w:t>None known.</w:t>
      </w:r>
    </w:p>
    <w:bookmarkEnd w:id="81"/>
    <w:p w14:paraId="051FB19C" w14:textId="77777777" w:rsidR="00C7266C" w:rsidRPr="006237A8" w:rsidRDefault="00C7266C" w:rsidP="006237A8">
      <w:pPr>
        <w:pStyle w:val="3"/>
        <w:spacing w:before="0" w:after="240"/>
        <w:ind w:left="851" w:hanging="568"/>
        <w:rPr>
          <w:rFonts w:ascii="Ottawa" w:hAnsi="Ottawa"/>
          <w:b/>
          <w:color w:val="auto"/>
          <w:sz w:val="18"/>
          <w:szCs w:val="18"/>
          <w:lang w:val="en-IE"/>
        </w:rPr>
      </w:pPr>
      <w:r w:rsidRPr="006237A8">
        <w:rPr>
          <w:rFonts w:ascii="Ottawa" w:hAnsi="Ottawa"/>
          <w:b/>
          <w:color w:val="auto"/>
          <w:sz w:val="18"/>
          <w:szCs w:val="18"/>
          <w:lang w:val="en-IE"/>
        </w:rPr>
        <w:t>2.2.4.</w:t>
      </w:r>
      <w:r w:rsidRPr="006237A8">
        <w:rPr>
          <w:rFonts w:ascii="Ottawa" w:hAnsi="Ottawa"/>
          <w:b/>
          <w:color w:val="auto"/>
          <w:sz w:val="18"/>
          <w:szCs w:val="18"/>
          <w:lang w:val="en-IE"/>
        </w:rPr>
        <w:tab/>
        <w:t>Likelihood of infection by species, host stage population or sub-populations</w:t>
      </w:r>
    </w:p>
    <w:p w14:paraId="2BED601A" w14:textId="77777777" w:rsidR="00C7266C" w:rsidRPr="00D403F5" w:rsidRDefault="00C7266C" w:rsidP="006237A8">
      <w:pPr>
        <w:pStyle w:val="Para3"/>
        <w:rPr>
          <w:rFonts w:cs="Arial"/>
          <w:szCs w:val="18"/>
        </w:rPr>
      </w:pPr>
      <w:r w:rsidRPr="00D403F5">
        <w:rPr>
          <w:szCs w:val="18"/>
          <w:lang w:eastAsia="fr-FR"/>
        </w:rPr>
        <w:t xml:space="preserve">IHNV predominantly infects salmon and trout species with </w:t>
      </w:r>
      <w:r w:rsidRPr="00D403F5">
        <w:rPr>
          <w:rFonts w:cs="Arial"/>
          <w:szCs w:val="18"/>
        </w:rPr>
        <w:t xml:space="preserve">fry being the most highly susceptible stage (LaPatra, 1998). Resistance to infection typically increases with fish age until the spawning stage. Returning adult spawning salmon, can be highly infected and shed large amounts of virus in ovarian fluid and milt despite a lack of clinical disease </w:t>
      </w:r>
      <w:r w:rsidRPr="00D403F5">
        <w:rPr>
          <w:rFonts w:cs="Arial"/>
          <w:noProof/>
          <w:szCs w:val="18"/>
        </w:rPr>
        <w:t xml:space="preserve">(Dixon </w:t>
      </w:r>
      <w:r w:rsidRPr="00D403F5">
        <w:rPr>
          <w:rFonts w:cs="Arial"/>
          <w:i/>
          <w:noProof/>
          <w:szCs w:val="18"/>
        </w:rPr>
        <w:t>et al.,</w:t>
      </w:r>
      <w:r w:rsidRPr="00D403F5">
        <w:rPr>
          <w:rFonts w:cs="Arial"/>
          <w:noProof/>
          <w:szCs w:val="18"/>
        </w:rPr>
        <w:t xml:space="preserve"> 2016)</w:t>
      </w:r>
      <w:r w:rsidRPr="00D403F5">
        <w:rPr>
          <w:rFonts w:cs="Arial"/>
          <w:szCs w:val="18"/>
        </w:rPr>
        <w:t xml:space="preserve">. </w:t>
      </w:r>
    </w:p>
    <w:p w14:paraId="4C8C8249" w14:textId="77777777" w:rsidR="00C7266C" w:rsidRPr="00D403F5" w:rsidRDefault="00C7266C" w:rsidP="006237A8">
      <w:pPr>
        <w:pStyle w:val="111"/>
        <w:spacing w:after="240"/>
        <w:rPr>
          <w:sz w:val="18"/>
          <w:szCs w:val="18"/>
          <w:lang w:val="en-IE"/>
        </w:rPr>
      </w:pPr>
      <w:r w:rsidRPr="00D403F5">
        <w:rPr>
          <w:sz w:val="18"/>
          <w:szCs w:val="18"/>
          <w:lang w:val="en-IE"/>
        </w:rPr>
        <w:t>2.2.5.</w:t>
      </w:r>
      <w:r w:rsidRPr="00D403F5">
        <w:rPr>
          <w:sz w:val="18"/>
          <w:szCs w:val="18"/>
          <w:lang w:val="en-IE"/>
        </w:rPr>
        <w:tab/>
        <w:t>Distribution of the pathogen in the host</w:t>
      </w:r>
    </w:p>
    <w:p w14:paraId="456F173E" w14:textId="77777777" w:rsidR="00C7266C" w:rsidRPr="00D403F5" w:rsidRDefault="00C7266C" w:rsidP="006237A8">
      <w:pPr>
        <w:pStyle w:val="Para3"/>
        <w:rPr>
          <w:rFonts w:cs="Arial"/>
          <w:szCs w:val="18"/>
          <w:lang w:eastAsia="fr-FR"/>
        </w:rPr>
      </w:pPr>
      <w:r w:rsidRPr="00D403F5">
        <w:rPr>
          <w:rFonts w:cs="Arial"/>
          <w:szCs w:val="18"/>
          <w:lang w:eastAsia="fr-FR"/>
        </w:rPr>
        <w:t>IHNV targets haematopoietic tissue and is most commonly isolated from kidney and spleen tissues. The virus has also been isolated from gill, oesophagus, intestine, stomach, pyloric caeca, liver, brain, heart, thymus, adipose tissue, muscle, skin, fin and mucous (</w:t>
      </w:r>
      <w:r w:rsidRPr="00D403F5">
        <w:rPr>
          <w:rFonts w:cs="Arial"/>
          <w:szCs w:val="18"/>
        </w:rPr>
        <w:t xml:space="preserve">Drolet </w:t>
      </w:r>
      <w:r w:rsidRPr="00D403F5">
        <w:rPr>
          <w:rFonts w:cs="Arial"/>
          <w:i/>
          <w:szCs w:val="18"/>
        </w:rPr>
        <w:t>et al.,</w:t>
      </w:r>
      <w:r w:rsidRPr="00D403F5">
        <w:rPr>
          <w:rFonts w:cs="Arial"/>
          <w:szCs w:val="18"/>
        </w:rPr>
        <w:t xml:space="preserve"> 1994; Harmache </w:t>
      </w:r>
      <w:r w:rsidRPr="00D403F5">
        <w:rPr>
          <w:rFonts w:cs="Arial"/>
          <w:i/>
          <w:szCs w:val="18"/>
        </w:rPr>
        <w:t>et al.,</w:t>
      </w:r>
      <w:r w:rsidRPr="00D403F5">
        <w:rPr>
          <w:rFonts w:cs="Arial"/>
          <w:szCs w:val="18"/>
        </w:rPr>
        <w:t xml:space="preserve"> 2006; LaPatra </w:t>
      </w:r>
      <w:r w:rsidRPr="00D403F5">
        <w:rPr>
          <w:rFonts w:cs="Arial"/>
          <w:i/>
          <w:szCs w:val="18"/>
        </w:rPr>
        <w:t>et al.,</w:t>
      </w:r>
      <w:r w:rsidRPr="00D403F5">
        <w:rPr>
          <w:rFonts w:cs="Arial"/>
          <w:szCs w:val="18"/>
        </w:rPr>
        <w:t xml:space="preserve"> 1989; Yamamoto </w:t>
      </w:r>
      <w:r w:rsidRPr="00D403F5">
        <w:rPr>
          <w:rFonts w:cs="Arial"/>
          <w:i/>
          <w:szCs w:val="18"/>
        </w:rPr>
        <w:t>et al.,</w:t>
      </w:r>
      <w:r w:rsidRPr="00D403F5">
        <w:rPr>
          <w:rFonts w:cs="Arial"/>
          <w:szCs w:val="18"/>
        </w:rPr>
        <w:t xml:space="preserve"> 1990</w:t>
      </w:r>
      <w:r w:rsidRPr="00D403F5">
        <w:rPr>
          <w:rFonts w:cs="Arial"/>
          <w:szCs w:val="18"/>
          <w:lang w:eastAsia="fr-FR"/>
        </w:rPr>
        <w:t xml:space="preserve">). In spawning fish IHNV has also been isolated in ovarian fluid and milt </w:t>
      </w:r>
      <w:r w:rsidRPr="00D403F5">
        <w:rPr>
          <w:rFonts w:cs="Arial"/>
          <w:noProof/>
          <w:szCs w:val="18"/>
          <w:lang w:eastAsia="fr-FR"/>
        </w:rPr>
        <w:t xml:space="preserve">(Mulcahy </w:t>
      </w:r>
      <w:r w:rsidRPr="00D403F5">
        <w:rPr>
          <w:rFonts w:cs="Arial"/>
          <w:i/>
          <w:iCs/>
          <w:noProof/>
          <w:szCs w:val="18"/>
          <w:lang w:eastAsia="fr-FR"/>
        </w:rPr>
        <w:t>et al</w:t>
      </w:r>
      <w:r w:rsidRPr="00D403F5">
        <w:rPr>
          <w:rFonts w:cs="Arial"/>
          <w:noProof/>
          <w:szCs w:val="18"/>
          <w:lang w:eastAsia="fr-FR"/>
        </w:rPr>
        <w:t>., 1982)</w:t>
      </w:r>
      <w:r w:rsidRPr="00D403F5">
        <w:rPr>
          <w:rFonts w:cs="Arial"/>
          <w:szCs w:val="18"/>
          <w:lang w:eastAsia="fr-FR"/>
        </w:rPr>
        <w:t>.</w:t>
      </w:r>
    </w:p>
    <w:p w14:paraId="51DB6E81" w14:textId="77777777" w:rsidR="00C7266C" w:rsidRPr="00D403F5" w:rsidRDefault="00C7266C" w:rsidP="006237A8">
      <w:pPr>
        <w:pStyle w:val="111"/>
        <w:spacing w:after="240"/>
        <w:rPr>
          <w:sz w:val="18"/>
          <w:szCs w:val="18"/>
          <w:lang w:val="en-IE"/>
        </w:rPr>
      </w:pPr>
      <w:r w:rsidRPr="00D403F5">
        <w:rPr>
          <w:sz w:val="18"/>
          <w:szCs w:val="18"/>
          <w:lang w:val="en-IE"/>
        </w:rPr>
        <w:t>2.2.6.</w:t>
      </w:r>
      <w:r w:rsidRPr="00D403F5">
        <w:rPr>
          <w:sz w:val="18"/>
          <w:szCs w:val="18"/>
          <w:lang w:val="en-IE"/>
        </w:rPr>
        <w:tab/>
        <w:t xml:space="preserve">Aquatic animal reservoirs of infection </w:t>
      </w:r>
    </w:p>
    <w:p w14:paraId="6A2B218E" w14:textId="77777777" w:rsidR="00C7266C" w:rsidRPr="00D403F5" w:rsidRDefault="00C7266C" w:rsidP="006237A8">
      <w:pPr>
        <w:pStyle w:val="Para3"/>
        <w:rPr>
          <w:szCs w:val="18"/>
          <w:lang w:eastAsia="fr-FR"/>
        </w:rPr>
      </w:pPr>
      <w:r w:rsidRPr="00D403F5">
        <w:rPr>
          <w:szCs w:val="18"/>
          <w:lang w:eastAsia="fr-FR"/>
        </w:rPr>
        <w:t xml:space="preserve">Field surveillance programmes and experimental infection trials have documented subclinical IHNV infections in various salmon and trout species </w:t>
      </w:r>
      <w:r w:rsidRPr="00D403F5">
        <w:rPr>
          <w:noProof/>
          <w:szCs w:val="18"/>
          <w:lang w:eastAsia="fr-FR"/>
        </w:rPr>
        <w:t>(</w:t>
      </w:r>
      <w:r w:rsidRPr="00D403F5">
        <w:rPr>
          <w:rFonts w:cs="Arial"/>
          <w:szCs w:val="18"/>
        </w:rPr>
        <w:t xml:space="preserve">Knusel </w:t>
      </w:r>
      <w:r w:rsidRPr="00D403F5">
        <w:rPr>
          <w:rFonts w:cs="Arial"/>
          <w:i/>
          <w:szCs w:val="18"/>
        </w:rPr>
        <w:t>et al.,</w:t>
      </w:r>
      <w:r w:rsidRPr="00D403F5">
        <w:rPr>
          <w:rFonts w:cs="Arial"/>
          <w:szCs w:val="18"/>
        </w:rPr>
        <w:t xml:space="preserve"> 2007; Mulcahy </w:t>
      </w:r>
      <w:r w:rsidRPr="00D403F5">
        <w:rPr>
          <w:rFonts w:cs="Arial"/>
          <w:i/>
          <w:szCs w:val="18"/>
        </w:rPr>
        <w:t>et al.</w:t>
      </w:r>
      <w:r w:rsidRPr="00D403F5">
        <w:rPr>
          <w:rFonts w:cs="Arial"/>
          <w:szCs w:val="18"/>
        </w:rPr>
        <w:t xml:space="preserve">, 1984; Pascoli </w:t>
      </w:r>
      <w:r w:rsidRPr="00D403F5">
        <w:rPr>
          <w:rFonts w:cs="Arial"/>
          <w:i/>
          <w:szCs w:val="18"/>
        </w:rPr>
        <w:t>et al.,</w:t>
      </w:r>
      <w:r w:rsidRPr="00D403F5">
        <w:rPr>
          <w:rFonts w:cs="Arial"/>
          <w:szCs w:val="18"/>
        </w:rPr>
        <w:t xml:space="preserve"> 2015</w:t>
      </w:r>
      <w:r w:rsidRPr="00D403F5">
        <w:rPr>
          <w:noProof/>
          <w:szCs w:val="18"/>
          <w:lang w:eastAsia="fr-FR"/>
        </w:rPr>
        <w:t xml:space="preserve">; </w:t>
      </w:r>
      <w:r w:rsidRPr="00D403F5">
        <w:rPr>
          <w:rFonts w:cs="Arial"/>
          <w:szCs w:val="18"/>
        </w:rPr>
        <w:t>St-Hilaire</w:t>
      </w:r>
      <w:r w:rsidRPr="00D403F5">
        <w:rPr>
          <w:noProof/>
          <w:szCs w:val="18"/>
          <w:lang w:eastAsia="fr-FR"/>
        </w:rPr>
        <w:t xml:space="preserve"> </w:t>
      </w:r>
      <w:r w:rsidRPr="00D403F5">
        <w:rPr>
          <w:i/>
          <w:noProof/>
          <w:szCs w:val="18"/>
          <w:lang w:eastAsia="fr-FR"/>
        </w:rPr>
        <w:t>et al.,</w:t>
      </w:r>
      <w:r w:rsidRPr="00D403F5">
        <w:rPr>
          <w:noProof/>
          <w:szCs w:val="18"/>
          <w:lang w:eastAsia="fr-FR"/>
        </w:rPr>
        <w:t xml:space="preserve"> 2001; </w:t>
      </w:r>
      <w:r w:rsidRPr="00D403F5">
        <w:rPr>
          <w:rFonts w:cs="Arial"/>
          <w:szCs w:val="18"/>
        </w:rPr>
        <w:t xml:space="preserve">Traxler </w:t>
      </w:r>
      <w:r w:rsidRPr="00D403F5">
        <w:rPr>
          <w:rFonts w:cs="Arial"/>
          <w:i/>
          <w:szCs w:val="18"/>
        </w:rPr>
        <w:t>et al.,</w:t>
      </w:r>
      <w:r w:rsidRPr="00D403F5">
        <w:rPr>
          <w:rFonts w:cs="Arial"/>
          <w:szCs w:val="18"/>
        </w:rPr>
        <w:t xml:space="preserve"> 1997)</w:t>
      </w:r>
      <w:r w:rsidRPr="00D403F5">
        <w:rPr>
          <w:szCs w:val="18"/>
          <w:lang w:eastAsia="fr-FR"/>
        </w:rPr>
        <w:t>. Survivors of laboratory exposures have demonstrated IHNV persistence for months to over 1 year post-exposure (</w:t>
      </w:r>
      <w:r w:rsidRPr="00D403F5">
        <w:rPr>
          <w:rFonts w:cs="Arial"/>
          <w:szCs w:val="18"/>
        </w:rPr>
        <w:t xml:space="preserve">Drolet </w:t>
      </w:r>
      <w:r w:rsidRPr="00D403F5">
        <w:rPr>
          <w:rFonts w:cs="Arial"/>
          <w:i/>
          <w:szCs w:val="18"/>
        </w:rPr>
        <w:t>et al.,</w:t>
      </w:r>
      <w:r w:rsidRPr="00D403F5">
        <w:rPr>
          <w:rFonts w:cs="Arial"/>
          <w:szCs w:val="18"/>
        </w:rPr>
        <w:t xml:space="preserve"> 1995; Foott </w:t>
      </w:r>
      <w:r w:rsidRPr="00D403F5">
        <w:rPr>
          <w:rFonts w:cs="Arial"/>
          <w:i/>
          <w:szCs w:val="18"/>
        </w:rPr>
        <w:t>et al.,</w:t>
      </w:r>
      <w:r w:rsidRPr="00D403F5">
        <w:rPr>
          <w:rFonts w:cs="Arial"/>
          <w:szCs w:val="18"/>
        </w:rPr>
        <w:t xml:space="preserve"> 2006;</w:t>
      </w:r>
      <w:r w:rsidRPr="00D403F5">
        <w:rPr>
          <w:szCs w:val="18"/>
          <w:lang w:eastAsia="fr-FR"/>
        </w:rPr>
        <w:t xml:space="preserve"> Kim </w:t>
      </w:r>
      <w:r w:rsidRPr="00D403F5">
        <w:rPr>
          <w:i/>
          <w:szCs w:val="18"/>
          <w:lang w:eastAsia="fr-FR"/>
        </w:rPr>
        <w:t>et al.,</w:t>
      </w:r>
      <w:r w:rsidRPr="00D403F5">
        <w:rPr>
          <w:szCs w:val="18"/>
          <w:lang w:eastAsia="fr-FR"/>
        </w:rPr>
        <w:t xml:space="preserve"> 1999; </w:t>
      </w:r>
      <w:r w:rsidRPr="00D403F5">
        <w:rPr>
          <w:rFonts w:cs="Arial"/>
          <w:szCs w:val="18"/>
        </w:rPr>
        <w:t xml:space="preserve">Muller </w:t>
      </w:r>
      <w:r w:rsidRPr="00D403F5">
        <w:rPr>
          <w:rFonts w:cs="Arial"/>
          <w:i/>
          <w:szCs w:val="18"/>
        </w:rPr>
        <w:t>et al.,</w:t>
      </w:r>
      <w:r w:rsidRPr="00D403F5">
        <w:rPr>
          <w:rFonts w:cs="Arial"/>
          <w:szCs w:val="18"/>
        </w:rPr>
        <w:t xml:space="preserve"> 2015)</w:t>
      </w:r>
      <w:r w:rsidRPr="00D403F5">
        <w:rPr>
          <w:szCs w:val="18"/>
          <w:lang w:eastAsia="fr-FR"/>
        </w:rPr>
        <w:t xml:space="preserve">. With the exception of high viral load occurring in subclinically infected spawning adult salmon, the IHNV levels associated with subclinical infections tend to be lower than in fish undergoing clinical disease. </w:t>
      </w:r>
    </w:p>
    <w:p w14:paraId="13B3247F" w14:textId="77777777" w:rsidR="00C7266C" w:rsidRPr="00D403F5" w:rsidRDefault="00C7266C" w:rsidP="006237A8">
      <w:pPr>
        <w:pStyle w:val="111"/>
        <w:spacing w:after="240"/>
        <w:rPr>
          <w:sz w:val="18"/>
          <w:szCs w:val="18"/>
          <w:lang w:val="en-IE"/>
        </w:rPr>
      </w:pPr>
      <w:r w:rsidRPr="00D403F5">
        <w:rPr>
          <w:sz w:val="18"/>
          <w:szCs w:val="18"/>
          <w:lang w:val="en-IE"/>
        </w:rPr>
        <w:t>2.2.7.</w:t>
      </w:r>
      <w:r w:rsidRPr="00D403F5">
        <w:rPr>
          <w:sz w:val="18"/>
          <w:szCs w:val="18"/>
          <w:lang w:val="en-IE"/>
        </w:rPr>
        <w:tab/>
        <w:t>Vectors</w:t>
      </w:r>
    </w:p>
    <w:p w14:paraId="5A8BE2CB" w14:textId="77777777" w:rsidR="00C7266C" w:rsidRPr="00D403F5" w:rsidRDefault="00C7266C" w:rsidP="006237A8">
      <w:pPr>
        <w:pStyle w:val="Para3"/>
        <w:rPr>
          <w:rFonts w:cs="Arial"/>
          <w:szCs w:val="18"/>
        </w:rPr>
      </w:pPr>
      <w:r w:rsidRPr="00D403F5">
        <w:rPr>
          <w:rFonts w:cs="Arial"/>
          <w:szCs w:val="18"/>
          <w:lang w:eastAsia="fr-FR"/>
        </w:rPr>
        <w:t>A single</w:t>
      </w:r>
      <w:r w:rsidRPr="00D403F5">
        <w:rPr>
          <w:rFonts w:cs="Arial"/>
          <w:szCs w:val="18"/>
        </w:rPr>
        <w:t xml:space="preserve"> study has demonstrated that adult salmon lice, </w:t>
      </w:r>
      <w:r w:rsidRPr="00D403F5">
        <w:rPr>
          <w:rFonts w:cs="Arial"/>
          <w:i/>
          <w:szCs w:val="18"/>
        </w:rPr>
        <w:t xml:space="preserve">Lepeophtheirus salmonis </w:t>
      </w:r>
      <w:r w:rsidRPr="00D403F5">
        <w:rPr>
          <w:rFonts w:cs="Arial"/>
          <w:szCs w:val="18"/>
        </w:rPr>
        <w:t xml:space="preserve">are capable of acquiring and transmitting IHNV to naïve Atlantic salmon through parasitism </w:t>
      </w:r>
      <w:r w:rsidRPr="00D403F5">
        <w:rPr>
          <w:rFonts w:cs="Arial"/>
          <w:noProof/>
          <w:szCs w:val="18"/>
        </w:rPr>
        <w:t xml:space="preserve">(Jakob </w:t>
      </w:r>
      <w:r w:rsidRPr="00D403F5">
        <w:rPr>
          <w:rFonts w:cs="Arial"/>
          <w:i/>
          <w:noProof/>
          <w:szCs w:val="18"/>
        </w:rPr>
        <w:t>et al.,</w:t>
      </w:r>
      <w:r w:rsidRPr="00D403F5">
        <w:rPr>
          <w:rFonts w:cs="Arial"/>
          <w:noProof/>
          <w:szCs w:val="18"/>
        </w:rPr>
        <w:t xml:space="preserve"> 2011)</w:t>
      </w:r>
      <w:r w:rsidRPr="00D403F5">
        <w:rPr>
          <w:rFonts w:cs="Arial"/>
          <w:szCs w:val="18"/>
        </w:rPr>
        <w:t xml:space="preserve">. Regardless of whether salmon lice acquired </w:t>
      </w:r>
      <w:r w:rsidRPr="00D403F5">
        <w:rPr>
          <w:szCs w:val="18"/>
          <w:lang w:eastAsia="fr-FR"/>
        </w:rPr>
        <w:t>IH</w:t>
      </w:r>
      <w:r w:rsidRPr="00D403F5">
        <w:rPr>
          <w:bCs w:val="0"/>
          <w:szCs w:val="18"/>
          <w:lang w:eastAsia="fr-FR"/>
        </w:rPr>
        <w:t>N</w:t>
      </w:r>
      <w:r w:rsidRPr="00D403F5">
        <w:rPr>
          <w:szCs w:val="18"/>
          <w:lang w:eastAsia="fr-FR"/>
        </w:rPr>
        <w:t>V</w:t>
      </w:r>
      <w:r w:rsidRPr="00D403F5">
        <w:rPr>
          <w:rFonts w:cs="Arial"/>
          <w:szCs w:val="18"/>
        </w:rPr>
        <w:t xml:space="preserve"> through water bath exposure or after parasitising IHNV-infected fish, the duration of virus association with salmon lice diminished rapidly with infectious virus levels falling below cell culture detection limits within hours. IHNV has also been isolated from freshwater invertebrates (e.g. leeches, copepods, and mayflies) however their capacity to transmit virus is unknown </w:t>
      </w:r>
      <w:r w:rsidRPr="00D403F5">
        <w:rPr>
          <w:rFonts w:cs="Arial"/>
          <w:noProof/>
          <w:szCs w:val="18"/>
        </w:rPr>
        <w:t xml:space="preserve">(Dixon </w:t>
      </w:r>
      <w:r w:rsidRPr="00D403F5">
        <w:rPr>
          <w:rFonts w:cs="Arial"/>
          <w:i/>
          <w:noProof/>
          <w:szCs w:val="18"/>
        </w:rPr>
        <w:t>et al.,</w:t>
      </w:r>
      <w:r w:rsidRPr="00D403F5">
        <w:rPr>
          <w:rFonts w:cs="Arial"/>
          <w:noProof/>
          <w:szCs w:val="18"/>
        </w:rPr>
        <w:t xml:space="preserve"> 2016; </w:t>
      </w:r>
      <w:r w:rsidRPr="00D403F5">
        <w:rPr>
          <w:rFonts w:cs="Arial"/>
          <w:szCs w:val="18"/>
        </w:rPr>
        <w:t>Garver &amp; Wade, 2017).</w:t>
      </w:r>
    </w:p>
    <w:p w14:paraId="43886A9A" w14:textId="77777777" w:rsidR="00C7266C" w:rsidRPr="00D403F5" w:rsidRDefault="00C7266C" w:rsidP="006237A8">
      <w:pPr>
        <w:pStyle w:val="11"/>
        <w:rPr>
          <w:sz w:val="18"/>
          <w:szCs w:val="18"/>
          <w:lang w:val="en-IE"/>
        </w:rPr>
      </w:pPr>
      <w:r w:rsidRPr="00D403F5">
        <w:rPr>
          <w:sz w:val="18"/>
          <w:szCs w:val="18"/>
          <w:lang w:val="en-IE"/>
        </w:rPr>
        <w:t>2.3.</w:t>
      </w:r>
      <w:r w:rsidRPr="00D403F5">
        <w:rPr>
          <w:sz w:val="18"/>
          <w:szCs w:val="18"/>
          <w:lang w:val="en-IE"/>
        </w:rPr>
        <w:tab/>
        <w:t>Disease pattern</w:t>
      </w:r>
    </w:p>
    <w:p w14:paraId="636E5C27" w14:textId="77777777" w:rsidR="00C7266C" w:rsidRPr="00D403F5" w:rsidRDefault="00C7266C" w:rsidP="006237A8">
      <w:pPr>
        <w:pStyle w:val="111"/>
        <w:spacing w:after="240"/>
        <w:rPr>
          <w:sz w:val="18"/>
          <w:szCs w:val="18"/>
          <w:lang w:val="en-IE"/>
        </w:rPr>
      </w:pPr>
      <w:r w:rsidRPr="00D403F5">
        <w:rPr>
          <w:sz w:val="18"/>
          <w:szCs w:val="18"/>
          <w:lang w:val="en-IE"/>
        </w:rPr>
        <w:t>2.3.1.</w:t>
      </w:r>
      <w:r w:rsidRPr="00D403F5">
        <w:rPr>
          <w:sz w:val="18"/>
          <w:szCs w:val="18"/>
          <w:lang w:val="en-IE"/>
        </w:rPr>
        <w:tab/>
        <w:t>Mortality, morbidity and prevalence</w:t>
      </w:r>
    </w:p>
    <w:p w14:paraId="1BD22594" w14:textId="77777777" w:rsidR="00C7266C" w:rsidRPr="00D403F5" w:rsidRDefault="00C7266C" w:rsidP="006237A8">
      <w:pPr>
        <w:pStyle w:val="Para3"/>
        <w:rPr>
          <w:szCs w:val="18"/>
        </w:rPr>
      </w:pPr>
      <w:r w:rsidRPr="00D403F5">
        <w:rPr>
          <w:szCs w:val="18"/>
        </w:rPr>
        <w:t xml:space="preserve">Depending on the species of fish, rearing conditions, temperature, and virus strain, outbreaks of infection with IHNV may range from acute to chronic. An outbreak of infection with IHNV in farmed Atlantic salmon in British Colombia resulted in cumulative losses on affected farms between 20 and 94% (Saksida, 2006). In chronic cases, losses are protracted and fish in various stages of disease can be observed in the pond. The prevalence of infection in chronic cases remains unknown. The limited available data indicated that prevalence of infection with IHNV can be high (59%) in endemically infected rainbow trout farms in Europe (reviewed by Dixon </w:t>
      </w:r>
      <w:r w:rsidRPr="00D403F5">
        <w:rPr>
          <w:i/>
          <w:iCs/>
          <w:szCs w:val="18"/>
        </w:rPr>
        <w:t>et al</w:t>
      </w:r>
      <w:r w:rsidRPr="00D403F5">
        <w:rPr>
          <w:szCs w:val="18"/>
        </w:rPr>
        <w:t>., 2016).</w:t>
      </w:r>
    </w:p>
    <w:p w14:paraId="67F85756" w14:textId="77777777" w:rsidR="00C7266C" w:rsidRPr="00D403F5" w:rsidRDefault="00C7266C" w:rsidP="006237A8">
      <w:pPr>
        <w:pStyle w:val="Para3"/>
        <w:rPr>
          <w:szCs w:val="18"/>
          <w:lang w:eastAsia="fr-FR"/>
        </w:rPr>
      </w:pPr>
      <w:r w:rsidRPr="00D403F5">
        <w:rPr>
          <w:szCs w:val="18"/>
          <w:lang w:eastAsia="fr-FR"/>
        </w:rPr>
        <w:t xml:space="preserve">IHNV is endemic among populations of free-ranging salmonids throughout much of its historical range along the west coast of North America. Sockeye salmon have incurred losses of up to 99% at the fry stage </w:t>
      </w:r>
      <w:r w:rsidRPr="00D403F5">
        <w:rPr>
          <w:noProof/>
          <w:szCs w:val="18"/>
          <w:lang w:eastAsia="fr-FR"/>
        </w:rPr>
        <w:t xml:space="preserve">(Kurath </w:t>
      </w:r>
      <w:r w:rsidRPr="00D403F5">
        <w:rPr>
          <w:i/>
          <w:iCs/>
          <w:noProof/>
          <w:szCs w:val="18"/>
          <w:lang w:eastAsia="fr-FR"/>
        </w:rPr>
        <w:t>et al</w:t>
      </w:r>
      <w:r w:rsidRPr="00D403F5">
        <w:rPr>
          <w:noProof/>
          <w:szCs w:val="18"/>
          <w:lang w:eastAsia="fr-FR"/>
        </w:rPr>
        <w:t>., 2003)</w:t>
      </w:r>
      <w:r w:rsidRPr="00D403F5">
        <w:rPr>
          <w:szCs w:val="18"/>
          <w:lang w:eastAsia="fr-FR"/>
        </w:rPr>
        <w:t>. As the fish ages, the prevalence of infection decreases with marine phase sockeye salmon smolts, and the prevalence of infection in adults is generally low (&lt;15%) to undetectable. However, the prevalence of infection can again reach high levels in</w:t>
      </w:r>
      <w:r w:rsidRPr="00D403F5">
        <w:rPr>
          <w:rFonts w:eastAsiaTheme="minorEastAsia"/>
          <w:szCs w:val="18"/>
          <w:lang w:eastAsia="zh-CN"/>
        </w:rPr>
        <w:t xml:space="preserve"> </w:t>
      </w:r>
      <w:r w:rsidRPr="00D403F5">
        <w:rPr>
          <w:szCs w:val="18"/>
          <w:lang w:eastAsia="fr-FR"/>
        </w:rPr>
        <w:t xml:space="preserve">mature adult spawning sockeye salmon, with long term studies revealing greater than 50% prevalence in wild populations </w:t>
      </w:r>
      <w:r w:rsidRPr="00D403F5">
        <w:rPr>
          <w:noProof/>
          <w:szCs w:val="18"/>
          <w:lang w:eastAsia="fr-FR"/>
        </w:rPr>
        <w:t xml:space="preserve">(Meyers </w:t>
      </w:r>
      <w:r w:rsidRPr="00D403F5">
        <w:rPr>
          <w:i/>
          <w:noProof/>
          <w:szCs w:val="18"/>
          <w:lang w:eastAsia="fr-FR"/>
        </w:rPr>
        <w:t>et al.,</w:t>
      </w:r>
      <w:r w:rsidRPr="00D403F5">
        <w:rPr>
          <w:noProof/>
          <w:szCs w:val="18"/>
          <w:lang w:eastAsia="fr-FR"/>
        </w:rPr>
        <w:t xml:space="preserve"> 2003)</w:t>
      </w:r>
      <w:r w:rsidRPr="00D403F5">
        <w:rPr>
          <w:szCs w:val="18"/>
          <w:lang w:eastAsia="fr-FR"/>
        </w:rPr>
        <w:t xml:space="preserve">. </w:t>
      </w:r>
    </w:p>
    <w:p w14:paraId="46A14278" w14:textId="77777777" w:rsidR="006237A8" w:rsidRDefault="006237A8" w:rsidP="00D403F5">
      <w:pPr>
        <w:spacing w:after="0"/>
        <w:rPr>
          <w:rFonts w:ascii="Times New Roman" w:hAnsi="Times New Roman" w:cs="Times New Roman"/>
          <w:noProof/>
          <w:sz w:val="18"/>
          <w:szCs w:val="18"/>
          <w:u w:val="single"/>
          <w:lang w:val="en-US"/>
        </w:rPr>
      </w:pPr>
      <w:r>
        <w:rPr>
          <w:rFonts w:ascii="Times New Roman" w:hAnsi="Times New Roman" w:cs="Times New Roman"/>
          <w:noProof/>
          <w:sz w:val="18"/>
          <w:szCs w:val="18"/>
          <w:u w:val="single"/>
          <w:lang w:val="en-US"/>
        </w:rPr>
        <w:br w:type="page"/>
      </w:r>
    </w:p>
    <w:p w14:paraId="3D3B5D67" w14:textId="05B6888D" w:rsidR="00C7266C" w:rsidRPr="00D403F5" w:rsidRDefault="00983DC1" w:rsidP="006237A8">
      <w:pPr>
        <w:spacing w:after="480"/>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297B061F" w14:textId="77777777" w:rsidR="00C7266C" w:rsidRPr="00D403F5" w:rsidRDefault="00C7266C" w:rsidP="00D403F5">
      <w:pPr>
        <w:pStyle w:val="111"/>
        <w:spacing w:after="0"/>
        <w:rPr>
          <w:sz w:val="18"/>
          <w:szCs w:val="18"/>
          <w:lang w:val="en-IE"/>
        </w:rPr>
      </w:pPr>
      <w:r w:rsidRPr="00D403F5">
        <w:rPr>
          <w:sz w:val="18"/>
          <w:szCs w:val="18"/>
          <w:lang w:val="en-IE"/>
        </w:rPr>
        <w:t>2.3.2.</w:t>
      </w:r>
      <w:r w:rsidRPr="00D403F5">
        <w:rPr>
          <w:sz w:val="18"/>
          <w:szCs w:val="18"/>
          <w:lang w:val="en-IE"/>
        </w:rPr>
        <w:tab/>
        <w:t>Clinical signs, including behavioural changes</w:t>
      </w:r>
    </w:p>
    <w:p w14:paraId="6FA69499" w14:textId="77777777" w:rsidR="00C7266C" w:rsidRPr="00D403F5" w:rsidRDefault="00C7266C" w:rsidP="00D403F5">
      <w:pPr>
        <w:pStyle w:val="Para3"/>
        <w:spacing w:after="0"/>
        <w:rPr>
          <w:szCs w:val="18"/>
        </w:rPr>
      </w:pPr>
      <w:r w:rsidRPr="00D403F5">
        <w:rPr>
          <w:szCs w:val="18"/>
          <w:lang w:eastAsia="fr-FR"/>
        </w:rPr>
        <w:t>Fish with acute infection with IHNV can exhibit</w:t>
      </w:r>
      <w:r w:rsidRPr="00D403F5">
        <w:rPr>
          <w:szCs w:val="18"/>
        </w:rPr>
        <w:t xml:space="preserve"> lethargy interspersed with bouts of frenzied, abnormal activity. During outbreaks, fish can display spiral swimming, flashing, and have trailing faecal casts. Fish may also show darkening of the skin, exophthalmia, distended abdomen and external haemorrhaging. In instances where fish survive an outbreak, spinal deformities may become evident (</w:t>
      </w:r>
      <w:r w:rsidRPr="00D403F5">
        <w:rPr>
          <w:rFonts w:cs="Arial"/>
          <w:szCs w:val="18"/>
        </w:rPr>
        <w:t>Bootland &amp; Leong, 1999)</w:t>
      </w:r>
      <w:r w:rsidRPr="00D403F5">
        <w:rPr>
          <w:szCs w:val="18"/>
        </w:rPr>
        <w:t>.</w:t>
      </w:r>
    </w:p>
    <w:p w14:paraId="649F9A68" w14:textId="77777777" w:rsidR="00C7266C" w:rsidRPr="00D403F5" w:rsidRDefault="00C7266C" w:rsidP="00D403F5">
      <w:pPr>
        <w:pStyle w:val="111"/>
        <w:spacing w:after="0"/>
        <w:rPr>
          <w:sz w:val="18"/>
          <w:szCs w:val="18"/>
          <w:lang w:val="en-IE"/>
        </w:rPr>
      </w:pPr>
      <w:r w:rsidRPr="00D403F5">
        <w:rPr>
          <w:sz w:val="18"/>
          <w:szCs w:val="18"/>
          <w:lang w:val="en-IE"/>
        </w:rPr>
        <w:t>2.3.3</w:t>
      </w:r>
      <w:r w:rsidRPr="00D403F5">
        <w:rPr>
          <w:sz w:val="18"/>
          <w:szCs w:val="18"/>
          <w:lang w:val="en-IE"/>
        </w:rPr>
        <w:tab/>
        <w:t>Gross pathology</w:t>
      </w:r>
    </w:p>
    <w:p w14:paraId="59F3661D" w14:textId="77777777" w:rsidR="00C7266C" w:rsidRPr="00D403F5" w:rsidRDefault="00C7266C" w:rsidP="00D403F5">
      <w:pPr>
        <w:pStyle w:val="Para3"/>
        <w:spacing w:after="0"/>
        <w:rPr>
          <w:rFonts w:cs="Arial"/>
          <w:szCs w:val="18"/>
          <w:lang w:eastAsia="fr-FR"/>
        </w:rPr>
      </w:pPr>
      <w:r w:rsidRPr="00D403F5">
        <w:rPr>
          <w:rFonts w:cs="Arial"/>
          <w:szCs w:val="18"/>
          <w:lang w:eastAsia="fr-FR"/>
        </w:rPr>
        <w:t xml:space="preserve">Gross observations are non-pathognomonic and can involve ascites, pale gills, liver, kidney and spleen, petechial haemorrhaging, yellow mucous in the intestine and a lack of food in the stomach </w:t>
      </w:r>
      <w:r w:rsidRPr="00D403F5">
        <w:rPr>
          <w:szCs w:val="18"/>
        </w:rPr>
        <w:t>(</w:t>
      </w:r>
      <w:r w:rsidRPr="00D403F5">
        <w:rPr>
          <w:rFonts w:cs="Arial"/>
          <w:szCs w:val="18"/>
        </w:rPr>
        <w:t xml:space="preserve">Bootland &amp; Leong, 1999; </w:t>
      </w:r>
      <w:r w:rsidRPr="00D403F5">
        <w:rPr>
          <w:rFonts w:cs="Arial"/>
          <w:noProof/>
          <w:szCs w:val="18"/>
          <w:lang w:eastAsia="fr-FR"/>
        </w:rPr>
        <w:t>Traxler, 1986)</w:t>
      </w:r>
      <w:r w:rsidRPr="00D403F5">
        <w:rPr>
          <w:rFonts w:cs="Arial"/>
          <w:szCs w:val="18"/>
          <w:lang w:eastAsia="fr-FR"/>
        </w:rPr>
        <w:t xml:space="preserve">. </w:t>
      </w:r>
    </w:p>
    <w:p w14:paraId="69A15AAC" w14:textId="77777777" w:rsidR="00C7266C" w:rsidRPr="00D403F5" w:rsidRDefault="00C7266C" w:rsidP="00D403F5">
      <w:pPr>
        <w:pStyle w:val="111"/>
        <w:spacing w:after="0"/>
        <w:rPr>
          <w:sz w:val="18"/>
          <w:szCs w:val="18"/>
          <w:lang w:val="en-IE"/>
        </w:rPr>
      </w:pPr>
      <w:r w:rsidRPr="00D403F5">
        <w:rPr>
          <w:sz w:val="18"/>
          <w:szCs w:val="18"/>
          <w:lang w:val="en-IE"/>
        </w:rPr>
        <w:t>2.3.4.</w:t>
      </w:r>
      <w:r w:rsidRPr="00D403F5">
        <w:rPr>
          <w:sz w:val="18"/>
          <w:szCs w:val="18"/>
          <w:lang w:val="en-IE"/>
        </w:rPr>
        <w:tab/>
        <w:t xml:space="preserve">Modes of transmission and life cycle </w:t>
      </w:r>
    </w:p>
    <w:p w14:paraId="6E206727" w14:textId="77777777" w:rsidR="00C7266C" w:rsidRPr="00D403F5" w:rsidRDefault="00C7266C" w:rsidP="00D403F5">
      <w:pPr>
        <w:pStyle w:val="Para3"/>
        <w:spacing w:after="0"/>
        <w:rPr>
          <w:szCs w:val="18"/>
        </w:rPr>
      </w:pPr>
      <w:r w:rsidRPr="00D403F5">
        <w:rPr>
          <w:szCs w:val="18"/>
        </w:rPr>
        <w:t>The transmission of IHNV between fish is primarily horizontal through direct contact with</w:t>
      </w:r>
      <w:r w:rsidRPr="00D403F5">
        <w:rPr>
          <w:rFonts w:eastAsiaTheme="minorEastAsia"/>
          <w:szCs w:val="18"/>
          <w:lang w:eastAsia="zh-CN"/>
        </w:rPr>
        <w:t xml:space="preserve"> </w:t>
      </w:r>
      <w:r w:rsidRPr="00D403F5">
        <w:rPr>
          <w:szCs w:val="18"/>
        </w:rPr>
        <w:t xml:space="preserve">virus contaminated water or via cohabitation with IHNV infected fish </w:t>
      </w:r>
      <w:r w:rsidRPr="00D403F5">
        <w:rPr>
          <w:noProof/>
          <w:szCs w:val="18"/>
        </w:rPr>
        <w:t>(</w:t>
      </w:r>
      <w:r w:rsidRPr="00D403F5">
        <w:rPr>
          <w:rFonts w:cs="Arial"/>
          <w:szCs w:val="18"/>
        </w:rPr>
        <w:t>Bootland &amp; Leong, 1999)</w:t>
      </w:r>
      <w:r w:rsidRPr="00D403F5">
        <w:rPr>
          <w:szCs w:val="18"/>
        </w:rPr>
        <w:t xml:space="preserve">. However, cases of vertical or egg-associated transmission have been recorded </w:t>
      </w:r>
      <w:r w:rsidRPr="00D403F5">
        <w:rPr>
          <w:noProof/>
          <w:szCs w:val="18"/>
        </w:rPr>
        <w:t>(</w:t>
      </w:r>
      <w:r w:rsidRPr="00D403F5">
        <w:rPr>
          <w:rFonts w:cs="Arial"/>
          <w:szCs w:val="18"/>
        </w:rPr>
        <w:t>Mulcahy &amp; Pascho, 1985)</w:t>
      </w:r>
      <w:r w:rsidRPr="00D403F5">
        <w:rPr>
          <w:szCs w:val="18"/>
        </w:rPr>
        <w:t>. While</w:t>
      </w:r>
      <w:r w:rsidRPr="00D403F5">
        <w:rPr>
          <w:rFonts w:eastAsiaTheme="minorEastAsia"/>
          <w:szCs w:val="18"/>
          <w:lang w:eastAsia="zh-CN"/>
        </w:rPr>
        <w:t xml:space="preserve"> </w:t>
      </w:r>
      <w:r w:rsidRPr="00D403F5">
        <w:rPr>
          <w:szCs w:val="18"/>
        </w:rPr>
        <w:t xml:space="preserve">egg-associated transmission is significantly reduced by the now common practice of surface disinfection of eggs with an iodophor solution, it is the only mechanism accounting for the appearance of infection with IHNV in new geographical locations among fry originating from eggs that were incubated and hatched in virus-free water </w:t>
      </w:r>
      <w:r w:rsidRPr="00D403F5">
        <w:rPr>
          <w:noProof/>
          <w:szCs w:val="18"/>
        </w:rPr>
        <w:t xml:space="preserve">(Dixon </w:t>
      </w:r>
      <w:r w:rsidRPr="00D403F5">
        <w:rPr>
          <w:i/>
          <w:noProof/>
          <w:szCs w:val="18"/>
        </w:rPr>
        <w:t>et al.,</w:t>
      </w:r>
      <w:r w:rsidRPr="00D403F5">
        <w:rPr>
          <w:noProof/>
          <w:szCs w:val="18"/>
        </w:rPr>
        <w:t xml:space="preserve"> 2016; Winton, 1991)</w:t>
      </w:r>
      <w:r w:rsidRPr="00D403F5">
        <w:rPr>
          <w:szCs w:val="18"/>
        </w:rPr>
        <w:t>.</w:t>
      </w:r>
    </w:p>
    <w:p w14:paraId="6C2227DF" w14:textId="77777777" w:rsidR="00C7266C" w:rsidRPr="00D403F5" w:rsidRDefault="00C7266C" w:rsidP="00D403F5">
      <w:pPr>
        <w:pStyle w:val="111"/>
        <w:spacing w:after="0"/>
        <w:rPr>
          <w:sz w:val="18"/>
          <w:szCs w:val="18"/>
          <w:lang w:val="en-IE"/>
        </w:rPr>
      </w:pPr>
      <w:r w:rsidRPr="00D403F5">
        <w:rPr>
          <w:sz w:val="18"/>
          <w:szCs w:val="18"/>
          <w:lang w:val="en-IE"/>
        </w:rPr>
        <w:t>2.3.5.</w:t>
      </w:r>
      <w:r w:rsidRPr="00D403F5">
        <w:rPr>
          <w:sz w:val="18"/>
          <w:szCs w:val="18"/>
          <w:lang w:val="en-IE"/>
        </w:rPr>
        <w:tab/>
        <w:t xml:space="preserve">Environmental and management factors </w:t>
      </w:r>
    </w:p>
    <w:p w14:paraId="756074A5" w14:textId="77777777" w:rsidR="00C7266C" w:rsidRPr="00D403F5" w:rsidRDefault="00C7266C" w:rsidP="00D403F5">
      <w:pPr>
        <w:pStyle w:val="Para3"/>
        <w:spacing w:after="0"/>
        <w:rPr>
          <w:szCs w:val="18"/>
        </w:rPr>
      </w:pPr>
      <w:r w:rsidRPr="00D403F5">
        <w:rPr>
          <w:szCs w:val="18"/>
        </w:rPr>
        <w:t xml:space="preserve">The most important environmental factor affecting the disease progression is water temperature. Experimental trials have demonstrated that IHNV can produce mortality from 3°C to 18°C; however clinical disease typically occurs below 15°C under natural conditions </w:t>
      </w:r>
      <w:r w:rsidRPr="00D403F5">
        <w:rPr>
          <w:noProof/>
          <w:szCs w:val="18"/>
        </w:rPr>
        <w:t>(</w:t>
      </w:r>
      <w:r w:rsidRPr="00D403F5">
        <w:rPr>
          <w:rFonts w:cs="Arial"/>
          <w:szCs w:val="18"/>
        </w:rPr>
        <w:t>LaPatra, 1998)</w:t>
      </w:r>
      <w:r w:rsidRPr="00D403F5">
        <w:rPr>
          <w:szCs w:val="18"/>
        </w:rPr>
        <w:t>.</w:t>
      </w:r>
    </w:p>
    <w:p w14:paraId="1067C7AB" w14:textId="77777777" w:rsidR="00C7266C" w:rsidRPr="00D403F5" w:rsidRDefault="00C7266C" w:rsidP="00D403F5">
      <w:pPr>
        <w:pStyle w:val="111"/>
        <w:spacing w:after="0"/>
        <w:rPr>
          <w:sz w:val="18"/>
          <w:szCs w:val="18"/>
          <w:lang w:val="en-IE"/>
        </w:rPr>
      </w:pPr>
      <w:r w:rsidRPr="00D403F5">
        <w:rPr>
          <w:sz w:val="18"/>
          <w:szCs w:val="18"/>
          <w:lang w:val="en-IE"/>
        </w:rPr>
        <w:t>2.3.6.</w:t>
      </w:r>
      <w:r w:rsidRPr="00D403F5">
        <w:rPr>
          <w:sz w:val="18"/>
          <w:szCs w:val="18"/>
          <w:lang w:val="en-IE"/>
        </w:rPr>
        <w:tab/>
        <w:t>Geographical distribution</w:t>
      </w:r>
    </w:p>
    <w:p w14:paraId="7863A9FC" w14:textId="77777777" w:rsidR="00C7266C" w:rsidRPr="00D403F5" w:rsidRDefault="00C7266C" w:rsidP="00D403F5">
      <w:pPr>
        <w:pStyle w:val="Para3"/>
        <w:spacing w:after="0"/>
        <w:rPr>
          <w:rFonts w:cs="Arial"/>
          <w:szCs w:val="18"/>
          <w:lang w:eastAsia="fr-FR"/>
        </w:rPr>
      </w:pPr>
      <w:r w:rsidRPr="00D403F5">
        <w:rPr>
          <w:rFonts w:cs="Arial"/>
          <w:szCs w:val="18"/>
          <w:lang w:eastAsia="fr-FR"/>
        </w:rPr>
        <w:t xml:space="preserve">Cases of infection with IHNV have been reported from Europe, Asia-Pacific and the Americas. For recent information on distribution at the country level </w:t>
      </w:r>
      <w:bookmarkStart w:id="82" w:name="_Hlk21012526"/>
      <w:r w:rsidRPr="00D403F5">
        <w:rPr>
          <w:rFonts w:cs="Arial"/>
          <w:szCs w:val="18"/>
          <w:lang w:eastAsia="fr-FR"/>
        </w:rPr>
        <w:t>consult the WAHIS interface</w:t>
      </w:r>
      <w:bookmarkEnd w:id="82"/>
      <w:r w:rsidRPr="00D403F5">
        <w:rPr>
          <w:rFonts w:cs="Arial"/>
          <w:szCs w:val="18"/>
          <w:lang w:eastAsia="fr-FR"/>
        </w:rPr>
        <w:t>.</w:t>
      </w:r>
    </w:p>
    <w:p w14:paraId="227D1199" w14:textId="77777777" w:rsidR="00C7266C" w:rsidRPr="00D403F5" w:rsidRDefault="00C7266C" w:rsidP="00D403F5">
      <w:pPr>
        <w:pStyle w:val="11"/>
        <w:spacing w:after="0"/>
        <w:rPr>
          <w:sz w:val="18"/>
          <w:szCs w:val="18"/>
          <w:lang w:val="en-IE"/>
        </w:rPr>
      </w:pPr>
      <w:r w:rsidRPr="00D403F5">
        <w:rPr>
          <w:sz w:val="18"/>
          <w:szCs w:val="18"/>
          <w:lang w:val="en-IE"/>
        </w:rPr>
        <w:t>2.4.</w:t>
      </w:r>
      <w:r w:rsidRPr="00D403F5">
        <w:rPr>
          <w:sz w:val="18"/>
          <w:szCs w:val="18"/>
          <w:lang w:val="en-IE"/>
        </w:rPr>
        <w:tab/>
        <w:t>Biosecurity and disease control strategies</w:t>
      </w:r>
    </w:p>
    <w:p w14:paraId="3318E762" w14:textId="77777777" w:rsidR="00C7266C" w:rsidRPr="00D403F5" w:rsidRDefault="00C7266C" w:rsidP="00D403F5">
      <w:pPr>
        <w:pStyle w:val="111"/>
        <w:spacing w:after="0"/>
        <w:rPr>
          <w:sz w:val="18"/>
          <w:szCs w:val="18"/>
          <w:lang w:val="en-IE"/>
        </w:rPr>
      </w:pPr>
      <w:r w:rsidRPr="00D403F5">
        <w:rPr>
          <w:sz w:val="18"/>
          <w:szCs w:val="18"/>
          <w:lang w:val="en-IE"/>
        </w:rPr>
        <w:t>2.4.1.</w:t>
      </w:r>
      <w:r w:rsidRPr="00D403F5">
        <w:rPr>
          <w:sz w:val="18"/>
          <w:szCs w:val="18"/>
          <w:lang w:val="en-IE"/>
        </w:rPr>
        <w:tab/>
        <w:t>Vaccination</w:t>
      </w:r>
    </w:p>
    <w:p w14:paraId="5D717B68" w14:textId="77777777" w:rsidR="00C7266C" w:rsidRPr="00D403F5" w:rsidRDefault="00C7266C" w:rsidP="00D403F5">
      <w:pPr>
        <w:pStyle w:val="Para3"/>
        <w:spacing w:after="0"/>
        <w:rPr>
          <w:rFonts w:cs="Arial"/>
          <w:szCs w:val="18"/>
        </w:rPr>
      </w:pPr>
      <w:r w:rsidRPr="00D403F5">
        <w:rPr>
          <w:rFonts w:cs="Arial"/>
          <w:szCs w:val="18"/>
        </w:rPr>
        <w:t>Plasmid DNA vaccines containing the gene for the IHNV glycoprotein have proven highly efficacious against infection with IHNV</w:t>
      </w:r>
      <w:r w:rsidRPr="00D403F5">
        <w:rPr>
          <w:rFonts w:eastAsiaTheme="minorEastAsia" w:cs="Arial"/>
          <w:szCs w:val="18"/>
          <w:lang w:eastAsia="zh-CN"/>
        </w:rPr>
        <w:t xml:space="preserve"> </w:t>
      </w:r>
      <w:r w:rsidRPr="00D403F5">
        <w:rPr>
          <w:rFonts w:cs="Arial"/>
          <w:szCs w:val="18"/>
        </w:rPr>
        <w:t xml:space="preserve">resulting in the licensing of one for commercial use in Atlantic salmon net-pen aquaculture on the west coast of North America (Alonso &amp; Leong, 2013; Salonius </w:t>
      </w:r>
      <w:r w:rsidRPr="00D403F5">
        <w:rPr>
          <w:rFonts w:cs="Arial"/>
          <w:i/>
          <w:szCs w:val="18"/>
        </w:rPr>
        <w:t>et al.,</w:t>
      </w:r>
      <w:r w:rsidRPr="00D403F5">
        <w:rPr>
          <w:rFonts w:cs="Arial"/>
          <w:szCs w:val="18"/>
        </w:rPr>
        <w:t xml:space="preserve"> 2007). Administered via intramuscular injection, an IHNV DNA vaccine</w:t>
      </w:r>
      <w:r w:rsidRPr="00D403F5">
        <w:rPr>
          <w:rFonts w:eastAsiaTheme="minorEastAsia" w:cs="Arial"/>
          <w:szCs w:val="18"/>
          <w:lang w:eastAsia="zh-CN"/>
        </w:rPr>
        <w:t xml:space="preserve"> </w:t>
      </w:r>
      <w:r w:rsidRPr="00D403F5">
        <w:rPr>
          <w:rFonts w:cs="Arial"/>
          <w:szCs w:val="18"/>
        </w:rPr>
        <w:t>was rapidly</w:t>
      </w:r>
      <w:r w:rsidRPr="00D403F5">
        <w:rPr>
          <w:rFonts w:eastAsiaTheme="minorEastAsia" w:cs="Arial"/>
          <w:szCs w:val="18"/>
          <w:lang w:eastAsia="zh-CN"/>
        </w:rPr>
        <w:t xml:space="preserve"> </w:t>
      </w:r>
      <w:r w:rsidRPr="00D403F5">
        <w:rPr>
          <w:rFonts w:cs="Arial"/>
          <w:szCs w:val="18"/>
        </w:rPr>
        <w:t>disseminated systemically followed by</w:t>
      </w:r>
      <w:r w:rsidRPr="00D403F5">
        <w:rPr>
          <w:rFonts w:eastAsiaTheme="minorEastAsia" w:cs="Arial"/>
          <w:szCs w:val="18"/>
          <w:lang w:eastAsia="zh-CN"/>
        </w:rPr>
        <w:t xml:space="preserve"> </w:t>
      </w:r>
      <w:r w:rsidRPr="00D403F5">
        <w:rPr>
          <w:rFonts w:cs="Arial"/>
          <w:szCs w:val="18"/>
        </w:rPr>
        <w:t xml:space="preserve">plasmid persistence in muscle at the injection site; consequently, caution should be employed when testing fish vaccinated with the IHNV DNA vaccine as diagnostic methods targeting viral G-gene nucleotide sequence or protein have the potential to cross react with the vaccine. </w:t>
      </w:r>
    </w:p>
    <w:p w14:paraId="659838B1" w14:textId="77777777" w:rsidR="00C7266C" w:rsidRPr="00D403F5" w:rsidRDefault="00C7266C" w:rsidP="00D403F5">
      <w:pPr>
        <w:pStyle w:val="111"/>
        <w:spacing w:after="0"/>
        <w:rPr>
          <w:sz w:val="18"/>
          <w:szCs w:val="18"/>
          <w:lang w:val="en-IE"/>
        </w:rPr>
      </w:pPr>
      <w:r w:rsidRPr="00D403F5">
        <w:rPr>
          <w:sz w:val="18"/>
          <w:szCs w:val="18"/>
          <w:lang w:val="en-IE"/>
        </w:rPr>
        <w:t>2.4.2.</w:t>
      </w:r>
      <w:r w:rsidRPr="00D403F5">
        <w:rPr>
          <w:sz w:val="18"/>
          <w:szCs w:val="18"/>
          <w:lang w:val="en-IE"/>
        </w:rPr>
        <w:tab/>
        <w:t>Chemotherapy including blocking agents</w:t>
      </w:r>
    </w:p>
    <w:p w14:paraId="1BC3DE6E" w14:textId="77777777" w:rsidR="00C7266C" w:rsidRPr="00D403F5" w:rsidRDefault="00C7266C" w:rsidP="00D403F5">
      <w:pPr>
        <w:pStyle w:val="Para3"/>
        <w:spacing w:after="0"/>
        <w:rPr>
          <w:szCs w:val="18"/>
          <w:lang w:eastAsia="fr-FR"/>
        </w:rPr>
      </w:pPr>
      <w:r w:rsidRPr="00D403F5">
        <w:rPr>
          <w:szCs w:val="18"/>
          <w:lang w:eastAsia="fr-FR"/>
        </w:rPr>
        <w:t xml:space="preserve">Chemotherapeutics, including natural compounds, have been identified to have anti-IHNV properties; however, these have not found commercial use in aquaculture against IHNV </w:t>
      </w:r>
      <w:r w:rsidRPr="00D403F5">
        <w:rPr>
          <w:noProof/>
          <w:szCs w:val="18"/>
          <w:lang w:eastAsia="fr-FR"/>
        </w:rPr>
        <w:t>(Winton, 1991)</w:t>
      </w:r>
      <w:r w:rsidRPr="00D403F5">
        <w:rPr>
          <w:szCs w:val="18"/>
          <w:lang w:eastAsia="fr-FR"/>
        </w:rPr>
        <w:t xml:space="preserve">. Direct application of anti-IHNV compounds to cell cultures has caused growth inhibition and toxicity that could affect the sensitivity of detecting IHNV in affected cultures </w:t>
      </w:r>
      <w:r w:rsidRPr="00D403F5">
        <w:rPr>
          <w:noProof/>
          <w:szCs w:val="18"/>
          <w:lang w:eastAsia="fr-FR"/>
        </w:rPr>
        <w:t xml:space="preserve">(Balmer </w:t>
      </w:r>
      <w:r w:rsidRPr="00D403F5">
        <w:rPr>
          <w:i/>
          <w:noProof/>
          <w:szCs w:val="18"/>
          <w:lang w:eastAsia="fr-FR"/>
        </w:rPr>
        <w:t>et al.,</w:t>
      </w:r>
      <w:r w:rsidRPr="00D403F5">
        <w:rPr>
          <w:noProof/>
          <w:szCs w:val="18"/>
          <w:lang w:eastAsia="fr-FR"/>
        </w:rPr>
        <w:t xml:space="preserve"> 2017; </w:t>
      </w:r>
      <w:r w:rsidRPr="00D403F5">
        <w:rPr>
          <w:rFonts w:cs="Arial"/>
          <w:szCs w:val="18"/>
        </w:rPr>
        <w:t>Hasobe &amp; Saneyoshi, 1985)</w:t>
      </w:r>
      <w:r w:rsidRPr="00D403F5">
        <w:rPr>
          <w:szCs w:val="18"/>
          <w:lang w:eastAsia="fr-FR"/>
        </w:rPr>
        <w:t>.</w:t>
      </w:r>
    </w:p>
    <w:p w14:paraId="4438ECAA" w14:textId="77777777" w:rsidR="00C7266C" w:rsidRPr="00D403F5" w:rsidRDefault="00C7266C" w:rsidP="00D403F5">
      <w:pPr>
        <w:pStyle w:val="111"/>
        <w:spacing w:after="0"/>
        <w:rPr>
          <w:sz w:val="18"/>
          <w:szCs w:val="18"/>
          <w:lang w:val="en-IE"/>
        </w:rPr>
      </w:pPr>
      <w:r w:rsidRPr="00D403F5">
        <w:rPr>
          <w:sz w:val="18"/>
          <w:szCs w:val="18"/>
          <w:lang w:val="en-IE"/>
        </w:rPr>
        <w:t>2.4.3.</w:t>
      </w:r>
      <w:r w:rsidRPr="00D403F5">
        <w:rPr>
          <w:sz w:val="18"/>
          <w:szCs w:val="18"/>
          <w:lang w:val="en-IE"/>
        </w:rPr>
        <w:tab/>
        <w:t>Immunostimulation</w:t>
      </w:r>
    </w:p>
    <w:p w14:paraId="56DC1344" w14:textId="77777777" w:rsidR="00C7266C" w:rsidRPr="00D403F5" w:rsidRDefault="00C7266C" w:rsidP="00D403F5">
      <w:pPr>
        <w:pStyle w:val="Para3"/>
        <w:spacing w:after="0"/>
        <w:rPr>
          <w:szCs w:val="18"/>
          <w:lang w:eastAsia="fr-FR"/>
        </w:rPr>
      </w:pPr>
      <w:r w:rsidRPr="00D403F5">
        <w:rPr>
          <w:szCs w:val="18"/>
          <w:lang w:eastAsia="fr-FR"/>
        </w:rPr>
        <w:t xml:space="preserve">Immunostimulants are not used commercially in aquaculture for IHNV </w:t>
      </w:r>
      <w:r w:rsidRPr="00D403F5">
        <w:rPr>
          <w:noProof/>
          <w:szCs w:val="18"/>
          <w:lang w:eastAsia="fr-FR"/>
        </w:rPr>
        <w:t xml:space="preserve">(Ooi </w:t>
      </w:r>
      <w:r w:rsidRPr="00D403F5">
        <w:rPr>
          <w:i/>
          <w:noProof/>
          <w:szCs w:val="18"/>
          <w:lang w:eastAsia="fr-FR"/>
        </w:rPr>
        <w:t>et al.,</w:t>
      </w:r>
      <w:r w:rsidRPr="00D403F5">
        <w:rPr>
          <w:noProof/>
          <w:szCs w:val="18"/>
          <w:lang w:eastAsia="fr-FR"/>
        </w:rPr>
        <w:t xml:space="preserve"> 2008)</w:t>
      </w:r>
      <w:r w:rsidRPr="00D403F5">
        <w:rPr>
          <w:szCs w:val="18"/>
          <w:lang w:eastAsia="fr-FR"/>
        </w:rPr>
        <w:t xml:space="preserve">. </w:t>
      </w:r>
    </w:p>
    <w:p w14:paraId="53DC0BEB" w14:textId="77777777" w:rsidR="00C7266C" w:rsidRPr="00D403F5" w:rsidRDefault="00C7266C" w:rsidP="00D403F5">
      <w:pPr>
        <w:spacing w:after="0"/>
        <w:rPr>
          <w:rFonts w:ascii="Ottawa" w:hAnsi="Ottawa"/>
          <w:b/>
          <w:bCs/>
          <w:sz w:val="18"/>
          <w:szCs w:val="18"/>
          <w:lang w:val="en-IE" w:eastAsia="fr-FR"/>
        </w:rPr>
      </w:pPr>
      <w:r w:rsidRPr="00D403F5">
        <w:rPr>
          <w:sz w:val="18"/>
          <w:szCs w:val="18"/>
          <w:lang w:val="en-IE"/>
        </w:rPr>
        <w:br w:type="page"/>
      </w:r>
    </w:p>
    <w:p w14:paraId="3BC205A5" w14:textId="1702B0B4" w:rsidR="00C7266C" w:rsidRPr="00D403F5" w:rsidRDefault="00983DC1" w:rsidP="006237A8">
      <w:pPr>
        <w:spacing w:after="480"/>
        <w:jc w:val="right"/>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1D5F6B87" w14:textId="77777777" w:rsidR="00C7266C" w:rsidRPr="00D403F5" w:rsidRDefault="00C7266C" w:rsidP="006237A8">
      <w:pPr>
        <w:pStyle w:val="111"/>
        <w:spacing w:after="480"/>
        <w:rPr>
          <w:sz w:val="18"/>
          <w:szCs w:val="18"/>
          <w:lang w:val="en-IE"/>
        </w:rPr>
      </w:pPr>
      <w:r w:rsidRPr="00D403F5">
        <w:rPr>
          <w:sz w:val="18"/>
          <w:szCs w:val="18"/>
          <w:lang w:val="en-IE"/>
        </w:rPr>
        <w:t>2.4.4.</w:t>
      </w:r>
      <w:r w:rsidRPr="00D403F5">
        <w:rPr>
          <w:sz w:val="18"/>
          <w:szCs w:val="18"/>
          <w:lang w:val="en-IE"/>
        </w:rPr>
        <w:tab/>
        <w:t xml:space="preserve">Breeding resistant strains </w:t>
      </w:r>
    </w:p>
    <w:p w14:paraId="70ACD2B0" w14:textId="77777777" w:rsidR="00C7266C" w:rsidRPr="00D403F5" w:rsidRDefault="00C7266C" w:rsidP="00D403F5">
      <w:pPr>
        <w:pStyle w:val="Para3"/>
        <w:spacing w:after="0"/>
        <w:rPr>
          <w:szCs w:val="18"/>
        </w:rPr>
      </w:pPr>
      <w:r w:rsidRPr="00D403F5">
        <w:rPr>
          <w:rFonts w:cs="Arial"/>
          <w:szCs w:val="18"/>
          <w:lang w:eastAsia="fr-FR"/>
        </w:rPr>
        <w:t xml:space="preserve">Experimental trials of triploid or inter-species hybrids have been conducted </w:t>
      </w:r>
      <w:r w:rsidRPr="00D403F5">
        <w:rPr>
          <w:noProof/>
          <w:szCs w:val="18"/>
          <w:lang w:eastAsia="fr-FR"/>
        </w:rPr>
        <w:t xml:space="preserve">(Barroso </w:t>
      </w:r>
      <w:r w:rsidRPr="00D403F5">
        <w:rPr>
          <w:i/>
          <w:noProof/>
          <w:szCs w:val="18"/>
          <w:lang w:eastAsia="fr-FR"/>
        </w:rPr>
        <w:t>et al.,</w:t>
      </w:r>
      <w:r w:rsidRPr="00D403F5">
        <w:rPr>
          <w:noProof/>
          <w:szCs w:val="18"/>
          <w:lang w:eastAsia="fr-FR"/>
        </w:rPr>
        <w:t xml:space="preserve"> 2008; Winton, 1991)</w:t>
      </w:r>
      <w:r w:rsidRPr="00D403F5">
        <w:rPr>
          <w:rFonts w:cs="Arial"/>
          <w:szCs w:val="18"/>
          <w:lang w:eastAsia="fr-FR"/>
        </w:rPr>
        <w:t xml:space="preserve"> with resistance typically </w:t>
      </w:r>
      <w:r w:rsidRPr="00D403F5">
        <w:rPr>
          <w:rFonts w:eastAsiaTheme="minorHAnsi" w:cs="Arial"/>
          <w:szCs w:val="18"/>
        </w:rPr>
        <w:t>determined early in the infection process and associated with lower early viral replication (</w:t>
      </w:r>
      <w:r w:rsidRPr="00D403F5">
        <w:rPr>
          <w:szCs w:val="18"/>
          <w:lang w:eastAsia="fr-FR"/>
        </w:rPr>
        <w:t xml:space="preserve">Purcell </w:t>
      </w:r>
      <w:r w:rsidRPr="00D403F5">
        <w:rPr>
          <w:i/>
          <w:szCs w:val="18"/>
          <w:lang w:eastAsia="fr-FR"/>
        </w:rPr>
        <w:t>et al</w:t>
      </w:r>
      <w:r w:rsidRPr="00D403F5">
        <w:rPr>
          <w:szCs w:val="18"/>
          <w:lang w:eastAsia="fr-FR"/>
        </w:rPr>
        <w:t>., 2010</w:t>
      </w:r>
      <w:r w:rsidRPr="00D403F5">
        <w:rPr>
          <w:rFonts w:eastAsiaTheme="minorHAnsi" w:cs="Arial"/>
          <w:szCs w:val="18"/>
        </w:rPr>
        <w:t>)</w:t>
      </w:r>
      <w:r w:rsidRPr="00D403F5">
        <w:rPr>
          <w:rFonts w:cs="Arial"/>
          <w:szCs w:val="18"/>
          <w:lang w:eastAsia="fr-FR"/>
        </w:rPr>
        <w:t xml:space="preserve">. </w:t>
      </w:r>
      <w:r w:rsidRPr="00D403F5">
        <w:rPr>
          <w:szCs w:val="18"/>
        </w:rPr>
        <w:t>However, no resistant strains are commercially available.</w:t>
      </w:r>
    </w:p>
    <w:p w14:paraId="311B9011" w14:textId="77777777" w:rsidR="00C7266C" w:rsidRPr="00D403F5" w:rsidRDefault="00C7266C" w:rsidP="00D403F5">
      <w:pPr>
        <w:pStyle w:val="111"/>
        <w:spacing w:after="0"/>
        <w:rPr>
          <w:sz w:val="18"/>
          <w:szCs w:val="18"/>
          <w:lang w:val="en-IE"/>
        </w:rPr>
      </w:pPr>
      <w:r w:rsidRPr="00D403F5">
        <w:rPr>
          <w:sz w:val="18"/>
          <w:szCs w:val="18"/>
          <w:lang w:val="en-IE"/>
        </w:rPr>
        <w:t>2.4.5.</w:t>
      </w:r>
      <w:r w:rsidRPr="00D403F5">
        <w:rPr>
          <w:sz w:val="18"/>
          <w:szCs w:val="18"/>
          <w:lang w:val="en-IE"/>
        </w:rPr>
        <w:tab/>
        <w:t>Inactivation methods</w:t>
      </w:r>
    </w:p>
    <w:p w14:paraId="0972A5D5" w14:textId="77777777" w:rsidR="00C7266C" w:rsidRPr="00D403F5" w:rsidRDefault="00C7266C" w:rsidP="00D403F5">
      <w:pPr>
        <w:pStyle w:val="111"/>
        <w:spacing w:after="0"/>
        <w:ind w:firstLine="0"/>
        <w:rPr>
          <w:rFonts w:ascii="Arial" w:hAnsi="Arial" w:cs="Arial"/>
          <w:b w:val="0"/>
          <w:sz w:val="18"/>
          <w:szCs w:val="18"/>
          <w:lang w:val="en-IE"/>
        </w:rPr>
      </w:pPr>
      <w:r w:rsidRPr="00D403F5">
        <w:rPr>
          <w:rFonts w:ascii="Arial" w:hAnsi="Arial" w:cs="Arial"/>
          <w:b w:val="0"/>
          <w:sz w:val="18"/>
          <w:szCs w:val="18"/>
          <w:lang w:val="en-IE"/>
        </w:rPr>
        <w:t xml:space="preserve">IHNV is readily inactivated by common disinfectants with active ingredients such as sodium hypochlorite, iodophor, benzalkonium chloride, saponated cresol, formaldehyde and potassium permanganate solution </w:t>
      </w:r>
      <w:r w:rsidRPr="00D403F5">
        <w:rPr>
          <w:rFonts w:ascii="Arial" w:hAnsi="Arial" w:cs="Arial"/>
          <w:b w:val="0"/>
          <w:noProof/>
          <w:sz w:val="18"/>
          <w:szCs w:val="18"/>
          <w:lang w:val="en-IE"/>
        </w:rPr>
        <w:t>(</w:t>
      </w:r>
      <w:r w:rsidRPr="00D403F5">
        <w:rPr>
          <w:rFonts w:ascii="Arial" w:hAnsi="Arial" w:cs="Arial"/>
          <w:b w:val="0"/>
          <w:sz w:val="18"/>
          <w:szCs w:val="18"/>
          <w:lang w:val="en-IE"/>
        </w:rPr>
        <w:t xml:space="preserve">Yoshimizu </w:t>
      </w:r>
      <w:r w:rsidRPr="00D403F5">
        <w:rPr>
          <w:rFonts w:ascii="Arial" w:hAnsi="Arial" w:cs="Arial"/>
          <w:b w:val="0"/>
          <w:i/>
          <w:sz w:val="18"/>
          <w:szCs w:val="18"/>
          <w:lang w:val="en-IE"/>
        </w:rPr>
        <w:t>et al.,</w:t>
      </w:r>
      <w:r w:rsidRPr="00D403F5">
        <w:rPr>
          <w:rFonts w:ascii="Arial" w:hAnsi="Arial" w:cs="Arial"/>
          <w:b w:val="0"/>
          <w:sz w:val="18"/>
          <w:szCs w:val="18"/>
          <w:lang w:val="en-IE"/>
        </w:rPr>
        <w:t xml:space="preserve"> 2005). As these substances have virucidal properties any carry-over on sampling equipment or contact with samples may result in reduced viral titres. </w:t>
      </w:r>
    </w:p>
    <w:p w14:paraId="0E50A510" w14:textId="77777777" w:rsidR="00C7266C" w:rsidRPr="00D403F5" w:rsidRDefault="00C7266C" w:rsidP="00D403F5">
      <w:pPr>
        <w:pStyle w:val="111"/>
        <w:spacing w:after="0"/>
        <w:rPr>
          <w:sz w:val="18"/>
          <w:szCs w:val="18"/>
          <w:lang w:val="en-IE"/>
        </w:rPr>
      </w:pPr>
      <w:r w:rsidRPr="00D403F5">
        <w:rPr>
          <w:sz w:val="18"/>
          <w:szCs w:val="18"/>
          <w:lang w:val="en-IE"/>
        </w:rPr>
        <w:t>2.4.6.</w:t>
      </w:r>
      <w:r w:rsidRPr="00D403F5">
        <w:rPr>
          <w:sz w:val="18"/>
          <w:szCs w:val="18"/>
          <w:lang w:val="en-IE"/>
        </w:rPr>
        <w:tab/>
        <w:t>Disinfection of eggs and larvae</w:t>
      </w:r>
    </w:p>
    <w:p w14:paraId="46D911A2" w14:textId="77777777" w:rsidR="00C7266C" w:rsidRPr="00D403F5" w:rsidRDefault="00C7266C" w:rsidP="00D403F5">
      <w:pPr>
        <w:pStyle w:val="Para3"/>
        <w:spacing w:after="0"/>
        <w:rPr>
          <w:szCs w:val="18"/>
        </w:rPr>
      </w:pPr>
      <w:r w:rsidRPr="00D403F5">
        <w:rPr>
          <w:szCs w:val="18"/>
        </w:rPr>
        <w:t xml:space="preserve">Iodophor disinfection of eggs is a common practice to effectively mitigate egg-associated transmission of IHNV </w:t>
      </w:r>
      <w:r w:rsidRPr="00D403F5">
        <w:rPr>
          <w:noProof/>
          <w:szCs w:val="18"/>
        </w:rPr>
        <w:t xml:space="preserve">(Bovo </w:t>
      </w:r>
      <w:r w:rsidRPr="00D403F5">
        <w:rPr>
          <w:i/>
          <w:noProof/>
          <w:szCs w:val="18"/>
        </w:rPr>
        <w:t>et al.,</w:t>
      </w:r>
      <w:r w:rsidRPr="00D403F5">
        <w:rPr>
          <w:noProof/>
          <w:szCs w:val="18"/>
        </w:rPr>
        <w:t xml:space="preserve"> 2005)</w:t>
      </w:r>
      <w:r w:rsidRPr="00D403F5">
        <w:rPr>
          <w:szCs w:val="18"/>
        </w:rPr>
        <w:t xml:space="preserve">. Chapter 4.4. of the </w:t>
      </w:r>
      <w:r w:rsidRPr="00D403F5">
        <w:rPr>
          <w:i/>
          <w:szCs w:val="18"/>
        </w:rPr>
        <w:t>Aquatic Code</w:t>
      </w:r>
      <w:r w:rsidRPr="00D403F5">
        <w:rPr>
          <w:szCs w:val="18"/>
        </w:rPr>
        <w:t xml:space="preserve"> provides recommendations for surface disinfection of salmonid eggs. Iodine has been shown to inhibit PCRs (</w:t>
      </w:r>
      <w:r w:rsidRPr="00D403F5">
        <w:rPr>
          <w:rFonts w:cs="Arial"/>
          <w:szCs w:val="18"/>
        </w:rPr>
        <w:t xml:space="preserve">Auinger </w:t>
      </w:r>
      <w:r w:rsidRPr="00D403F5">
        <w:rPr>
          <w:rFonts w:cs="Arial"/>
          <w:i/>
          <w:szCs w:val="18"/>
        </w:rPr>
        <w:t>et al.,</w:t>
      </w:r>
      <w:r w:rsidRPr="00D403F5">
        <w:rPr>
          <w:rFonts w:cs="Arial"/>
          <w:szCs w:val="18"/>
        </w:rPr>
        <w:t xml:space="preserve"> 2008) and could affect PCR testing results of disinfected eggs</w:t>
      </w:r>
      <w:r w:rsidRPr="00D403F5">
        <w:rPr>
          <w:szCs w:val="18"/>
        </w:rPr>
        <w:t xml:space="preserve">. </w:t>
      </w:r>
    </w:p>
    <w:p w14:paraId="10863DE2" w14:textId="77777777" w:rsidR="00C7266C" w:rsidRPr="00D403F5" w:rsidRDefault="00C7266C" w:rsidP="00D403F5">
      <w:pPr>
        <w:pStyle w:val="111"/>
        <w:spacing w:after="0"/>
        <w:rPr>
          <w:sz w:val="18"/>
          <w:szCs w:val="18"/>
          <w:lang w:val="en-IE"/>
        </w:rPr>
      </w:pPr>
      <w:r w:rsidRPr="00D403F5">
        <w:rPr>
          <w:sz w:val="18"/>
          <w:szCs w:val="18"/>
          <w:lang w:val="en-IE"/>
        </w:rPr>
        <w:t>2.4.7.</w:t>
      </w:r>
      <w:r w:rsidRPr="00D403F5">
        <w:rPr>
          <w:sz w:val="18"/>
          <w:szCs w:val="18"/>
          <w:lang w:val="en-IE"/>
        </w:rPr>
        <w:tab/>
        <w:t xml:space="preserve">General husbandry </w:t>
      </w:r>
    </w:p>
    <w:p w14:paraId="0900CC44" w14:textId="77777777" w:rsidR="00C7266C" w:rsidRPr="00D403F5" w:rsidRDefault="00C7266C" w:rsidP="00D403F5">
      <w:pPr>
        <w:pStyle w:val="Para3"/>
        <w:spacing w:after="0"/>
        <w:rPr>
          <w:szCs w:val="18"/>
          <w:lang w:eastAsia="fr-FR"/>
        </w:rPr>
      </w:pPr>
      <w:r w:rsidRPr="00D403F5">
        <w:rPr>
          <w:szCs w:val="18"/>
          <w:lang w:eastAsia="fr-FR"/>
        </w:rPr>
        <w:t xml:space="preserve">In addition to disinfection of eggs, use of a virus-free water supply and decreasing rearing densities have significant positive effects in the management of </w:t>
      </w:r>
      <w:r w:rsidRPr="00D403F5">
        <w:rPr>
          <w:szCs w:val="18"/>
        </w:rPr>
        <w:t xml:space="preserve">IHNV. </w:t>
      </w:r>
      <w:r w:rsidRPr="00D403F5">
        <w:rPr>
          <w:szCs w:val="18"/>
          <w:lang w:eastAsia="fr-FR"/>
        </w:rPr>
        <w:t xml:space="preserve">Transmission of IHNV increases with host density </w:t>
      </w:r>
      <w:r w:rsidRPr="00D403F5">
        <w:rPr>
          <w:noProof/>
          <w:szCs w:val="18"/>
          <w:lang w:eastAsia="fr-FR"/>
        </w:rPr>
        <w:t>(</w:t>
      </w:r>
      <w:r w:rsidRPr="00D403F5">
        <w:rPr>
          <w:rFonts w:cs="Arial"/>
          <w:szCs w:val="18"/>
        </w:rPr>
        <w:t>Ogut &amp; Reno, 2004)</w:t>
      </w:r>
      <w:r w:rsidRPr="00D403F5">
        <w:rPr>
          <w:szCs w:val="18"/>
          <w:lang w:eastAsia="fr-FR"/>
        </w:rPr>
        <w:t>.</w:t>
      </w:r>
    </w:p>
    <w:p w14:paraId="7EA8F2EA" w14:textId="77777777" w:rsidR="00C7266C" w:rsidRPr="00D403F5" w:rsidRDefault="00C7266C" w:rsidP="00D403F5">
      <w:pPr>
        <w:pStyle w:val="StyleTitre1Arial"/>
        <w:spacing w:after="0"/>
        <w:rPr>
          <w:rFonts w:ascii="Ottawa" w:hAnsi="Ottawa"/>
          <w:sz w:val="18"/>
          <w:szCs w:val="18"/>
          <w:lang w:val="en-IE"/>
        </w:rPr>
      </w:pPr>
      <w:r w:rsidRPr="00D403F5">
        <w:rPr>
          <w:rFonts w:ascii="Ottawa" w:hAnsi="Ottawa"/>
          <w:sz w:val="18"/>
          <w:szCs w:val="18"/>
          <w:lang w:val="en-IE"/>
        </w:rPr>
        <w:t>3.</w:t>
      </w:r>
      <w:r w:rsidRPr="00D403F5">
        <w:rPr>
          <w:rFonts w:ascii="Ottawa" w:hAnsi="Ottawa"/>
          <w:sz w:val="18"/>
          <w:szCs w:val="18"/>
          <w:lang w:val="en-IE"/>
        </w:rPr>
        <w:tab/>
        <w:t xml:space="preserve">Specimen selection, sample collection, transportation and handling </w:t>
      </w:r>
    </w:p>
    <w:p w14:paraId="327BED46" w14:textId="77777777" w:rsidR="00C7266C" w:rsidRPr="00D403F5" w:rsidRDefault="00C7266C" w:rsidP="00D403F5">
      <w:pPr>
        <w:pStyle w:val="Para10"/>
        <w:spacing w:after="0"/>
        <w:rPr>
          <w:rFonts w:cs="Arial"/>
          <w:szCs w:val="18"/>
        </w:rPr>
      </w:pPr>
      <w:r w:rsidRPr="00D403F5">
        <w:rPr>
          <w:rFonts w:cs="Arial"/>
          <w:szCs w:val="18"/>
        </w:rPr>
        <w:t xml:space="preserve">This section draws on information in Sections 2.2, 2.3 and 2.4 to identify populations, individuals and samples which are most likely to be infected. </w:t>
      </w:r>
    </w:p>
    <w:p w14:paraId="574A706B" w14:textId="77777777" w:rsidR="00C7266C" w:rsidRPr="00D403F5" w:rsidRDefault="00C7266C" w:rsidP="00D403F5">
      <w:pPr>
        <w:pStyle w:val="11"/>
        <w:spacing w:after="0"/>
        <w:rPr>
          <w:sz w:val="18"/>
          <w:szCs w:val="18"/>
          <w:lang w:val="en-IE"/>
        </w:rPr>
      </w:pPr>
      <w:r w:rsidRPr="00D403F5">
        <w:rPr>
          <w:sz w:val="18"/>
          <w:szCs w:val="18"/>
          <w:lang w:val="en-IE"/>
        </w:rPr>
        <w:t>3.1.</w:t>
      </w:r>
      <w:r w:rsidRPr="00D403F5">
        <w:rPr>
          <w:sz w:val="18"/>
          <w:szCs w:val="18"/>
          <w:lang w:val="en-IE"/>
        </w:rPr>
        <w:tab/>
        <w:t>Selection of populations and individual specimens</w:t>
      </w:r>
    </w:p>
    <w:p w14:paraId="5DC7987A" w14:textId="77777777" w:rsidR="00C7266C" w:rsidRPr="00D403F5" w:rsidRDefault="00C7266C" w:rsidP="00D403F5">
      <w:pPr>
        <w:pStyle w:val="Para20"/>
        <w:spacing w:after="0"/>
        <w:rPr>
          <w:rFonts w:cs="Arial"/>
          <w:szCs w:val="18"/>
          <w:lang w:val="en-GB"/>
        </w:rPr>
      </w:pPr>
      <w:r w:rsidRPr="00D403F5">
        <w:rPr>
          <w:szCs w:val="18"/>
        </w:rPr>
        <w:t xml:space="preserve">Clinical inspections are best carried out during a period whenever the water temperature is below 14°C, </w:t>
      </w:r>
      <w:bookmarkStart w:id="83" w:name="_Hlk21073267"/>
      <w:r w:rsidRPr="00D403F5">
        <w:rPr>
          <w:rFonts w:cs="Arial"/>
          <w:spacing w:val="-2"/>
          <w:szCs w:val="18"/>
          <w:lang w:val="en-GB"/>
        </w:rPr>
        <w:t>or whenever the water temperature is likely to reach its lowest annual point.</w:t>
      </w:r>
      <w:bookmarkEnd w:id="83"/>
      <w:r w:rsidRPr="00D403F5">
        <w:rPr>
          <w:szCs w:val="18"/>
        </w:rPr>
        <w:t xml:space="preserve"> All production units (ponds, tanks, net-cages, etc.) must be inspected for the presence of dead, weak or abnormally behaving fish </w:t>
      </w:r>
      <w:r w:rsidRPr="00D403F5">
        <w:rPr>
          <w:rFonts w:cs="Arial"/>
          <w:spacing w:val="-2"/>
          <w:szCs w:val="18"/>
          <w:lang w:val="en-GB"/>
        </w:rPr>
        <w:t>of any susceptible species, and if</w:t>
      </w:r>
      <w:r w:rsidRPr="00D403F5">
        <w:rPr>
          <w:rFonts w:cs="Arial"/>
          <w:szCs w:val="18"/>
          <w:lang w:val="en-GB"/>
        </w:rPr>
        <w:t xml:space="preserve"> they are present, such fish should be selected</w:t>
      </w:r>
      <w:r w:rsidRPr="00D403F5">
        <w:rPr>
          <w:szCs w:val="18"/>
        </w:rPr>
        <w:t xml:space="preserve">. </w:t>
      </w:r>
      <w:r w:rsidRPr="00D403F5">
        <w:rPr>
          <w:rFonts w:cs="Arial"/>
          <w:spacing w:val="-2"/>
          <w:szCs w:val="18"/>
          <w:lang w:val="en-GB"/>
        </w:rPr>
        <w:t>Particular attention should be paid to the water outlet area, where weak fish tend to accumulate due to the water current.</w:t>
      </w:r>
      <w:r w:rsidRPr="00D403F5">
        <w:rPr>
          <w:rFonts w:cs="Arial"/>
          <w:szCs w:val="18"/>
          <w:lang w:val="en-GB"/>
        </w:rPr>
        <w:t xml:space="preserve"> If additional fish are required for the sample, healthy individuals should be selected as follows:</w:t>
      </w:r>
    </w:p>
    <w:p w14:paraId="4D3177D5" w14:textId="77777777" w:rsidR="00C7266C" w:rsidRPr="00D403F5" w:rsidRDefault="00C7266C" w:rsidP="00D403F5">
      <w:pPr>
        <w:pStyle w:val="Parai2"/>
        <w:spacing w:after="0"/>
        <w:ind w:left="992"/>
        <w:rPr>
          <w:rFonts w:cs="Arial"/>
          <w:szCs w:val="18"/>
          <w:lang w:val="en-GB"/>
        </w:rPr>
      </w:pPr>
      <w:r w:rsidRPr="00D403F5">
        <w:rPr>
          <w:rFonts w:cs="Arial"/>
          <w:szCs w:val="18"/>
          <w:lang w:val="en-GB"/>
        </w:rPr>
        <w:t>i)</w:t>
      </w:r>
      <w:r w:rsidRPr="00D403F5">
        <w:rPr>
          <w:rFonts w:cs="Arial"/>
          <w:szCs w:val="18"/>
          <w:lang w:val="en-GB"/>
        </w:rPr>
        <w:tab/>
      </w:r>
      <w:r w:rsidRPr="00D403F5">
        <w:rPr>
          <w:szCs w:val="18"/>
        </w:rPr>
        <w:t>In farms with salmonids, if rainbow trout are present, only fish of that species should be selected for sampling. If rainbow trout are not present, the sample has to be obtained from fish of all other IHNV-susceptible species.</w:t>
      </w:r>
      <w:r w:rsidRPr="00D403F5">
        <w:rPr>
          <w:rFonts w:cs="Arial"/>
          <w:szCs w:val="18"/>
          <w:lang w:val="en-GB"/>
        </w:rPr>
        <w:t xml:space="preserve"> </w:t>
      </w:r>
    </w:p>
    <w:p w14:paraId="7DCEF55A" w14:textId="77777777" w:rsidR="00C7266C" w:rsidRPr="00D403F5" w:rsidRDefault="00C7266C" w:rsidP="00D403F5">
      <w:pPr>
        <w:pStyle w:val="Parai2"/>
        <w:spacing w:after="0"/>
        <w:ind w:left="992"/>
        <w:rPr>
          <w:rFonts w:cs="Arial"/>
          <w:szCs w:val="18"/>
          <w:lang w:val="en-GB"/>
        </w:rPr>
      </w:pPr>
      <w:r w:rsidRPr="00D403F5">
        <w:rPr>
          <w:rFonts w:cs="Arial"/>
          <w:szCs w:val="18"/>
          <w:lang w:val="en-GB"/>
        </w:rPr>
        <w:t>ii)</w:t>
      </w:r>
      <w:r w:rsidRPr="00D403F5">
        <w:rPr>
          <w:rFonts w:cs="Arial"/>
          <w:szCs w:val="18"/>
          <w:lang w:val="en-GB"/>
        </w:rPr>
        <w:tab/>
        <w:t>Susceptible species should be sampled following risk-based criteria for targeted selection of populations with a history of abnormal mortality or potential exposure events (e.g. via untreated surface water, wild harvest or replacement with stocks of unknown risk status).</w:t>
      </w:r>
    </w:p>
    <w:p w14:paraId="07A768C6" w14:textId="77777777" w:rsidR="00C7266C" w:rsidRPr="00D403F5" w:rsidRDefault="00C7266C" w:rsidP="00D403F5">
      <w:pPr>
        <w:pStyle w:val="Parai2"/>
        <w:spacing w:after="0"/>
        <w:ind w:left="992"/>
        <w:rPr>
          <w:rFonts w:cs="Arial"/>
          <w:szCs w:val="18"/>
          <w:lang w:val="en-GB"/>
        </w:rPr>
      </w:pPr>
      <w:r w:rsidRPr="00D403F5">
        <w:rPr>
          <w:rFonts w:cs="Arial"/>
          <w:szCs w:val="18"/>
          <w:lang w:val="en-GB"/>
        </w:rPr>
        <w:t>iii)</w:t>
      </w:r>
      <w:r w:rsidRPr="00D403F5">
        <w:rPr>
          <w:rFonts w:cs="Arial"/>
          <w:szCs w:val="18"/>
          <w:lang w:val="en-GB"/>
        </w:rPr>
        <w:tab/>
        <w:t>If more than one water source is used for fish production, fish from all water sources should be included in the sample.</w:t>
      </w:r>
    </w:p>
    <w:p w14:paraId="3C6B16C6" w14:textId="77777777" w:rsidR="00C7266C" w:rsidRPr="00D403F5" w:rsidRDefault="00C7266C" w:rsidP="00D403F5">
      <w:pPr>
        <w:pStyle w:val="11"/>
        <w:spacing w:after="0"/>
        <w:rPr>
          <w:sz w:val="18"/>
          <w:szCs w:val="18"/>
          <w:lang w:val="en-IE"/>
        </w:rPr>
      </w:pPr>
      <w:r w:rsidRPr="00D403F5">
        <w:rPr>
          <w:sz w:val="18"/>
          <w:szCs w:val="18"/>
          <w:lang w:val="en-IE"/>
        </w:rPr>
        <w:t>3.2.</w:t>
      </w:r>
      <w:r w:rsidRPr="00D403F5">
        <w:rPr>
          <w:sz w:val="18"/>
          <w:szCs w:val="18"/>
          <w:lang w:val="en-IE"/>
        </w:rPr>
        <w:tab/>
        <w:t>Selection of organs or tissues</w:t>
      </w:r>
    </w:p>
    <w:p w14:paraId="73556F29" w14:textId="77777777" w:rsidR="00C7266C" w:rsidRPr="00D403F5" w:rsidRDefault="00C7266C" w:rsidP="00D403F5">
      <w:pPr>
        <w:pStyle w:val="Para20"/>
        <w:spacing w:after="0"/>
        <w:rPr>
          <w:rFonts w:cs="Arial"/>
          <w:szCs w:val="18"/>
        </w:rPr>
      </w:pPr>
      <w:r w:rsidRPr="00D403F5">
        <w:rPr>
          <w:rFonts w:cs="Arial"/>
          <w:szCs w:val="18"/>
        </w:rPr>
        <w:t>The optimal tissue material to be examined is spleen, anterior kidney, and either heart or brain. In the case of spawning fish, ovarian fluid and milt may be examined.</w:t>
      </w:r>
    </w:p>
    <w:p w14:paraId="2F9671CE" w14:textId="77777777" w:rsidR="00C7266C" w:rsidRPr="00D403F5" w:rsidRDefault="00C7266C" w:rsidP="00D403F5">
      <w:pPr>
        <w:pStyle w:val="Para20"/>
        <w:spacing w:after="0"/>
        <w:rPr>
          <w:szCs w:val="18"/>
          <w:lang w:eastAsia="fr-FR"/>
        </w:rPr>
      </w:pPr>
      <w:r w:rsidRPr="00D403F5">
        <w:rPr>
          <w:rFonts w:cs="Arial"/>
          <w:szCs w:val="18"/>
        </w:rPr>
        <w:t>In the case of small fry, whole fish less than 4 cm long can be homogenised (using, for example, sterile scissors or a scapel) after removal of the body behind the gut opening. If a sample consists of whole fish with a body length between 4 cm and 6 cm, the viscera including kidney should be collected.</w:t>
      </w:r>
      <w:r w:rsidRPr="00D403F5">
        <w:rPr>
          <w:rFonts w:cs="Arial"/>
          <w:szCs w:val="18"/>
          <w:lang w:eastAsia="fr-FR"/>
        </w:rPr>
        <w:t xml:space="preserve"> F</w:t>
      </w:r>
      <w:r w:rsidRPr="00D403F5">
        <w:rPr>
          <w:szCs w:val="18"/>
          <w:lang w:eastAsia="fr-FR"/>
        </w:rPr>
        <w:t xml:space="preserve">or larger size fish, kidney, spleen, heart, encephalon, and ovarian fluid from brood fish at the time of spawning, should be the tissues to be sampled. </w:t>
      </w:r>
      <w:r w:rsidRPr="00D403F5">
        <w:rPr>
          <w:szCs w:val="18"/>
        </w:rPr>
        <w:t>When possible, samples should be taken in duplicate to permit retesting if needed.</w:t>
      </w:r>
    </w:p>
    <w:p w14:paraId="08D9E76B" w14:textId="77777777" w:rsidR="006237A8" w:rsidRDefault="006237A8" w:rsidP="00D403F5">
      <w:pPr>
        <w:spacing w:after="0"/>
        <w:rPr>
          <w:rFonts w:ascii="Times New Roman" w:hAnsi="Times New Roman" w:cs="Times New Roman"/>
          <w:noProof/>
          <w:sz w:val="18"/>
          <w:szCs w:val="18"/>
          <w:u w:val="single"/>
          <w:lang w:val="en-US"/>
        </w:rPr>
      </w:pPr>
      <w:r>
        <w:rPr>
          <w:rFonts w:ascii="Times New Roman" w:hAnsi="Times New Roman" w:cs="Times New Roman"/>
          <w:noProof/>
          <w:sz w:val="18"/>
          <w:szCs w:val="18"/>
          <w:u w:val="single"/>
          <w:lang w:val="en-US"/>
        </w:rPr>
        <w:br w:type="page"/>
      </w:r>
    </w:p>
    <w:p w14:paraId="32326E8F" w14:textId="2FCDE513" w:rsidR="00C7266C" w:rsidRPr="00D403F5" w:rsidRDefault="00983DC1" w:rsidP="006237A8">
      <w:pPr>
        <w:spacing w:after="480"/>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53C834F2" w14:textId="77777777" w:rsidR="00C7266C" w:rsidRPr="00D403F5" w:rsidRDefault="00C7266C" w:rsidP="00D403F5">
      <w:pPr>
        <w:pStyle w:val="11"/>
        <w:spacing w:after="0"/>
        <w:rPr>
          <w:sz w:val="18"/>
          <w:szCs w:val="18"/>
          <w:lang w:val="en-IE"/>
        </w:rPr>
      </w:pPr>
      <w:r w:rsidRPr="00D403F5">
        <w:rPr>
          <w:sz w:val="18"/>
          <w:szCs w:val="18"/>
          <w:lang w:val="en-IE"/>
        </w:rPr>
        <w:t>3.3.</w:t>
      </w:r>
      <w:r w:rsidRPr="00D403F5">
        <w:rPr>
          <w:sz w:val="18"/>
          <w:szCs w:val="18"/>
          <w:lang w:val="en-IE"/>
        </w:rPr>
        <w:tab/>
        <w:t>Samples or tissues not suitable for pathogen detection</w:t>
      </w:r>
    </w:p>
    <w:p w14:paraId="42A40F51" w14:textId="77777777" w:rsidR="00C7266C" w:rsidRPr="00D403F5" w:rsidRDefault="00C7266C" w:rsidP="00D403F5">
      <w:pPr>
        <w:pStyle w:val="Para20"/>
        <w:spacing w:after="0"/>
        <w:rPr>
          <w:rFonts w:cs="Arial"/>
          <w:szCs w:val="18"/>
        </w:rPr>
      </w:pPr>
      <w:r w:rsidRPr="00D403F5">
        <w:rPr>
          <w:szCs w:val="18"/>
        </w:rPr>
        <w:t xml:space="preserve">IHNV is very sensitive to enzymic degradation, therefore sampling tissues with high enzymatic activities </w:t>
      </w:r>
      <w:r w:rsidRPr="00D403F5">
        <w:rPr>
          <w:rFonts w:cs="Arial"/>
          <w:szCs w:val="18"/>
        </w:rPr>
        <w:t>or large numbers of contaminating bacteria,</w:t>
      </w:r>
      <w:r w:rsidRPr="00D403F5">
        <w:rPr>
          <w:szCs w:val="18"/>
        </w:rPr>
        <w:t xml:space="preserve"> such as </w:t>
      </w:r>
      <w:r w:rsidRPr="00D403F5">
        <w:rPr>
          <w:rFonts w:cs="Arial"/>
          <w:szCs w:val="18"/>
        </w:rPr>
        <w:t xml:space="preserve">the intestine or skin, </w:t>
      </w:r>
      <w:r w:rsidRPr="00D403F5">
        <w:rPr>
          <w:szCs w:val="18"/>
        </w:rPr>
        <w:t>should be avoided</w:t>
      </w:r>
      <w:r w:rsidRPr="00D403F5">
        <w:rPr>
          <w:rFonts w:cs="Arial"/>
          <w:szCs w:val="18"/>
        </w:rPr>
        <w:t xml:space="preserve"> when possible. Given the haematopoietic nature of IHNV, muscle tissue should be avoided as a target tissue. The yolk sac of fry has also shown toxicity to cell lines and should be removed before inoculating cells for virus isolation. Preservatives and fixatives, such as RNAlater and formaldehyde can be toxic to tissue</w:t>
      </w:r>
      <w:r w:rsidRPr="00D403F5">
        <w:rPr>
          <w:rFonts w:eastAsiaTheme="minorEastAsia" w:cs="Arial"/>
          <w:szCs w:val="18"/>
          <w:lang w:eastAsia="zh-CN"/>
        </w:rPr>
        <w:t xml:space="preserve"> </w:t>
      </w:r>
      <w:r w:rsidRPr="00D403F5">
        <w:rPr>
          <w:rFonts w:cs="Arial"/>
          <w:szCs w:val="18"/>
        </w:rPr>
        <w:t>culture cells</w:t>
      </w:r>
      <w:r w:rsidRPr="00D403F5">
        <w:rPr>
          <w:rFonts w:eastAsiaTheme="minorEastAsia" w:cs="Arial"/>
          <w:szCs w:val="18"/>
          <w:lang w:eastAsia="zh-CN"/>
        </w:rPr>
        <w:t xml:space="preserve"> </w:t>
      </w:r>
      <w:r w:rsidRPr="00D403F5">
        <w:rPr>
          <w:rFonts w:cs="Arial"/>
          <w:szCs w:val="18"/>
        </w:rPr>
        <w:t xml:space="preserve">such as epithelioma papulosum cyprini (EPC) and fathead minnow (FHM), and can impact molecular detection methods </w:t>
      </w:r>
      <w:r w:rsidRPr="00D403F5">
        <w:rPr>
          <w:rFonts w:cs="Arial"/>
          <w:noProof/>
          <w:szCs w:val="18"/>
        </w:rPr>
        <w:t>(</w:t>
      </w:r>
      <w:r w:rsidRPr="00D403F5">
        <w:rPr>
          <w:rFonts w:cs="Arial"/>
          <w:szCs w:val="18"/>
        </w:rPr>
        <w:t xml:space="preserve">Auinger </w:t>
      </w:r>
      <w:r w:rsidRPr="00D403F5">
        <w:rPr>
          <w:rFonts w:cs="Arial"/>
          <w:i/>
          <w:szCs w:val="18"/>
        </w:rPr>
        <w:t xml:space="preserve">et al., </w:t>
      </w:r>
      <w:r w:rsidRPr="00D403F5">
        <w:rPr>
          <w:rFonts w:cs="Arial"/>
          <w:szCs w:val="18"/>
        </w:rPr>
        <w:t>2008</w:t>
      </w:r>
      <w:r w:rsidRPr="00D403F5">
        <w:rPr>
          <w:rFonts w:cs="Arial"/>
          <w:noProof/>
          <w:szCs w:val="18"/>
        </w:rPr>
        <w:t xml:space="preserve">; Pham </w:t>
      </w:r>
      <w:r w:rsidRPr="00D403F5">
        <w:rPr>
          <w:rFonts w:cs="Arial"/>
          <w:i/>
          <w:noProof/>
          <w:szCs w:val="18"/>
        </w:rPr>
        <w:t>et al.,</w:t>
      </w:r>
      <w:r w:rsidRPr="00D403F5">
        <w:rPr>
          <w:rFonts w:cs="Arial"/>
          <w:noProof/>
          <w:szCs w:val="18"/>
        </w:rPr>
        <w:t xml:space="preserve"> 2018)</w:t>
      </w:r>
      <w:r w:rsidRPr="00D403F5">
        <w:rPr>
          <w:rFonts w:cs="Arial"/>
          <w:szCs w:val="18"/>
        </w:rPr>
        <w:t xml:space="preserve">. </w:t>
      </w:r>
    </w:p>
    <w:p w14:paraId="2AEC6361" w14:textId="77777777" w:rsidR="00C7266C" w:rsidRPr="00D403F5" w:rsidRDefault="00C7266C" w:rsidP="00D403F5">
      <w:pPr>
        <w:pStyle w:val="11"/>
        <w:spacing w:after="0"/>
        <w:rPr>
          <w:sz w:val="18"/>
          <w:szCs w:val="18"/>
          <w:lang w:val="en-IE"/>
        </w:rPr>
      </w:pPr>
      <w:r w:rsidRPr="00D403F5">
        <w:rPr>
          <w:sz w:val="18"/>
          <w:szCs w:val="18"/>
          <w:lang w:val="en-IE"/>
        </w:rPr>
        <w:t>3.4.</w:t>
      </w:r>
      <w:r w:rsidRPr="00D403F5">
        <w:rPr>
          <w:sz w:val="18"/>
          <w:szCs w:val="18"/>
          <w:lang w:val="en-IE"/>
        </w:rPr>
        <w:tab/>
        <w:t>Non-lethal sampling</w:t>
      </w:r>
    </w:p>
    <w:p w14:paraId="49AD489E" w14:textId="77777777" w:rsidR="00C7266C" w:rsidRPr="00D403F5" w:rsidRDefault="00C7266C" w:rsidP="00D403F5">
      <w:pPr>
        <w:pStyle w:val="Para20"/>
        <w:spacing w:after="0"/>
        <w:rPr>
          <w:rFonts w:cs="Arial"/>
          <w:szCs w:val="18"/>
          <w:lang w:eastAsia="fr-FR"/>
        </w:rPr>
      </w:pPr>
      <w:r w:rsidRPr="00D403F5">
        <w:rPr>
          <w:rFonts w:cs="Arial"/>
          <w:szCs w:val="18"/>
          <w:lang w:eastAsia="fr-FR"/>
        </w:rPr>
        <w:t xml:space="preserve">Ovarian fluid and milt are suitable samples for detection of IHNV in spawning adult salmon and trout (Dixon </w:t>
      </w:r>
      <w:r w:rsidRPr="00D403F5">
        <w:rPr>
          <w:rFonts w:cs="Arial"/>
          <w:i/>
          <w:szCs w:val="18"/>
          <w:lang w:eastAsia="fr-FR"/>
        </w:rPr>
        <w:t>et al.,</w:t>
      </w:r>
      <w:r w:rsidRPr="00D403F5">
        <w:rPr>
          <w:rFonts w:cs="Arial"/>
          <w:szCs w:val="18"/>
          <w:lang w:eastAsia="fr-FR"/>
        </w:rPr>
        <w:t xml:space="preserve"> 2016; </w:t>
      </w:r>
      <w:r w:rsidRPr="00D403F5">
        <w:rPr>
          <w:rFonts w:cs="Arial"/>
          <w:noProof/>
          <w:szCs w:val="18"/>
          <w:lang w:eastAsia="fr-FR"/>
        </w:rPr>
        <w:t xml:space="preserve">Meyers </w:t>
      </w:r>
      <w:r w:rsidRPr="00D403F5">
        <w:rPr>
          <w:rFonts w:cs="Arial"/>
          <w:i/>
          <w:noProof/>
          <w:szCs w:val="18"/>
          <w:lang w:eastAsia="fr-FR"/>
        </w:rPr>
        <w:t>et al.,</w:t>
      </w:r>
      <w:r w:rsidRPr="00D403F5">
        <w:rPr>
          <w:rFonts w:cs="Arial"/>
          <w:noProof/>
          <w:szCs w:val="18"/>
          <w:lang w:eastAsia="fr-FR"/>
        </w:rPr>
        <w:t xml:space="preserve"> 2003)</w:t>
      </w:r>
      <w:r w:rsidRPr="00D403F5">
        <w:rPr>
          <w:rFonts w:cs="Arial"/>
          <w:szCs w:val="18"/>
          <w:lang w:eastAsia="fr-FR"/>
        </w:rPr>
        <w:t xml:space="preserve">. There is evidence that IHNV may be isolated from gill, fin and mucous samples but detection may be impacted by the state of infection, time since exposure and sample size </w:t>
      </w:r>
      <w:r w:rsidRPr="00D403F5">
        <w:rPr>
          <w:rFonts w:cs="Arial"/>
          <w:noProof/>
          <w:szCs w:val="18"/>
          <w:lang w:eastAsia="fr-FR"/>
        </w:rPr>
        <w:t>(</w:t>
      </w:r>
      <w:r w:rsidRPr="00D403F5">
        <w:rPr>
          <w:rFonts w:cs="Arial"/>
          <w:szCs w:val="18"/>
        </w:rPr>
        <w:t xml:space="preserve">Burbank </w:t>
      </w:r>
      <w:r w:rsidRPr="00D403F5">
        <w:rPr>
          <w:rFonts w:cs="Arial"/>
          <w:i/>
          <w:szCs w:val="18"/>
        </w:rPr>
        <w:t>et al.,</w:t>
      </w:r>
      <w:r w:rsidRPr="00D403F5">
        <w:rPr>
          <w:rFonts w:cs="Arial"/>
          <w:szCs w:val="18"/>
        </w:rPr>
        <w:t xml:space="preserve"> 2017; </w:t>
      </w:r>
      <w:r w:rsidRPr="00D403F5">
        <w:rPr>
          <w:rFonts w:cs="Arial"/>
          <w:noProof/>
          <w:szCs w:val="18"/>
          <w:lang w:eastAsia="fr-FR"/>
        </w:rPr>
        <w:t xml:space="preserve">LaPatra </w:t>
      </w:r>
      <w:r w:rsidRPr="00D403F5">
        <w:rPr>
          <w:rFonts w:cs="Arial"/>
          <w:i/>
          <w:noProof/>
          <w:szCs w:val="18"/>
          <w:lang w:eastAsia="fr-FR"/>
        </w:rPr>
        <w:t>et al.,</w:t>
      </w:r>
      <w:r w:rsidRPr="00D403F5">
        <w:rPr>
          <w:rFonts w:cs="Arial"/>
          <w:noProof/>
          <w:szCs w:val="18"/>
          <w:lang w:eastAsia="fr-FR"/>
        </w:rPr>
        <w:t xml:space="preserve"> 1989)</w:t>
      </w:r>
      <w:r w:rsidRPr="00D403F5">
        <w:rPr>
          <w:rFonts w:cs="Arial"/>
          <w:szCs w:val="18"/>
          <w:lang w:eastAsia="fr-FR"/>
        </w:rPr>
        <w:t>.</w:t>
      </w:r>
    </w:p>
    <w:p w14:paraId="17C7C113" w14:textId="77777777" w:rsidR="00C7266C" w:rsidRPr="00D403F5" w:rsidRDefault="00C7266C" w:rsidP="00D403F5">
      <w:pPr>
        <w:pStyle w:val="11"/>
        <w:spacing w:after="0"/>
        <w:rPr>
          <w:sz w:val="18"/>
          <w:szCs w:val="18"/>
          <w:lang w:val="en-IE"/>
        </w:rPr>
      </w:pPr>
      <w:r w:rsidRPr="00D403F5">
        <w:rPr>
          <w:sz w:val="18"/>
          <w:szCs w:val="18"/>
          <w:lang w:val="en-IE"/>
        </w:rPr>
        <w:t>3.5.</w:t>
      </w:r>
      <w:r w:rsidRPr="00D403F5">
        <w:rPr>
          <w:sz w:val="18"/>
          <w:szCs w:val="18"/>
          <w:lang w:val="en-IE"/>
        </w:rPr>
        <w:tab/>
        <w:t>Preservation of samples for submission</w:t>
      </w:r>
    </w:p>
    <w:p w14:paraId="6546AA0D" w14:textId="77777777" w:rsidR="00C7266C" w:rsidRPr="00D403F5" w:rsidRDefault="00C7266C" w:rsidP="00D403F5">
      <w:pPr>
        <w:pStyle w:val="Para20"/>
        <w:spacing w:after="0"/>
        <w:rPr>
          <w:szCs w:val="18"/>
        </w:rPr>
      </w:pPr>
      <w:r w:rsidRPr="00D403F5">
        <w:rPr>
          <w:szCs w:val="18"/>
        </w:rPr>
        <w:t>For guidance on sample preservation methods for the intended test methods, see Chapter 2.3.0.</w:t>
      </w:r>
    </w:p>
    <w:p w14:paraId="62F69EBF" w14:textId="77777777" w:rsidR="00C7266C" w:rsidRPr="00D403F5" w:rsidRDefault="00C7266C" w:rsidP="00D403F5">
      <w:pPr>
        <w:pStyle w:val="111"/>
        <w:spacing w:after="0"/>
        <w:rPr>
          <w:sz w:val="18"/>
          <w:szCs w:val="18"/>
          <w:lang w:val="en-IE"/>
        </w:rPr>
      </w:pPr>
      <w:r w:rsidRPr="00D403F5">
        <w:rPr>
          <w:sz w:val="18"/>
          <w:szCs w:val="18"/>
          <w:lang w:val="en-IE"/>
        </w:rPr>
        <w:t>3.5.1.</w:t>
      </w:r>
      <w:r w:rsidRPr="00D403F5">
        <w:rPr>
          <w:sz w:val="18"/>
          <w:szCs w:val="18"/>
          <w:lang w:val="en-IE"/>
        </w:rPr>
        <w:tab/>
        <w:t xml:space="preserve">Samples for pathogen isolation </w:t>
      </w:r>
    </w:p>
    <w:p w14:paraId="2A34E00D" w14:textId="77777777" w:rsidR="00C7266C" w:rsidRPr="00D403F5" w:rsidRDefault="00C7266C" w:rsidP="00D403F5">
      <w:pPr>
        <w:pStyle w:val="Para3"/>
        <w:spacing w:after="0"/>
        <w:rPr>
          <w:szCs w:val="18"/>
          <w:lang w:eastAsia="fr-FR"/>
        </w:rPr>
      </w:pPr>
      <w:bookmarkStart w:id="84" w:name="_Hlk21074832"/>
      <w:r w:rsidRPr="00D403F5">
        <w:rPr>
          <w:szCs w:val="18"/>
          <w:lang w:eastAsia="fr-FR"/>
        </w:rPr>
        <w:t>The success of pathogen isolation and results of bioassay depend strongly on the quality of samples (time since collection and time in storage). Fresh specimens should be kept on ice and preferably sent to the laboratory within 24 hours of collection. Alternate storage methods should only be used after consultation with the receiving laboratory.</w:t>
      </w:r>
    </w:p>
    <w:bookmarkEnd w:id="84"/>
    <w:p w14:paraId="49842452" w14:textId="77777777" w:rsidR="00C7266C" w:rsidRPr="00D403F5" w:rsidRDefault="00C7266C" w:rsidP="00D403F5">
      <w:pPr>
        <w:pStyle w:val="Para3"/>
        <w:spacing w:after="0"/>
        <w:rPr>
          <w:szCs w:val="18"/>
          <w:lang w:eastAsia="fr-FR"/>
        </w:rPr>
      </w:pPr>
      <w:r w:rsidRPr="00D403F5">
        <w:rPr>
          <w:szCs w:val="18"/>
          <w:lang w:eastAsia="fr-FR"/>
        </w:rPr>
        <w:t>Before shipment or transfer to the laboratory, pieces of the organs to be examined should be removed from the fish with sterile dissection tools and transferred to sterile plastic tubes containing transport medium,</w:t>
      </w:r>
      <w:r w:rsidRPr="00D403F5">
        <w:rPr>
          <w:rFonts w:cs="Arial"/>
          <w:szCs w:val="18"/>
          <w:lang w:val="en-GB"/>
        </w:rPr>
        <w:t xml:space="preserve"> i.e. cell culture medium with 10% fetal calf serum (FCS) and antibiotics. The combination of 200 International Units (IU) penicillin, 200 µg streptomycin, and 200 µg kanamycin per ml are recommended, although other antibiotics of proven efficacy may also be used.</w:t>
      </w:r>
      <w:r w:rsidRPr="00D403F5">
        <w:rPr>
          <w:szCs w:val="18"/>
          <w:lang w:eastAsia="fr-FR"/>
        </w:rPr>
        <w:t xml:space="preserve"> The tissue in each sample should </w:t>
      </w:r>
      <w:r w:rsidRPr="00D403F5">
        <w:rPr>
          <w:szCs w:val="18"/>
        </w:rPr>
        <w:t>be larger than the analytical unit size required for initial laboratory testing (e.g. between 0.5 and 2 g) and taken in duplicate if retesting may be required.</w:t>
      </w:r>
    </w:p>
    <w:p w14:paraId="6D723035" w14:textId="77777777" w:rsidR="00C7266C" w:rsidRPr="00D403F5" w:rsidRDefault="00C7266C" w:rsidP="00D403F5">
      <w:pPr>
        <w:pStyle w:val="Para3"/>
        <w:spacing w:after="0"/>
        <w:rPr>
          <w:rFonts w:cs="Arial"/>
          <w:szCs w:val="18"/>
          <w:lang w:val="en-GB"/>
        </w:rPr>
      </w:pPr>
      <w:r w:rsidRPr="00D403F5">
        <w:rPr>
          <w:rFonts w:cs="Arial"/>
          <w:szCs w:val="18"/>
          <w:lang w:val="en-GB"/>
        </w:rPr>
        <w:t xml:space="preserve">Tubes containing fish tissues in transport medium for cell cultivation should be placed in insulated containers, such as thick-walled polystyrene boxes, together with sufficient ice or an alternative cooling medium with the similar cooling effect to ensure chilling of the samples during transportation to the laboratory. However, freezing of the samples should be avoided. The temperature of a sample during transit must never exceed 10°C, and ice must still be present in the transport box at receipt or one or more freeze blocks must still be partly or completely frozen. </w:t>
      </w:r>
    </w:p>
    <w:p w14:paraId="50B059F6" w14:textId="77777777" w:rsidR="00C7266C" w:rsidRPr="00D403F5" w:rsidRDefault="00C7266C" w:rsidP="00D403F5">
      <w:pPr>
        <w:pStyle w:val="Para3"/>
        <w:spacing w:after="0"/>
        <w:rPr>
          <w:rFonts w:cs="Arial"/>
          <w:szCs w:val="18"/>
          <w:lang w:val="en-GB"/>
        </w:rPr>
      </w:pPr>
      <w:r w:rsidRPr="00D403F5">
        <w:rPr>
          <w:rFonts w:cs="Arial"/>
          <w:szCs w:val="18"/>
          <w:lang w:val="en-GB"/>
        </w:rPr>
        <w:t>Whole fish may be sent to the laboratory if the temperature requirements referred to in the first paragraph during transportation can be fulfilled. Whole fish should be wrapped up in paper with absorptive capacity and enclosed in a plastic bag. Live fish may also be transported to the laboratory.</w:t>
      </w:r>
      <w:r w:rsidRPr="00D403F5">
        <w:rPr>
          <w:rFonts w:cs="Arial"/>
          <w:szCs w:val="18"/>
        </w:rPr>
        <w:t xml:space="preserve"> All packaging and labelling must be performed in accordance with present national and international transport regulations, as appropriate.</w:t>
      </w:r>
    </w:p>
    <w:p w14:paraId="18782430" w14:textId="77777777" w:rsidR="00C7266C" w:rsidRPr="00D403F5" w:rsidRDefault="00C7266C" w:rsidP="00D403F5">
      <w:pPr>
        <w:pStyle w:val="Para3"/>
        <w:spacing w:after="0"/>
        <w:rPr>
          <w:szCs w:val="18"/>
          <w:lang w:eastAsia="fr-FR"/>
        </w:rPr>
      </w:pPr>
      <w:r w:rsidRPr="00D403F5">
        <w:rPr>
          <w:szCs w:val="18"/>
          <w:lang w:eastAsia="fr-FR"/>
        </w:rPr>
        <w:t>The virological examination on cell culture should be started as soon as possible, and no later than 48 hours after the collection of the samples. In exceptional cases, the virological examination may be started at the latest within 72 hours after the collection of the material, provided that the material to be examined is protected by a transport medium, and that the temperature requirements during transportation can be fulfilled.</w:t>
      </w:r>
    </w:p>
    <w:p w14:paraId="5410F58A" w14:textId="77777777" w:rsidR="00C7266C" w:rsidRPr="00D403F5" w:rsidRDefault="00C7266C" w:rsidP="00D403F5">
      <w:pPr>
        <w:pStyle w:val="111"/>
        <w:spacing w:after="0"/>
        <w:rPr>
          <w:sz w:val="18"/>
          <w:szCs w:val="18"/>
          <w:lang w:val="en-IE"/>
        </w:rPr>
      </w:pPr>
      <w:bookmarkStart w:id="85" w:name="_Hlk20930735"/>
      <w:r w:rsidRPr="00D403F5">
        <w:rPr>
          <w:sz w:val="18"/>
          <w:szCs w:val="18"/>
          <w:lang w:val="en-IE"/>
        </w:rPr>
        <w:t>3.5.2.</w:t>
      </w:r>
      <w:r w:rsidRPr="00D403F5">
        <w:rPr>
          <w:sz w:val="18"/>
          <w:szCs w:val="18"/>
          <w:lang w:val="en-IE"/>
        </w:rPr>
        <w:tab/>
        <w:t>Preservation of samples for molecular detection</w:t>
      </w:r>
      <w:bookmarkEnd w:id="85"/>
    </w:p>
    <w:p w14:paraId="29A8A080" w14:textId="77777777" w:rsidR="00C7266C" w:rsidRPr="00D403F5" w:rsidRDefault="00C7266C" w:rsidP="00D403F5">
      <w:pPr>
        <w:pStyle w:val="Para3"/>
        <w:spacing w:after="0"/>
        <w:rPr>
          <w:rFonts w:cs="Arial"/>
          <w:szCs w:val="18"/>
          <w:u w:val="double"/>
          <w:lang w:eastAsia="fr-FR"/>
        </w:rPr>
      </w:pPr>
      <w:r w:rsidRPr="00D403F5">
        <w:rPr>
          <w:szCs w:val="18"/>
          <w:lang w:eastAsia="fr-FR"/>
        </w:rPr>
        <w:t>Samples can be taken from the fish in accordance with the procedure described in Section 3.5.1., using a sterile instrument, and transferred to a sterile plastic tube containing transport medium.</w:t>
      </w:r>
    </w:p>
    <w:p w14:paraId="45222185" w14:textId="77777777" w:rsidR="00C7266C" w:rsidRPr="00D403F5" w:rsidRDefault="00C7266C" w:rsidP="00D403F5">
      <w:pPr>
        <w:spacing w:after="0"/>
        <w:rPr>
          <w:noProof/>
          <w:sz w:val="18"/>
          <w:szCs w:val="18"/>
          <w:u w:val="single"/>
          <w:lang w:val="en-IE"/>
        </w:rPr>
      </w:pPr>
      <w:r w:rsidRPr="00D403F5">
        <w:rPr>
          <w:noProof/>
          <w:sz w:val="18"/>
          <w:szCs w:val="18"/>
          <w:u w:val="single"/>
          <w:lang w:val="en-IE"/>
        </w:rPr>
        <w:br w:type="page"/>
      </w:r>
    </w:p>
    <w:p w14:paraId="496CCF0C" w14:textId="5B0FCEA5" w:rsidR="00C7266C" w:rsidRPr="00D403F5" w:rsidRDefault="00983DC1" w:rsidP="006237A8">
      <w:pPr>
        <w:spacing w:after="480"/>
        <w:jc w:val="right"/>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6E4FD021" w14:textId="77777777" w:rsidR="00C7266C" w:rsidRPr="00D403F5" w:rsidRDefault="00C7266C" w:rsidP="00D403F5">
      <w:pPr>
        <w:pStyle w:val="Para3"/>
        <w:spacing w:after="0"/>
        <w:rPr>
          <w:rFonts w:cs="Arial"/>
          <w:szCs w:val="18"/>
          <w:lang w:eastAsia="fr-FR"/>
        </w:rPr>
      </w:pPr>
      <w:r w:rsidRPr="00D403F5">
        <w:rPr>
          <w:szCs w:val="18"/>
          <w:lang w:eastAsia="fr-FR"/>
        </w:rPr>
        <w:t>Alternatively, samples may be placed in at least five volumes of RNA stabilisation reagents, according to the recommendation from the manufacturers. Samples in RNA stabilising reagents can be shipped on ice or at room temperature if transport time does not exceed 24 hours</w:t>
      </w:r>
      <w:r w:rsidRPr="00D403F5">
        <w:rPr>
          <w:rFonts w:cs="Arial"/>
          <w:szCs w:val="18"/>
          <w:lang w:eastAsia="fr-FR"/>
        </w:rPr>
        <w:t>.</w:t>
      </w:r>
    </w:p>
    <w:p w14:paraId="06F07ADA" w14:textId="77777777" w:rsidR="00C7266C" w:rsidRPr="00D403F5" w:rsidRDefault="00C7266C" w:rsidP="00D403F5">
      <w:pPr>
        <w:pStyle w:val="Para3"/>
        <w:spacing w:after="0"/>
        <w:rPr>
          <w:szCs w:val="18"/>
          <w:lang w:eastAsia="fr-FR"/>
        </w:rPr>
      </w:pPr>
      <w:r w:rsidRPr="00D403F5">
        <w:rPr>
          <w:szCs w:val="18"/>
          <w:lang w:eastAsia="fr-FR"/>
        </w:rPr>
        <w:t>Whole fish may also be sent to the laboratory (see Section 3.5.1).</w:t>
      </w:r>
    </w:p>
    <w:p w14:paraId="52A5B038" w14:textId="77777777" w:rsidR="00C7266C" w:rsidRPr="00D403F5" w:rsidRDefault="00C7266C" w:rsidP="00D403F5">
      <w:pPr>
        <w:pStyle w:val="111"/>
        <w:spacing w:after="0"/>
        <w:rPr>
          <w:sz w:val="18"/>
          <w:szCs w:val="18"/>
          <w:lang w:val="en-IE"/>
        </w:rPr>
      </w:pPr>
      <w:r w:rsidRPr="00D403F5">
        <w:rPr>
          <w:sz w:val="18"/>
          <w:szCs w:val="18"/>
          <w:lang w:val="en-IE"/>
        </w:rPr>
        <w:t>3.5.3.</w:t>
      </w:r>
      <w:r w:rsidRPr="00D403F5">
        <w:rPr>
          <w:sz w:val="18"/>
          <w:szCs w:val="18"/>
          <w:lang w:val="en-IE"/>
        </w:rPr>
        <w:tab/>
        <w:t xml:space="preserve">Fixed samples for histopathology, immunohistochemistry or </w:t>
      </w:r>
      <w:r w:rsidRPr="00D403F5">
        <w:rPr>
          <w:i/>
          <w:sz w:val="18"/>
          <w:szCs w:val="18"/>
          <w:lang w:val="en-IE"/>
        </w:rPr>
        <w:t>in-situ</w:t>
      </w:r>
      <w:r w:rsidRPr="00D403F5">
        <w:rPr>
          <w:sz w:val="18"/>
          <w:szCs w:val="18"/>
          <w:lang w:val="en-IE"/>
        </w:rPr>
        <w:t xml:space="preserve"> hybridisation </w:t>
      </w:r>
    </w:p>
    <w:p w14:paraId="396648EF" w14:textId="77777777" w:rsidR="00C7266C" w:rsidRPr="00D403F5" w:rsidRDefault="00C7266C" w:rsidP="00D403F5">
      <w:pPr>
        <w:pStyle w:val="Para3"/>
        <w:spacing w:after="0"/>
        <w:rPr>
          <w:szCs w:val="18"/>
          <w:lang w:eastAsia="fr-FR"/>
        </w:rPr>
      </w:pPr>
      <w:r w:rsidRPr="00D403F5">
        <w:rPr>
          <w:szCs w:val="18"/>
          <w:lang w:eastAsia="fr-FR"/>
        </w:rPr>
        <w:t xml:space="preserve">Tissue samples for histopathology should be immediately fixed at a fixative to tissue ratio of 10:1. A suitable fixative is 10% buffered formalin. To avoid excessive cross-linking, tissue should be transferred to ethanol after 24hrs if methods other than histopathology are used e.g. </w:t>
      </w:r>
      <w:r w:rsidRPr="00D403F5">
        <w:rPr>
          <w:i/>
          <w:szCs w:val="18"/>
          <w:lang w:eastAsia="fr-FR"/>
        </w:rPr>
        <w:t>in-situ</w:t>
      </w:r>
      <w:r w:rsidRPr="00D403F5">
        <w:rPr>
          <w:szCs w:val="18"/>
          <w:lang w:eastAsia="fr-FR"/>
        </w:rPr>
        <w:t xml:space="preserve"> hybridisation.</w:t>
      </w:r>
    </w:p>
    <w:p w14:paraId="2408C494" w14:textId="77777777" w:rsidR="00C7266C" w:rsidRPr="00D403F5" w:rsidRDefault="00C7266C" w:rsidP="00D403F5">
      <w:pPr>
        <w:pStyle w:val="111"/>
        <w:spacing w:after="0"/>
        <w:rPr>
          <w:sz w:val="18"/>
          <w:szCs w:val="18"/>
          <w:lang w:val="en-IE"/>
        </w:rPr>
      </w:pPr>
      <w:r w:rsidRPr="00D403F5">
        <w:rPr>
          <w:sz w:val="18"/>
          <w:szCs w:val="18"/>
          <w:lang w:val="en-IE"/>
        </w:rPr>
        <w:t>3.5.4.</w:t>
      </w:r>
      <w:r w:rsidRPr="00D403F5">
        <w:rPr>
          <w:sz w:val="18"/>
          <w:szCs w:val="18"/>
          <w:lang w:val="en-IE"/>
        </w:rPr>
        <w:tab/>
        <w:t>Fixed samples for electron microscopy</w:t>
      </w:r>
    </w:p>
    <w:p w14:paraId="7F6A2DBD" w14:textId="77777777" w:rsidR="00C7266C" w:rsidRPr="00D403F5" w:rsidRDefault="00C7266C" w:rsidP="00D403F5">
      <w:pPr>
        <w:pStyle w:val="Para3"/>
        <w:spacing w:after="0"/>
        <w:rPr>
          <w:szCs w:val="18"/>
          <w:lang w:eastAsia="fr-FR"/>
        </w:rPr>
      </w:pPr>
      <w:r w:rsidRPr="00D403F5">
        <w:rPr>
          <w:szCs w:val="18"/>
          <w:lang w:eastAsia="fr-FR"/>
        </w:rPr>
        <w:t>Not relevant.</w:t>
      </w:r>
    </w:p>
    <w:p w14:paraId="2769B2E8" w14:textId="77777777" w:rsidR="00C7266C" w:rsidRPr="00D403F5" w:rsidRDefault="00C7266C" w:rsidP="00D403F5">
      <w:pPr>
        <w:pStyle w:val="111"/>
        <w:spacing w:after="0"/>
        <w:rPr>
          <w:sz w:val="18"/>
          <w:szCs w:val="18"/>
          <w:lang w:val="en-IE"/>
        </w:rPr>
      </w:pPr>
      <w:r w:rsidRPr="00D403F5">
        <w:rPr>
          <w:sz w:val="18"/>
          <w:szCs w:val="18"/>
          <w:lang w:val="en-IE"/>
        </w:rPr>
        <w:t>3.5.5.</w:t>
      </w:r>
      <w:r w:rsidRPr="00D403F5">
        <w:rPr>
          <w:sz w:val="18"/>
          <w:szCs w:val="18"/>
          <w:lang w:val="en-IE"/>
        </w:rPr>
        <w:tab/>
        <w:t>Samples for other tests</w:t>
      </w:r>
    </w:p>
    <w:p w14:paraId="1D0142E1" w14:textId="77777777" w:rsidR="00C7266C" w:rsidRPr="00D403F5" w:rsidRDefault="00C7266C" w:rsidP="00D403F5">
      <w:pPr>
        <w:pStyle w:val="Para3"/>
        <w:spacing w:after="0"/>
        <w:rPr>
          <w:szCs w:val="18"/>
          <w:lang w:eastAsia="fr-FR"/>
        </w:rPr>
      </w:pPr>
      <w:r w:rsidRPr="00D403F5">
        <w:rPr>
          <w:szCs w:val="18"/>
          <w:lang w:eastAsia="fr-FR"/>
        </w:rPr>
        <w:t>Not</w:t>
      </w:r>
      <w:r w:rsidRPr="00D403F5">
        <w:rPr>
          <w:rFonts w:eastAsiaTheme="minorEastAsia"/>
          <w:szCs w:val="18"/>
          <w:lang w:eastAsia="zh-CN"/>
        </w:rPr>
        <w:t xml:space="preserve"> </w:t>
      </w:r>
      <w:r w:rsidRPr="00D403F5">
        <w:rPr>
          <w:szCs w:val="18"/>
          <w:lang w:eastAsia="fr-FR"/>
        </w:rPr>
        <w:t>relevant.</w:t>
      </w:r>
    </w:p>
    <w:p w14:paraId="546F67FC" w14:textId="77777777" w:rsidR="00C7266C" w:rsidRPr="00D403F5" w:rsidRDefault="00C7266C" w:rsidP="00D403F5">
      <w:pPr>
        <w:pStyle w:val="11"/>
        <w:spacing w:after="0"/>
        <w:rPr>
          <w:sz w:val="18"/>
          <w:szCs w:val="18"/>
          <w:lang w:val="en-IE"/>
        </w:rPr>
      </w:pPr>
      <w:r w:rsidRPr="00D403F5">
        <w:rPr>
          <w:sz w:val="18"/>
          <w:szCs w:val="18"/>
          <w:lang w:val="en-IE"/>
        </w:rPr>
        <w:t>3.6.</w:t>
      </w:r>
      <w:r w:rsidRPr="00D403F5">
        <w:rPr>
          <w:sz w:val="18"/>
          <w:szCs w:val="18"/>
          <w:lang w:val="en-IE"/>
        </w:rPr>
        <w:tab/>
        <w:t>Pooling of samples</w:t>
      </w:r>
    </w:p>
    <w:p w14:paraId="50F51BDE" w14:textId="77777777" w:rsidR="00C7266C" w:rsidRPr="00D403F5" w:rsidRDefault="00C7266C" w:rsidP="00D403F5">
      <w:pPr>
        <w:pStyle w:val="Para20"/>
        <w:spacing w:after="0"/>
        <w:rPr>
          <w:rFonts w:cs="Arial"/>
          <w:szCs w:val="18"/>
        </w:rPr>
      </w:pPr>
      <w:r w:rsidRPr="00D403F5">
        <w:rPr>
          <w:rFonts w:cs="Arial"/>
          <w:szCs w:val="18"/>
        </w:rPr>
        <w:t>No data are currently available concerning the effect of pooling samples on the detection of IHNV. However, small life stages such as fry can be pooled to provide the minimum amount of material needed for testing.</w:t>
      </w:r>
    </w:p>
    <w:p w14:paraId="663AEE03" w14:textId="77777777" w:rsidR="00C7266C" w:rsidRPr="00D403F5" w:rsidRDefault="00C7266C" w:rsidP="00D403F5">
      <w:pPr>
        <w:pStyle w:val="StyleTitre1Arial"/>
        <w:spacing w:after="0"/>
        <w:rPr>
          <w:rFonts w:ascii="Ottawa" w:hAnsi="Ottawa"/>
          <w:sz w:val="18"/>
          <w:szCs w:val="18"/>
          <w:lang w:val="en-IE"/>
        </w:rPr>
      </w:pPr>
      <w:r w:rsidRPr="00D403F5">
        <w:rPr>
          <w:rFonts w:ascii="Ottawa" w:hAnsi="Ottawa"/>
          <w:sz w:val="18"/>
          <w:szCs w:val="18"/>
          <w:lang w:val="en-IE"/>
        </w:rPr>
        <w:t>4.</w:t>
      </w:r>
      <w:r w:rsidRPr="00D403F5">
        <w:rPr>
          <w:rFonts w:ascii="Ottawa" w:hAnsi="Ottawa"/>
          <w:sz w:val="18"/>
          <w:szCs w:val="18"/>
          <w:lang w:val="en-IE"/>
        </w:rPr>
        <w:tab/>
        <w:t>Diagnostic methods</w:t>
      </w:r>
    </w:p>
    <w:p w14:paraId="7DC9C52C" w14:textId="77777777" w:rsidR="00C7266C" w:rsidRPr="00D403F5" w:rsidRDefault="00C7266C" w:rsidP="00D403F5">
      <w:pPr>
        <w:pStyle w:val="Para10"/>
        <w:spacing w:after="0"/>
        <w:rPr>
          <w:rFonts w:cs="Arial"/>
          <w:szCs w:val="18"/>
        </w:rPr>
      </w:pPr>
      <w:r w:rsidRPr="00D403F5">
        <w:rPr>
          <w:rFonts w:cs="Arial"/>
          <w:szCs w:val="18"/>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409E3241" w14:textId="77777777" w:rsidR="00C7266C" w:rsidRPr="00D403F5" w:rsidRDefault="00C7266C" w:rsidP="00D403F5">
      <w:pPr>
        <w:pStyle w:val="af9"/>
        <w:rPr>
          <w:rFonts w:ascii="Arial" w:hAnsi="Arial" w:cs="Arial"/>
          <w:color w:val="000000"/>
          <w:sz w:val="18"/>
          <w:szCs w:val="18"/>
          <w:lang w:val="en-IE"/>
        </w:rPr>
      </w:pPr>
      <w:r w:rsidRPr="00D403F5">
        <w:rPr>
          <w:rFonts w:ascii="Arial" w:hAnsi="Arial" w:cs="Arial"/>
          <w:color w:val="000000"/>
          <w:sz w:val="18"/>
          <w:szCs w:val="18"/>
          <w:lang w:val="en-IE"/>
        </w:rPr>
        <w:t xml:space="preserve">Key: </w:t>
      </w:r>
    </w:p>
    <w:p w14:paraId="0FFAB877" w14:textId="77777777" w:rsidR="00C7266C" w:rsidRPr="00D403F5" w:rsidRDefault="00C7266C" w:rsidP="00D403F5">
      <w:pPr>
        <w:pStyle w:val="af9"/>
        <w:ind w:left="1701" w:hanging="1701"/>
        <w:rPr>
          <w:rFonts w:ascii="Arial" w:hAnsi="Arial" w:cs="Arial"/>
          <w:color w:val="000000"/>
          <w:sz w:val="18"/>
          <w:szCs w:val="18"/>
          <w:lang w:val="en-IE"/>
        </w:rPr>
      </w:pPr>
      <w:r w:rsidRPr="00D403F5">
        <w:rPr>
          <w:rFonts w:ascii="Arial" w:hAnsi="Arial" w:cs="Arial"/>
          <w:color w:val="000000"/>
          <w:sz w:val="18"/>
          <w:szCs w:val="18"/>
          <w:lang w:val="en-IE"/>
        </w:rPr>
        <w:t>+++ =</w:t>
      </w:r>
      <w:r w:rsidRPr="00D403F5">
        <w:rPr>
          <w:rFonts w:ascii="Arial" w:hAnsi="Arial" w:cs="Arial"/>
          <w:color w:val="000000"/>
          <w:sz w:val="18"/>
          <w:szCs w:val="18"/>
          <w:lang w:val="en-IE"/>
        </w:rPr>
        <w:tab/>
        <w:t>Recommended method(s) validated for the purpose shown and usually to stage 3 of the OIE Validation Pathway;</w:t>
      </w:r>
    </w:p>
    <w:p w14:paraId="20836055" w14:textId="77777777" w:rsidR="00C7266C" w:rsidRPr="00D403F5" w:rsidRDefault="00C7266C" w:rsidP="00D403F5">
      <w:pPr>
        <w:pStyle w:val="af9"/>
        <w:ind w:left="1701" w:hanging="1701"/>
        <w:rPr>
          <w:rFonts w:ascii="Arial" w:hAnsi="Arial" w:cs="Arial"/>
          <w:color w:val="000000"/>
          <w:sz w:val="18"/>
          <w:szCs w:val="18"/>
          <w:lang w:val="en-IE"/>
        </w:rPr>
      </w:pPr>
      <w:r w:rsidRPr="00D403F5">
        <w:rPr>
          <w:rFonts w:ascii="Arial" w:hAnsi="Arial" w:cs="Arial"/>
          <w:color w:val="000000"/>
          <w:sz w:val="18"/>
          <w:szCs w:val="18"/>
          <w:lang w:val="en-IE"/>
        </w:rPr>
        <w:t xml:space="preserve">++ = </w:t>
      </w:r>
      <w:r w:rsidRPr="00D403F5">
        <w:rPr>
          <w:rFonts w:ascii="Arial" w:hAnsi="Arial" w:cs="Arial"/>
          <w:color w:val="000000"/>
          <w:sz w:val="18"/>
          <w:szCs w:val="18"/>
          <w:lang w:val="en-IE"/>
        </w:rPr>
        <w:tab/>
        <w:t xml:space="preserve">Suitable method(s) but may need further validation; </w:t>
      </w:r>
    </w:p>
    <w:p w14:paraId="6B137212" w14:textId="77777777" w:rsidR="00C7266C" w:rsidRPr="00D403F5" w:rsidRDefault="00C7266C" w:rsidP="00D403F5">
      <w:pPr>
        <w:pStyle w:val="af9"/>
        <w:ind w:left="1701" w:hanging="1701"/>
        <w:rPr>
          <w:rFonts w:ascii="Arial" w:hAnsi="Arial" w:cs="Arial"/>
          <w:sz w:val="18"/>
          <w:szCs w:val="18"/>
          <w:lang w:val="en-IE"/>
        </w:rPr>
      </w:pPr>
      <w:r w:rsidRPr="00D403F5">
        <w:rPr>
          <w:rFonts w:ascii="Arial" w:hAnsi="Arial" w:cs="Arial"/>
          <w:color w:val="000000"/>
          <w:sz w:val="18"/>
          <w:szCs w:val="18"/>
          <w:lang w:val="en-IE"/>
        </w:rPr>
        <w:t xml:space="preserve">+ = </w:t>
      </w:r>
      <w:r w:rsidRPr="00D403F5">
        <w:rPr>
          <w:rFonts w:ascii="Arial" w:hAnsi="Arial" w:cs="Arial"/>
          <w:color w:val="000000"/>
          <w:sz w:val="18"/>
          <w:szCs w:val="18"/>
          <w:lang w:val="en-IE"/>
        </w:rPr>
        <w:tab/>
        <w:t xml:space="preserve">May be used </w:t>
      </w:r>
      <w:r w:rsidRPr="00D403F5">
        <w:rPr>
          <w:rFonts w:ascii="Arial" w:hAnsi="Arial" w:cs="Arial"/>
          <w:sz w:val="18"/>
          <w:szCs w:val="18"/>
          <w:lang w:val="en-IE"/>
        </w:rPr>
        <w:t xml:space="preserve">in some situations, but cost, reliability, lack of validation or other factors severely limits its application; </w:t>
      </w:r>
    </w:p>
    <w:p w14:paraId="640C0A88" w14:textId="77777777" w:rsidR="00C7266C" w:rsidRPr="00D403F5" w:rsidRDefault="00C7266C" w:rsidP="00D403F5">
      <w:pPr>
        <w:pStyle w:val="af9"/>
        <w:ind w:left="1701" w:hanging="1701"/>
        <w:rPr>
          <w:rFonts w:ascii="Arial" w:hAnsi="Arial" w:cs="Arial"/>
          <w:color w:val="000000"/>
          <w:sz w:val="18"/>
          <w:szCs w:val="18"/>
          <w:lang w:val="en-IE"/>
        </w:rPr>
      </w:pPr>
      <w:r w:rsidRPr="00D403F5">
        <w:rPr>
          <w:rFonts w:ascii="Arial" w:hAnsi="Arial" w:cs="Arial"/>
          <w:color w:val="000000"/>
          <w:sz w:val="18"/>
          <w:szCs w:val="18"/>
          <w:lang w:val="en-IE"/>
        </w:rPr>
        <w:t xml:space="preserve">Shaded boxes = </w:t>
      </w:r>
      <w:r w:rsidRPr="00D403F5">
        <w:rPr>
          <w:rFonts w:ascii="Arial" w:hAnsi="Arial" w:cs="Arial"/>
          <w:color w:val="000000"/>
          <w:sz w:val="18"/>
          <w:szCs w:val="18"/>
          <w:lang w:val="en-IE"/>
        </w:rPr>
        <w:tab/>
        <w:t>Not appropriate for this purpose.</w:t>
      </w:r>
    </w:p>
    <w:p w14:paraId="3CFCF61F" w14:textId="77777777" w:rsidR="00C7266C" w:rsidRPr="00D403F5" w:rsidRDefault="00C7266C" w:rsidP="00D403F5">
      <w:pPr>
        <w:pStyle w:val="Para10"/>
        <w:spacing w:after="0"/>
        <w:rPr>
          <w:rFonts w:cs="Arial"/>
          <w:szCs w:val="18"/>
        </w:rPr>
      </w:pPr>
      <w:r w:rsidRPr="00D403F5">
        <w:rPr>
          <w:rFonts w:cs="Arial"/>
          <w:szCs w:val="18"/>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4F7AE09F" w14:textId="77777777" w:rsidR="00C7266C" w:rsidRPr="00D403F5" w:rsidRDefault="00C7266C" w:rsidP="00D403F5">
      <w:pPr>
        <w:pStyle w:val="Para10"/>
        <w:spacing w:after="0"/>
        <w:rPr>
          <w:rFonts w:cs="Arial"/>
          <w:szCs w:val="18"/>
        </w:rPr>
      </w:pPr>
    </w:p>
    <w:p w14:paraId="38081A0A" w14:textId="77777777" w:rsidR="00C7266C" w:rsidRPr="00D403F5" w:rsidRDefault="00C7266C" w:rsidP="006237A8">
      <w:pPr>
        <w:pStyle w:val="Tabletitle"/>
        <w:sectPr w:rsidR="00C7266C" w:rsidRPr="00D403F5" w:rsidSect="006237A8">
          <w:headerReference w:type="even" r:id="rId120"/>
          <w:headerReference w:type="default" r:id="rId121"/>
          <w:footerReference w:type="even" r:id="rId122"/>
          <w:footerReference w:type="default" r:id="rId123"/>
          <w:headerReference w:type="first" r:id="rId124"/>
          <w:footerReference w:type="first" r:id="rId125"/>
          <w:type w:val="oddPage"/>
          <w:pgSz w:w="11906" w:h="16838" w:code="9"/>
          <w:pgMar w:top="1418" w:right="1418" w:bottom="1418" w:left="1418" w:header="709" w:footer="709" w:gutter="0"/>
          <w:cols w:space="708"/>
          <w:vAlign w:val="both"/>
          <w:titlePg/>
          <w:docGrid w:linePitch="360"/>
        </w:sectPr>
      </w:pPr>
    </w:p>
    <w:p w14:paraId="29DBC927" w14:textId="13CF857D" w:rsidR="00C7266C" w:rsidRPr="00D403F5" w:rsidRDefault="00983DC1" w:rsidP="006237A8">
      <w:pPr>
        <w:spacing w:after="360"/>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6FC096A3" w14:textId="77777777" w:rsidR="00C7266C" w:rsidRPr="00D403F5" w:rsidRDefault="00C7266C" w:rsidP="006237A8">
      <w:pPr>
        <w:pStyle w:val="Tabletitle"/>
      </w:pPr>
      <w:r w:rsidRPr="00D403F5">
        <w:t>Table 4.</w:t>
      </w:r>
      <w:r w:rsidRPr="00D403F5">
        <w:rPr>
          <w:noProof/>
        </w:rPr>
        <w:t>1</w:t>
      </w:r>
      <w:r w:rsidRPr="00D403F5">
        <w:t>. OIE recommended</w:t>
      </w:r>
      <w:r w:rsidRPr="00D403F5">
        <w:rPr>
          <w:rFonts w:eastAsiaTheme="minorEastAsia"/>
          <w:lang w:eastAsia="zh-CN"/>
        </w:rPr>
        <w:t xml:space="preserve"> </w:t>
      </w:r>
      <w:r w:rsidRPr="00D403F5">
        <w:t>diagnostic methods and their level of validation for surveillance of healthy animals and investigation of clinically affected animals</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C7266C" w:rsidRPr="00D403F5" w14:paraId="11F5F25A" w14:textId="77777777" w:rsidTr="00C7266C">
        <w:trPr>
          <w:trHeight w:val="402"/>
          <w:tblHeader/>
          <w:jc w:val="center"/>
        </w:trPr>
        <w:tc>
          <w:tcPr>
            <w:tcW w:w="2399" w:type="dxa"/>
            <w:vMerge w:val="restart"/>
            <w:tcBorders>
              <w:top w:val="single" w:sz="6" w:space="0" w:color="auto"/>
              <w:left w:val="single" w:sz="6" w:space="0" w:color="auto"/>
            </w:tcBorders>
            <w:vAlign w:val="center"/>
          </w:tcPr>
          <w:p w14:paraId="4A5FD144" w14:textId="77777777" w:rsidR="00C7266C" w:rsidRPr="00D403F5" w:rsidRDefault="00C7266C" w:rsidP="00D403F5">
            <w:pPr>
              <w:pStyle w:val="TableHead"/>
              <w:spacing w:before="0" w:after="0"/>
              <w:rPr>
                <w:rFonts w:ascii="Arial Narrow" w:hAnsi="Arial Narrow" w:cs="Arial"/>
                <w:szCs w:val="18"/>
              </w:rPr>
            </w:pPr>
            <w:bookmarkStart w:id="86" w:name="_Hlk491943780"/>
            <w:r w:rsidRPr="00D403F5">
              <w:rPr>
                <w:rFonts w:ascii="Arial Narrow" w:hAnsi="Arial Narrow" w:cs="Arial"/>
                <w:szCs w:val="18"/>
              </w:rPr>
              <w:t>Method</w:t>
            </w:r>
          </w:p>
        </w:tc>
        <w:tc>
          <w:tcPr>
            <w:tcW w:w="3514" w:type="dxa"/>
            <w:gridSpan w:val="4"/>
            <w:tcBorders>
              <w:top w:val="single" w:sz="6" w:space="0" w:color="auto"/>
              <w:left w:val="single" w:sz="6" w:space="0" w:color="auto"/>
              <w:bottom w:val="single" w:sz="4" w:space="0" w:color="auto"/>
              <w:right w:val="single" w:sz="6" w:space="0" w:color="auto"/>
            </w:tcBorders>
          </w:tcPr>
          <w:p w14:paraId="58EC06AD" w14:textId="77777777" w:rsidR="00C7266C" w:rsidRPr="00D403F5" w:rsidRDefault="00C7266C" w:rsidP="00D403F5">
            <w:pPr>
              <w:pStyle w:val="TableHead"/>
              <w:numPr>
                <w:ilvl w:val="0"/>
                <w:numId w:val="30"/>
              </w:numPr>
              <w:spacing w:before="0" w:after="0"/>
              <w:rPr>
                <w:rFonts w:ascii="Arial Narrow" w:hAnsi="Arial Narrow" w:cs="Arial"/>
                <w:szCs w:val="18"/>
              </w:rPr>
            </w:pPr>
            <w:r w:rsidRPr="00D403F5">
              <w:rPr>
                <w:rFonts w:ascii="Arial Narrow" w:hAnsi="Arial Narrow" w:cs="Arial"/>
                <w:szCs w:val="18"/>
              </w:rPr>
              <w:t>Surveillance of apparently healthy animals</w:t>
            </w:r>
          </w:p>
        </w:tc>
        <w:tc>
          <w:tcPr>
            <w:tcW w:w="3218" w:type="dxa"/>
            <w:gridSpan w:val="4"/>
            <w:tcBorders>
              <w:top w:val="single" w:sz="6" w:space="0" w:color="auto"/>
              <w:left w:val="single" w:sz="6" w:space="0" w:color="auto"/>
            </w:tcBorders>
          </w:tcPr>
          <w:p w14:paraId="71C9070B" w14:textId="77777777" w:rsidR="00C7266C" w:rsidRPr="00D403F5" w:rsidRDefault="00C7266C" w:rsidP="00D403F5">
            <w:pPr>
              <w:pStyle w:val="TableHead"/>
              <w:numPr>
                <w:ilvl w:val="0"/>
                <w:numId w:val="30"/>
              </w:numPr>
              <w:spacing w:before="0" w:after="0"/>
              <w:rPr>
                <w:rFonts w:ascii="Arial Narrow" w:hAnsi="Arial Narrow" w:cs="Arial"/>
                <w:szCs w:val="18"/>
              </w:rPr>
            </w:pPr>
            <w:r w:rsidRPr="00D403F5">
              <w:rPr>
                <w:rFonts w:ascii="Arial Narrow" w:hAnsi="Arial Narrow" w:cs="Arial"/>
                <w:szCs w:val="18"/>
              </w:rPr>
              <w:t>Presumptive diagnosis of clinically affected animals</w:t>
            </w:r>
          </w:p>
        </w:tc>
        <w:tc>
          <w:tcPr>
            <w:tcW w:w="3444" w:type="dxa"/>
            <w:gridSpan w:val="4"/>
            <w:tcBorders>
              <w:top w:val="single" w:sz="6" w:space="0" w:color="auto"/>
              <w:left w:val="single" w:sz="6" w:space="0" w:color="auto"/>
              <w:right w:val="single" w:sz="6" w:space="0" w:color="auto"/>
            </w:tcBorders>
          </w:tcPr>
          <w:p w14:paraId="482015ED" w14:textId="77777777" w:rsidR="00C7266C" w:rsidRPr="00D403F5" w:rsidRDefault="00C7266C" w:rsidP="00D403F5">
            <w:pPr>
              <w:pStyle w:val="TableHead"/>
              <w:numPr>
                <w:ilvl w:val="0"/>
                <w:numId w:val="30"/>
              </w:numPr>
              <w:spacing w:before="0" w:after="0"/>
              <w:rPr>
                <w:rFonts w:ascii="Arial Narrow" w:hAnsi="Arial Narrow" w:cs="Arial"/>
                <w:szCs w:val="18"/>
              </w:rPr>
            </w:pPr>
            <w:r w:rsidRPr="00D403F5">
              <w:rPr>
                <w:rFonts w:ascii="Arial Narrow" w:hAnsi="Arial Narrow" w:cs="Arial"/>
                <w:szCs w:val="18"/>
              </w:rPr>
              <w:t>Confirmatory diagnosis</w:t>
            </w:r>
            <w:r w:rsidRPr="00D403F5">
              <w:rPr>
                <w:rFonts w:ascii="Arial Narrow" w:hAnsi="Arial Narrow" w:cs="Arial"/>
                <w:szCs w:val="18"/>
                <w:vertAlign w:val="superscript"/>
              </w:rPr>
              <w:t>1</w:t>
            </w:r>
            <w:r w:rsidRPr="00D403F5">
              <w:rPr>
                <w:rFonts w:ascii="Arial Narrow" w:hAnsi="Arial Narrow" w:cs="Arial"/>
                <w:szCs w:val="18"/>
              </w:rPr>
              <w:t xml:space="preserve"> of a suspect result </w:t>
            </w:r>
            <w:r w:rsidRPr="00D403F5">
              <w:rPr>
                <w:rFonts w:ascii="Arial Narrow" w:hAnsi="Arial Narrow"/>
                <w:szCs w:val="18"/>
              </w:rPr>
              <w:t>from surveillance or presumptive diagnosis</w:t>
            </w:r>
          </w:p>
        </w:tc>
      </w:tr>
      <w:tr w:rsidR="00C7266C" w:rsidRPr="00D403F5" w14:paraId="6A83EC4C" w14:textId="77777777" w:rsidTr="00C7266C">
        <w:trPr>
          <w:trHeight w:val="402"/>
          <w:tblHeader/>
          <w:jc w:val="center"/>
        </w:trPr>
        <w:tc>
          <w:tcPr>
            <w:tcW w:w="2399" w:type="dxa"/>
            <w:vMerge/>
            <w:tcBorders>
              <w:left w:val="single" w:sz="6" w:space="0" w:color="auto"/>
            </w:tcBorders>
            <w:vAlign w:val="center"/>
          </w:tcPr>
          <w:p w14:paraId="235F2497" w14:textId="77777777" w:rsidR="00C7266C" w:rsidRPr="00D403F5" w:rsidRDefault="00C7266C" w:rsidP="00D403F5">
            <w:pPr>
              <w:pStyle w:val="TableHead"/>
              <w:spacing w:before="0" w:after="0"/>
              <w:rPr>
                <w:rFonts w:ascii="Arial Narrow" w:hAnsi="Arial Narrow" w:cs="Arial"/>
                <w:szCs w:val="18"/>
              </w:rPr>
            </w:pPr>
          </w:p>
        </w:tc>
        <w:tc>
          <w:tcPr>
            <w:tcW w:w="920" w:type="dxa"/>
            <w:tcBorders>
              <w:top w:val="single" w:sz="4" w:space="0" w:color="auto"/>
              <w:left w:val="single" w:sz="6" w:space="0" w:color="auto"/>
              <w:bottom w:val="single" w:sz="6" w:space="0" w:color="auto"/>
            </w:tcBorders>
            <w:vAlign w:val="center"/>
          </w:tcPr>
          <w:p w14:paraId="140B69AF"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Early life stages</w:t>
            </w:r>
            <w:r w:rsidRPr="00D403F5">
              <w:rPr>
                <w:rFonts w:ascii="Arial Narrow" w:hAnsi="Arial Narrow" w:cs="Arial"/>
                <w:szCs w:val="18"/>
                <w:vertAlign w:val="superscript"/>
              </w:rPr>
              <w:t>2</w:t>
            </w:r>
          </w:p>
        </w:tc>
        <w:tc>
          <w:tcPr>
            <w:tcW w:w="992" w:type="dxa"/>
            <w:tcBorders>
              <w:top w:val="single" w:sz="4" w:space="0" w:color="auto"/>
              <w:left w:val="single" w:sz="6" w:space="0" w:color="auto"/>
              <w:bottom w:val="single" w:sz="6" w:space="0" w:color="auto"/>
            </w:tcBorders>
            <w:vAlign w:val="center"/>
          </w:tcPr>
          <w:p w14:paraId="14E2143A"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Juveniles</w:t>
            </w:r>
            <w:r w:rsidRPr="00D403F5">
              <w:rPr>
                <w:rFonts w:ascii="Arial Narrow" w:hAnsi="Arial Narrow" w:cs="Arial"/>
                <w:szCs w:val="18"/>
                <w:vertAlign w:val="superscript"/>
              </w:rPr>
              <w:t>2</w:t>
            </w:r>
          </w:p>
        </w:tc>
        <w:tc>
          <w:tcPr>
            <w:tcW w:w="709" w:type="dxa"/>
            <w:tcBorders>
              <w:top w:val="single" w:sz="4" w:space="0" w:color="auto"/>
              <w:left w:val="single" w:sz="6" w:space="0" w:color="auto"/>
              <w:bottom w:val="single" w:sz="6" w:space="0" w:color="auto"/>
            </w:tcBorders>
            <w:vAlign w:val="center"/>
          </w:tcPr>
          <w:p w14:paraId="402EAAA5"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Adults</w:t>
            </w:r>
          </w:p>
        </w:tc>
        <w:tc>
          <w:tcPr>
            <w:tcW w:w="893" w:type="dxa"/>
            <w:tcBorders>
              <w:top w:val="single" w:sz="4" w:space="0" w:color="auto"/>
              <w:left w:val="single" w:sz="6" w:space="0" w:color="auto"/>
              <w:bottom w:val="single" w:sz="6" w:space="0" w:color="auto"/>
              <w:right w:val="single" w:sz="6" w:space="0" w:color="auto"/>
            </w:tcBorders>
            <w:vAlign w:val="center"/>
          </w:tcPr>
          <w:p w14:paraId="595550E9"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LV</w:t>
            </w:r>
          </w:p>
        </w:tc>
        <w:tc>
          <w:tcPr>
            <w:tcW w:w="776" w:type="dxa"/>
            <w:tcBorders>
              <w:top w:val="single" w:sz="6" w:space="0" w:color="auto"/>
              <w:left w:val="single" w:sz="6" w:space="0" w:color="auto"/>
            </w:tcBorders>
            <w:vAlign w:val="center"/>
          </w:tcPr>
          <w:p w14:paraId="390DD3BC"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Early life stages</w:t>
            </w:r>
            <w:r w:rsidRPr="00D403F5">
              <w:rPr>
                <w:rFonts w:ascii="Arial Narrow" w:hAnsi="Arial Narrow" w:cs="Arial"/>
                <w:szCs w:val="18"/>
                <w:vertAlign w:val="superscript"/>
              </w:rPr>
              <w:t>2</w:t>
            </w:r>
          </w:p>
        </w:tc>
        <w:tc>
          <w:tcPr>
            <w:tcW w:w="851" w:type="dxa"/>
            <w:tcBorders>
              <w:top w:val="single" w:sz="6" w:space="0" w:color="auto"/>
              <w:left w:val="single" w:sz="6" w:space="0" w:color="auto"/>
            </w:tcBorders>
            <w:vAlign w:val="center"/>
          </w:tcPr>
          <w:p w14:paraId="6280AC03"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Juveniles</w:t>
            </w:r>
            <w:r w:rsidRPr="00D403F5">
              <w:rPr>
                <w:rFonts w:ascii="Arial Narrow" w:hAnsi="Arial Narrow" w:cs="Arial"/>
                <w:szCs w:val="18"/>
                <w:vertAlign w:val="superscript"/>
              </w:rPr>
              <w:t>2</w:t>
            </w:r>
          </w:p>
        </w:tc>
        <w:tc>
          <w:tcPr>
            <w:tcW w:w="708" w:type="dxa"/>
            <w:tcBorders>
              <w:top w:val="single" w:sz="6" w:space="0" w:color="auto"/>
              <w:left w:val="single" w:sz="6" w:space="0" w:color="auto"/>
            </w:tcBorders>
            <w:vAlign w:val="center"/>
          </w:tcPr>
          <w:p w14:paraId="7D53CB53"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Adults</w:t>
            </w:r>
          </w:p>
        </w:tc>
        <w:tc>
          <w:tcPr>
            <w:tcW w:w="883" w:type="dxa"/>
            <w:tcBorders>
              <w:top w:val="single" w:sz="4" w:space="0" w:color="auto"/>
              <w:left w:val="single" w:sz="6" w:space="0" w:color="auto"/>
              <w:right w:val="single" w:sz="6" w:space="0" w:color="auto"/>
            </w:tcBorders>
            <w:vAlign w:val="center"/>
          </w:tcPr>
          <w:p w14:paraId="12AC1FFF"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LV</w:t>
            </w:r>
          </w:p>
        </w:tc>
        <w:tc>
          <w:tcPr>
            <w:tcW w:w="960" w:type="dxa"/>
            <w:tcBorders>
              <w:top w:val="single" w:sz="4" w:space="0" w:color="auto"/>
              <w:left w:val="single" w:sz="6" w:space="0" w:color="auto"/>
              <w:right w:val="single" w:sz="6" w:space="0" w:color="auto"/>
            </w:tcBorders>
            <w:vAlign w:val="center"/>
          </w:tcPr>
          <w:p w14:paraId="7054423D"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Early life stages</w:t>
            </w:r>
            <w:r w:rsidRPr="00D403F5">
              <w:rPr>
                <w:rFonts w:ascii="Arial Narrow" w:hAnsi="Arial Narrow" w:cs="Arial"/>
                <w:szCs w:val="18"/>
                <w:vertAlign w:val="superscript"/>
              </w:rPr>
              <w:t>2</w:t>
            </w:r>
          </w:p>
        </w:tc>
        <w:tc>
          <w:tcPr>
            <w:tcW w:w="851" w:type="dxa"/>
            <w:tcBorders>
              <w:top w:val="single" w:sz="4" w:space="0" w:color="auto"/>
              <w:left w:val="single" w:sz="6" w:space="0" w:color="auto"/>
              <w:right w:val="single" w:sz="6" w:space="0" w:color="auto"/>
            </w:tcBorders>
            <w:vAlign w:val="center"/>
          </w:tcPr>
          <w:p w14:paraId="6B7E1EBC"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Juveniles</w:t>
            </w:r>
            <w:r w:rsidRPr="00D403F5">
              <w:rPr>
                <w:rFonts w:ascii="Arial Narrow" w:hAnsi="Arial Narrow" w:cs="Arial"/>
                <w:szCs w:val="18"/>
                <w:vertAlign w:val="superscript"/>
              </w:rPr>
              <w:t>2</w:t>
            </w:r>
          </w:p>
        </w:tc>
        <w:tc>
          <w:tcPr>
            <w:tcW w:w="708" w:type="dxa"/>
            <w:tcBorders>
              <w:top w:val="single" w:sz="4" w:space="0" w:color="auto"/>
              <w:left w:val="single" w:sz="6" w:space="0" w:color="auto"/>
            </w:tcBorders>
            <w:vAlign w:val="center"/>
          </w:tcPr>
          <w:p w14:paraId="606E06CF"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Adults</w:t>
            </w:r>
          </w:p>
        </w:tc>
        <w:tc>
          <w:tcPr>
            <w:tcW w:w="925" w:type="dxa"/>
            <w:tcBorders>
              <w:top w:val="single" w:sz="4" w:space="0" w:color="auto"/>
              <w:left w:val="single" w:sz="6" w:space="0" w:color="auto"/>
              <w:right w:val="single" w:sz="6" w:space="0" w:color="auto"/>
            </w:tcBorders>
            <w:vAlign w:val="center"/>
          </w:tcPr>
          <w:p w14:paraId="78081E6B"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LV</w:t>
            </w:r>
          </w:p>
        </w:tc>
      </w:tr>
      <w:tr w:rsidR="00C7266C" w:rsidRPr="00D403F5" w14:paraId="03330C76" w14:textId="77777777" w:rsidTr="00C7266C">
        <w:trPr>
          <w:trHeight w:val="227"/>
          <w:jc w:val="center"/>
        </w:trPr>
        <w:tc>
          <w:tcPr>
            <w:tcW w:w="2399" w:type="dxa"/>
            <w:tcBorders>
              <w:top w:val="single" w:sz="6" w:space="0" w:color="auto"/>
              <w:left w:val="single" w:sz="6" w:space="0" w:color="auto"/>
            </w:tcBorders>
            <w:vAlign w:val="center"/>
          </w:tcPr>
          <w:p w14:paraId="620D225C"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Wet mounts</w:t>
            </w:r>
          </w:p>
        </w:tc>
        <w:tc>
          <w:tcPr>
            <w:tcW w:w="920" w:type="dxa"/>
            <w:tcBorders>
              <w:top w:val="single" w:sz="6" w:space="0" w:color="auto"/>
              <w:left w:val="single" w:sz="6" w:space="0" w:color="auto"/>
            </w:tcBorders>
            <w:shd w:val="clear" w:color="auto" w:fill="D9D9D9" w:themeFill="background1" w:themeFillShade="D9"/>
            <w:vAlign w:val="center"/>
          </w:tcPr>
          <w:p w14:paraId="2CEBFBD7"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tcBorders>
            <w:shd w:val="clear" w:color="auto" w:fill="D9D9D9" w:themeFill="background1" w:themeFillShade="D9"/>
            <w:vAlign w:val="center"/>
          </w:tcPr>
          <w:p w14:paraId="74292777"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tcBorders>
            <w:shd w:val="clear" w:color="auto" w:fill="D9D9D9" w:themeFill="background1" w:themeFillShade="D9"/>
            <w:vAlign w:val="center"/>
          </w:tcPr>
          <w:p w14:paraId="69DC018E"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right w:val="single" w:sz="6" w:space="0" w:color="auto"/>
            </w:tcBorders>
            <w:shd w:val="clear" w:color="auto" w:fill="D9D9D9" w:themeFill="background1" w:themeFillShade="D9"/>
            <w:vAlign w:val="center"/>
          </w:tcPr>
          <w:p w14:paraId="3834920F"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tcBorders>
            <w:shd w:val="clear" w:color="auto" w:fill="D9D9D9" w:themeFill="background1" w:themeFillShade="D9"/>
            <w:vAlign w:val="center"/>
          </w:tcPr>
          <w:p w14:paraId="53D40B63"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tcBorders>
            <w:shd w:val="clear" w:color="auto" w:fill="D9D9D9" w:themeFill="background1" w:themeFillShade="D9"/>
            <w:vAlign w:val="center"/>
          </w:tcPr>
          <w:p w14:paraId="08C5A8D0"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21E9F0DB" w14:textId="77777777" w:rsidR="00C7266C" w:rsidRPr="00D403F5" w:rsidRDefault="00C7266C" w:rsidP="00D403F5">
            <w:pPr>
              <w:pStyle w:val="Tabletext"/>
              <w:spacing w:before="0" w:after="0"/>
              <w:rPr>
                <w:rFonts w:ascii="Arial Narrow" w:hAnsi="Arial Narrow"/>
                <w:szCs w:val="18"/>
              </w:rPr>
            </w:pPr>
          </w:p>
        </w:tc>
        <w:tc>
          <w:tcPr>
            <w:tcW w:w="883" w:type="dxa"/>
            <w:tcBorders>
              <w:top w:val="single" w:sz="6" w:space="0" w:color="auto"/>
              <w:left w:val="single" w:sz="6" w:space="0" w:color="auto"/>
              <w:right w:val="single" w:sz="6" w:space="0" w:color="auto"/>
            </w:tcBorders>
            <w:shd w:val="clear" w:color="auto" w:fill="D9D9D9" w:themeFill="background1" w:themeFillShade="D9"/>
            <w:vAlign w:val="center"/>
          </w:tcPr>
          <w:p w14:paraId="26C9CB5D" w14:textId="77777777" w:rsidR="00C7266C" w:rsidRPr="00D403F5" w:rsidRDefault="00C7266C" w:rsidP="00D403F5">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268B8567"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5189995B"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26CD2934" w14:textId="77777777" w:rsidR="00C7266C" w:rsidRPr="00D403F5" w:rsidRDefault="00C7266C" w:rsidP="00D403F5">
            <w:pPr>
              <w:pStyle w:val="Tabletext"/>
              <w:spacing w:before="0" w:after="0"/>
              <w:rPr>
                <w:rFonts w:ascii="Arial Narrow" w:hAnsi="Arial Narrow"/>
                <w:szCs w:val="18"/>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27B26E02" w14:textId="77777777" w:rsidR="00C7266C" w:rsidRPr="00D403F5" w:rsidRDefault="00C7266C" w:rsidP="00D403F5">
            <w:pPr>
              <w:pStyle w:val="Tabletext"/>
              <w:spacing w:before="0" w:after="0"/>
              <w:rPr>
                <w:rFonts w:ascii="Arial Narrow" w:hAnsi="Arial Narrow"/>
                <w:szCs w:val="18"/>
              </w:rPr>
            </w:pPr>
          </w:p>
        </w:tc>
      </w:tr>
      <w:tr w:rsidR="00C7266C" w:rsidRPr="00D403F5" w14:paraId="3F1E9EF2"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5871B427"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Histopathology</w:t>
            </w:r>
            <w:r w:rsidRPr="00D403F5">
              <w:rPr>
                <w:rFonts w:ascii="Arial Narrow" w:hAnsi="Arial Narrow" w:cs="Arial"/>
                <w:szCs w:val="18"/>
                <w:vertAlign w:val="superscript"/>
              </w:rPr>
              <w:t>3</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1D19193C"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66E9CDD7"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328A900A"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8C4AECC"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7C726F72"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auto"/>
            <w:vAlign w:val="center"/>
          </w:tcPr>
          <w:p w14:paraId="4D2A501D"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shd w:val="clear" w:color="auto" w:fill="auto"/>
            <w:vAlign w:val="center"/>
          </w:tcPr>
          <w:p w14:paraId="6B50515C"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14:paraId="034E14B0"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1</w:t>
            </w:r>
          </w:p>
        </w:tc>
        <w:tc>
          <w:tcPr>
            <w:tcW w:w="96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57C4461"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583007"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313777E0" w14:textId="77777777" w:rsidR="00C7266C" w:rsidRPr="00D403F5" w:rsidRDefault="00C7266C" w:rsidP="00D403F5">
            <w:pPr>
              <w:pStyle w:val="Tabletext"/>
              <w:spacing w:before="0" w:after="0"/>
              <w:rPr>
                <w:rFonts w:ascii="Arial Narrow" w:hAnsi="Arial Narrow"/>
                <w:szCs w:val="18"/>
              </w:rPr>
            </w:pPr>
          </w:p>
        </w:tc>
        <w:tc>
          <w:tcPr>
            <w:tcW w:w="92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7FEA577" w14:textId="77777777" w:rsidR="00C7266C" w:rsidRPr="00D403F5" w:rsidRDefault="00C7266C" w:rsidP="00D403F5">
            <w:pPr>
              <w:pStyle w:val="Tabletext"/>
              <w:spacing w:before="0" w:after="0"/>
              <w:rPr>
                <w:rFonts w:ascii="Arial Narrow" w:hAnsi="Arial Narrow"/>
                <w:szCs w:val="18"/>
              </w:rPr>
            </w:pPr>
          </w:p>
        </w:tc>
      </w:tr>
      <w:tr w:rsidR="00C7266C" w:rsidRPr="00D403F5" w14:paraId="55374DFD" w14:textId="77777777" w:rsidTr="00C7266C">
        <w:trPr>
          <w:trHeight w:val="324"/>
          <w:jc w:val="center"/>
        </w:trPr>
        <w:tc>
          <w:tcPr>
            <w:tcW w:w="2399" w:type="dxa"/>
            <w:tcBorders>
              <w:top w:val="single" w:sz="6" w:space="0" w:color="auto"/>
              <w:left w:val="single" w:sz="6" w:space="0" w:color="auto"/>
            </w:tcBorders>
            <w:vAlign w:val="center"/>
          </w:tcPr>
          <w:p w14:paraId="14C48627"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Cytopathology</w:t>
            </w:r>
            <w:r w:rsidRPr="00D403F5">
              <w:rPr>
                <w:rFonts w:ascii="Arial Narrow" w:hAnsi="Arial Narrow" w:cs="Arial"/>
                <w:szCs w:val="18"/>
                <w:vertAlign w:val="superscript"/>
              </w:rPr>
              <w:t>3</w:t>
            </w:r>
          </w:p>
        </w:tc>
        <w:tc>
          <w:tcPr>
            <w:tcW w:w="920" w:type="dxa"/>
            <w:tcBorders>
              <w:top w:val="single" w:sz="6" w:space="0" w:color="auto"/>
              <w:left w:val="single" w:sz="6" w:space="0" w:color="auto"/>
            </w:tcBorders>
            <w:shd w:val="clear" w:color="auto" w:fill="D9D9D9" w:themeFill="background1" w:themeFillShade="D9"/>
            <w:vAlign w:val="center"/>
          </w:tcPr>
          <w:p w14:paraId="525B50A5"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tcBorders>
            <w:shd w:val="clear" w:color="auto" w:fill="D9D9D9" w:themeFill="background1" w:themeFillShade="D9"/>
            <w:vAlign w:val="center"/>
          </w:tcPr>
          <w:p w14:paraId="1431B8EA"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tcBorders>
            <w:shd w:val="clear" w:color="auto" w:fill="D9D9D9" w:themeFill="background1" w:themeFillShade="D9"/>
            <w:vAlign w:val="center"/>
          </w:tcPr>
          <w:p w14:paraId="528F9CDB"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right w:val="single" w:sz="6" w:space="0" w:color="auto"/>
            </w:tcBorders>
            <w:shd w:val="clear" w:color="auto" w:fill="D9D9D9" w:themeFill="background1" w:themeFillShade="D9"/>
            <w:vAlign w:val="center"/>
          </w:tcPr>
          <w:p w14:paraId="6A817212"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tcBorders>
            <w:shd w:val="clear" w:color="auto" w:fill="D9D9D9" w:themeFill="background1" w:themeFillShade="D9"/>
            <w:vAlign w:val="center"/>
          </w:tcPr>
          <w:p w14:paraId="030207B1"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D9D9D9" w:themeFill="background1" w:themeFillShade="D9"/>
            <w:vAlign w:val="center"/>
          </w:tcPr>
          <w:p w14:paraId="7FEDBB08"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5E2D28C7" w14:textId="77777777" w:rsidR="00C7266C" w:rsidRPr="00D403F5" w:rsidRDefault="00C7266C" w:rsidP="00D403F5">
            <w:pPr>
              <w:pStyle w:val="Tabletext"/>
              <w:spacing w:before="0" w:after="0"/>
              <w:rPr>
                <w:rFonts w:ascii="Arial Narrow" w:hAnsi="Arial Narrow"/>
                <w:szCs w:val="18"/>
              </w:rPr>
            </w:pP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5824944" w14:textId="77777777" w:rsidR="00C7266C" w:rsidRPr="00D403F5" w:rsidRDefault="00C7266C" w:rsidP="00D403F5">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7241698D"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527B3ABC"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5C892985" w14:textId="77777777" w:rsidR="00C7266C" w:rsidRPr="00D403F5" w:rsidRDefault="00C7266C" w:rsidP="00D403F5">
            <w:pPr>
              <w:pStyle w:val="Tabletext"/>
              <w:spacing w:before="0" w:after="0"/>
              <w:rPr>
                <w:rFonts w:ascii="Arial Narrow" w:hAnsi="Arial Narrow"/>
                <w:szCs w:val="18"/>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150AAA63" w14:textId="77777777" w:rsidR="00C7266C" w:rsidRPr="00D403F5" w:rsidRDefault="00C7266C" w:rsidP="00D403F5">
            <w:pPr>
              <w:pStyle w:val="Tabletext"/>
              <w:spacing w:before="0" w:after="0"/>
              <w:rPr>
                <w:rFonts w:ascii="Arial Narrow" w:hAnsi="Arial Narrow"/>
                <w:szCs w:val="18"/>
              </w:rPr>
            </w:pPr>
          </w:p>
        </w:tc>
      </w:tr>
      <w:tr w:rsidR="00C7266C" w:rsidRPr="00D403F5" w14:paraId="3A427BB4"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45B7BB53"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Cell or artificial media culture</w:t>
            </w:r>
          </w:p>
        </w:tc>
        <w:tc>
          <w:tcPr>
            <w:tcW w:w="920" w:type="dxa"/>
            <w:tcBorders>
              <w:top w:val="single" w:sz="6" w:space="0" w:color="auto"/>
              <w:left w:val="single" w:sz="6" w:space="0" w:color="auto"/>
              <w:bottom w:val="single" w:sz="6" w:space="0" w:color="auto"/>
            </w:tcBorders>
            <w:vAlign w:val="center"/>
          </w:tcPr>
          <w:p w14:paraId="349A45E1" w14:textId="77777777" w:rsidR="00C7266C" w:rsidRPr="00D403F5" w:rsidRDefault="00C7266C" w:rsidP="00D403F5">
            <w:pPr>
              <w:pStyle w:val="TableHead"/>
              <w:spacing w:before="0" w:after="0"/>
              <w:rPr>
                <w:rFonts w:ascii="Arial Narrow" w:hAnsi="Arial Narrow" w:cs="Arial"/>
                <w:b w:val="0"/>
                <w:szCs w:val="18"/>
              </w:rPr>
            </w:pPr>
            <w:r w:rsidRPr="00D403F5">
              <w:rPr>
                <w:rFonts w:ascii="Arial Narrow" w:hAnsi="Arial Narrow" w:cs="Arial"/>
                <w:b w:val="0"/>
                <w:szCs w:val="18"/>
              </w:rPr>
              <w:t>+++</w:t>
            </w:r>
          </w:p>
        </w:tc>
        <w:tc>
          <w:tcPr>
            <w:tcW w:w="992" w:type="dxa"/>
            <w:tcBorders>
              <w:top w:val="single" w:sz="6" w:space="0" w:color="auto"/>
              <w:left w:val="single" w:sz="6" w:space="0" w:color="auto"/>
              <w:bottom w:val="single" w:sz="6" w:space="0" w:color="auto"/>
            </w:tcBorders>
            <w:vAlign w:val="center"/>
          </w:tcPr>
          <w:p w14:paraId="1D77A3B4" w14:textId="77777777" w:rsidR="00C7266C" w:rsidRPr="00D403F5" w:rsidRDefault="00C7266C" w:rsidP="00D403F5">
            <w:pPr>
              <w:pStyle w:val="TableHead"/>
              <w:spacing w:before="0" w:after="0"/>
              <w:rPr>
                <w:rFonts w:ascii="Arial Narrow" w:hAnsi="Arial Narrow" w:cs="Arial"/>
                <w:b w:val="0"/>
                <w:szCs w:val="18"/>
              </w:rPr>
            </w:pPr>
            <w:r w:rsidRPr="00D403F5">
              <w:rPr>
                <w:rFonts w:ascii="Arial Narrow" w:hAnsi="Arial Narrow" w:cs="Arial"/>
                <w:b w:val="0"/>
                <w:szCs w:val="18"/>
              </w:rPr>
              <w:t>+++</w:t>
            </w:r>
          </w:p>
        </w:tc>
        <w:tc>
          <w:tcPr>
            <w:tcW w:w="709" w:type="dxa"/>
            <w:tcBorders>
              <w:top w:val="single" w:sz="6" w:space="0" w:color="auto"/>
              <w:left w:val="single" w:sz="6" w:space="0" w:color="auto"/>
              <w:bottom w:val="single" w:sz="6" w:space="0" w:color="auto"/>
            </w:tcBorders>
            <w:vAlign w:val="center"/>
          </w:tcPr>
          <w:p w14:paraId="11CFF780" w14:textId="77777777" w:rsidR="00C7266C" w:rsidRPr="00D403F5" w:rsidRDefault="00C7266C" w:rsidP="00D403F5">
            <w:pPr>
              <w:pStyle w:val="TableHead"/>
              <w:spacing w:before="0" w:after="0"/>
              <w:rPr>
                <w:rFonts w:ascii="Arial Narrow" w:hAnsi="Arial Narrow" w:cs="Arial"/>
                <w:b w:val="0"/>
                <w:szCs w:val="18"/>
              </w:rPr>
            </w:pPr>
            <w:r w:rsidRPr="00D403F5">
              <w:rPr>
                <w:rFonts w:ascii="Arial Narrow" w:hAnsi="Arial Narrow" w:cs="Arial"/>
                <w:b w:val="0"/>
                <w:szCs w:val="18"/>
              </w:rPr>
              <w:t>+++</w:t>
            </w:r>
          </w:p>
        </w:tc>
        <w:tc>
          <w:tcPr>
            <w:tcW w:w="893" w:type="dxa"/>
            <w:tcBorders>
              <w:top w:val="single" w:sz="6" w:space="0" w:color="auto"/>
              <w:left w:val="single" w:sz="6" w:space="0" w:color="auto"/>
              <w:bottom w:val="single" w:sz="6" w:space="0" w:color="auto"/>
              <w:right w:val="single" w:sz="6" w:space="0" w:color="auto"/>
            </w:tcBorders>
            <w:vAlign w:val="center"/>
          </w:tcPr>
          <w:p w14:paraId="7256AB6F" w14:textId="77777777" w:rsidR="00C7266C" w:rsidRPr="00D403F5" w:rsidRDefault="00C7266C" w:rsidP="00D403F5">
            <w:pPr>
              <w:pStyle w:val="TableHead"/>
              <w:spacing w:before="0" w:after="0"/>
              <w:rPr>
                <w:rFonts w:ascii="Arial Narrow" w:hAnsi="Arial Narrow" w:cs="Arial"/>
                <w:b w:val="0"/>
                <w:szCs w:val="18"/>
              </w:rPr>
            </w:pPr>
            <w:r w:rsidRPr="00D403F5">
              <w:rPr>
                <w:rFonts w:ascii="Arial Narrow" w:hAnsi="Arial Narrow" w:cs="Arial"/>
                <w:b w:val="0"/>
                <w:szCs w:val="18"/>
              </w:rPr>
              <w:t>3</w:t>
            </w:r>
          </w:p>
        </w:tc>
        <w:tc>
          <w:tcPr>
            <w:tcW w:w="776" w:type="dxa"/>
            <w:tcBorders>
              <w:top w:val="single" w:sz="6" w:space="0" w:color="auto"/>
              <w:left w:val="single" w:sz="6" w:space="0" w:color="auto"/>
              <w:bottom w:val="single" w:sz="6" w:space="0" w:color="auto"/>
            </w:tcBorders>
            <w:vAlign w:val="center"/>
          </w:tcPr>
          <w:p w14:paraId="01FBBB89"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tcBorders>
            <w:vAlign w:val="center"/>
          </w:tcPr>
          <w:p w14:paraId="31563423"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531AF37D"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vAlign w:val="center"/>
          </w:tcPr>
          <w:p w14:paraId="4BFBEBE9"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b/>
                <w:szCs w:val="18"/>
              </w:rPr>
              <w:t>3</w:t>
            </w:r>
          </w:p>
        </w:tc>
        <w:tc>
          <w:tcPr>
            <w:tcW w:w="960" w:type="dxa"/>
            <w:tcBorders>
              <w:top w:val="single" w:sz="6" w:space="0" w:color="auto"/>
              <w:left w:val="single" w:sz="6" w:space="0" w:color="auto"/>
              <w:bottom w:val="single" w:sz="6" w:space="0" w:color="auto"/>
              <w:right w:val="single" w:sz="6" w:space="0" w:color="auto"/>
            </w:tcBorders>
            <w:vAlign w:val="center"/>
          </w:tcPr>
          <w:p w14:paraId="1A9619E5"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vAlign w:val="center"/>
          </w:tcPr>
          <w:p w14:paraId="0B6C2E47"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5038033A"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vAlign w:val="center"/>
          </w:tcPr>
          <w:p w14:paraId="0FE0B312"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b/>
                <w:szCs w:val="18"/>
              </w:rPr>
              <w:t>3</w:t>
            </w:r>
          </w:p>
        </w:tc>
      </w:tr>
      <w:tr w:rsidR="00C7266C" w:rsidRPr="00D403F5" w14:paraId="11C7C3FC"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23906AC7"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Real-time PCR</w:t>
            </w:r>
          </w:p>
        </w:tc>
        <w:tc>
          <w:tcPr>
            <w:tcW w:w="920" w:type="dxa"/>
            <w:tcBorders>
              <w:top w:val="single" w:sz="6" w:space="0" w:color="auto"/>
              <w:left w:val="single" w:sz="6" w:space="0" w:color="auto"/>
              <w:bottom w:val="single" w:sz="6" w:space="0" w:color="auto"/>
            </w:tcBorders>
            <w:vAlign w:val="center"/>
          </w:tcPr>
          <w:p w14:paraId="765D2B95"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b w:val="0"/>
                <w:szCs w:val="18"/>
              </w:rPr>
              <w:t>+++</w:t>
            </w:r>
          </w:p>
        </w:tc>
        <w:tc>
          <w:tcPr>
            <w:tcW w:w="992" w:type="dxa"/>
            <w:tcBorders>
              <w:top w:val="single" w:sz="6" w:space="0" w:color="auto"/>
              <w:left w:val="single" w:sz="6" w:space="0" w:color="auto"/>
              <w:bottom w:val="single" w:sz="6" w:space="0" w:color="auto"/>
            </w:tcBorders>
            <w:vAlign w:val="center"/>
          </w:tcPr>
          <w:p w14:paraId="6F5DE46B"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b w:val="0"/>
                <w:szCs w:val="18"/>
              </w:rPr>
              <w:t>+++</w:t>
            </w:r>
          </w:p>
        </w:tc>
        <w:tc>
          <w:tcPr>
            <w:tcW w:w="709" w:type="dxa"/>
            <w:tcBorders>
              <w:top w:val="single" w:sz="6" w:space="0" w:color="auto"/>
              <w:left w:val="single" w:sz="6" w:space="0" w:color="auto"/>
              <w:bottom w:val="single" w:sz="6" w:space="0" w:color="auto"/>
            </w:tcBorders>
            <w:vAlign w:val="center"/>
          </w:tcPr>
          <w:p w14:paraId="0010CF4A"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b w:val="0"/>
                <w:szCs w:val="18"/>
              </w:rPr>
              <w:t>+++</w:t>
            </w:r>
          </w:p>
        </w:tc>
        <w:tc>
          <w:tcPr>
            <w:tcW w:w="893" w:type="dxa"/>
            <w:tcBorders>
              <w:top w:val="single" w:sz="6" w:space="0" w:color="auto"/>
              <w:left w:val="single" w:sz="6" w:space="0" w:color="auto"/>
              <w:bottom w:val="single" w:sz="6" w:space="0" w:color="auto"/>
              <w:right w:val="single" w:sz="6" w:space="0" w:color="auto"/>
            </w:tcBorders>
            <w:vAlign w:val="center"/>
          </w:tcPr>
          <w:p w14:paraId="1FED0B73"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3</w:t>
            </w:r>
          </w:p>
        </w:tc>
        <w:tc>
          <w:tcPr>
            <w:tcW w:w="776" w:type="dxa"/>
            <w:tcBorders>
              <w:top w:val="single" w:sz="6" w:space="0" w:color="auto"/>
              <w:left w:val="single" w:sz="6" w:space="0" w:color="auto"/>
              <w:bottom w:val="single" w:sz="6" w:space="0" w:color="auto"/>
            </w:tcBorders>
            <w:vAlign w:val="center"/>
          </w:tcPr>
          <w:p w14:paraId="63DCEBC8"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tcBorders>
            <w:vAlign w:val="center"/>
          </w:tcPr>
          <w:p w14:paraId="2D4E3731"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2CA81CFB"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vAlign w:val="center"/>
          </w:tcPr>
          <w:p w14:paraId="486C9C47"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b/>
                <w:szCs w:val="18"/>
              </w:rPr>
              <w:t>3</w:t>
            </w:r>
          </w:p>
        </w:tc>
        <w:tc>
          <w:tcPr>
            <w:tcW w:w="960" w:type="dxa"/>
            <w:tcBorders>
              <w:top w:val="single" w:sz="6" w:space="0" w:color="auto"/>
              <w:left w:val="single" w:sz="6" w:space="0" w:color="auto"/>
              <w:bottom w:val="single" w:sz="6" w:space="0" w:color="auto"/>
              <w:right w:val="single" w:sz="6" w:space="0" w:color="auto"/>
            </w:tcBorders>
            <w:vAlign w:val="center"/>
          </w:tcPr>
          <w:p w14:paraId="09B43A7F"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vAlign w:val="center"/>
          </w:tcPr>
          <w:p w14:paraId="6234C06C"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1CC6E879"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vAlign w:val="center"/>
          </w:tcPr>
          <w:p w14:paraId="15D11964"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b/>
                <w:szCs w:val="18"/>
              </w:rPr>
              <w:t>3</w:t>
            </w:r>
          </w:p>
        </w:tc>
      </w:tr>
      <w:tr w:rsidR="00C7266C" w:rsidRPr="00D403F5" w14:paraId="3CDA22DD"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37B645EE"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Conventional PCR</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66A59BD1" w14:textId="77777777" w:rsidR="00C7266C" w:rsidRPr="00D403F5" w:rsidRDefault="00C7266C" w:rsidP="00D403F5">
            <w:pPr>
              <w:pStyle w:val="TableHead"/>
              <w:spacing w:before="0" w:after="0"/>
              <w:rPr>
                <w:rFonts w:ascii="Arial Narrow" w:hAnsi="Arial Narrow" w:cs="Arial"/>
                <w:b w:val="0"/>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7A579164" w14:textId="77777777" w:rsidR="00C7266C" w:rsidRPr="00D403F5" w:rsidRDefault="00C7266C" w:rsidP="00D403F5">
            <w:pPr>
              <w:pStyle w:val="TableHead"/>
              <w:spacing w:before="0" w:after="0"/>
              <w:rPr>
                <w:rFonts w:ascii="Arial Narrow" w:hAnsi="Arial Narrow" w:cs="Arial"/>
                <w:b w:val="0"/>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0C719BD2" w14:textId="77777777" w:rsidR="00C7266C" w:rsidRPr="00D403F5" w:rsidRDefault="00C7266C" w:rsidP="00D403F5">
            <w:pPr>
              <w:pStyle w:val="TableHead"/>
              <w:spacing w:before="0" w:after="0"/>
              <w:rPr>
                <w:rFonts w:ascii="Arial Narrow" w:hAnsi="Arial Narrow" w:cs="Arial"/>
                <w:b w:val="0"/>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738FBE"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555E5EAA"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auto"/>
            <w:vAlign w:val="center"/>
          </w:tcPr>
          <w:p w14:paraId="20627627"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shd w:val="clear" w:color="auto" w:fill="auto"/>
            <w:vAlign w:val="center"/>
          </w:tcPr>
          <w:p w14:paraId="7C5B7A33"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14:paraId="5C6BF408"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96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47DBA56"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625081"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shd w:val="clear" w:color="auto" w:fill="FFFFFF" w:themeFill="background1"/>
            <w:vAlign w:val="center"/>
          </w:tcPr>
          <w:p w14:paraId="14B747D9"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4C0149" w14:textId="77777777" w:rsidR="00C7266C" w:rsidRPr="00D403F5" w:rsidRDefault="00C7266C" w:rsidP="00D403F5">
            <w:pPr>
              <w:pStyle w:val="Tabletext"/>
              <w:spacing w:before="0" w:after="0"/>
              <w:rPr>
                <w:rFonts w:ascii="Arial Narrow" w:hAnsi="Arial Narrow"/>
                <w:szCs w:val="18"/>
                <w:highlight w:val="yellow"/>
              </w:rPr>
            </w:pPr>
          </w:p>
        </w:tc>
      </w:tr>
      <w:tr w:rsidR="00C7266C" w:rsidRPr="00D403F5" w14:paraId="05AF2B78"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17784DDB"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Amplicon sequencing</w:t>
            </w:r>
            <w:r w:rsidRPr="00D403F5">
              <w:rPr>
                <w:rFonts w:ascii="Arial Narrow" w:hAnsi="Arial Narrow" w:cs="Arial"/>
                <w:szCs w:val="18"/>
                <w:vertAlign w:val="superscript"/>
              </w:rPr>
              <w:t>4</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7D4F8EAA"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7021143A"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4011FAAB"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CCA46DE"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470D76D5"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bottom w:val="single" w:sz="6" w:space="0" w:color="auto"/>
            </w:tcBorders>
            <w:shd w:val="clear" w:color="auto" w:fill="D9D9D9" w:themeFill="background1" w:themeFillShade="D9"/>
            <w:vAlign w:val="center"/>
          </w:tcPr>
          <w:p w14:paraId="6A94AE74"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bottom w:val="single" w:sz="6" w:space="0" w:color="auto"/>
            </w:tcBorders>
            <w:shd w:val="clear" w:color="auto" w:fill="D9D9D9" w:themeFill="background1" w:themeFillShade="D9"/>
            <w:vAlign w:val="center"/>
          </w:tcPr>
          <w:p w14:paraId="64F5999D" w14:textId="77777777" w:rsidR="00C7266C" w:rsidRPr="00D403F5" w:rsidRDefault="00C7266C" w:rsidP="00D403F5">
            <w:pPr>
              <w:pStyle w:val="Tabletext"/>
              <w:spacing w:before="0" w:after="0"/>
              <w:rPr>
                <w:rFonts w:ascii="Arial Narrow" w:hAnsi="Arial Narrow"/>
                <w:szCs w:val="18"/>
              </w:rPr>
            </w:pP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131771" w14:textId="77777777" w:rsidR="00C7266C" w:rsidRPr="00D403F5" w:rsidRDefault="00C7266C" w:rsidP="00D403F5">
            <w:pPr>
              <w:pStyle w:val="Tabletext"/>
              <w:spacing w:before="0" w:after="0"/>
              <w:rPr>
                <w:rFonts w:ascii="Arial Narrow" w:hAnsi="Arial Narrow"/>
                <w:szCs w:val="18"/>
              </w:rPr>
            </w:pPr>
          </w:p>
        </w:tc>
        <w:tc>
          <w:tcPr>
            <w:tcW w:w="960" w:type="dxa"/>
            <w:tcBorders>
              <w:top w:val="single" w:sz="6" w:space="0" w:color="auto"/>
              <w:left w:val="single" w:sz="6" w:space="0" w:color="auto"/>
              <w:bottom w:val="single" w:sz="6" w:space="0" w:color="auto"/>
              <w:right w:val="single" w:sz="6" w:space="0" w:color="auto"/>
            </w:tcBorders>
            <w:vAlign w:val="center"/>
          </w:tcPr>
          <w:p w14:paraId="20772A1C"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6" w:space="0" w:color="auto"/>
              <w:right w:val="single" w:sz="6" w:space="0" w:color="auto"/>
            </w:tcBorders>
            <w:vAlign w:val="center"/>
          </w:tcPr>
          <w:p w14:paraId="169748C5"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6" w:space="0" w:color="auto"/>
            </w:tcBorders>
            <w:vAlign w:val="center"/>
          </w:tcPr>
          <w:p w14:paraId="44CF63D1"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6" w:space="0" w:color="auto"/>
              <w:left w:val="single" w:sz="6" w:space="0" w:color="auto"/>
              <w:bottom w:val="single" w:sz="6" w:space="0" w:color="auto"/>
              <w:right w:val="single" w:sz="6" w:space="0" w:color="auto"/>
            </w:tcBorders>
            <w:vAlign w:val="center"/>
          </w:tcPr>
          <w:p w14:paraId="63350FE2" w14:textId="77777777" w:rsidR="00C7266C" w:rsidRPr="00D403F5" w:rsidRDefault="00C7266C" w:rsidP="00D403F5">
            <w:pPr>
              <w:pStyle w:val="Tabletext"/>
              <w:spacing w:before="0" w:after="0"/>
              <w:rPr>
                <w:rFonts w:ascii="Arial Narrow" w:hAnsi="Arial Narrow"/>
                <w:szCs w:val="18"/>
              </w:rPr>
            </w:pPr>
          </w:p>
        </w:tc>
      </w:tr>
      <w:tr w:rsidR="00C7266C" w:rsidRPr="00D403F5" w14:paraId="2A785BE0" w14:textId="77777777" w:rsidTr="00C7266C">
        <w:trPr>
          <w:trHeight w:val="402"/>
          <w:jc w:val="center"/>
        </w:trPr>
        <w:tc>
          <w:tcPr>
            <w:tcW w:w="2399" w:type="dxa"/>
            <w:tcBorders>
              <w:top w:val="single" w:sz="6" w:space="0" w:color="auto"/>
              <w:left w:val="single" w:sz="6" w:space="0" w:color="auto"/>
            </w:tcBorders>
            <w:vAlign w:val="center"/>
          </w:tcPr>
          <w:p w14:paraId="2C235052"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i/>
                <w:iCs/>
                <w:szCs w:val="18"/>
              </w:rPr>
              <w:t>In-situ</w:t>
            </w:r>
            <w:r w:rsidRPr="00D403F5">
              <w:rPr>
                <w:rFonts w:ascii="Arial Narrow" w:hAnsi="Arial Narrow" w:cs="Arial"/>
                <w:szCs w:val="18"/>
              </w:rPr>
              <w:t xml:space="preserve"> hybridisation</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61CD1654" w14:textId="77777777" w:rsidR="00C7266C" w:rsidRPr="00D403F5" w:rsidRDefault="00C7266C" w:rsidP="00D403F5">
            <w:pPr>
              <w:pStyle w:val="TableHead"/>
              <w:spacing w:before="0" w:after="0"/>
              <w:rPr>
                <w:rFonts w:ascii="Arial Narrow" w:hAnsi="Arial Narrow" w:cs="Arial"/>
                <w:i/>
                <w:iCs/>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13DE8BBB" w14:textId="77777777" w:rsidR="00C7266C" w:rsidRPr="00D403F5" w:rsidRDefault="00C7266C" w:rsidP="00D403F5">
            <w:pPr>
              <w:pStyle w:val="TableHead"/>
              <w:spacing w:before="0" w:after="0"/>
              <w:rPr>
                <w:rFonts w:ascii="Arial Narrow" w:hAnsi="Arial Narrow" w:cs="Arial"/>
                <w:i/>
                <w:iCs/>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5BA33809"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A98677"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tcBorders>
            <w:shd w:val="clear" w:color="auto" w:fill="D9D9D9" w:themeFill="background1" w:themeFillShade="D9"/>
            <w:vAlign w:val="center"/>
          </w:tcPr>
          <w:p w14:paraId="45984ADD"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tcBorders>
            <w:shd w:val="clear" w:color="auto" w:fill="D9D9D9" w:themeFill="background1" w:themeFillShade="D9"/>
            <w:vAlign w:val="center"/>
          </w:tcPr>
          <w:p w14:paraId="7E7CCCA2"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14C36694" w14:textId="77777777" w:rsidR="00C7266C" w:rsidRPr="00D403F5" w:rsidRDefault="00C7266C" w:rsidP="00D403F5">
            <w:pPr>
              <w:pStyle w:val="Tabletext"/>
              <w:spacing w:before="0" w:after="0"/>
              <w:rPr>
                <w:rFonts w:ascii="Arial Narrow" w:hAnsi="Arial Narrow"/>
                <w:szCs w:val="18"/>
              </w:rPr>
            </w:pPr>
          </w:p>
        </w:tc>
        <w:tc>
          <w:tcPr>
            <w:tcW w:w="883" w:type="dxa"/>
            <w:tcBorders>
              <w:top w:val="single" w:sz="6" w:space="0" w:color="auto"/>
              <w:left w:val="single" w:sz="6" w:space="0" w:color="auto"/>
              <w:right w:val="single" w:sz="6" w:space="0" w:color="auto"/>
            </w:tcBorders>
            <w:shd w:val="clear" w:color="auto" w:fill="D9D9D9" w:themeFill="background1" w:themeFillShade="D9"/>
            <w:vAlign w:val="center"/>
          </w:tcPr>
          <w:p w14:paraId="2742FBAE" w14:textId="77777777" w:rsidR="00C7266C" w:rsidRPr="00D403F5" w:rsidRDefault="00C7266C" w:rsidP="00D403F5">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4FBE19BA" w14:textId="77777777" w:rsidR="00C7266C" w:rsidRPr="00D403F5" w:rsidRDefault="00C7266C" w:rsidP="00D403F5">
            <w:pPr>
              <w:pStyle w:val="Tabletext"/>
              <w:spacing w:before="0" w:after="0"/>
              <w:rPr>
                <w:rFonts w:ascii="Arial Narrow" w:hAnsi="Arial Narrow"/>
                <w:szCs w:val="18"/>
                <w:highlight w:val="lightGray"/>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4AEDD467" w14:textId="77777777" w:rsidR="00C7266C" w:rsidRPr="00D403F5" w:rsidRDefault="00C7266C" w:rsidP="00D403F5">
            <w:pPr>
              <w:pStyle w:val="Tabletext"/>
              <w:spacing w:before="0" w:after="0"/>
              <w:rPr>
                <w:rFonts w:ascii="Arial Narrow" w:hAnsi="Arial Narrow"/>
                <w:szCs w:val="18"/>
                <w:highlight w:val="lightGray"/>
              </w:rPr>
            </w:pPr>
          </w:p>
        </w:tc>
        <w:tc>
          <w:tcPr>
            <w:tcW w:w="708" w:type="dxa"/>
            <w:tcBorders>
              <w:top w:val="single" w:sz="6" w:space="0" w:color="auto"/>
              <w:left w:val="single" w:sz="6" w:space="0" w:color="auto"/>
            </w:tcBorders>
            <w:shd w:val="clear" w:color="auto" w:fill="D9D9D9" w:themeFill="background1" w:themeFillShade="D9"/>
            <w:vAlign w:val="center"/>
          </w:tcPr>
          <w:p w14:paraId="20FA5979" w14:textId="77777777" w:rsidR="00C7266C" w:rsidRPr="00D403F5" w:rsidRDefault="00C7266C" w:rsidP="00D403F5">
            <w:pPr>
              <w:pStyle w:val="Tabletext"/>
              <w:spacing w:before="0" w:after="0"/>
              <w:rPr>
                <w:rFonts w:ascii="Arial Narrow" w:hAnsi="Arial Narrow"/>
                <w:szCs w:val="18"/>
                <w:highlight w:val="lightGray"/>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3F473992" w14:textId="77777777" w:rsidR="00C7266C" w:rsidRPr="00D403F5" w:rsidRDefault="00C7266C" w:rsidP="00D403F5">
            <w:pPr>
              <w:pStyle w:val="Tabletext"/>
              <w:spacing w:before="0" w:after="0"/>
              <w:rPr>
                <w:rFonts w:ascii="Arial Narrow" w:hAnsi="Arial Narrow"/>
                <w:szCs w:val="18"/>
                <w:highlight w:val="lightGray"/>
              </w:rPr>
            </w:pPr>
          </w:p>
        </w:tc>
      </w:tr>
      <w:tr w:rsidR="00C7266C" w:rsidRPr="00D403F5" w14:paraId="73654012" w14:textId="77777777" w:rsidTr="00C7266C">
        <w:trPr>
          <w:trHeight w:val="402"/>
          <w:jc w:val="center"/>
        </w:trPr>
        <w:tc>
          <w:tcPr>
            <w:tcW w:w="2399" w:type="dxa"/>
            <w:tcBorders>
              <w:top w:val="single" w:sz="6" w:space="0" w:color="auto"/>
              <w:left w:val="single" w:sz="6" w:space="0" w:color="auto"/>
            </w:tcBorders>
            <w:vAlign w:val="center"/>
          </w:tcPr>
          <w:p w14:paraId="66695EF0"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Bioassay</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736C10B9"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13CA8CDC"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5C8A8CF1"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A4DDC28"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6" w:space="0" w:color="auto"/>
            </w:tcBorders>
            <w:shd w:val="clear" w:color="auto" w:fill="D9D9D9" w:themeFill="background1" w:themeFillShade="D9"/>
            <w:vAlign w:val="center"/>
          </w:tcPr>
          <w:p w14:paraId="2803C5DF"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6" w:space="0" w:color="auto"/>
              <w:left w:val="single" w:sz="6" w:space="0" w:color="auto"/>
            </w:tcBorders>
            <w:shd w:val="clear" w:color="auto" w:fill="D9D9D9" w:themeFill="background1" w:themeFillShade="D9"/>
            <w:vAlign w:val="center"/>
          </w:tcPr>
          <w:p w14:paraId="33CABF99"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6" w:space="0" w:color="auto"/>
              <w:left w:val="single" w:sz="6" w:space="0" w:color="auto"/>
            </w:tcBorders>
            <w:shd w:val="clear" w:color="auto" w:fill="D9D9D9" w:themeFill="background1" w:themeFillShade="D9"/>
            <w:vAlign w:val="center"/>
          </w:tcPr>
          <w:p w14:paraId="04252448" w14:textId="77777777" w:rsidR="00C7266C" w:rsidRPr="00D403F5" w:rsidRDefault="00C7266C" w:rsidP="00D403F5">
            <w:pPr>
              <w:pStyle w:val="Tabletext"/>
              <w:spacing w:before="0" w:after="0"/>
              <w:rPr>
                <w:rFonts w:ascii="Arial Narrow" w:hAnsi="Arial Narrow"/>
                <w:szCs w:val="18"/>
              </w:rPr>
            </w:pPr>
          </w:p>
        </w:tc>
        <w:tc>
          <w:tcPr>
            <w:tcW w:w="883" w:type="dxa"/>
            <w:tcBorders>
              <w:top w:val="single" w:sz="6" w:space="0" w:color="auto"/>
              <w:left w:val="single" w:sz="6" w:space="0" w:color="auto"/>
              <w:right w:val="single" w:sz="6" w:space="0" w:color="auto"/>
            </w:tcBorders>
            <w:shd w:val="clear" w:color="auto" w:fill="D9D9D9" w:themeFill="background1" w:themeFillShade="D9"/>
            <w:vAlign w:val="center"/>
          </w:tcPr>
          <w:p w14:paraId="1FED8D83" w14:textId="77777777" w:rsidR="00C7266C" w:rsidRPr="00D403F5" w:rsidRDefault="00C7266C" w:rsidP="00D403F5">
            <w:pPr>
              <w:pStyle w:val="Tabletext"/>
              <w:spacing w:before="0" w:after="0"/>
              <w:rPr>
                <w:rFonts w:ascii="Arial Narrow" w:hAnsi="Arial Narrow"/>
                <w:szCs w:val="18"/>
              </w:rPr>
            </w:pPr>
          </w:p>
        </w:tc>
        <w:tc>
          <w:tcPr>
            <w:tcW w:w="960" w:type="dxa"/>
            <w:tcBorders>
              <w:top w:val="single" w:sz="6" w:space="0" w:color="auto"/>
              <w:left w:val="single" w:sz="6" w:space="0" w:color="auto"/>
              <w:right w:val="single" w:sz="6" w:space="0" w:color="auto"/>
            </w:tcBorders>
            <w:shd w:val="clear" w:color="auto" w:fill="D9D9D9" w:themeFill="background1" w:themeFillShade="D9"/>
            <w:vAlign w:val="center"/>
          </w:tcPr>
          <w:p w14:paraId="775AACA2" w14:textId="77777777" w:rsidR="00C7266C" w:rsidRPr="00D403F5" w:rsidRDefault="00C7266C" w:rsidP="00D403F5">
            <w:pPr>
              <w:pStyle w:val="Tabletext"/>
              <w:spacing w:before="0" w:after="0"/>
              <w:rPr>
                <w:rFonts w:ascii="Arial Narrow" w:hAnsi="Arial Narrow"/>
                <w:szCs w:val="18"/>
                <w:highlight w:val="lightGray"/>
              </w:rPr>
            </w:pPr>
          </w:p>
        </w:tc>
        <w:tc>
          <w:tcPr>
            <w:tcW w:w="851" w:type="dxa"/>
            <w:tcBorders>
              <w:top w:val="single" w:sz="6" w:space="0" w:color="auto"/>
              <w:left w:val="single" w:sz="6" w:space="0" w:color="auto"/>
              <w:right w:val="single" w:sz="6" w:space="0" w:color="auto"/>
            </w:tcBorders>
            <w:shd w:val="clear" w:color="auto" w:fill="D9D9D9" w:themeFill="background1" w:themeFillShade="D9"/>
            <w:vAlign w:val="center"/>
          </w:tcPr>
          <w:p w14:paraId="6C9DBF15" w14:textId="77777777" w:rsidR="00C7266C" w:rsidRPr="00D403F5" w:rsidRDefault="00C7266C" w:rsidP="00D403F5">
            <w:pPr>
              <w:pStyle w:val="Tabletext"/>
              <w:spacing w:before="0" w:after="0"/>
              <w:rPr>
                <w:rFonts w:ascii="Arial Narrow" w:hAnsi="Arial Narrow"/>
                <w:szCs w:val="18"/>
                <w:highlight w:val="lightGray"/>
              </w:rPr>
            </w:pPr>
          </w:p>
        </w:tc>
        <w:tc>
          <w:tcPr>
            <w:tcW w:w="708" w:type="dxa"/>
            <w:tcBorders>
              <w:top w:val="single" w:sz="6" w:space="0" w:color="auto"/>
              <w:left w:val="single" w:sz="6" w:space="0" w:color="auto"/>
            </w:tcBorders>
            <w:shd w:val="clear" w:color="auto" w:fill="D9D9D9" w:themeFill="background1" w:themeFillShade="D9"/>
            <w:vAlign w:val="center"/>
          </w:tcPr>
          <w:p w14:paraId="7AB8689C" w14:textId="77777777" w:rsidR="00C7266C" w:rsidRPr="00D403F5" w:rsidRDefault="00C7266C" w:rsidP="00D403F5">
            <w:pPr>
              <w:pStyle w:val="Tabletext"/>
              <w:spacing w:before="0" w:after="0"/>
              <w:rPr>
                <w:rFonts w:ascii="Arial Narrow" w:hAnsi="Arial Narrow"/>
                <w:szCs w:val="18"/>
                <w:highlight w:val="lightGray"/>
              </w:rPr>
            </w:pPr>
          </w:p>
        </w:tc>
        <w:tc>
          <w:tcPr>
            <w:tcW w:w="925" w:type="dxa"/>
            <w:tcBorders>
              <w:top w:val="single" w:sz="6" w:space="0" w:color="auto"/>
              <w:left w:val="single" w:sz="6" w:space="0" w:color="auto"/>
              <w:right w:val="single" w:sz="6" w:space="0" w:color="auto"/>
            </w:tcBorders>
            <w:shd w:val="clear" w:color="auto" w:fill="D9D9D9" w:themeFill="background1" w:themeFillShade="D9"/>
            <w:vAlign w:val="center"/>
          </w:tcPr>
          <w:p w14:paraId="0F921CBD" w14:textId="77777777" w:rsidR="00C7266C" w:rsidRPr="00D403F5" w:rsidRDefault="00C7266C" w:rsidP="00D403F5">
            <w:pPr>
              <w:pStyle w:val="Tabletext"/>
              <w:spacing w:before="0" w:after="0"/>
              <w:rPr>
                <w:rFonts w:ascii="Arial Narrow" w:hAnsi="Arial Narrow"/>
                <w:szCs w:val="18"/>
                <w:highlight w:val="lightGray"/>
              </w:rPr>
            </w:pPr>
          </w:p>
        </w:tc>
      </w:tr>
      <w:tr w:rsidR="00C7266C" w:rsidRPr="00D403F5" w14:paraId="565977C4" w14:textId="77777777" w:rsidTr="00C7266C">
        <w:trPr>
          <w:trHeight w:val="402"/>
          <w:jc w:val="center"/>
        </w:trPr>
        <w:tc>
          <w:tcPr>
            <w:tcW w:w="2399" w:type="dxa"/>
            <w:tcBorders>
              <w:top w:val="single" w:sz="6" w:space="0" w:color="auto"/>
              <w:left w:val="single" w:sz="6" w:space="0" w:color="auto"/>
              <w:bottom w:val="single" w:sz="4" w:space="0" w:color="auto"/>
            </w:tcBorders>
            <w:vAlign w:val="center"/>
          </w:tcPr>
          <w:p w14:paraId="0E57E256"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LAMP</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5C92B104"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029DD401"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7BDACCE7"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F3B003"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4" w:space="0" w:color="auto"/>
            </w:tcBorders>
            <w:shd w:val="clear" w:color="auto" w:fill="D9D9D9" w:themeFill="background1" w:themeFillShade="D9"/>
            <w:vAlign w:val="center"/>
          </w:tcPr>
          <w:p w14:paraId="06B41153" w14:textId="77777777" w:rsidR="00C7266C" w:rsidRPr="00D403F5" w:rsidRDefault="00C7266C" w:rsidP="00D403F5">
            <w:pPr>
              <w:pStyle w:val="Tabletext"/>
              <w:spacing w:before="0" w:after="0"/>
              <w:rPr>
                <w:rFonts w:ascii="Arial Narrow" w:hAnsi="Arial Narrow"/>
                <w:strike/>
                <w:szCs w:val="18"/>
              </w:rPr>
            </w:pPr>
          </w:p>
        </w:tc>
        <w:tc>
          <w:tcPr>
            <w:tcW w:w="851" w:type="dxa"/>
            <w:tcBorders>
              <w:top w:val="single" w:sz="6" w:space="0" w:color="auto"/>
              <w:left w:val="single" w:sz="6" w:space="0" w:color="auto"/>
              <w:bottom w:val="single" w:sz="4" w:space="0" w:color="auto"/>
            </w:tcBorders>
            <w:shd w:val="clear" w:color="auto" w:fill="D9D9D9" w:themeFill="background1" w:themeFillShade="D9"/>
            <w:vAlign w:val="center"/>
          </w:tcPr>
          <w:p w14:paraId="45095367" w14:textId="77777777" w:rsidR="00C7266C" w:rsidRPr="00D403F5" w:rsidRDefault="00C7266C" w:rsidP="00D403F5">
            <w:pPr>
              <w:pStyle w:val="Tabletext"/>
              <w:spacing w:before="0" w:after="0"/>
              <w:rPr>
                <w:rFonts w:ascii="Arial Narrow" w:hAnsi="Arial Narrow"/>
                <w:strike/>
                <w:szCs w:val="18"/>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11D15D61" w14:textId="77777777" w:rsidR="00C7266C" w:rsidRPr="00D403F5" w:rsidRDefault="00C7266C" w:rsidP="00D403F5">
            <w:pPr>
              <w:pStyle w:val="Tabletext"/>
              <w:spacing w:before="0" w:after="0"/>
              <w:rPr>
                <w:rFonts w:ascii="Arial Narrow" w:hAnsi="Arial Narrow"/>
                <w:strike/>
                <w:szCs w:val="18"/>
              </w:rPr>
            </w:pPr>
          </w:p>
        </w:tc>
        <w:tc>
          <w:tcPr>
            <w:tcW w:w="883"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7F8063E" w14:textId="77777777" w:rsidR="00C7266C" w:rsidRPr="00D403F5" w:rsidRDefault="00C7266C" w:rsidP="00D403F5">
            <w:pPr>
              <w:pStyle w:val="Tabletext"/>
              <w:spacing w:before="0" w:after="0"/>
              <w:rPr>
                <w:rFonts w:ascii="Arial Narrow" w:hAnsi="Arial Narrow"/>
                <w:strike/>
                <w:szCs w:val="18"/>
              </w:rPr>
            </w:pPr>
          </w:p>
        </w:tc>
        <w:tc>
          <w:tcPr>
            <w:tcW w:w="960"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1142E3F" w14:textId="77777777" w:rsidR="00C7266C" w:rsidRPr="00D403F5" w:rsidRDefault="00C7266C" w:rsidP="00D403F5">
            <w:pPr>
              <w:pStyle w:val="Tabletext"/>
              <w:spacing w:before="0" w:after="0"/>
              <w:rPr>
                <w:rFonts w:ascii="Arial Narrow" w:hAnsi="Arial Narrow"/>
                <w:strike/>
                <w:szCs w:val="18"/>
                <w:highlight w:val="lightGray"/>
              </w:rPr>
            </w:pPr>
          </w:p>
        </w:tc>
        <w:tc>
          <w:tcPr>
            <w:tcW w:w="851"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E3F09CB" w14:textId="77777777" w:rsidR="00C7266C" w:rsidRPr="00D403F5" w:rsidRDefault="00C7266C" w:rsidP="00D403F5">
            <w:pPr>
              <w:pStyle w:val="Tabletext"/>
              <w:spacing w:before="0" w:after="0"/>
              <w:rPr>
                <w:rFonts w:ascii="Arial Narrow" w:hAnsi="Arial Narrow"/>
                <w:strike/>
                <w:szCs w:val="18"/>
                <w:highlight w:val="lightGray"/>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43678198" w14:textId="77777777" w:rsidR="00C7266C" w:rsidRPr="00D403F5" w:rsidRDefault="00C7266C" w:rsidP="00D403F5">
            <w:pPr>
              <w:pStyle w:val="Tabletext"/>
              <w:spacing w:before="0" w:after="0"/>
              <w:rPr>
                <w:rFonts w:ascii="Arial Narrow" w:hAnsi="Arial Narrow"/>
                <w:strike/>
                <w:szCs w:val="18"/>
                <w:highlight w:val="lightGray"/>
              </w:rPr>
            </w:pPr>
          </w:p>
        </w:tc>
        <w:tc>
          <w:tcPr>
            <w:tcW w:w="925"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4E37DAE" w14:textId="77777777" w:rsidR="00C7266C" w:rsidRPr="00D403F5" w:rsidRDefault="00C7266C" w:rsidP="00D403F5">
            <w:pPr>
              <w:pStyle w:val="Tabletext"/>
              <w:spacing w:before="0" w:after="0"/>
              <w:rPr>
                <w:rFonts w:ascii="Arial Narrow" w:hAnsi="Arial Narrow"/>
                <w:strike/>
                <w:szCs w:val="18"/>
                <w:highlight w:val="lightGray"/>
              </w:rPr>
            </w:pPr>
          </w:p>
        </w:tc>
      </w:tr>
      <w:tr w:rsidR="00C7266C" w:rsidRPr="00D403F5" w14:paraId="34DBEF24" w14:textId="77777777" w:rsidTr="00C7266C">
        <w:trPr>
          <w:trHeight w:val="402"/>
          <w:jc w:val="center"/>
        </w:trPr>
        <w:tc>
          <w:tcPr>
            <w:tcW w:w="2399" w:type="dxa"/>
            <w:tcBorders>
              <w:top w:val="single" w:sz="6" w:space="0" w:color="auto"/>
              <w:left w:val="single" w:sz="6" w:space="0" w:color="auto"/>
              <w:bottom w:val="single" w:sz="4" w:space="0" w:color="auto"/>
            </w:tcBorders>
            <w:vAlign w:val="center"/>
          </w:tcPr>
          <w:p w14:paraId="41548846"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IFAT</w:t>
            </w:r>
          </w:p>
        </w:tc>
        <w:tc>
          <w:tcPr>
            <w:tcW w:w="920" w:type="dxa"/>
            <w:tcBorders>
              <w:top w:val="single" w:sz="6" w:space="0" w:color="auto"/>
              <w:left w:val="single" w:sz="6" w:space="0" w:color="auto"/>
              <w:bottom w:val="single" w:sz="6" w:space="0" w:color="auto"/>
            </w:tcBorders>
            <w:shd w:val="clear" w:color="auto" w:fill="D9D9D9" w:themeFill="background1" w:themeFillShade="D9"/>
            <w:vAlign w:val="center"/>
          </w:tcPr>
          <w:p w14:paraId="62FCB8C0"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6" w:space="0" w:color="auto"/>
            </w:tcBorders>
            <w:shd w:val="clear" w:color="auto" w:fill="D9D9D9" w:themeFill="background1" w:themeFillShade="D9"/>
            <w:vAlign w:val="center"/>
          </w:tcPr>
          <w:p w14:paraId="144876FE"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6" w:space="0" w:color="auto"/>
            </w:tcBorders>
            <w:shd w:val="clear" w:color="auto" w:fill="D9D9D9" w:themeFill="background1" w:themeFillShade="D9"/>
            <w:vAlign w:val="center"/>
          </w:tcPr>
          <w:p w14:paraId="3B09AE90"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7A9E4E"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6" w:space="0" w:color="auto"/>
              <w:left w:val="single" w:sz="6" w:space="0" w:color="auto"/>
              <w:bottom w:val="single" w:sz="4" w:space="0" w:color="auto"/>
            </w:tcBorders>
            <w:shd w:val="clear" w:color="auto" w:fill="D9D9D9" w:themeFill="background1" w:themeFillShade="D9"/>
            <w:vAlign w:val="center"/>
          </w:tcPr>
          <w:p w14:paraId="641807ED" w14:textId="77777777" w:rsidR="00C7266C" w:rsidRPr="00D403F5" w:rsidRDefault="00C7266C" w:rsidP="00D403F5">
            <w:pPr>
              <w:pStyle w:val="Tabletext"/>
              <w:spacing w:before="0" w:after="0"/>
              <w:rPr>
                <w:rFonts w:ascii="Arial Narrow" w:hAnsi="Arial Narrow"/>
                <w:strike/>
                <w:szCs w:val="18"/>
              </w:rPr>
            </w:pPr>
          </w:p>
        </w:tc>
        <w:tc>
          <w:tcPr>
            <w:tcW w:w="851" w:type="dxa"/>
            <w:tcBorders>
              <w:top w:val="single" w:sz="6" w:space="0" w:color="auto"/>
              <w:left w:val="single" w:sz="6" w:space="0" w:color="auto"/>
              <w:bottom w:val="single" w:sz="4" w:space="0" w:color="auto"/>
            </w:tcBorders>
            <w:shd w:val="clear" w:color="auto" w:fill="D9D9D9" w:themeFill="background1" w:themeFillShade="D9"/>
            <w:vAlign w:val="center"/>
          </w:tcPr>
          <w:p w14:paraId="08F4F707" w14:textId="77777777" w:rsidR="00C7266C" w:rsidRPr="00D403F5" w:rsidRDefault="00C7266C" w:rsidP="00D403F5">
            <w:pPr>
              <w:pStyle w:val="Tabletext"/>
              <w:spacing w:before="0" w:after="0"/>
              <w:rPr>
                <w:rFonts w:ascii="Arial Narrow" w:hAnsi="Arial Narrow"/>
                <w:strike/>
                <w:szCs w:val="18"/>
              </w:rPr>
            </w:pPr>
          </w:p>
        </w:tc>
        <w:tc>
          <w:tcPr>
            <w:tcW w:w="708" w:type="dxa"/>
            <w:tcBorders>
              <w:top w:val="single" w:sz="6" w:space="0" w:color="auto"/>
              <w:left w:val="single" w:sz="6" w:space="0" w:color="auto"/>
              <w:bottom w:val="single" w:sz="4" w:space="0" w:color="auto"/>
            </w:tcBorders>
            <w:shd w:val="clear" w:color="auto" w:fill="D9D9D9" w:themeFill="background1" w:themeFillShade="D9"/>
            <w:vAlign w:val="center"/>
          </w:tcPr>
          <w:p w14:paraId="38B5788C" w14:textId="77777777" w:rsidR="00C7266C" w:rsidRPr="00D403F5" w:rsidRDefault="00C7266C" w:rsidP="00D403F5">
            <w:pPr>
              <w:pStyle w:val="Tabletext"/>
              <w:spacing w:before="0" w:after="0"/>
              <w:rPr>
                <w:rFonts w:ascii="Arial Narrow" w:hAnsi="Arial Narrow"/>
                <w:strike/>
                <w:szCs w:val="18"/>
              </w:rPr>
            </w:pPr>
          </w:p>
        </w:tc>
        <w:tc>
          <w:tcPr>
            <w:tcW w:w="883"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4DE64C2" w14:textId="77777777" w:rsidR="00C7266C" w:rsidRPr="00D403F5" w:rsidRDefault="00C7266C" w:rsidP="00D403F5">
            <w:pPr>
              <w:pStyle w:val="Tabletext"/>
              <w:spacing w:before="0" w:after="0"/>
              <w:rPr>
                <w:rFonts w:ascii="Arial Narrow" w:hAnsi="Arial Narrow"/>
                <w:strike/>
                <w:szCs w:val="18"/>
              </w:rPr>
            </w:pPr>
          </w:p>
        </w:tc>
        <w:tc>
          <w:tcPr>
            <w:tcW w:w="960" w:type="dxa"/>
            <w:tcBorders>
              <w:top w:val="single" w:sz="6" w:space="0" w:color="auto"/>
              <w:left w:val="single" w:sz="6" w:space="0" w:color="auto"/>
              <w:bottom w:val="single" w:sz="4" w:space="0" w:color="auto"/>
              <w:right w:val="single" w:sz="6" w:space="0" w:color="auto"/>
            </w:tcBorders>
            <w:vAlign w:val="center"/>
          </w:tcPr>
          <w:p w14:paraId="02CC2E69"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6" w:space="0" w:color="auto"/>
              <w:left w:val="single" w:sz="6" w:space="0" w:color="auto"/>
              <w:bottom w:val="single" w:sz="4" w:space="0" w:color="auto"/>
              <w:right w:val="single" w:sz="6" w:space="0" w:color="auto"/>
            </w:tcBorders>
            <w:vAlign w:val="center"/>
          </w:tcPr>
          <w:p w14:paraId="6E1D3401"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6" w:space="0" w:color="auto"/>
              <w:left w:val="single" w:sz="6" w:space="0" w:color="auto"/>
              <w:bottom w:val="single" w:sz="4" w:space="0" w:color="auto"/>
            </w:tcBorders>
            <w:vAlign w:val="center"/>
          </w:tcPr>
          <w:p w14:paraId="7160FD9A" w14:textId="77777777" w:rsidR="00C7266C" w:rsidRPr="00D403F5" w:rsidRDefault="00C7266C" w:rsidP="00D403F5">
            <w:pPr>
              <w:pStyle w:val="Tabletext"/>
              <w:spacing w:before="0" w:after="0"/>
              <w:rPr>
                <w:rFonts w:ascii="Arial Narrow" w:hAnsi="Arial Narrow"/>
                <w:strike/>
                <w:szCs w:val="18"/>
              </w:rPr>
            </w:pPr>
            <w:r w:rsidRPr="00D403F5">
              <w:rPr>
                <w:rFonts w:ascii="Arial Narrow" w:hAnsi="Arial Narrow"/>
                <w:szCs w:val="18"/>
              </w:rPr>
              <w:t>++</w:t>
            </w:r>
          </w:p>
        </w:tc>
        <w:tc>
          <w:tcPr>
            <w:tcW w:w="925" w:type="dxa"/>
            <w:tcBorders>
              <w:top w:val="single" w:sz="6" w:space="0" w:color="auto"/>
              <w:left w:val="single" w:sz="6" w:space="0" w:color="auto"/>
              <w:bottom w:val="single" w:sz="4" w:space="0" w:color="auto"/>
              <w:right w:val="single" w:sz="6" w:space="0" w:color="auto"/>
            </w:tcBorders>
            <w:vAlign w:val="center"/>
          </w:tcPr>
          <w:p w14:paraId="30EDFBA6"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2</w:t>
            </w:r>
          </w:p>
        </w:tc>
      </w:tr>
      <w:tr w:rsidR="00C7266C" w:rsidRPr="00D403F5" w14:paraId="4D545956" w14:textId="77777777" w:rsidTr="00C7266C">
        <w:trPr>
          <w:trHeight w:val="402"/>
          <w:jc w:val="center"/>
        </w:trPr>
        <w:tc>
          <w:tcPr>
            <w:tcW w:w="2399" w:type="dxa"/>
            <w:tcBorders>
              <w:top w:val="single" w:sz="4" w:space="0" w:color="auto"/>
              <w:left w:val="single" w:sz="6" w:space="0" w:color="auto"/>
            </w:tcBorders>
            <w:vAlign w:val="center"/>
          </w:tcPr>
          <w:p w14:paraId="7471F7C4"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Ag-ELISA</w:t>
            </w:r>
          </w:p>
        </w:tc>
        <w:tc>
          <w:tcPr>
            <w:tcW w:w="920" w:type="dxa"/>
            <w:tcBorders>
              <w:top w:val="single" w:sz="6" w:space="0" w:color="auto"/>
              <w:left w:val="single" w:sz="6" w:space="0" w:color="auto"/>
            </w:tcBorders>
            <w:shd w:val="clear" w:color="auto" w:fill="D9D9D9" w:themeFill="background1" w:themeFillShade="D9"/>
            <w:vAlign w:val="center"/>
          </w:tcPr>
          <w:p w14:paraId="533B032D"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tcBorders>
            <w:shd w:val="clear" w:color="auto" w:fill="D9D9D9" w:themeFill="background1" w:themeFillShade="D9"/>
            <w:vAlign w:val="center"/>
          </w:tcPr>
          <w:p w14:paraId="19F5C19F"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tcBorders>
            <w:shd w:val="clear" w:color="auto" w:fill="D9D9D9" w:themeFill="background1" w:themeFillShade="D9"/>
            <w:vAlign w:val="center"/>
          </w:tcPr>
          <w:p w14:paraId="0411B64D"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right w:val="single" w:sz="6" w:space="0" w:color="auto"/>
            </w:tcBorders>
            <w:shd w:val="clear" w:color="auto" w:fill="D9D9D9" w:themeFill="background1" w:themeFillShade="D9"/>
            <w:vAlign w:val="center"/>
          </w:tcPr>
          <w:p w14:paraId="368B4AAA"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4" w:space="0" w:color="auto"/>
              <w:left w:val="single" w:sz="6" w:space="0" w:color="auto"/>
            </w:tcBorders>
            <w:shd w:val="clear" w:color="auto" w:fill="D9D9D9" w:themeFill="background1" w:themeFillShade="D9"/>
            <w:vAlign w:val="center"/>
          </w:tcPr>
          <w:p w14:paraId="18BC396C"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4" w:space="0" w:color="auto"/>
              <w:left w:val="single" w:sz="6" w:space="0" w:color="auto"/>
            </w:tcBorders>
            <w:shd w:val="clear" w:color="auto" w:fill="D9D9D9" w:themeFill="background1" w:themeFillShade="D9"/>
            <w:vAlign w:val="center"/>
          </w:tcPr>
          <w:p w14:paraId="07F399A9"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4" w:space="0" w:color="auto"/>
              <w:left w:val="single" w:sz="6" w:space="0" w:color="auto"/>
            </w:tcBorders>
            <w:shd w:val="clear" w:color="auto" w:fill="D9D9D9" w:themeFill="background1" w:themeFillShade="D9"/>
            <w:vAlign w:val="center"/>
          </w:tcPr>
          <w:p w14:paraId="275AAF6E" w14:textId="77777777" w:rsidR="00C7266C" w:rsidRPr="00D403F5" w:rsidRDefault="00C7266C" w:rsidP="00D403F5">
            <w:pPr>
              <w:pStyle w:val="Tabletext"/>
              <w:spacing w:before="0" w:after="0"/>
              <w:rPr>
                <w:rFonts w:ascii="Arial Narrow" w:hAnsi="Arial Narrow"/>
                <w:szCs w:val="18"/>
              </w:rPr>
            </w:pPr>
          </w:p>
        </w:tc>
        <w:tc>
          <w:tcPr>
            <w:tcW w:w="883" w:type="dxa"/>
            <w:tcBorders>
              <w:top w:val="single" w:sz="4" w:space="0" w:color="auto"/>
              <w:left w:val="single" w:sz="6" w:space="0" w:color="auto"/>
              <w:right w:val="single" w:sz="6" w:space="0" w:color="auto"/>
            </w:tcBorders>
            <w:shd w:val="clear" w:color="auto" w:fill="D9D9D9" w:themeFill="background1" w:themeFillShade="D9"/>
            <w:vAlign w:val="center"/>
          </w:tcPr>
          <w:p w14:paraId="5D08C9EE" w14:textId="77777777" w:rsidR="00C7266C" w:rsidRPr="00D403F5" w:rsidRDefault="00C7266C" w:rsidP="00D403F5">
            <w:pPr>
              <w:pStyle w:val="Tabletext"/>
              <w:spacing w:before="0" w:after="0"/>
              <w:rPr>
                <w:rFonts w:ascii="Arial Narrow" w:hAnsi="Arial Narrow"/>
                <w:szCs w:val="18"/>
              </w:rPr>
            </w:pPr>
          </w:p>
        </w:tc>
        <w:tc>
          <w:tcPr>
            <w:tcW w:w="960" w:type="dxa"/>
            <w:tcBorders>
              <w:top w:val="single" w:sz="4" w:space="0" w:color="auto"/>
              <w:left w:val="single" w:sz="6" w:space="0" w:color="auto"/>
              <w:bottom w:val="single" w:sz="4" w:space="0" w:color="auto"/>
              <w:right w:val="single" w:sz="6" w:space="0" w:color="auto"/>
            </w:tcBorders>
            <w:shd w:val="clear" w:color="auto" w:fill="auto"/>
            <w:vAlign w:val="center"/>
          </w:tcPr>
          <w:p w14:paraId="3537876E" w14:textId="77777777" w:rsidR="00C7266C" w:rsidRPr="00D403F5" w:rsidRDefault="00C7266C" w:rsidP="00D403F5">
            <w:pPr>
              <w:pStyle w:val="Tabletext"/>
              <w:spacing w:before="0" w:after="0"/>
              <w:rPr>
                <w:rFonts w:ascii="Arial Narrow" w:hAnsi="Arial Narrow"/>
                <w:szCs w:val="18"/>
                <w:highlight w:val="lightGray"/>
              </w:rPr>
            </w:pPr>
            <w:r w:rsidRPr="00D403F5">
              <w:rPr>
                <w:rFonts w:ascii="Arial Narrow" w:hAnsi="Arial Narrow"/>
                <w:szCs w:val="18"/>
              </w:rPr>
              <w:t>++</w:t>
            </w:r>
          </w:p>
        </w:tc>
        <w:tc>
          <w:tcPr>
            <w:tcW w:w="851" w:type="dxa"/>
            <w:tcBorders>
              <w:top w:val="single" w:sz="4" w:space="0" w:color="auto"/>
              <w:left w:val="single" w:sz="6" w:space="0" w:color="auto"/>
              <w:bottom w:val="single" w:sz="4" w:space="0" w:color="auto"/>
              <w:right w:val="single" w:sz="6" w:space="0" w:color="auto"/>
            </w:tcBorders>
            <w:shd w:val="clear" w:color="auto" w:fill="auto"/>
            <w:vAlign w:val="center"/>
          </w:tcPr>
          <w:p w14:paraId="2E5343E1" w14:textId="77777777" w:rsidR="00C7266C" w:rsidRPr="00D403F5" w:rsidRDefault="00C7266C" w:rsidP="00D403F5">
            <w:pPr>
              <w:pStyle w:val="Tabletext"/>
              <w:spacing w:before="0" w:after="0"/>
              <w:rPr>
                <w:rFonts w:ascii="Arial Narrow" w:hAnsi="Arial Narrow"/>
                <w:szCs w:val="18"/>
                <w:highlight w:val="lightGray"/>
              </w:rPr>
            </w:pPr>
            <w:r w:rsidRPr="00D403F5">
              <w:rPr>
                <w:rFonts w:ascii="Arial Narrow" w:hAnsi="Arial Narrow"/>
                <w:szCs w:val="18"/>
              </w:rPr>
              <w:t>++</w:t>
            </w:r>
          </w:p>
        </w:tc>
        <w:tc>
          <w:tcPr>
            <w:tcW w:w="708" w:type="dxa"/>
            <w:tcBorders>
              <w:top w:val="single" w:sz="4" w:space="0" w:color="auto"/>
              <w:left w:val="single" w:sz="6" w:space="0" w:color="auto"/>
              <w:bottom w:val="single" w:sz="4" w:space="0" w:color="auto"/>
            </w:tcBorders>
            <w:shd w:val="clear" w:color="auto" w:fill="auto"/>
            <w:vAlign w:val="center"/>
          </w:tcPr>
          <w:p w14:paraId="4B5FDC10" w14:textId="77777777" w:rsidR="00C7266C" w:rsidRPr="00D403F5" w:rsidRDefault="00C7266C" w:rsidP="00D403F5">
            <w:pPr>
              <w:pStyle w:val="Tabletext"/>
              <w:spacing w:before="0" w:after="0"/>
              <w:rPr>
                <w:rFonts w:ascii="Arial Narrow" w:hAnsi="Arial Narrow"/>
                <w:szCs w:val="18"/>
                <w:highlight w:val="lightGray"/>
              </w:rPr>
            </w:pPr>
            <w:r w:rsidRPr="00D403F5">
              <w:rPr>
                <w:rFonts w:ascii="Arial Narrow" w:hAnsi="Arial Narrow"/>
                <w:szCs w:val="18"/>
              </w:rPr>
              <w:t>++</w:t>
            </w:r>
          </w:p>
        </w:tc>
        <w:tc>
          <w:tcPr>
            <w:tcW w:w="925" w:type="dxa"/>
            <w:tcBorders>
              <w:top w:val="single" w:sz="4" w:space="0" w:color="auto"/>
              <w:left w:val="single" w:sz="6" w:space="0" w:color="auto"/>
              <w:bottom w:val="single" w:sz="4" w:space="0" w:color="auto"/>
              <w:right w:val="single" w:sz="6" w:space="0" w:color="auto"/>
            </w:tcBorders>
            <w:shd w:val="clear" w:color="auto" w:fill="auto"/>
            <w:vAlign w:val="center"/>
          </w:tcPr>
          <w:p w14:paraId="378A3D09" w14:textId="77777777" w:rsidR="00C7266C" w:rsidRPr="00D403F5" w:rsidRDefault="00C7266C" w:rsidP="00D403F5">
            <w:pPr>
              <w:pStyle w:val="Tabletext"/>
              <w:spacing w:before="0" w:after="0"/>
              <w:rPr>
                <w:rFonts w:ascii="Arial Narrow" w:hAnsi="Arial Narrow"/>
                <w:szCs w:val="18"/>
                <w:highlight w:val="lightGray"/>
              </w:rPr>
            </w:pPr>
            <w:r w:rsidRPr="00D403F5">
              <w:rPr>
                <w:rFonts w:ascii="Arial Narrow" w:hAnsi="Arial Narrow"/>
                <w:szCs w:val="18"/>
              </w:rPr>
              <w:t>2</w:t>
            </w:r>
          </w:p>
        </w:tc>
      </w:tr>
      <w:tr w:rsidR="00C7266C" w:rsidRPr="00D403F5" w14:paraId="10A85DCE" w14:textId="77777777" w:rsidTr="00C7266C">
        <w:trPr>
          <w:trHeight w:val="269"/>
          <w:jc w:val="center"/>
        </w:trPr>
        <w:tc>
          <w:tcPr>
            <w:tcW w:w="2399" w:type="dxa"/>
            <w:tcBorders>
              <w:top w:val="single" w:sz="4" w:space="0" w:color="auto"/>
              <w:left w:val="single" w:sz="6" w:space="0" w:color="auto"/>
              <w:bottom w:val="single" w:sz="4" w:space="0" w:color="auto"/>
            </w:tcBorders>
            <w:vAlign w:val="center"/>
          </w:tcPr>
          <w:p w14:paraId="37F414A1" w14:textId="77777777" w:rsidR="00C7266C" w:rsidRPr="00D403F5" w:rsidRDefault="00C7266C" w:rsidP="00D403F5">
            <w:pPr>
              <w:pStyle w:val="TableHead"/>
              <w:spacing w:before="0" w:after="0"/>
              <w:rPr>
                <w:rFonts w:ascii="Arial Narrow" w:hAnsi="Arial Narrow" w:cs="Arial"/>
                <w:szCs w:val="18"/>
              </w:rPr>
            </w:pPr>
            <w:r w:rsidRPr="00D403F5">
              <w:rPr>
                <w:rFonts w:ascii="Arial Narrow" w:hAnsi="Arial Narrow" w:cs="Arial"/>
                <w:szCs w:val="18"/>
              </w:rPr>
              <w:t xml:space="preserve">Neutralisation test </w:t>
            </w:r>
            <w:r w:rsidRPr="00D403F5">
              <w:rPr>
                <w:rFonts w:ascii="Arial Narrow" w:hAnsi="Arial Narrow" w:cs="Arial"/>
                <w:szCs w:val="18"/>
              </w:rPr>
              <w:br/>
              <w:t>(antibody or antiserum)</w:t>
            </w:r>
            <w:r w:rsidRPr="00D403F5">
              <w:rPr>
                <w:rFonts w:ascii="Arial Narrow" w:hAnsi="Arial Narrow" w:cs="Arial"/>
                <w:szCs w:val="18"/>
                <w:vertAlign w:val="superscript"/>
              </w:rPr>
              <w:t>5</w:t>
            </w:r>
          </w:p>
        </w:tc>
        <w:tc>
          <w:tcPr>
            <w:tcW w:w="920" w:type="dxa"/>
            <w:tcBorders>
              <w:top w:val="single" w:sz="6" w:space="0" w:color="auto"/>
              <w:left w:val="single" w:sz="6" w:space="0" w:color="auto"/>
              <w:bottom w:val="single" w:sz="4" w:space="0" w:color="auto"/>
            </w:tcBorders>
            <w:shd w:val="clear" w:color="auto" w:fill="D9D9D9" w:themeFill="background1" w:themeFillShade="D9"/>
            <w:vAlign w:val="center"/>
          </w:tcPr>
          <w:p w14:paraId="29C83CE8" w14:textId="77777777" w:rsidR="00C7266C" w:rsidRPr="00D403F5" w:rsidRDefault="00C7266C" w:rsidP="00D403F5">
            <w:pPr>
              <w:pStyle w:val="TableHead"/>
              <w:spacing w:before="0" w:after="0"/>
              <w:rPr>
                <w:rFonts w:ascii="Arial Narrow" w:hAnsi="Arial Narrow" w:cs="Arial"/>
                <w:szCs w:val="18"/>
              </w:rPr>
            </w:pPr>
          </w:p>
        </w:tc>
        <w:tc>
          <w:tcPr>
            <w:tcW w:w="992" w:type="dxa"/>
            <w:tcBorders>
              <w:top w:val="single" w:sz="6" w:space="0" w:color="auto"/>
              <w:left w:val="single" w:sz="6" w:space="0" w:color="auto"/>
              <w:bottom w:val="single" w:sz="4" w:space="0" w:color="auto"/>
            </w:tcBorders>
            <w:shd w:val="clear" w:color="auto" w:fill="D9D9D9" w:themeFill="background1" w:themeFillShade="D9"/>
            <w:vAlign w:val="center"/>
          </w:tcPr>
          <w:p w14:paraId="01D550A6" w14:textId="77777777" w:rsidR="00C7266C" w:rsidRPr="00D403F5" w:rsidRDefault="00C7266C" w:rsidP="00D403F5">
            <w:pPr>
              <w:pStyle w:val="TableHead"/>
              <w:spacing w:before="0" w:after="0"/>
              <w:rPr>
                <w:rFonts w:ascii="Arial Narrow" w:hAnsi="Arial Narrow" w:cs="Arial"/>
                <w:szCs w:val="18"/>
              </w:rPr>
            </w:pPr>
          </w:p>
        </w:tc>
        <w:tc>
          <w:tcPr>
            <w:tcW w:w="709" w:type="dxa"/>
            <w:tcBorders>
              <w:top w:val="single" w:sz="6" w:space="0" w:color="auto"/>
              <w:left w:val="single" w:sz="6" w:space="0" w:color="auto"/>
              <w:bottom w:val="single" w:sz="4" w:space="0" w:color="auto"/>
            </w:tcBorders>
            <w:shd w:val="clear" w:color="auto" w:fill="D9D9D9" w:themeFill="background1" w:themeFillShade="D9"/>
            <w:vAlign w:val="center"/>
          </w:tcPr>
          <w:p w14:paraId="6F83A4E7" w14:textId="77777777" w:rsidR="00C7266C" w:rsidRPr="00D403F5" w:rsidRDefault="00C7266C" w:rsidP="00D403F5">
            <w:pPr>
              <w:pStyle w:val="TableHead"/>
              <w:spacing w:before="0" w:after="0"/>
              <w:rPr>
                <w:rFonts w:ascii="Arial Narrow" w:hAnsi="Arial Narrow" w:cs="Arial"/>
                <w:szCs w:val="18"/>
              </w:rPr>
            </w:pPr>
          </w:p>
        </w:tc>
        <w:tc>
          <w:tcPr>
            <w:tcW w:w="893"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85A1F64" w14:textId="77777777" w:rsidR="00C7266C" w:rsidRPr="00D403F5" w:rsidRDefault="00C7266C" w:rsidP="00D403F5">
            <w:pPr>
              <w:pStyle w:val="TableHead"/>
              <w:spacing w:before="0" w:after="0"/>
              <w:rPr>
                <w:rFonts w:ascii="Arial Narrow" w:hAnsi="Arial Narrow" w:cs="Arial"/>
                <w:szCs w:val="18"/>
              </w:rPr>
            </w:pPr>
          </w:p>
        </w:tc>
        <w:tc>
          <w:tcPr>
            <w:tcW w:w="776" w:type="dxa"/>
            <w:tcBorders>
              <w:top w:val="single" w:sz="4" w:space="0" w:color="auto"/>
              <w:left w:val="single" w:sz="6" w:space="0" w:color="auto"/>
              <w:bottom w:val="single" w:sz="4" w:space="0" w:color="auto"/>
            </w:tcBorders>
            <w:shd w:val="clear" w:color="auto" w:fill="D9D9D9" w:themeFill="background1" w:themeFillShade="D9"/>
            <w:vAlign w:val="center"/>
          </w:tcPr>
          <w:p w14:paraId="24731845" w14:textId="77777777" w:rsidR="00C7266C" w:rsidRPr="00D403F5" w:rsidRDefault="00C7266C" w:rsidP="00D403F5">
            <w:pPr>
              <w:pStyle w:val="Tabletext"/>
              <w:spacing w:before="0" w:after="0"/>
              <w:rPr>
                <w:rFonts w:ascii="Arial Narrow" w:hAnsi="Arial Narrow"/>
                <w:szCs w:val="18"/>
              </w:rPr>
            </w:pPr>
          </w:p>
        </w:tc>
        <w:tc>
          <w:tcPr>
            <w:tcW w:w="851" w:type="dxa"/>
            <w:tcBorders>
              <w:top w:val="single" w:sz="4" w:space="0" w:color="auto"/>
              <w:left w:val="single" w:sz="6" w:space="0" w:color="auto"/>
              <w:bottom w:val="single" w:sz="4" w:space="0" w:color="auto"/>
            </w:tcBorders>
            <w:shd w:val="clear" w:color="auto" w:fill="D9D9D9" w:themeFill="background1" w:themeFillShade="D9"/>
            <w:vAlign w:val="center"/>
          </w:tcPr>
          <w:p w14:paraId="6E76D9D8" w14:textId="77777777" w:rsidR="00C7266C" w:rsidRPr="00D403F5" w:rsidRDefault="00C7266C" w:rsidP="00D403F5">
            <w:pPr>
              <w:pStyle w:val="Tabletext"/>
              <w:spacing w:before="0" w:after="0"/>
              <w:rPr>
                <w:rFonts w:ascii="Arial Narrow" w:hAnsi="Arial Narrow"/>
                <w:szCs w:val="18"/>
              </w:rPr>
            </w:pPr>
          </w:p>
        </w:tc>
        <w:tc>
          <w:tcPr>
            <w:tcW w:w="708" w:type="dxa"/>
            <w:tcBorders>
              <w:top w:val="single" w:sz="4" w:space="0" w:color="auto"/>
              <w:left w:val="single" w:sz="6" w:space="0" w:color="auto"/>
              <w:bottom w:val="single" w:sz="4" w:space="0" w:color="auto"/>
            </w:tcBorders>
            <w:shd w:val="clear" w:color="auto" w:fill="D9D9D9" w:themeFill="background1" w:themeFillShade="D9"/>
            <w:vAlign w:val="center"/>
          </w:tcPr>
          <w:p w14:paraId="609017F2" w14:textId="77777777" w:rsidR="00C7266C" w:rsidRPr="00D403F5" w:rsidRDefault="00C7266C" w:rsidP="00D403F5">
            <w:pPr>
              <w:pStyle w:val="Tabletext"/>
              <w:spacing w:before="0" w:after="0"/>
              <w:rPr>
                <w:rFonts w:ascii="Arial Narrow" w:hAnsi="Arial Narrow"/>
                <w:szCs w:val="18"/>
              </w:rPr>
            </w:pPr>
          </w:p>
        </w:tc>
        <w:tc>
          <w:tcPr>
            <w:tcW w:w="883"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12F38F16" w14:textId="77777777" w:rsidR="00C7266C" w:rsidRPr="00D403F5" w:rsidRDefault="00C7266C" w:rsidP="00D403F5">
            <w:pPr>
              <w:pStyle w:val="Tabletext"/>
              <w:spacing w:before="0" w:after="0"/>
              <w:rPr>
                <w:rFonts w:ascii="Arial Narrow" w:hAnsi="Arial Narrow"/>
                <w:szCs w:val="18"/>
              </w:rPr>
            </w:pPr>
          </w:p>
        </w:tc>
        <w:tc>
          <w:tcPr>
            <w:tcW w:w="960" w:type="dxa"/>
            <w:tcBorders>
              <w:top w:val="single" w:sz="4" w:space="0" w:color="auto"/>
              <w:left w:val="single" w:sz="6" w:space="0" w:color="auto"/>
              <w:bottom w:val="single" w:sz="4" w:space="0" w:color="auto"/>
              <w:right w:val="single" w:sz="6" w:space="0" w:color="auto"/>
            </w:tcBorders>
            <w:shd w:val="clear" w:color="auto" w:fill="auto"/>
            <w:vAlign w:val="center"/>
          </w:tcPr>
          <w:p w14:paraId="24C4EF3F"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851" w:type="dxa"/>
            <w:tcBorders>
              <w:top w:val="single" w:sz="4" w:space="0" w:color="auto"/>
              <w:left w:val="single" w:sz="6" w:space="0" w:color="auto"/>
              <w:bottom w:val="single" w:sz="4" w:space="0" w:color="auto"/>
              <w:right w:val="single" w:sz="6" w:space="0" w:color="auto"/>
            </w:tcBorders>
            <w:shd w:val="clear" w:color="auto" w:fill="auto"/>
            <w:vAlign w:val="center"/>
          </w:tcPr>
          <w:p w14:paraId="321B1CD4"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708" w:type="dxa"/>
            <w:tcBorders>
              <w:top w:val="single" w:sz="4" w:space="0" w:color="auto"/>
              <w:left w:val="single" w:sz="6" w:space="0" w:color="auto"/>
              <w:bottom w:val="single" w:sz="4" w:space="0" w:color="auto"/>
            </w:tcBorders>
            <w:shd w:val="clear" w:color="auto" w:fill="auto"/>
            <w:vAlign w:val="center"/>
          </w:tcPr>
          <w:p w14:paraId="552DBBCB"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w:t>
            </w:r>
          </w:p>
        </w:tc>
        <w:tc>
          <w:tcPr>
            <w:tcW w:w="925" w:type="dxa"/>
            <w:tcBorders>
              <w:top w:val="single" w:sz="4" w:space="0" w:color="auto"/>
              <w:left w:val="single" w:sz="6" w:space="0" w:color="auto"/>
              <w:bottom w:val="single" w:sz="4" w:space="0" w:color="auto"/>
              <w:right w:val="single" w:sz="6" w:space="0" w:color="auto"/>
            </w:tcBorders>
            <w:shd w:val="clear" w:color="auto" w:fill="auto"/>
            <w:vAlign w:val="center"/>
          </w:tcPr>
          <w:p w14:paraId="568A3F39" w14:textId="77777777" w:rsidR="00C7266C" w:rsidRPr="00D403F5" w:rsidRDefault="00C7266C" w:rsidP="00D403F5">
            <w:pPr>
              <w:pStyle w:val="Tabletext"/>
              <w:spacing w:before="0" w:after="0"/>
              <w:rPr>
                <w:rFonts w:ascii="Arial Narrow" w:hAnsi="Arial Narrow"/>
                <w:szCs w:val="18"/>
              </w:rPr>
            </w:pPr>
            <w:r w:rsidRPr="00D403F5">
              <w:rPr>
                <w:rFonts w:ascii="Arial Narrow" w:hAnsi="Arial Narrow"/>
                <w:szCs w:val="18"/>
              </w:rPr>
              <w:t>2</w:t>
            </w:r>
          </w:p>
        </w:tc>
      </w:tr>
    </w:tbl>
    <w:bookmarkEnd w:id="86"/>
    <w:p w14:paraId="26235120" w14:textId="77777777" w:rsidR="00C7266C" w:rsidRPr="00D403F5" w:rsidRDefault="00C7266C" w:rsidP="00D403F5">
      <w:pPr>
        <w:pStyle w:val="paraA0"/>
        <w:spacing w:after="0"/>
        <w:jc w:val="center"/>
        <w:rPr>
          <w:lang w:val="en-IE" w:eastAsia="en-US" w:bidi="en-US"/>
        </w:rPr>
      </w:pPr>
      <w:r w:rsidRPr="00D403F5">
        <w:rPr>
          <w:lang w:val="en-IE"/>
        </w:rPr>
        <w:t>LV = level of validation, refers to the stage of validation in the OIE Pathway (Chapter 1.1.2)</w:t>
      </w:r>
      <w:r w:rsidRPr="00D403F5">
        <w:rPr>
          <w:rFonts w:ascii="Calibri" w:hAnsi="Calibri" w:cs="Times New Roman"/>
          <w:lang w:val="en-IE" w:eastAsia="en-US" w:bidi="en-US"/>
        </w:rPr>
        <w:t xml:space="preserve">; </w:t>
      </w:r>
      <w:r w:rsidRPr="00D403F5">
        <w:rPr>
          <w:lang w:val="en-IE"/>
        </w:rPr>
        <w:t xml:space="preserve">PCR = polymerase chain reaction; </w:t>
      </w:r>
      <w:r w:rsidRPr="00D403F5">
        <w:rPr>
          <w:lang w:val="en-IE" w:bidi="en-US"/>
        </w:rPr>
        <w:t>LAMP = loop-mediated isothermal amplification.</w:t>
      </w:r>
      <w:r w:rsidRPr="00D403F5">
        <w:rPr>
          <w:lang w:val="en-IE" w:bidi="en-US"/>
        </w:rPr>
        <w:br/>
      </w:r>
      <w:r w:rsidRPr="00D403F5">
        <w:rPr>
          <w:lang w:val="en-IE"/>
        </w:rPr>
        <w:t xml:space="preserve">IFAT = indirect fluorescent antibody test; Ag-ELISA = antigen enzyme-linked immunosorbent assay. </w:t>
      </w:r>
      <w:r w:rsidRPr="00D403F5">
        <w:rPr>
          <w:vertAlign w:val="superscript"/>
          <w:lang w:val="en-IE" w:bidi="en-US"/>
        </w:rPr>
        <w:t>1</w:t>
      </w:r>
      <w:r w:rsidRPr="00D403F5">
        <w:rPr>
          <w:lang w:val="en-IE"/>
        </w:rPr>
        <w:t xml:space="preserve">For confirmatory diagnoses, methods need to be carried out in combination (see Section 6). </w:t>
      </w:r>
      <w:r w:rsidRPr="00D403F5">
        <w:rPr>
          <w:vertAlign w:val="superscript"/>
          <w:lang w:val="en-IE" w:bidi="en-US"/>
        </w:rPr>
        <w:t>2</w:t>
      </w:r>
      <w:r w:rsidRPr="00D403F5">
        <w:rPr>
          <w:lang w:val="en-IE"/>
        </w:rPr>
        <w:t xml:space="preserve">Early and juvenile life stages have been defined in Section 2.2.4. </w:t>
      </w:r>
      <w:r w:rsidRPr="00D403F5">
        <w:rPr>
          <w:lang w:val="en-IE"/>
        </w:rPr>
        <w:br/>
      </w:r>
      <w:r w:rsidRPr="00D403F5">
        <w:rPr>
          <w:vertAlign w:val="superscript"/>
          <w:lang w:val="en-IE" w:bidi="en-US"/>
        </w:rPr>
        <w:t>3</w:t>
      </w:r>
      <w:r w:rsidRPr="00D403F5">
        <w:rPr>
          <w:lang w:val="en-IE"/>
        </w:rPr>
        <w:t>Cytopathology and histopathology can be validated if the results from different operators has been statistically compared.</w:t>
      </w:r>
      <w:r w:rsidRPr="00D403F5">
        <w:rPr>
          <w:rFonts w:ascii="Arial Narrow" w:hAnsi="Arial Narrow"/>
          <w:vertAlign w:val="superscript"/>
          <w:lang w:val="en-IE"/>
        </w:rPr>
        <w:t>4</w:t>
      </w:r>
      <w:r w:rsidRPr="00D403F5">
        <w:rPr>
          <w:lang w:val="en-IE"/>
        </w:rPr>
        <w:t>Sequencing of the PCR product.</w:t>
      </w:r>
      <w:r w:rsidRPr="00D403F5">
        <w:rPr>
          <w:lang w:val="en-IE"/>
        </w:rPr>
        <w:br/>
      </w:r>
      <w:r w:rsidRPr="00D403F5">
        <w:rPr>
          <w:vertAlign w:val="superscript"/>
          <w:lang w:val="en-IE"/>
        </w:rPr>
        <w:t>5</w:t>
      </w:r>
      <w:r w:rsidRPr="00D403F5">
        <w:rPr>
          <w:lang w:val="en-IE"/>
        </w:rPr>
        <w:t>Specify the test used. Shading indicates the test is inappropriate or should not be used for this purpose.</w:t>
      </w:r>
    </w:p>
    <w:p w14:paraId="33EBEF53" w14:textId="77777777" w:rsidR="00C7266C" w:rsidRPr="00D403F5" w:rsidRDefault="00C7266C" w:rsidP="00D403F5">
      <w:pPr>
        <w:pStyle w:val="Para10"/>
        <w:spacing w:after="0"/>
        <w:jc w:val="left"/>
        <w:rPr>
          <w:rFonts w:cs="Arial"/>
          <w:szCs w:val="18"/>
        </w:rPr>
        <w:sectPr w:rsidR="00C7266C" w:rsidRPr="00D403F5" w:rsidSect="00C7266C">
          <w:headerReference w:type="even" r:id="rId126"/>
          <w:headerReference w:type="default" r:id="rId127"/>
          <w:headerReference w:type="first" r:id="rId128"/>
          <w:footerReference w:type="first" r:id="rId129"/>
          <w:pgSz w:w="16838" w:h="11906" w:orient="landscape" w:code="9"/>
          <w:pgMar w:top="1418" w:right="1418" w:bottom="1418" w:left="1418" w:header="709" w:footer="709" w:gutter="0"/>
          <w:cols w:space="708"/>
          <w:titlePg/>
          <w:docGrid w:linePitch="360"/>
        </w:sectPr>
      </w:pPr>
    </w:p>
    <w:p w14:paraId="7D490D8D" w14:textId="455AB1EC" w:rsidR="00C7266C" w:rsidRPr="00D403F5" w:rsidRDefault="00983DC1" w:rsidP="006237A8">
      <w:pPr>
        <w:spacing w:after="480"/>
        <w:jc w:val="right"/>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7699E895" w14:textId="77777777" w:rsidR="00C7266C" w:rsidRPr="00D403F5" w:rsidRDefault="00C7266C" w:rsidP="00D403F5">
      <w:pPr>
        <w:pStyle w:val="11"/>
        <w:spacing w:after="0"/>
        <w:rPr>
          <w:rFonts w:ascii="Arial" w:hAnsi="Arial" w:cs="Arial"/>
          <w:sz w:val="18"/>
          <w:szCs w:val="18"/>
          <w:lang w:val="en-IE"/>
        </w:rPr>
      </w:pPr>
      <w:r w:rsidRPr="00D403F5">
        <w:rPr>
          <w:rFonts w:ascii="Arial" w:hAnsi="Arial" w:cs="Arial"/>
          <w:sz w:val="18"/>
          <w:szCs w:val="18"/>
          <w:lang w:val="en-IE"/>
        </w:rPr>
        <w:t>4.1.</w:t>
      </w:r>
      <w:r w:rsidRPr="00D403F5">
        <w:rPr>
          <w:rFonts w:ascii="Arial" w:hAnsi="Arial" w:cs="Arial"/>
          <w:sz w:val="18"/>
          <w:szCs w:val="18"/>
          <w:lang w:val="en-IE"/>
        </w:rPr>
        <w:tab/>
        <w:t xml:space="preserve">Wet mounts </w:t>
      </w:r>
    </w:p>
    <w:p w14:paraId="097CA0D5" w14:textId="77777777" w:rsidR="00C7266C" w:rsidRPr="00D403F5" w:rsidRDefault="00C7266C" w:rsidP="00D403F5">
      <w:pPr>
        <w:pStyle w:val="Para20"/>
        <w:spacing w:after="0"/>
        <w:rPr>
          <w:rFonts w:cs="Arial"/>
          <w:szCs w:val="18"/>
          <w:lang w:eastAsia="fr-FR"/>
        </w:rPr>
      </w:pPr>
      <w:r w:rsidRPr="00D403F5">
        <w:rPr>
          <w:rFonts w:cs="Arial"/>
          <w:szCs w:val="18"/>
          <w:lang w:eastAsia="fr-FR"/>
        </w:rPr>
        <w:t>Not relevant</w:t>
      </w:r>
    </w:p>
    <w:p w14:paraId="0D32B2DF" w14:textId="77777777" w:rsidR="00C7266C" w:rsidRPr="00D403F5" w:rsidRDefault="00C7266C" w:rsidP="00D403F5">
      <w:pPr>
        <w:pStyle w:val="11"/>
        <w:spacing w:after="0"/>
        <w:rPr>
          <w:rFonts w:ascii="Arial" w:hAnsi="Arial" w:cs="Arial"/>
          <w:sz w:val="18"/>
          <w:szCs w:val="18"/>
          <w:lang w:val="en-IE"/>
        </w:rPr>
      </w:pPr>
      <w:r w:rsidRPr="00D403F5">
        <w:rPr>
          <w:rFonts w:ascii="Arial" w:hAnsi="Arial" w:cs="Arial"/>
          <w:sz w:val="18"/>
          <w:szCs w:val="18"/>
          <w:lang w:val="en-IE"/>
        </w:rPr>
        <w:t>4.2.</w:t>
      </w:r>
      <w:r w:rsidRPr="00D403F5">
        <w:rPr>
          <w:rFonts w:ascii="Arial" w:hAnsi="Arial" w:cs="Arial"/>
          <w:sz w:val="18"/>
          <w:szCs w:val="18"/>
          <w:lang w:val="en-IE"/>
        </w:rPr>
        <w:tab/>
        <w:t>Histopathology and cytopathology</w:t>
      </w:r>
    </w:p>
    <w:p w14:paraId="6D04BDEC" w14:textId="77777777" w:rsidR="00C7266C" w:rsidRPr="00D403F5" w:rsidRDefault="00C7266C" w:rsidP="00D403F5">
      <w:pPr>
        <w:pStyle w:val="Para20"/>
        <w:spacing w:after="0"/>
        <w:rPr>
          <w:rFonts w:cs="Arial"/>
          <w:szCs w:val="18"/>
        </w:rPr>
      </w:pPr>
      <w:r w:rsidRPr="00D403F5">
        <w:rPr>
          <w:rFonts w:cs="Arial"/>
          <w:szCs w:val="18"/>
        </w:rPr>
        <w:t>Histopathological findings reveal degenerative necrosis in haematopoietic tissues, kidney, spleen, liver, pancreas, and digestive tract. Necrosis of eosinophilic granular cells in the intestinal wall is pathognomonic of IHNV infection (Bootland &amp; Leong, 1999).</w:t>
      </w:r>
    </w:p>
    <w:p w14:paraId="69F6E751" w14:textId="77777777" w:rsidR="00C7266C" w:rsidRPr="00D403F5" w:rsidRDefault="00C7266C" w:rsidP="00D403F5">
      <w:pPr>
        <w:pStyle w:val="Para20"/>
        <w:spacing w:after="0"/>
        <w:rPr>
          <w:rFonts w:cs="Arial"/>
          <w:szCs w:val="18"/>
        </w:rPr>
      </w:pPr>
      <w:r w:rsidRPr="00D403F5">
        <w:rPr>
          <w:rFonts w:cs="Arial"/>
          <w:szCs w:val="18"/>
        </w:rPr>
        <w:t xml:space="preserve">The blood of affected fry shows reduced haematocrit, leukopenia, degeneration of leucocytes and thrombocytes, and large amounts of cellular debris. As with other haemorrhagic viraemias of fish, blood chemistry is altered in severe cases (Bootland &amp; Leong, 1999). </w:t>
      </w:r>
    </w:p>
    <w:p w14:paraId="4014ED83" w14:textId="77777777" w:rsidR="00C7266C" w:rsidRPr="00D403F5" w:rsidRDefault="00C7266C" w:rsidP="00D403F5">
      <w:pPr>
        <w:pStyle w:val="Para20"/>
        <w:spacing w:after="0"/>
        <w:rPr>
          <w:rFonts w:cs="Arial"/>
          <w:szCs w:val="18"/>
          <w:lang w:eastAsia="fr-FR"/>
        </w:rPr>
      </w:pPr>
      <w:r w:rsidRPr="00D403F5">
        <w:rPr>
          <w:rFonts w:cs="Arial"/>
          <w:szCs w:val="18"/>
        </w:rPr>
        <w:t xml:space="preserve">Electron microscopy of virus-infected cells reveals bullet-shaped virions of approximately 150–190 nm in length and 65–75 nm in width </w:t>
      </w:r>
      <w:r w:rsidRPr="00D403F5">
        <w:rPr>
          <w:rFonts w:cs="Arial"/>
          <w:noProof/>
          <w:szCs w:val="18"/>
        </w:rPr>
        <w:t>(Wolf, 1988)</w:t>
      </w:r>
      <w:r w:rsidRPr="00D403F5">
        <w:rPr>
          <w:rFonts w:cs="Arial"/>
          <w:szCs w:val="18"/>
        </w:rPr>
        <w:t>. The virions are visible at the cell surface or within vacuoles or intracellular spaces after budding through cellular membranes. The virion possesses an outer envelope containing host lipids and the viral glycoprotein spikes that react with immunogold staining to decorate the virion surface</w:t>
      </w:r>
    </w:p>
    <w:p w14:paraId="7DE88152" w14:textId="77777777" w:rsidR="00C7266C" w:rsidRPr="00D403F5" w:rsidRDefault="00C7266C" w:rsidP="00D403F5">
      <w:pPr>
        <w:pStyle w:val="Para20"/>
        <w:spacing w:after="0"/>
        <w:rPr>
          <w:rFonts w:cs="Arial"/>
          <w:szCs w:val="18"/>
        </w:rPr>
      </w:pPr>
      <w:r w:rsidRPr="00D403F5">
        <w:rPr>
          <w:rFonts w:cs="Arial"/>
          <w:szCs w:val="18"/>
        </w:rPr>
        <w:t>Smears are not appropriate for detection or identification of IHNV.</w:t>
      </w:r>
    </w:p>
    <w:p w14:paraId="5BB6129C" w14:textId="77777777" w:rsidR="00C7266C" w:rsidRPr="00D403F5" w:rsidRDefault="00C7266C" w:rsidP="00D403F5">
      <w:pPr>
        <w:pStyle w:val="11"/>
        <w:spacing w:after="0"/>
        <w:rPr>
          <w:rFonts w:ascii="Arial" w:hAnsi="Arial" w:cs="Arial"/>
          <w:sz w:val="18"/>
          <w:szCs w:val="18"/>
          <w:lang w:val="en-IE"/>
        </w:rPr>
      </w:pPr>
      <w:r w:rsidRPr="00D403F5">
        <w:rPr>
          <w:rFonts w:ascii="Arial" w:hAnsi="Arial" w:cs="Arial"/>
          <w:sz w:val="18"/>
          <w:szCs w:val="18"/>
          <w:lang w:val="en-IE"/>
        </w:rPr>
        <w:t>4.3.</w:t>
      </w:r>
      <w:r w:rsidRPr="00D403F5">
        <w:rPr>
          <w:rFonts w:ascii="Arial" w:hAnsi="Arial" w:cs="Arial"/>
          <w:sz w:val="18"/>
          <w:szCs w:val="18"/>
          <w:lang w:val="en-IE"/>
        </w:rPr>
        <w:tab/>
        <w:t xml:space="preserve">Cell or artificial media culture for isolation </w:t>
      </w:r>
    </w:p>
    <w:p w14:paraId="72F4D332"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4.3.1.</w:t>
      </w:r>
      <w:r w:rsidRPr="00D403F5">
        <w:rPr>
          <w:rFonts w:ascii="Arial" w:hAnsi="Arial" w:cs="Arial"/>
          <w:sz w:val="18"/>
          <w:szCs w:val="18"/>
          <w:lang w:val="en-IE"/>
        </w:rPr>
        <w:tab/>
        <w:t>Cell lines</w:t>
      </w:r>
    </w:p>
    <w:p w14:paraId="35570DEA" w14:textId="77777777" w:rsidR="00C7266C" w:rsidRPr="00D403F5" w:rsidRDefault="00C7266C" w:rsidP="00D403F5">
      <w:pPr>
        <w:pStyle w:val="Para3"/>
        <w:spacing w:after="0"/>
        <w:rPr>
          <w:rFonts w:cs="Arial"/>
          <w:szCs w:val="18"/>
        </w:rPr>
      </w:pPr>
      <w:r w:rsidRPr="00D403F5">
        <w:rPr>
          <w:rFonts w:cs="Arial"/>
          <w:szCs w:val="18"/>
        </w:rPr>
        <w:t>The recommended cell lines for IHNV detection are EPC or FHM. Cell lines should be monitored to ensure that susceptibility to targeted pathogens has not changed.</w:t>
      </w:r>
    </w:p>
    <w:p w14:paraId="67BDA14C" w14:textId="77777777" w:rsidR="00C7266C" w:rsidRPr="00D403F5" w:rsidRDefault="00C7266C" w:rsidP="00D403F5">
      <w:pPr>
        <w:pStyle w:val="Para3"/>
        <w:spacing w:after="0"/>
        <w:rPr>
          <w:rFonts w:cs="Arial"/>
          <w:szCs w:val="18"/>
        </w:rPr>
      </w:pPr>
      <w:r w:rsidRPr="00D403F5">
        <w:rPr>
          <w:rFonts w:cs="Arial"/>
          <w:szCs w:val="18"/>
        </w:rPr>
        <w:t>EPC or FHM cells are grown at 20–30°C in suitable medium, e.g. Eagle’s minimal essential medium (MEM; or modifications thereof) with a supplement of 10% fetal bovine serum (FBS) and antibiotics in standard concentrations. When the cells are cultivated in closed vials, it is recommended to buffer the medium with bicarbonate. The medium used for cultivation of cells in open units may be buffered with Tris-HCl (23 mM) and Na-bicarbonate (6 mM). The pH must be 7.6 ± 0.2. Cell culture plates should be seeded 4–48 hours and not 100% confluent prior to inoculation. 15–30 minutes prior to sample inoculation, cells should be pre-treated with 7% (w/v) PEG-20,000 solution (10–15 µl/cm</w:t>
      </w:r>
      <w:r w:rsidRPr="00D403F5">
        <w:rPr>
          <w:rFonts w:cs="Arial"/>
          <w:szCs w:val="18"/>
          <w:vertAlign w:val="superscript"/>
        </w:rPr>
        <w:t>2</w:t>
      </w:r>
      <w:r w:rsidRPr="00D403F5">
        <w:rPr>
          <w:rFonts w:cs="Arial"/>
          <w:szCs w:val="18"/>
        </w:rPr>
        <w:t>) (Batts &amp; Winton, 1989).</w:t>
      </w:r>
    </w:p>
    <w:p w14:paraId="70E1D1E6"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4.3.2.</w:t>
      </w:r>
      <w:r w:rsidRPr="00D403F5">
        <w:rPr>
          <w:rFonts w:ascii="Arial" w:hAnsi="Arial" w:cs="Arial"/>
          <w:sz w:val="18"/>
          <w:szCs w:val="18"/>
          <w:lang w:val="en-IE"/>
        </w:rPr>
        <w:tab/>
        <w:t>Sample preparation and inoculation</w:t>
      </w:r>
    </w:p>
    <w:p w14:paraId="223E56F9" w14:textId="77777777" w:rsidR="00C7266C" w:rsidRPr="00D403F5" w:rsidRDefault="00C7266C" w:rsidP="00D403F5">
      <w:pPr>
        <w:pStyle w:val="Para3"/>
        <w:spacing w:after="0"/>
        <w:rPr>
          <w:rFonts w:cs="Arial"/>
          <w:szCs w:val="18"/>
        </w:rPr>
      </w:pPr>
      <w:r w:rsidRPr="00D403F5">
        <w:rPr>
          <w:rFonts w:cs="Arial"/>
          <w:szCs w:val="18"/>
        </w:rPr>
        <w:t>Note: Tissue and fluid samples should be kept cool throughout sample preparation procedures.</w:t>
      </w:r>
    </w:p>
    <w:p w14:paraId="4C9B5005" w14:textId="77777777" w:rsidR="00C7266C" w:rsidRPr="00D403F5" w:rsidRDefault="00C7266C" w:rsidP="00D403F5">
      <w:pPr>
        <w:pStyle w:val="Para3i"/>
        <w:spacing w:after="0"/>
        <w:rPr>
          <w:rFonts w:ascii="Arial" w:hAnsi="Arial"/>
          <w:sz w:val="18"/>
        </w:rPr>
      </w:pPr>
      <w:r w:rsidRPr="00D403F5">
        <w:rPr>
          <w:rFonts w:ascii="Arial" w:hAnsi="Arial"/>
          <w:sz w:val="18"/>
        </w:rPr>
        <w:t>i)</w:t>
      </w:r>
      <w:r w:rsidRPr="00D403F5">
        <w:rPr>
          <w:rFonts w:ascii="Arial" w:hAnsi="Arial"/>
          <w:sz w:val="18"/>
        </w:rPr>
        <w:tab/>
        <w:t xml:space="preserve">Homogenise tissue samples using mortar and pestle, stomacher, polytron or equivalent. A small volume of media (MEM-4 or Hank’s balanced salt solution with antibiotics) may be needed to achieve complete homogenisation. </w:t>
      </w:r>
    </w:p>
    <w:p w14:paraId="7D59A72E" w14:textId="77777777" w:rsidR="00C7266C" w:rsidRPr="00D403F5" w:rsidRDefault="00C7266C" w:rsidP="00D403F5">
      <w:pPr>
        <w:pStyle w:val="Para3i"/>
        <w:spacing w:after="0"/>
        <w:rPr>
          <w:rFonts w:ascii="Arial" w:hAnsi="Arial"/>
          <w:sz w:val="18"/>
        </w:rPr>
      </w:pPr>
      <w:r w:rsidRPr="00D403F5">
        <w:rPr>
          <w:rFonts w:ascii="Arial" w:hAnsi="Arial"/>
          <w:sz w:val="18"/>
        </w:rPr>
        <w:t>ii)</w:t>
      </w:r>
      <w:r w:rsidRPr="00D403F5">
        <w:rPr>
          <w:rFonts w:ascii="Arial" w:hAnsi="Arial"/>
          <w:sz w:val="18"/>
        </w:rPr>
        <w:tab/>
        <w:t>Adjust the volume of media to a final ratio of 10:1 (media:tissue) and mix thoroughly. For fluid samples adjust the volume of media to a final ratio of 1:1.</w:t>
      </w:r>
    </w:p>
    <w:p w14:paraId="736F87F8" w14:textId="77777777" w:rsidR="00C7266C" w:rsidRPr="00D403F5" w:rsidRDefault="00C7266C" w:rsidP="00D403F5">
      <w:pPr>
        <w:pStyle w:val="Para3i"/>
        <w:spacing w:after="0"/>
        <w:rPr>
          <w:rFonts w:ascii="Arial" w:hAnsi="Arial"/>
          <w:sz w:val="18"/>
        </w:rPr>
      </w:pPr>
      <w:r w:rsidRPr="00D403F5">
        <w:rPr>
          <w:rFonts w:ascii="Arial" w:hAnsi="Arial"/>
          <w:sz w:val="18"/>
        </w:rPr>
        <w:t>iii)</w:t>
      </w:r>
      <w:r w:rsidRPr="00D403F5">
        <w:rPr>
          <w:rFonts w:ascii="Arial" w:hAnsi="Arial"/>
          <w:sz w:val="18"/>
        </w:rPr>
        <w:tab/>
        <w:t xml:space="preserve">Centrifuge the homogenate or fluid samples at 2000–4000 </w:t>
      </w:r>
      <w:r w:rsidRPr="00D403F5">
        <w:rPr>
          <w:rFonts w:ascii="Arial" w:hAnsi="Arial"/>
          <w:b/>
          <w:i/>
          <w:sz w:val="18"/>
        </w:rPr>
        <w:t>g</w:t>
      </w:r>
      <w:r w:rsidRPr="00D403F5">
        <w:rPr>
          <w:rFonts w:ascii="Arial" w:hAnsi="Arial"/>
          <w:sz w:val="18"/>
        </w:rPr>
        <w:t xml:space="preserve"> for 15 minutes at 2–5°C.</w:t>
      </w:r>
    </w:p>
    <w:p w14:paraId="18C02377" w14:textId="77777777" w:rsidR="00C7266C" w:rsidRPr="00D403F5" w:rsidRDefault="00C7266C" w:rsidP="00D403F5">
      <w:pPr>
        <w:pStyle w:val="Para3i"/>
        <w:spacing w:after="0"/>
        <w:rPr>
          <w:rFonts w:ascii="Arial" w:hAnsi="Arial"/>
          <w:sz w:val="18"/>
        </w:rPr>
      </w:pPr>
      <w:r w:rsidRPr="00D403F5">
        <w:rPr>
          <w:rFonts w:ascii="Arial" w:hAnsi="Arial"/>
          <w:sz w:val="18"/>
        </w:rPr>
        <w:t>iv)</w:t>
      </w:r>
      <w:r w:rsidRPr="00D403F5">
        <w:rPr>
          <w:rFonts w:ascii="Arial" w:hAnsi="Arial"/>
          <w:sz w:val="18"/>
        </w:rPr>
        <w:tab/>
        <w:t>Remove the supernatant and pass through a 0.45 µM membrane filter (if available).</w:t>
      </w:r>
    </w:p>
    <w:p w14:paraId="1E1D5523" w14:textId="77777777" w:rsidR="00C7266C" w:rsidRPr="00D403F5" w:rsidRDefault="00C7266C" w:rsidP="00D403F5">
      <w:pPr>
        <w:pStyle w:val="Para3i"/>
        <w:spacing w:after="0"/>
        <w:rPr>
          <w:rFonts w:ascii="Arial" w:hAnsi="Arial"/>
          <w:sz w:val="18"/>
        </w:rPr>
      </w:pPr>
      <w:r w:rsidRPr="00D403F5">
        <w:rPr>
          <w:rFonts w:ascii="Arial" w:hAnsi="Arial"/>
          <w:sz w:val="18"/>
        </w:rPr>
        <w:t>v)</w:t>
      </w:r>
      <w:r w:rsidRPr="00D403F5">
        <w:rPr>
          <w:rFonts w:ascii="Arial" w:hAnsi="Arial"/>
          <w:sz w:val="18"/>
        </w:rPr>
        <w:tab/>
        <w:t>If the sample cannot be inoculated within 48 hours after collection, the supernatant may be stored at –80°C provided virological examination is carried out within 14 days.</w:t>
      </w:r>
    </w:p>
    <w:p w14:paraId="6657EF70" w14:textId="77777777" w:rsidR="00C7266C" w:rsidRPr="00D403F5" w:rsidRDefault="00C7266C" w:rsidP="00D403F5">
      <w:pPr>
        <w:pStyle w:val="Para3i"/>
        <w:spacing w:after="0"/>
        <w:rPr>
          <w:rFonts w:ascii="Arial" w:hAnsi="Arial"/>
          <w:sz w:val="18"/>
        </w:rPr>
      </w:pPr>
      <w:r w:rsidRPr="00D403F5">
        <w:rPr>
          <w:rFonts w:ascii="Arial" w:hAnsi="Arial"/>
          <w:sz w:val="18"/>
        </w:rPr>
        <w:t>vi)</w:t>
      </w:r>
      <w:r w:rsidRPr="00D403F5">
        <w:rPr>
          <w:rFonts w:ascii="Arial" w:hAnsi="Arial"/>
          <w:sz w:val="18"/>
        </w:rPr>
        <w:tab/>
        <w:t>If samples originate from an area where infectious pancreatic necrosis virus (IPNV) is present, supernatants may be treated with IPNV antiserum. Mix the supernatant with equal parts of a suitably diluted pool of antisera to the indigenous serotypes of IPNV and incubate for a minimum of 1 hour at 15°C or up to 18 hours at 4°C. The titre of the antiserum must be at least 1/2000 in a 50% plaque neutralisation test.</w:t>
      </w:r>
    </w:p>
    <w:p w14:paraId="56897FB7" w14:textId="77777777" w:rsidR="00C7266C" w:rsidRPr="00D403F5" w:rsidRDefault="00C7266C" w:rsidP="00D403F5">
      <w:pPr>
        <w:spacing w:after="0"/>
        <w:rPr>
          <w:rFonts w:ascii="Arial" w:eastAsia="MS Mincho" w:hAnsi="Arial" w:cs="Arial"/>
          <w:sz w:val="18"/>
          <w:szCs w:val="18"/>
          <w:lang w:val="en-IE"/>
        </w:rPr>
      </w:pPr>
      <w:r w:rsidRPr="00D403F5">
        <w:rPr>
          <w:sz w:val="18"/>
          <w:szCs w:val="18"/>
        </w:rPr>
        <w:br w:type="page"/>
      </w:r>
    </w:p>
    <w:p w14:paraId="73F57C20" w14:textId="05AFAE75" w:rsidR="00C7266C" w:rsidRPr="00D403F5" w:rsidRDefault="00983DC1" w:rsidP="006237A8">
      <w:pPr>
        <w:spacing w:after="480"/>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2BA7C000" w14:textId="77777777" w:rsidR="00C7266C" w:rsidRPr="00D403F5" w:rsidRDefault="00C7266C" w:rsidP="00D403F5">
      <w:pPr>
        <w:pStyle w:val="Para3i"/>
        <w:spacing w:after="0"/>
        <w:rPr>
          <w:rFonts w:ascii="Arial" w:hAnsi="Arial"/>
          <w:sz w:val="18"/>
        </w:rPr>
      </w:pPr>
      <w:r w:rsidRPr="00D403F5">
        <w:rPr>
          <w:rFonts w:ascii="Arial" w:hAnsi="Arial"/>
          <w:sz w:val="18"/>
        </w:rPr>
        <w:t>vii)</w:t>
      </w:r>
      <w:r w:rsidRPr="00D403F5">
        <w:rPr>
          <w:rFonts w:ascii="Arial" w:hAnsi="Arial"/>
          <w:sz w:val="18"/>
        </w:rPr>
        <w:tab/>
        <w:t>Samples are inoculated into cell cultures in at least two dilutions, i.e. the primary dilution and a 1:10 dilution thereof, resulting in final dilutions of tissue material in cell culture medium of 1:100 and 1:1000, respectively. The ratio between inoculum size and volume of cell culture medium should be about 1:10. For each dilution and each cell line, a minimum of about 2 cm</w:t>
      </w:r>
      <w:r w:rsidRPr="00D403F5">
        <w:rPr>
          <w:rFonts w:ascii="Arial" w:hAnsi="Arial"/>
          <w:sz w:val="18"/>
          <w:vertAlign w:val="superscript"/>
        </w:rPr>
        <w:t>2</w:t>
      </w:r>
      <w:r w:rsidRPr="00D403F5">
        <w:rPr>
          <w:rFonts w:ascii="Arial" w:hAnsi="Arial"/>
          <w:sz w:val="18"/>
        </w:rPr>
        <w:t xml:space="preserve"> cell area, corresponding to one well in a 24-well cell culture tray, has to be used. Use of cell culture trays is recommended, but other units of similar or with larger growth area are acceptable as well.</w:t>
      </w:r>
    </w:p>
    <w:p w14:paraId="5D7D9AE3" w14:textId="77777777" w:rsidR="00C7266C" w:rsidRPr="00D403F5" w:rsidRDefault="00C7266C" w:rsidP="00D403F5">
      <w:pPr>
        <w:pStyle w:val="Para3i"/>
        <w:spacing w:after="0"/>
        <w:rPr>
          <w:rFonts w:ascii="Arial" w:hAnsi="Arial"/>
          <w:sz w:val="18"/>
        </w:rPr>
      </w:pPr>
      <w:r w:rsidRPr="00D403F5">
        <w:rPr>
          <w:rFonts w:ascii="Arial" w:hAnsi="Arial"/>
          <w:sz w:val="18"/>
        </w:rPr>
        <w:t>viii)</w:t>
      </w:r>
      <w:r w:rsidRPr="00D403F5">
        <w:rPr>
          <w:rFonts w:ascii="Arial" w:hAnsi="Arial"/>
          <w:sz w:val="18"/>
        </w:rPr>
        <w:tab/>
        <w:t xml:space="preserve">Inoculated cell cultures are incubated at 15°C for 7–10 days. Using a microscope with 40–150× magnification, cultures should be inspected for toxicity the day after inoculation, particularly if supernatant was not filtered in step iv. The use of a phase-contrast microscope is recommended. </w:t>
      </w:r>
    </w:p>
    <w:p w14:paraId="36ABDCF8" w14:textId="77777777" w:rsidR="00C7266C" w:rsidRPr="00D403F5" w:rsidRDefault="00C7266C" w:rsidP="00D403F5">
      <w:pPr>
        <w:pStyle w:val="Para3i"/>
        <w:spacing w:after="0"/>
        <w:rPr>
          <w:rFonts w:ascii="Arial" w:hAnsi="Arial"/>
          <w:sz w:val="18"/>
        </w:rPr>
      </w:pPr>
      <w:r w:rsidRPr="00D403F5">
        <w:rPr>
          <w:rFonts w:ascii="Arial" w:hAnsi="Arial"/>
          <w:sz w:val="18"/>
        </w:rPr>
        <w:t>ix)</w:t>
      </w:r>
      <w:r w:rsidRPr="00D403F5">
        <w:rPr>
          <w:rFonts w:ascii="Arial" w:hAnsi="Arial"/>
          <w:sz w:val="18"/>
        </w:rPr>
        <w:tab/>
        <w:t>Monitor the cells regularly (2–3 times a week) for the presence of cytopathic effect (CPE).</w:t>
      </w:r>
    </w:p>
    <w:p w14:paraId="7A48DC26" w14:textId="77777777" w:rsidR="00C7266C" w:rsidRPr="00D403F5" w:rsidRDefault="00C7266C" w:rsidP="00D403F5">
      <w:pPr>
        <w:pStyle w:val="1111"/>
        <w:tabs>
          <w:tab w:val="clear" w:pos="360"/>
        </w:tabs>
        <w:spacing w:after="0"/>
        <w:rPr>
          <w:rFonts w:ascii="Arial" w:hAnsi="Arial" w:cs="Arial"/>
          <w:i/>
          <w:szCs w:val="18"/>
          <w:lang w:val="en-IE"/>
        </w:rPr>
      </w:pPr>
      <w:r w:rsidRPr="00D403F5">
        <w:rPr>
          <w:rFonts w:ascii="Arial" w:hAnsi="Arial" w:cs="Arial"/>
          <w:b w:val="0"/>
          <w:bCs w:val="0"/>
          <w:i/>
          <w:szCs w:val="18"/>
          <w:lang w:val="en-IE"/>
        </w:rPr>
        <w:t>Interpretation of results</w:t>
      </w:r>
    </w:p>
    <w:p w14:paraId="583297A3" w14:textId="77777777" w:rsidR="00C7266C" w:rsidRPr="00D403F5" w:rsidRDefault="00C7266C" w:rsidP="00D403F5">
      <w:pPr>
        <w:pStyle w:val="Para4"/>
        <w:spacing w:after="0"/>
        <w:ind w:left="850"/>
        <w:rPr>
          <w:rFonts w:cs="Arial"/>
          <w:szCs w:val="18"/>
        </w:rPr>
      </w:pPr>
      <w:r w:rsidRPr="00D403F5">
        <w:rPr>
          <w:rFonts w:cs="Arial"/>
          <w:szCs w:val="18"/>
        </w:rPr>
        <w:t>If CPE is observed, confirmatory testing is required to identify IHNV.</w:t>
      </w:r>
    </w:p>
    <w:p w14:paraId="27F02F65" w14:textId="77777777" w:rsidR="00C7266C" w:rsidRPr="00D403F5" w:rsidRDefault="00C7266C" w:rsidP="00D403F5">
      <w:pPr>
        <w:pStyle w:val="Para4"/>
        <w:spacing w:after="0"/>
        <w:ind w:left="850"/>
        <w:rPr>
          <w:rFonts w:cs="Arial"/>
          <w:szCs w:val="18"/>
        </w:rPr>
      </w:pPr>
      <w:r w:rsidRPr="00D403F5">
        <w:rPr>
          <w:rFonts w:cs="Arial"/>
          <w:szCs w:val="18"/>
        </w:rPr>
        <w:t>If no CPE is observed in the primary culture or subcultivation, the sample is negative.</w:t>
      </w:r>
    </w:p>
    <w:p w14:paraId="4456EDBD" w14:textId="77777777" w:rsidR="00C7266C" w:rsidRPr="00D403F5" w:rsidRDefault="00C7266C" w:rsidP="00D403F5">
      <w:pPr>
        <w:pStyle w:val="11"/>
        <w:spacing w:after="0"/>
        <w:rPr>
          <w:rFonts w:ascii="Arial" w:hAnsi="Arial" w:cs="Arial"/>
          <w:sz w:val="18"/>
          <w:szCs w:val="18"/>
          <w:lang w:val="en-IE"/>
        </w:rPr>
      </w:pPr>
      <w:r w:rsidRPr="00D403F5">
        <w:rPr>
          <w:rFonts w:ascii="Arial" w:hAnsi="Arial" w:cs="Arial"/>
          <w:sz w:val="18"/>
          <w:szCs w:val="18"/>
          <w:lang w:val="en-IE"/>
        </w:rPr>
        <w:t>4.4.</w:t>
      </w:r>
      <w:r w:rsidRPr="00D403F5">
        <w:rPr>
          <w:rFonts w:ascii="Arial" w:hAnsi="Arial" w:cs="Arial"/>
          <w:sz w:val="18"/>
          <w:szCs w:val="18"/>
          <w:lang w:val="en-IE"/>
        </w:rPr>
        <w:tab/>
        <w:t>Nucleic acid amplification</w:t>
      </w:r>
    </w:p>
    <w:p w14:paraId="55EB4067"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4.4.1.</w:t>
      </w:r>
      <w:r w:rsidRPr="00D403F5">
        <w:rPr>
          <w:rFonts w:ascii="Arial" w:hAnsi="Arial" w:cs="Arial"/>
          <w:sz w:val="18"/>
          <w:szCs w:val="18"/>
          <w:lang w:val="en-IE"/>
        </w:rPr>
        <w:tab/>
        <w:t>Real-time PCR</w:t>
      </w:r>
    </w:p>
    <w:p w14:paraId="3D1299F7" w14:textId="77777777" w:rsidR="00C7266C" w:rsidRPr="00D403F5" w:rsidRDefault="00C7266C" w:rsidP="00D403F5">
      <w:pPr>
        <w:pStyle w:val="Para3"/>
        <w:spacing w:after="0"/>
        <w:rPr>
          <w:rFonts w:cs="Arial"/>
          <w:szCs w:val="18"/>
        </w:rPr>
      </w:pPr>
      <w:r w:rsidRPr="00D403F5">
        <w:rPr>
          <w:rFonts w:cs="Arial"/>
          <w:szCs w:val="18"/>
        </w:rPr>
        <w:t xml:space="preserve">There are several reverse-transcription real-time PCR assays available for the detection of IHNV. </w:t>
      </w:r>
    </w:p>
    <w:p w14:paraId="0DA97DD0" w14:textId="77777777" w:rsidR="00C7266C" w:rsidRPr="00D403F5" w:rsidRDefault="00C7266C" w:rsidP="00D403F5">
      <w:pPr>
        <w:pStyle w:val="Para3"/>
        <w:spacing w:after="0"/>
        <w:rPr>
          <w:rFonts w:cs="Arial"/>
          <w:szCs w:val="18"/>
        </w:rPr>
      </w:pPr>
      <w:r w:rsidRPr="00D403F5">
        <w:rPr>
          <w:rFonts w:cs="Arial"/>
          <w:szCs w:val="18"/>
        </w:rPr>
        <w:t xml:space="preserve">The assay described is a stage 3 validated two-step real-time TaqMan PCR assay that amplifies a region of the nucleoprotein gene of all known IHNV genogroups with some E-genogroup isolates (D332-92, FV23, and FV91-40) having reduced amplification efficiency due to single nucleotide polymorphism within the probe sequence </w:t>
      </w:r>
      <w:r w:rsidRPr="00D403F5">
        <w:rPr>
          <w:rFonts w:cs="Arial"/>
          <w:noProof/>
          <w:szCs w:val="18"/>
        </w:rPr>
        <w:t xml:space="preserve">(Hoferer </w:t>
      </w:r>
      <w:r w:rsidRPr="00D403F5">
        <w:rPr>
          <w:rFonts w:cs="Arial"/>
          <w:i/>
          <w:noProof/>
          <w:szCs w:val="18"/>
        </w:rPr>
        <w:t>et al.,</w:t>
      </w:r>
      <w:r w:rsidRPr="00D403F5">
        <w:rPr>
          <w:rFonts w:cs="Arial"/>
          <w:noProof/>
          <w:szCs w:val="18"/>
        </w:rPr>
        <w:t xml:space="preserve"> 2019; Purcell </w:t>
      </w:r>
      <w:r w:rsidRPr="00D403F5">
        <w:rPr>
          <w:rFonts w:cs="Arial"/>
          <w:i/>
          <w:noProof/>
          <w:szCs w:val="18"/>
        </w:rPr>
        <w:t>et al.,</w:t>
      </w:r>
      <w:r w:rsidRPr="00D403F5">
        <w:rPr>
          <w:rFonts w:cs="Arial"/>
          <w:noProof/>
          <w:szCs w:val="18"/>
        </w:rPr>
        <w:t xml:space="preserve"> 2013).</w:t>
      </w:r>
    </w:p>
    <w:p w14:paraId="3A4C4950" w14:textId="77777777" w:rsidR="00C7266C" w:rsidRPr="00D403F5" w:rsidRDefault="00C7266C" w:rsidP="00D403F5">
      <w:pPr>
        <w:pStyle w:val="Para3"/>
        <w:spacing w:after="0"/>
        <w:rPr>
          <w:rFonts w:cs="Arial"/>
          <w:szCs w:val="18"/>
        </w:rPr>
      </w:pPr>
      <w:r w:rsidRPr="00D403F5">
        <w:rPr>
          <w:rFonts w:cs="Arial"/>
          <w:szCs w:val="18"/>
        </w:rPr>
        <w:t>Positive and negative controls should be run with each stage of the assay: extraction, reverse transcription and real-time PCR. Due to the sensitive nature of PCR-based</w:t>
      </w:r>
      <w:r w:rsidRPr="00D403F5">
        <w:rPr>
          <w:rFonts w:eastAsiaTheme="minorEastAsia" w:cs="Arial"/>
          <w:szCs w:val="18"/>
          <w:lang w:eastAsia="zh-CN"/>
        </w:rPr>
        <w:t xml:space="preserve"> </w:t>
      </w:r>
      <w:r w:rsidRPr="00D403F5">
        <w:rPr>
          <w:rFonts w:cs="Arial"/>
          <w:szCs w:val="18"/>
        </w:rPr>
        <w:t xml:space="preserve">assays, it is important to be able to distinguish a true positive from the positive control material. This may be achieved using an artificial positive control as employed by Purcell </w:t>
      </w:r>
      <w:r w:rsidRPr="00D403F5">
        <w:rPr>
          <w:rFonts w:cs="Arial"/>
          <w:i/>
          <w:szCs w:val="18"/>
        </w:rPr>
        <w:t>et al.</w:t>
      </w:r>
      <w:r w:rsidRPr="00D403F5">
        <w:rPr>
          <w:rFonts w:cs="Arial"/>
          <w:szCs w:val="18"/>
        </w:rPr>
        <w:t xml:space="preserve"> (2013). It is also highly recommended that master mix, template addition and PCR amplification occur in designated hoods or spatially separated areas.</w:t>
      </w:r>
    </w:p>
    <w:p w14:paraId="1BA5571C" w14:textId="77777777" w:rsidR="00C7266C" w:rsidRPr="00D403F5" w:rsidRDefault="00C7266C" w:rsidP="00D403F5">
      <w:pPr>
        <w:pStyle w:val="1111"/>
        <w:spacing w:after="0"/>
        <w:ind w:left="854"/>
        <w:rPr>
          <w:rFonts w:ascii="Arial" w:hAnsi="Arial" w:cs="Arial"/>
          <w:i/>
          <w:szCs w:val="18"/>
          <w:lang w:val="en-IE"/>
        </w:rPr>
      </w:pPr>
      <w:r w:rsidRPr="00D403F5">
        <w:rPr>
          <w:rFonts w:ascii="Arial" w:hAnsi="Arial" w:cs="Arial"/>
          <w:b w:val="0"/>
          <w:bCs w:val="0"/>
          <w:i/>
          <w:szCs w:val="18"/>
          <w:lang w:val="en-IE"/>
        </w:rPr>
        <w:t xml:space="preserve">RNA extraction and reverse-transcription </w:t>
      </w:r>
      <w:r w:rsidRPr="00D403F5">
        <w:rPr>
          <w:rFonts w:ascii="Arial" w:hAnsi="Arial" w:cs="Arial"/>
          <w:b w:val="0"/>
          <w:bCs w:val="0"/>
          <w:szCs w:val="18"/>
          <w:lang w:val="en-IE"/>
        </w:rPr>
        <w:t>(</w:t>
      </w:r>
      <w:r w:rsidRPr="00D403F5">
        <w:rPr>
          <w:rFonts w:ascii="Arial" w:hAnsi="Arial" w:cs="Arial"/>
          <w:b w:val="0"/>
          <w:bCs w:val="0"/>
          <w:i/>
          <w:szCs w:val="18"/>
          <w:lang w:val="en-IE"/>
        </w:rPr>
        <w:t>RT</w:t>
      </w:r>
      <w:r w:rsidRPr="00D403F5">
        <w:rPr>
          <w:rFonts w:ascii="Arial" w:hAnsi="Arial" w:cs="Arial"/>
          <w:b w:val="0"/>
          <w:bCs w:val="0"/>
          <w:szCs w:val="18"/>
          <w:lang w:val="en-IE"/>
        </w:rPr>
        <w:t>)</w:t>
      </w:r>
    </w:p>
    <w:p w14:paraId="310B86DE" w14:textId="77777777" w:rsidR="00C7266C" w:rsidRPr="00D403F5" w:rsidRDefault="00C7266C" w:rsidP="00D403F5">
      <w:pPr>
        <w:pStyle w:val="Para4i"/>
        <w:spacing w:after="0"/>
        <w:rPr>
          <w:rFonts w:cs="Arial"/>
          <w:szCs w:val="18"/>
        </w:rPr>
      </w:pPr>
      <w:r w:rsidRPr="00D403F5">
        <w:rPr>
          <w:rFonts w:cs="Arial"/>
          <w:szCs w:val="18"/>
        </w:rPr>
        <w:t>i)</w:t>
      </w:r>
      <w:r w:rsidRPr="00D403F5">
        <w:rPr>
          <w:rFonts w:cs="Arial"/>
          <w:szCs w:val="18"/>
        </w:rPr>
        <w:tab/>
        <w:t>Total RNA from infected cells and/or tissues is extracted using a phase-separation method (e.g. phenol-chloroform or Trizol) or by use of a commercially available RNA isolation kit used according to the manufacturer’s instructions.</w:t>
      </w:r>
    </w:p>
    <w:p w14:paraId="2241C73F" w14:textId="77777777" w:rsidR="00C7266C" w:rsidRPr="00D403F5" w:rsidRDefault="00C7266C" w:rsidP="00D403F5">
      <w:pPr>
        <w:pStyle w:val="Para4i"/>
        <w:spacing w:after="0"/>
        <w:rPr>
          <w:rFonts w:cs="Arial"/>
          <w:szCs w:val="18"/>
        </w:rPr>
      </w:pPr>
      <w:r w:rsidRPr="00D403F5">
        <w:rPr>
          <w:rFonts w:cs="Arial"/>
          <w:szCs w:val="18"/>
        </w:rPr>
        <w:t>ii)</w:t>
      </w:r>
      <w:r w:rsidRPr="00D403F5">
        <w:rPr>
          <w:rFonts w:cs="Arial"/>
          <w:szCs w:val="18"/>
        </w:rPr>
        <w:tab/>
        <w:t>Extracted</w:t>
      </w:r>
      <w:r w:rsidRPr="00D403F5">
        <w:rPr>
          <w:rFonts w:eastAsiaTheme="minorEastAsia" w:cs="Arial"/>
          <w:szCs w:val="18"/>
          <w:lang w:eastAsia="zh-CN"/>
        </w:rPr>
        <w:t xml:space="preserve"> </w:t>
      </w:r>
      <w:r w:rsidRPr="00D403F5">
        <w:rPr>
          <w:rFonts w:cs="Arial"/>
          <w:szCs w:val="18"/>
        </w:rPr>
        <w:t>RNA is reverse transcribed non-discriminately into cDNA using random primers.</w:t>
      </w:r>
      <w:r w:rsidRPr="00D403F5">
        <w:rPr>
          <w:rFonts w:eastAsiaTheme="minorEastAsia" w:cs="Arial"/>
          <w:szCs w:val="18"/>
          <w:lang w:eastAsia="zh-CN"/>
        </w:rPr>
        <w:t xml:space="preserve"> </w:t>
      </w:r>
      <w:r w:rsidRPr="00D403F5">
        <w:rPr>
          <w:rFonts w:cs="Arial"/>
          <w:szCs w:val="18"/>
        </w:rPr>
        <w:t>The cDNA synthesis reactions and cycling conditions are best performed using</w:t>
      </w:r>
      <w:r w:rsidRPr="00D403F5">
        <w:rPr>
          <w:rFonts w:eastAsiaTheme="minorEastAsia" w:cs="Arial"/>
          <w:szCs w:val="18"/>
          <w:lang w:eastAsia="zh-CN"/>
        </w:rPr>
        <w:t xml:space="preserve"> the </w:t>
      </w:r>
      <w:r w:rsidRPr="00D403F5">
        <w:rPr>
          <w:rFonts w:cs="Arial"/>
          <w:szCs w:val="18"/>
        </w:rPr>
        <w:t>manufacturer’s instructions for commercially available kits which have been extensively tested with a variety of RNA templates, including GC- and AU-rich targets and RNAse expressed at low levels</w:t>
      </w:r>
      <w:r w:rsidRPr="00D403F5">
        <w:rPr>
          <w:rFonts w:cs="Arial"/>
          <w:color w:val="333333"/>
          <w:szCs w:val="18"/>
        </w:rPr>
        <w:t>.</w:t>
      </w:r>
    </w:p>
    <w:p w14:paraId="50857222" w14:textId="77777777" w:rsidR="00C7266C" w:rsidRPr="00D403F5" w:rsidRDefault="00C7266C" w:rsidP="00D403F5">
      <w:pPr>
        <w:pStyle w:val="1111"/>
        <w:spacing w:after="0"/>
        <w:ind w:left="854"/>
        <w:rPr>
          <w:rFonts w:ascii="Arial" w:hAnsi="Arial" w:cs="Arial"/>
          <w:i/>
          <w:szCs w:val="18"/>
          <w:lang w:val="en-IE"/>
        </w:rPr>
      </w:pPr>
      <w:r w:rsidRPr="00D403F5">
        <w:rPr>
          <w:rFonts w:ascii="Arial" w:hAnsi="Arial" w:cs="Arial"/>
          <w:b w:val="0"/>
          <w:bCs w:val="0"/>
          <w:i/>
          <w:szCs w:val="18"/>
          <w:lang w:val="en-IE"/>
        </w:rPr>
        <w:t xml:space="preserve">Real-time PCR </w:t>
      </w:r>
    </w:p>
    <w:p w14:paraId="2A786FAC" w14:textId="77777777" w:rsidR="00C7266C" w:rsidRPr="00D403F5" w:rsidRDefault="00C7266C" w:rsidP="00D403F5">
      <w:pPr>
        <w:pStyle w:val="Para4"/>
        <w:spacing w:after="0"/>
        <w:ind w:left="850"/>
        <w:rPr>
          <w:rFonts w:cs="Arial"/>
          <w:szCs w:val="18"/>
        </w:rPr>
      </w:pPr>
      <w:r w:rsidRPr="00D403F5">
        <w:rPr>
          <w:rFonts w:cs="Arial"/>
          <w:szCs w:val="18"/>
        </w:rPr>
        <w:t xml:space="preserve">The TaqMan real-time PCR assay uses forward primer IHNv N 796F (5’-AGA-GCC-AAG-GCA-CTG-TGC-G-3’), reverse primer IHNv N 875R (5’-TTC-TTT-GCG-GCT-TG-GTT-GA-3’) and FAM-labelled probe, IHNv N 818T (5’-6FAM-TGA-GAC-TGA-GCG-GGA-CA-MGBNFQ-3’). Primers are used at a final concentration of 900 nM each and the final probe concentration is 250 nM. 2.5 µl cDNA product is added to each 25 µl rPCR reaction. Thermal cycling conditions are 50°C 2 minutes, 95°C 10 minutes followed by 40 cycles of 95°C for 15 seconds and 60°C for 1 minute. </w:t>
      </w:r>
    </w:p>
    <w:p w14:paraId="6960F3D8" w14:textId="77777777" w:rsidR="00C7266C" w:rsidRPr="00D403F5" w:rsidRDefault="00C7266C" w:rsidP="00D403F5">
      <w:pPr>
        <w:pStyle w:val="Para5"/>
        <w:spacing w:after="0"/>
        <w:ind w:left="850"/>
        <w:rPr>
          <w:rFonts w:cs="Arial"/>
          <w:szCs w:val="18"/>
        </w:rPr>
      </w:pPr>
      <w:r w:rsidRPr="00D403F5">
        <w:rPr>
          <w:rFonts w:cs="Arial"/>
          <w:szCs w:val="18"/>
        </w:rPr>
        <w:t xml:space="preserve">The sample is negative if no Ct (threshold cycle) is recorded, while samples with a Ct are considered positive for IHNV. </w:t>
      </w:r>
    </w:p>
    <w:p w14:paraId="6FA604A4" w14:textId="77777777" w:rsidR="000B38E2" w:rsidRPr="00D403F5" w:rsidRDefault="000B38E2" w:rsidP="00D403F5">
      <w:pPr>
        <w:spacing w:after="0"/>
        <w:jc w:val="right"/>
        <w:rPr>
          <w:rFonts w:ascii="Times New Roman" w:hAnsi="Times New Roman" w:cs="Times New Roman"/>
          <w:noProof/>
          <w:sz w:val="18"/>
          <w:szCs w:val="18"/>
          <w:u w:val="single"/>
          <w:lang w:val="en-US"/>
        </w:rPr>
      </w:pPr>
      <w:r w:rsidRPr="00D403F5">
        <w:rPr>
          <w:rFonts w:ascii="Times New Roman" w:hAnsi="Times New Roman" w:cs="Times New Roman"/>
          <w:noProof/>
          <w:sz w:val="18"/>
          <w:szCs w:val="18"/>
          <w:u w:val="single"/>
          <w:lang w:val="en-US"/>
        </w:rPr>
        <w:br w:type="page"/>
      </w:r>
    </w:p>
    <w:p w14:paraId="5471C547" w14:textId="6CAACDCC" w:rsidR="00C7266C" w:rsidRPr="00D403F5" w:rsidRDefault="00983DC1" w:rsidP="006237A8">
      <w:pPr>
        <w:spacing w:after="480"/>
        <w:jc w:val="right"/>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2BAA05A4" w14:textId="77777777" w:rsidR="00C7266C" w:rsidRPr="00D403F5" w:rsidRDefault="00C7266C" w:rsidP="00D403F5">
      <w:pPr>
        <w:pStyle w:val="111"/>
        <w:spacing w:after="0"/>
        <w:rPr>
          <w:sz w:val="18"/>
          <w:szCs w:val="18"/>
          <w:lang w:val="en-IE"/>
        </w:rPr>
      </w:pPr>
      <w:r w:rsidRPr="00D403F5">
        <w:rPr>
          <w:sz w:val="18"/>
          <w:szCs w:val="18"/>
          <w:lang w:val="en-IE"/>
        </w:rPr>
        <w:t>4.4.2.</w:t>
      </w:r>
      <w:r w:rsidRPr="00D403F5">
        <w:rPr>
          <w:sz w:val="18"/>
          <w:szCs w:val="18"/>
          <w:lang w:val="en-IE"/>
        </w:rPr>
        <w:tab/>
        <w:t>Conventional PCR</w:t>
      </w:r>
    </w:p>
    <w:p w14:paraId="34A73E0B" w14:textId="77777777" w:rsidR="00C7266C" w:rsidRPr="00D403F5" w:rsidRDefault="00C7266C" w:rsidP="00D403F5">
      <w:pPr>
        <w:pStyle w:val="Para3"/>
        <w:spacing w:after="0"/>
        <w:rPr>
          <w:szCs w:val="18"/>
        </w:rPr>
      </w:pPr>
      <w:r w:rsidRPr="00D403F5">
        <w:rPr>
          <w:szCs w:val="18"/>
        </w:rPr>
        <w:t>Several conventional PCR assays are available with limited validation data.</w:t>
      </w:r>
    </w:p>
    <w:p w14:paraId="0F040131" w14:textId="77777777" w:rsidR="00C7266C" w:rsidRPr="00D403F5" w:rsidRDefault="00C7266C" w:rsidP="00D403F5">
      <w:pPr>
        <w:pStyle w:val="Para3"/>
        <w:spacing w:after="0"/>
        <w:rPr>
          <w:szCs w:val="18"/>
        </w:rPr>
      </w:pPr>
      <w:r w:rsidRPr="00D403F5">
        <w:rPr>
          <w:szCs w:val="18"/>
        </w:rPr>
        <w:t>The PCR assay described recognises</w:t>
      </w:r>
      <w:r w:rsidRPr="00D403F5">
        <w:rPr>
          <w:rFonts w:cs="Arial"/>
          <w:szCs w:val="18"/>
        </w:rPr>
        <w:t xml:space="preserve"> a broad range of genotypes</w:t>
      </w:r>
      <w:r w:rsidRPr="00D403F5">
        <w:rPr>
          <w:rFonts w:eastAsiaTheme="minorEastAsia" w:cs="Arial"/>
          <w:szCs w:val="18"/>
          <w:lang w:eastAsia="zh-CN"/>
        </w:rPr>
        <w:t xml:space="preserve"> </w:t>
      </w:r>
      <w:r w:rsidRPr="00D403F5">
        <w:rPr>
          <w:szCs w:val="18"/>
        </w:rPr>
        <w:t xml:space="preserve">by targeting a central </w:t>
      </w:r>
      <w:r w:rsidRPr="00D403F5">
        <w:rPr>
          <w:rFonts w:cs="Arial"/>
          <w:szCs w:val="18"/>
        </w:rPr>
        <w:t xml:space="preserve">region </w:t>
      </w:r>
      <w:r w:rsidRPr="00D403F5">
        <w:rPr>
          <w:szCs w:val="18"/>
        </w:rPr>
        <w:t xml:space="preserve">of the IHNV G gene </w:t>
      </w:r>
      <w:r w:rsidRPr="00D403F5">
        <w:rPr>
          <w:noProof/>
          <w:szCs w:val="18"/>
        </w:rPr>
        <w:t xml:space="preserve">(Emmenegger </w:t>
      </w:r>
      <w:r w:rsidRPr="00D403F5">
        <w:rPr>
          <w:i/>
          <w:noProof/>
          <w:szCs w:val="18"/>
        </w:rPr>
        <w:t>et al.,</w:t>
      </w:r>
      <w:r w:rsidRPr="00D403F5">
        <w:rPr>
          <w:noProof/>
          <w:szCs w:val="18"/>
        </w:rPr>
        <w:t xml:space="preserve"> 2000)</w:t>
      </w:r>
      <w:r w:rsidRPr="00D403F5">
        <w:rPr>
          <w:szCs w:val="18"/>
        </w:rPr>
        <w:t>, and produces a PCR amplicon</w:t>
      </w:r>
      <w:r w:rsidRPr="00D403F5">
        <w:rPr>
          <w:rFonts w:eastAsiaTheme="minorEastAsia"/>
          <w:szCs w:val="18"/>
          <w:lang w:eastAsia="zh-CN"/>
        </w:rPr>
        <w:t xml:space="preserve"> </w:t>
      </w:r>
      <w:r w:rsidRPr="00D403F5">
        <w:rPr>
          <w:szCs w:val="18"/>
        </w:rPr>
        <w:t>that is used</w:t>
      </w:r>
      <w:r w:rsidRPr="00D403F5">
        <w:rPr>
          <w:rFonts w:eastAsiaTheme="minorEastAsia"/>
          <w:szCs w:val="18"/>
          <w:lang w:eastAsia="zh-CN"/>
        </w:rPr>
        <w:t xml:space="preserve"> </w:t>
      </w:r>
      <w:r w:rsidRPr="00D403F5">
        <w:rPr>
          <w:rFonts w:cs="Arial"/>
          <w:szCs w:val="18"/>
        </w:rPr>
        <w:t xml:space="preserve">for identification of genetic strains and for epidemiological tracing of virus movements </w:t>
      </w:r>
      <w:r w:rsidRPr="00D403F5">
        <w:rPr>
          <w:rFonts w:cs="Arial"/>
          <w:noProof/>
          <w:szCs w:val="18"/>
        </w:rPr>
        <w:t xml:space="preserve">(Kurath </w:t>
      </w:r>
      <w:r w:rsidRPr="00D403F5">
        <w:rPr>
          <w:rFonts w:cs="Arial"/>
          <w:i/>
          <w:noProof/>
          <w:szCs w:val="18"/>
        </w:rPr>
        <w:t>et al.,</w:t>
      </w:r>
      <w:r w:rsidRPr="00D403F5">
        <w:rPr>
          <w:rFonts w:cs="Arial"/>
          <w:noProof/>
          <w:szCs w:val="18"/>
        </w:rPr>
        <w:t xml:space="preserve"> 2003)</w:t>
      </w:r>
      <w:r w:rsidRPr="00D403F5">
        <w:rPr>
          <w:szCs w:val="18"/>
        </w:rPr>
        <w:t>.</w:t>
      </w:r>
    </w:p>
    <w:p w14:paraId="27AE7C6F" w14:textId="77777777" w:rsidR="00C7266C" w:rsidRPr="00D403F5" w:rsidRDefault="00C7266C" w:rsidP="00D403F5">
      <w:pPr>
        <w:pStyle w:val="Para3"/>
        <w:spacing w:after="0"/>
        <w:rPr>
          <w:szCs w:val="18"/>
        </w:rPr>
      </w:pPr>
      <w:r w:rsidRPr="00D403F5">
        <w:rPr>
          <w:szCs w:val="18"/>
        </w:rPr>
        <w:t>Positive and negative controls should be run with each stage of the assay: extraction, RT-PCR and second round PCR. Due to the sensitive nature of PCR-based</w:t>
      </w:r>
      <w:r w:rsidRPr="00D403F5">
        <w:rPr>
          <w:rFonts w:eastAsiaTheme="minorEastAsia"/>
          <w:szCs w:val="18"/>
          <w:lang w:eastAsia="zh-CN"/>
        </w:rPr>
        <w:t xml:space="preserve"> </w:t>
      </w:r>
      <w:r w:rsidRPr="00D403F5">
        <w:rPr>
          <w:szCs w:val="18"/>
        </w:rPr>
        <w:t>assays it is highly recommended that master mix, template addition and PCR amplification occur in designated hoods or spatially separated areas.</w:t>
      </w:r>
    </w:p>
    <w:p w14:paraId="6BE87AAC" w14:textId="77777777" w:rsidR="00C7266C" w:rsidRPr="00D403F5" w:rsidRDefault="00C7266C" w:rsidP="00D403F5">
      <w:pPr>
        <w:pStyle w:val="1111"/>
        <w:spacing w:after="0"/>
        <w:ind w:left="854"/>
        <w:rPr>
          <w:b w:val="0"/>
          <w:i/>
          <w:szCs w:val="18"/>
          <w:lang w:val="en-IE"/>
        </w:rPr>
      </w:pPr>
      <w:r w:rsidRPr="00D403F5">
        <w:rPr>
          <w:b w:val="0"/>
          <w:i/>
          <w:szCs w:val="18"/>
          <w:lang w:val="en-IE"/>
        </w:rPr>
        <w:t>RNA extraction</w:t>
      </w:r>
    </w:p>
    <w:p w14:paraId="50B71C35" w14:textId="77777777" w:rsidR="00C7266C" w:rsidRPr="00D403F5" w:rsidRDefault="00C7266C" w:rsidP="00D403F5">
      <w:pPr>
        <w:pStyle w:val="Para4"/>
        <w:spacing w:after="0"/>
        <w:ind w:left="854"/>
        <w:rPr>
          <w:szCs w:val="18"/>
        </w:rPr>
      </w:pPr>
      <w:r w:rsidRPr="00D403F5">
        <w:rPr>
          <w:szCs w:val="18"/>
        </w:rPr>
        <w:t>Total RNA may be prepared as described in section 4.4.1.</w:t>
      </w:r>
    </w:p>
    <w:p w14:paraId="1BC20389" w14:textId="77777777" w:rsidR="00C7266C" w:rsidRPr="00D403F5" w:rsidRDefault="00C7266C" w:rsidP="00D403F5">
      <w:pPr>
        <w:pStyle w:val="1111"/>
        <w:spacing w:after="0"/>
        <w:ind w:left="854"/>
        <w:rPr>
          <w:b w:val="0"/>
          <w:i/>
          <w:szCs w:val="18"/>
          <w:lang w:val="en-IE"/>
        </w:rPr>
      </w:pPr>
      <w:r w:rsidRPr="00D403F5">
        <w:rPr>
          <w:b w:val="0"/>
          <w:i/>
          <w:szCs w:val="18"/>
          <w:lang w:val="en-IE"/>
        </w:rPr>
        <w:t xml:space="preserve">Conventional RT-PCR </w:t>
      </w:r>
      <w:r w:rsidRPr="00D403F5">
        <w:rPr>
          <w:b w:val="0"/>
          <w:szCs w:val="18"/>
          <w:lang w:val="en-IE"/>
        </w:rPr>
        <w:t>(</w:t>
      </w:r>
      <w:r w:rsidRPr="00D403F5">
        <w:rPr>
          <w:b w:val="0"/>
          <w:i/>
          <w:szCs w:val="18"/>
          <w:lang w:val="en-IE"/>
        </w:rPr>
        <w:t>Round 1</w:t>
      </w:r>
      <w:r w:rsidRPr="00D403F5">
        <w:rPr>
          <w:b w:val="0"/>
          <w:szCs w:val="18"/>
          <w:lang w:val="en-IE"/>
        </w:rPr>
        <w:t>)</w:t>
      </w:r>
    </w:p>
    <w:p w14:paraId="7D0E4FEB" w14:textId="77777777" w:rsidR="00C7266C" w:rsidRPr="00D403F5" w:rsidRDefault="00C7266C" w:rsidP="00D403F5">
      <w:pPr>
        <w:pStyle w:val="Para4"/>
        <w:spacing w:after="0"/>
        <w:ind w:left="854"/>
        <w:rPr>
          <w:szCs w:val="18"/>
        </w:rPr>
      </w:pPr>
      <w:r w:rsidRPr="00D403F5">
        <w:rPr>
          <w:szCs w:val="18"/>
        </w:rPr>
        <w:t>The first round RT-PCR combines cDNA synthesis and PCR amplification into one step by using an IHNV-specific primer set that generates the first-strand synthesis of IHNV RNA and subsequent PCR amplification through 30 cycles. The first round PCR produces a 693 bp PCR amplicon using forward primer (5’-AGA-GAT-CCC-TAC-ACC-AGA-GAC-3’) and reverse primer (5’-GGT-GGT-GTT-GTT-TCC-GTG-CAA-3’) at a final concentration of 200 nM each. The thermal cycling conditions are one cycle of 50°C for 30 minutes; one cycle of 95°C for 2 minutes; 30 cycles of 95°C for 30 seconds, 50°C for 30 seconds, 72°C for 60 seconds; one cycle of 72°C for 7 minutes and 4°C hold.</w:t>
      </w:r>
    </w:p>
    <w:p w14:paraId="291CF092" w14:textId="77777777" w:rsidR="00C7266C" w:rsidRPr="00D403F5" w:rsidRDefault="00C7266C" w:rsidP="00D403F5">
      <w:pPr>
        <w:pStyle w:val="Para5"/>
        <w:spacing w:after="0"/>
        <w:ind w:left="854"/>
        <w:rPr>
          <w:szCs w:val="18"/>
        </w:rPr>
      </w:pPr>
      <w:r w:rsidRPr="00D403F5">
        <w:rPr>
          <w:szCs w:val="18"/>
        </w:rPr>
        <w:t>A sample is IHNV positive if a 693 bp PCR amplicon is observed and no bands were observed in the negative controls. If no band is observed for a sample and the positive controls passed proceed to the second round nested PCR.</w:t>
      </w:r>
    </w:p>
    <w:p w14:paraId="5645D0CD" w14:textId="77777777" w:rsidR="00C7266C" w:rsidRPr="00D403F5" w:rsidRDefault="00C7266C" w:rsidP="00D403F5">
      <w:pPr>
        <w:pStyle w:val="1111"/>
        <w:spacing w:after="0"/>
        <w:ind w:left="854"/>
        <w:rPr>
          <w:b w:val="0"/>
          <w:i/>
          <w:szCs w:val="18"/>
          <w:lang w:val="en-IE"/>
        </w:rPr>
      </w:pPr>
      <w:r w:rsidRPr="00D403F5">
        <w:rPr>
          <w:b w:val="0"/>
          <w:i/>
          <w:szCs w:val="18"/>
          <w:lang w:val="en-IE"/>
        </w:rPr>
        <w:t xml:space="preserve">Second round </w:t>
      </w:r>
      <w:r w:rsidRPr="00D403F5">
        <w:rPr>
          <w:b w:val="0"/>
          <w:szCs w:val="18"/>
          <w:lang w:val="en-IE"/>
        </w:rPr>
        <w:t>(</w:t>
      </w:r>
      <w:r w:rsidRPr="00D403F5">
        <w:rPr>
          <w:b w:val="0"/>
          <w:i/>
          <w:szCs w:val="18"/>
          <w:lang w:val="en-IE"/>
        </w:rPr>
        <w:t>nested PCR</w:t>
      </w:r>
      <w:r w:rsidRPr="00D403F5">
        <w:rPr>
          <w:b w:val="0"/>
          <w:szCs w:val="18"/>
          <w:lang w:val="en-IE"/>
        </w:rPr>
        <w:t>)</w:t>
      </w:r>
    </w:p>
    <w:p w14:paraId="4F68386A" w14:textId="77777777" w:rsidR="00C7266C" w:rsidRPr="00D403F5" w:rsidRDefault="00C7266C" w:rsidP="00D403F5">
      <w:pPr>
        <w:pStyle w:val="Para4"/>
        <w:spacing w:after="0"/>
        <w:ind w:left="854"/>
        <w:rPr>
          <w:szCs w:val="18"/>
        </w:rPr>
      </w:pPr>
      <w:r w:rsidRPr="00D403F5">
        <w:rPr>
          <w:szCs w:val="18"/>
        </w:rPr>
        <w:t>Due to the sensitivity of the test along with the need for repetitive handling of tubes, nested PCR is prone to contamination and good sterile technique must be practiced.</w:t>
      </w:r>
    </w:p>
    <w:p w14:paraId="6C492295" w14:textId="77777777" w:rsidR="00C7266C" w:rsidRPr="00D403F5" w:rsidRDefault="00C7266C" w:rsidP="00D403F5">
      <w:pPr>
        <w:pStyle w:val="Para4"/>
        <w:spacing w:after="0"/>
        <w:ind w:left="854"/>
        <w:rPr>
          <w:szCs w:val="18"/>
        </w:rPr>
      </w:pPr>
      <w:r w:rsidRPr="00D403F5">
        <w:rPr>
          <w:szCs w:val="18"/>
        </w:rPr>
        <w:t xml:space="preserve">The first round positive and negative controls are carried over and included with the nested PCR assay. In addition, a separate negative and positive control specific to the nested assay are required. </w:t>
      </w:r>
    </w:p>
    <w:p w14:paraId="4CC0936E" w14:textId="77777777" w:rsidR="00C7266C" w:rsidRPr="00D403F5" w:rsidRDefault="00C7266C" w:rsidP="00D403F5">
      <w:pPr>
        <w:pStyle w:val="Para4"/>
        <w:spacing w:after="0"/>
        <w:ind w:left="854"/>
        <w:rPr>
          <w:szCs w:val="18"/>
        </w:rPr>
      </w:pPr>
      <w:r w:rsidRPr="00D403F5">
        <w:rPr>
          <w:szCs w:val="18"/>
        </w:rPr>
        <w:t>The second round PCR produces a 483 bp PCR amplicon using forward primer (5’-TCA-CCC-TGC-CAG-ACT-CAT-TGG-3’) and reverse primer (5’-ATA-GAT-GGA-GCC-TTT-GTG-CAT-3’) at a final concentration of 200 nM each. The thermal cycling conditions are: 95°C for 2 minutes followed by 30 cycles of 95°C for 30 seconds, 50°C for 30 seconds, 72°C for 60 seconds; one cycle of 72°C for 7 minutes and 4°C hold.</w:t>
      </w:r>
    </w:p>
    <w:p w14:paraId="12E4D2FB" w14:textId="77777777" w:rsidR="00C7266C" w:rsidRPr="00D403F5" w:rsidRDefault="00C7266C" w:rsidP="00D403F5">
      <w:pPr>
        <w:pStyle w:val="Para5"/>
        <w:spacing w:after="0"/>
        <w:ind w:left="854"/>
        <w:rPr>
          <w:szCs w:val="18"/>
        </w:rPr>
      </w:pPr>
      <w:r w:rsidRPr="00D403F5">
        <w:rPr>
          <w:szCs w:val="18"/>
        </w:rPr>
        <w:t>A sample is IHNV positive if a 483 bp PCR amplicon is observed and no band(s) are observed in the negative controls. A sample is negative if no bands are observed and positive controls passed.</w:t>
      </w:r>
    </w:p>
    <w:p w14:paraId="6F7EAFDD" w14:textId="77777777" w:rsidR="00C7266C" w:rsidRPr="00D403F5" w:rsidRDefault="00C7266C" w:rsidP="00D403F5">
      <w:pPr>
        <w:pStyle w:val="111"/>
        <w:spacing w:after="0"/>
        <w:rPr>
          <w:sz w:val="18"/>
          <w:szCs w:val="18"/>
          <w:lang w:val="en-IE"/>
        </w:rPr>
      </w:pPr>
      <w:r w:rsidRPr="00D403F5">
        <w:rPr>
          <w:sz w:val="18"/>
          <w:szCs w:val="18"/>
          <w:lang w:val="en-IE"/>
        </w:rPr>
        <w:t>4.4.3.</w:t>
      </w:r>
      <w:r w:rsidRPr="00D403F5">
        <w:rPr>
          <w:sz w:val="18"/>
          <w:szCs w:val="18"/>
          <w:lang w:val="en-IE"/>
        </w:rPr>
        <w:tab/>
        <w:t>Other nucleic acid amplification methods</w:t>
      </w:r>
    </w:p>
    <w:p w14:paraId="6A2D9277" w14:textId="77777777" w:rsidR="00C7266C" w:rsidRPr="00D403F5" w:rsidRDefault="00C7266C" w:rsidP="00D403F5">
      <w:pPr>
        <w:pStyle w:val="Para3"/>
        <w:spacing w:after="0"/>
        <w:rPr>
          <w:szCs w:val="18"/>
        </w:rPr>
      </w:pPr>
      <w:r w:rsidRPr="00D403F5">
        <w:rPr>
          <w:szCs w:val="18"/>
        </w:rPr>
        <w:t>To date, no other nucleic acid amplification method capable of universal IHNV detection has been sufficiently validated.</w:t>
      </w:r>
    </w:p>
    <w:p w14:paraId="7158CFB2" w14:textId="77777777" w:rsidR="00C7266C" w:rsidRPr="00D403F5" w:rsidRDefault="00C7266C" w:rsidP="00D403F5">
      <w:pPr>
        <w:pStyle w:val="11"/>
        <w:spacing w:after="0"/>
        <w:rPr>
          <w:sz w:val="18"/>
          <w:szCs w:val="18"/>
          <w:lang w:val="en-IE"/>
        </w:rPr>
      </w:pPr>
      <w:r w:rsidRPr="00D403F5">
        <w:rPr>
          <w:sz w:val="18"/>
          <w:szCs w:val="18"/>
          <w:lang w:val="en-IE"/>
        </w:rPr>
        <w:t>4.5.</w:t>
      </w:r>
      <w:r w:rsidRPr="00D403F5">
        <w:rPr>
          <w:sz w:val="18"/>
          <w:szCs w:val="18"/>
          <w:lang w:val="en-IE"/>
        </w:rPr>
        <w:tab/>
        <w:t xml:space="preserve">Amplicon sequencing </w:t>
      </w:r>
    </w:p>
    <w:p w14:paraId="7724D227" w14:textId="77777777" w:rsidR="00C7266C" w:rsidRPr="00D403F5" w:rsidRDefault="00C7266C" w:rsidP="00D403F5">
      <w:pPr>
        <w:pStyle w:val="Para20"/>
        <w:spacing w:after="0"/>
        <w:rPr>
          <w:szCs w:val="18"/>
        </w:rPr>
      </w:pPr>
      <w:r w:rsidRPr="00D403F5">
        <w:rPr>
          <w:szCs w:val="18"/>
        </w:rPr>
        <w:t xml:space="preserve">Nucleotide sequencing of the conventional PCR product (Section 4.4.2) is recommended as one of the final steps for confirmatory diagnosis. This central region of IHNV glycoprotein gene is used for identification of genetic strains and for epidemiological study (Kurath </w:t>
      </w:r>
      <w:r w:rsidRPr="00D403F5">
        <w:rPr>
          <w:i/>
          <w:szCs w:val="18"/>
        </w:rPr>
        <w:t>et al.,</w:t>
      </w:r>
      <w:r w:rsidRPr="00D403F5">
        <w:rPr>
          <w:szCs w:val="18"/>
        </w:rPr>
        <w:t xml:space="preserve"> 2003). It is recommended to forward any sequence data obtained to the OIE Reference Laboratory, particularly in the event where isolate sequences differ from any of the target sequences of the recommended molecular assays.</w:t>
      </w:r>
    </w:p>
    <w:p w14:paraId="2CB48621" w14:textId="77777777" w:rsidR="006237A8" w:rsidRDefault="006237A8" w:rsidP="00D403F5">
      <w:pPr>
        <w:spacing w:after="0"/>
        <w:rPr>
          <w:rFonts w:ascii="Times New Roman" w:hAnsi="Times New Roman" w:cs="Times New Roman"/>
          <w:noProof/>
          <w:sz w:val="18"/>
          <w:szCs w:val="18"/>
          <w:u w:val="single"/>
          <w:lang w:val="en-US"/>
        </w:rPr>
      </w:pPr>
      <w:r>
        <w:rPr>
          <w:rFonts w:ascii="Times New Roman" w:hAnsi="Times New Roman" w:cs="Times New Roman"/>
          <w:noProof/>
          <w:sz w:val="18"/>
          <w:szCs w:val="18"/>
          <w:u w:val="single"/>
          <w:lang w:val="en-US"/>
        </w:rPr>
        <w:br w:type="page"/>
      </w:r>
    </w:p>
    <w:p w14:paraId="235B8644" w14:textId="6D2B2EEF" w:rsidR="00C7266C" w:rsidRPr="00D403F5" w:rsidRDefault="00983DC1" w:rsidP="006237A8">
      <w:pPr>
        <w:spacing w:after="480"/>
        <w:rPr>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093A95B4" w14:textId="77777777" w:rsidR="00C7266C" w:rsidRPr="00D403F5" w:rsidRDefault="00C7266C" w:rsidP="00D403F5">
      <w:pPr>
        <w:pStyle w:val="11"/>
        <w:spacing w:after="0"/>
        <w:rPr>
          <w:sz w:val="18"/>
          <w:szCs w:val="18"/>
          <w:lang w:val="en-IE"/>
        </w:rPr>
      </w:pPr>
      <w:r w:rsidRPr="00D403F5">
        <w:rPr>
          <w:sz w:val="18"/>
          <w:szCs w:val="18"/>
          <w:lang w:val="en-IE"/>
        </w:rPr>
        <w:t>4.6.</w:t>
      </w:r>
      <w:r w:rsidRPr="00D403F5">
        <w:rPr>
          <w:sz w:val="18"/>
          <w:szCs w:val="18"/>
          <w:lang w:val="en-IE"/>
        </w:rPr>
        <w:tab/>
      </w:r>
      <w:r w:rsidRPr="00D403F5">
        <w:rPr>
          <w:i/>
          <w:sz w:val="18"/>
          <w:szCs w:val="18"/>
          <w:lang w:val="en-IE"/>
        </w:rPr>
        <w:t>In-situ</w:t>
      </w:r>
      <w:r w:rsidRPr="00D403F5">
        <w:rPr>
          <w:sz w:val="18"/>
          <w:szCs w:val="18"/>
          <w:lang w:val="en-IE"/>
        </w:rPr>
        <w:t xml:space="preserve"> hybridisation</w:t>
      </w:r>
    </w:p>
    <w:p w14:paraId="278DDA4E" w14:textId="77777777" w:rsidR="00C7266C" w:rsidRPr="00D403F5" w:rsidRDefault="00C7266C" w:rsidP="00D403F5">
      <w:pPr>
        <w:pStyle w:val="Para20"/>
        <w:spacing w:after="0"/>
        <w:rPr>
          <w:szCs w:val="18"/>
        </w:rPr>
      </w:pPr>
      <w:r w:rsidRPr="00D403F5">
        <w:rPr>
          <w:szCs w:val="18"/>
        </w:rPr>
        <w:t>Not relevant.</w:t>
      </w:r>
    </w:p>
    <w:p w14:paraId="07FCB9DB" w14:textId="77777777" w:rsidR="00C7266C" w:rsidRPr="00D403F5" w:rsidRDefault="00C7266C" w:rsidP="00D403F5">
      <w:pPr>
        <w:pStyle w:val="11"/>
        <w:spacing w:after="0"/>
        <w:rPr>
          <w:sz w:val="18"/>
          <w:szCs w:val="18"/>
          <w:lang w:val="en-IE"/>
        </w:rPr>
      </w:pPr>
      <w:r w:rsidRPr="00D403F5">
        <w:rPr>
          <w:sz w:val="18"/>
          <w:szCs w:val="18"/>
          <w:lang w:val="en-IE"/>
        </w:rPr>
        <w:t>4.7.</w:t>
      </w:r>
      <w:r w:rsidRPr="00D403F5">
        <w:rPr>
          <w:sz w:val="18"/>
          <w:szCs w:val="18"/>
          <w:lang w:val="en-IE"/>
        </w:rPr>
        <w:tab/>
      </w:r>
      <w:r w:rsidRPr="00D403F5">
        <w:rPr>
          <w:sz w:val="18"/>
          <w:szCs w:val="18"/>
        </w:rPr>
        <w:t>Immunohistochemistry</w:t>
      </w:r>
    </w:p>
    <w:p w14:paraId="0572C008" w14:textId="77777777" w:rsidR="00C7266C" w:rsidRPr="00D403F5" w:rsidRDefault="00C7266C" w:rsidP="00D403F5">
      <w:pPr>
        <w:pStyle w:val="Para20"/>
        <w:spacing w:after="0"/>
        <w:rPr>
          <w:szCs w:val="18"/>
        </w:rPr>
      </w:pPr>
      <w:r w:rsidRPr="00D403F5">
        <w:rPr>
          <w:szCs w:val="18"/>
        </w:rPr>
        <w:t>Not relevant.</w:t>
      </w:r>
    </w:p>
    <w:p w14:paraId="1E3DB299" w14:textId="77777777" w:rsidR="00C7266C" w:rsidRPr="00D403F5" w:rsidRDefault="00C7266C" w:rsidP="00D403F5">
      <w:pPr>
        <w:pStyle w:val="11"/>
        <w:spacing w:after="0"/>
        <w:rPr>
          <w:sz w:val="18"/>
          <w:szCs w:val="18"/>
          <w:lang w:val="en-IE"/>
        </w:rPr>
      </w:pPr>
      <w:r w:rsidRPr="00D403F5">
        <w:rPr>
          <w:sz w:val="18"/>
          <w:szCs w:val="18"/>
          <w:lang w:val="en-IE"/>
        </w:rPr>
        <w:t>4.8.</w:t>
      </w:r>
      <w:r w:rsidRPr="00D403F5">
        <w:rPr>
          <w:sz w:val="18"/>
          <w:szCs w:val="18"/>
          <w:lang w:val="en-IE"/>
        </w:rPr>
        <w:tab/>
        <w:t>Bioassay</w:t>
      </w:r>
    </w:p>
    <w:p w14:paraId="3FF95A32" w14:textId="77777777" w:rsidR="00C7266C" w:rsidRPr="00D403F5" w:rsidRDefault="00C7266C" w:rsidP="00D403F5">
      <w:pPr>
        <w:pStyle w:val="Para20"/>
        <w:spacing w:after="0"/>
        <w:rPr>
          <w:b/>
          <w:szCs w:val="18"/>
        </w:rPr>
      </w:pPr>
      <w:r w:rsidRPr="00D403F5">
        <w:rPr>
          <w:szCs w:val="18"/>
        </w:rPr>
        <w:t>Not relevant.</w:t>
      </w:r>
    </w:p>
    <w:p w14:paraId="5C05F5FF" w14:textId="77777777" w:rsidR="00C7266C" w:rsidRPr="00D403F5" w:rsidRDefault="00C7266C" w:rsidP="00D403F5">
      <w:pPr>
        <w:pStyle w:val="11"/>
        <w:spacing w:after="0"/>
        <w:rPr>
          <w:sz w:val="18"/>
          <w:szCs w:val="18"/>
          <w:lang w:val="en-IE"/>
        </w:rPr>
      </w:pPr>
      <w:r w:rsidRPr="00D403F5">
        <w:rPr>
          <w:sz w:val="18"/>
          <w:szCs w:val="18"/>
          <w:lang w:val="en-IE"/>
        </w:rPr>
        <w:t>4.9.</w:t>
      </w:r>
      <w:r w:rsidRPr="00D403F5">
        <w:rPr>
          <w:sz w:val="18"/>
          <w:szCs w:val="18"/>
          <w:lang w:val="en-IE"/>
        </w:rPr>
        <w:tab/>
        <w:t>Antibody-based or antigen detection methods (ELISA, etc.)</w:t>
      </w:r>
    </w:p>
    <w:p w14:paraId="6BBB1C90" w14:textId="77777777" w:rsidR="00C7266C" w:rsidRPr="00D403F5" w:rsidRDefault="00C7266C" w:rsidP="00D403F5">
      <w:pPr>
        <w:pStyle w:val="Para20"/>
        <w:spacing w:after="0"/>
        <w:rPr>
          <w:szCs w:val="18"/>
        </w:rPr>
      </w:pPr>
      <w:r w:rsidRPr="00D403F5">
        <w:rPr>
          <w:szCs w:val="18"/>
        </w:rPr>
        <w:t>Antibody-based and antigen detection methods may be used to confirm the presence of IHNV in cell culture. Kits and antibodies are commercially available and should be used according to manufacturer’s instructions. Sensitivity, specificity and sample preparation can influence the results; a negative result should be viewed with caution. These techniques should not be used as a screening method.</w:t>
      </w:r>
    </w:p>
    <w:p w14:paraId="0443B3DB" w14:textId="77777777" w:rsidR="00C7266C" w:rsidRPr="00D403F5" w:rsidRDefault="00C7266C" w:rsidP="00D403F5">
      <w:pPr>
        <w:pStyle w:val="111"/>
        <w:spacing w:after="0"/>
        <w:rPr>
          <w:rFonts w:ascii="Arial" w:hAnsi="Arial" w:cs="Arial"/>
          <w:sz w:val="18"/>
          <w:szCs w:val="18"/>
          <w:lang w:val="en-IE"/>
        </w:rPr>
      </w:pPr>
      <w:bookmarkStart w:id="87" w:name="_Hlk24447128"/>
      <w:r w:rsidRPr="00D403F5">
        <w:rPr>
          <w:rFonts w:ascii="Arial" w:hAnsi="Arial" w:cs="Arial"/>
          <w:sz w:val="18"/>
          <w:szCs w:val="18"/>
          <w:lang w:val="en-IE"/>
        </w:rPr>
        <w:t>4.9.1.</w:t>
      </w:r>
      <w:r w:rsidRPr="00D403F5">
        <w:rPr>
          <w:rFonts w:ascii="Arial" w:hAnsi="Arial" w:cs="Arial"/>
          <w:sz w:val="18"/>
          <w:szCs w:val="18"/>
          <w:lang w:val="en-IE"/>
        </w:rPr>
        <w:tab/>
        <w:t>Neutralisation test (identification in cell culture)</w:t>
      </w:r>
    </w:p>
    <w:bookmarkEnd w:id="87"/>
    <w:p w14:paraId="34578F7B" w14:textId="77777777" w:rsidR="00C7266C" w:rsidRPr="00D403F5" w:rsidRDefault="00C7266C" w:rsidP="00D403F5">
      <w:pPr>
        <w:pStyle w:val="Para3i"/>
        <w:spacing w:after="0"/>
        <w:rPr>
          <w:rFonts w:ascii="Arial" w:hAnsi="Arial"/>
          <w:sz w:val="18"/>
        </w:rPr>
      </w:pPr>
      <w:r w:rsidRPr="00D403F5">
        <w:rPr>
          <w:rFonts w:ascii="Arial" w:hAnsi="Arial"/>
          <w:sz w:val="18"/>
        </w:rPr>
        <w:t>i)</w:t>
      </w:r>
      <w:r w:rsidRPr="00D403F5">
        <w:rPr>
          <w:rFonts w:ascii="Arial" w:hAnsi="Arial"/>
          <w:sz w:val="18"/>
        </w:rPr>
        <w:tab/>
        <w:t>Collect the culture medium of the cell monolayers exhibiting CPE and centrifuge an aliquot at 2000 </w:t>
      </w:r>
      <w:r w:rsidRPr="00D403F5">
        <w:rPr>
          <w:rFonts w:ascii="Arial" w:hAnsi="Arial"/>
          <w:b/>
          <w:i/>
          <w:sz w:val="18"/>
        </w:rPr>
        <w:t>g</w:t>
      </w:r>
      <w:r w:rsidRPr="00D403F5">
        <w:rPr>
          <w:rFonts w:ascii="Arial" w:hAnsi="Arial"/>
          <w:sz w:val="18"/>
        </w:rPr>
        <w:t xml:space="preserve"> for 15 minutes at 4°C, or filter through a 0.45 µm (or 450 nm) pore membrane to remove cell debris.</w:t>
      </w:r>
    </w:p>
    <w:p w14:paraId="1E2840FF" w14:textId="77777777" w:rsidR="00C7266C" w:rsidRPr="00D403F5" w:rsidRDefault="00C7266C" w:rsidP="00D403F5">
      <w:pPr>
        <w:pStyle w:val="Para3i"/>
        <w:spacing w:after="0"/>
        <w:rPr>
          <w:rFonts w:ascii="Arial" w:hAnsi="Arial"/>
          <w:sz w:val="18"/>
        </w:rPr>
      </w:pPr>
      <w:r w:rsidRPr="00D403F5">
        <w:rPr>
          <w:rFonts w:ascii="Arial" w:hAnsi="Arial"/>
          <w:sz w:val="18"/>
        </w:rPr>
        <w:t>ii)</w:t>
      </w:r>
      <w:r w:rsidRPr="00D403F5">
        <w:rPr>
          <w:rFonts w:ascii="Arial" w:hAnsi="Arial"/>
          <w:sz w:val="18"/>
        </w:rPr>
        <w:tab/>
        <w:t>Dilute virus-containing medium from 10</w:t>
      </w:r>
      <w:r w:rsidRPr="00D403F5">
        <w:rPr>
          <w:rFonts w:ascii="Arial" w:hAnsi="Arial"/>
          <w:sz w:val="18"/>
          <w:vertAlign w:val="superscript"/>
        </w:rPr>
        <w:t>2</w:t>
      </w:r>
      <w:r w:rsidRPr="00D403F5">
        <w:rPr>
          <w:rFonts w:ascii="Arial" w:hAnsi="Arial"/>
          <w:sz w:val="18"/>
        </w:rPr>
        <w:t>–10</w:t>
      </w:r>
      <w:r w:rsidRPr="00D403F5">
        <w:rPr>
          <w:rFonts w:ascii="Arial" w:hAnsi="Arial"/>
          <w:sz w:val="18"/>
          <w:vertAlign w:val="superscript"/>
        </w:rPr>
        <w:t>4</w:t>
      </w:r>
      <w:r w:rsidRPr="00D403F5">
        <w:rPr>
          <w:rFonts w:ascii="Arial" w:hAnsi="Arial"/>
          <w:sz w:val="18"/>
        </w:rPr>
        <w:t>.</w:t>
      </w:r>
    </w:p>
    <w:p w14:paraId="09522BEA" w14:textId="77777777" w:rsidR="00C7266C" w:rsidRPr="00D403F5" w:rsidRDefault="00C7266C" w:rsidP="00D403F5">
      <w:pPr>
        <w:pStyle w:val="Para3i"/>
        <w:spacing w:after="0"/>
        <w:rPr>
          <w:rFonts w:ascii="Arial" w:hAnsi="Arial"/>
          <w:sz w:val="18"/>
        </w:rPr>
      </w:pPr>
      <w:r w:rsidRPr="00D403F5">
        <w:rPr>
          <w:rFonts w:ascii="Arial" w:hAnsi="Arial"/>
          <w:sz w:val="18"/>
        </w:rPr>
        <w:t>iii)</w:t>
      </w:r>
      <w:r w:rsidRPr="00D403F5">
        <w:rPr>
          <w:rFonts w:ascii="Arial" w:hAnsi="Arial"/>
          <w:sz w:val="18"/>
        </w:rPr>
        <w:tab/>
        <w:t>Mix aliquots (for example 200 µl) of each dilution with equal volumes of an IHNV antibody solution. The neutralising antibody solution must have a 50% plaque reduction titre of at least 2000. Likewise, treat a set of aliquots of each virus dilution with cell culture medium to provide a non-neutralised control.</w:t>
      </w:r>
    </w:p>
    <w:p w14:paraId="306B691B" w14:textId="77777777" w:rsidR="00C7266C" w:rsidRPr="00D403F5" w:rsidRDefault="00C7266C" w:rsidP="00D403F5">
      <w:pPr>
        <w:pStyle w:val="Para3i"/>
        <w:spacing w:after="0"/>
        <w:rPr>
          <w:rFonts w:ascii="Arial" w:hAnsi="Arial"/>
          <w:sz w:val="18"/>
        </w:rPr>
      </w:pPr>
      <w:r w:rsidRPr="00D403F5">
        <w:rPr>
          <w:rFonts w:ascii="Arial" w:hAnsi="Arial"/>
          <w:sz w:val="18"/>
        </w:rPr>
        <w:t>iv)</w:t>
      </w:r>
      <w:r w:rsidRPr="00D403F5">
        <w:rPr>
          <w:rFonts w:ascii="Arial" w:hAnsi="Arial"/>
          <w:sz w:val="18"/>
        </w:rPr>
        <w:tab/>
        <w:t>In parallel, a neutralisation test must be performed against a homologous IHNV strain (positive neutralisation test) to confirm the reactivity of the antiserum.</w:t>
      </w:r>
    </w:p>
    <w:p w14:paraId="23ABF405" w14:textId="77777777" w:rsidR="00C7266C" w:rsidRPr="00D403F5" w:rsidRDefault="00C7266C" w:rsidP="00D403F5">
      <w:pPr>
        <w:pStyle w:val="Para3i"/>
        <w:spacing w:after="0"/>
        <w:rPr>
          <w:rFonts w:ascii="Arial" w:hAnsi="Arial"/>
          <w:sz w:val="18"/>
        </w:rPr>
      </w:pPr>
      <w:r w:rsidRPr="00D403F5">
        <w:rPr>
          <w:rFonts w:ascii="Arial" w:hAnsi="Arial"/>
          <w:sz w:val="18"/>
        </w:rPr>
        <w:t>v)</w:t>
      </w:r>
      <w:r w:rsidRPr="00D403F5">
        <w:rPr>
          <w:rFonts w:ascii="Arial" w:hAnsi="Arial"/>
          <w:sz w:val="18"/>
        </w:rPr>
        <w:tab/>
        <w:t>Incubate all the mixtures at 15°C for 1 hour.</w:t>
      </w:r>
    </w:p>
    <w:p w14:paraId="16BD3B09" w14:textId="77777777" w:rsidR="00C7266C" w:rsidRPr="00D403F5" w:rsidRDefault="00C7266C" w:rsidP="00D403F5">
      <w:pPr>
        <w:pStyle w:val="Para3i"/>
        <w:spacing w:after="0"/>
        <w:rPr>
          <w:rFonts w:ascii="Arial" w:hAnsi="Arial"/>
          <w:sz w:val="18"/>
        </w:rPr>
      </w:pPr>
      <w:r w:rsidRPr="00D403F5">
        <w:rPr>
          <w:rFonts w:ascii="Arial" w:hAnsi="Arial"/>
          <w:sz w:val="18"/>
        </w:rPr>
        <w:t>vi)</w:t>
      </w:r>
      <w:r w:rsidRPr="00D403F5">
        <w:rPr>
          <w:rFonts w:ascii="Arial" w:hAnsi="Arial"/>
          <w:sz w:val="18"/>
        </w:rPr>
        <w:tab/>
        <w:t>Transfer aliquots of each of the above mixtures on to 24-hour-old monolayers overlaid with cell culture medium containing 10% FBS (inoculate two wells per dilution) and incubate at 15°C; 24- or 12-well cell culture plates are suitable for this purpose, using a 50 µl inoculum.</w:t>
      </w:r>
    </w:p>
    <w:p w14:paraId="748E8C3A" w14:textId="77777777" w:rsidR="00C7266C" w:rsidRPr="00D403F5" w:rsidRDefault="00C7266C" w:rsidP="00D403F5">
      <w:pPr>
        <w:pStyle w:val="Para3i"/>
        <w:spacing w:after="0"/>
        <w:rPr>
          <w:rFonts w:ascii="Arial" w:hAnsi="Arial"/>
          <w:sz w:val="18"/>
        </w:rPr>
      </w:pPr>
      <w:r w:rsidRPr="00D403F5">
        <w:rPr>
          <w:rFonts w:ascii="Arial" w:hAnsi="Arial"/>
          <w:sz w:val="18"/>
        </w:rPr>
        <w:t>vii)</w:t>
      </w:r>
      <w:r w:rsidRPr="00D403F5">
        <w:rPr>
          <w:rFonts w:ascii="Arial" w:hAnsi="Arial"/>
          <w:sz w:val="18"/>
        </w:rPr>
        <w:tab/>
        <w:t>Check the cell cultures for the onset of CPE and read the results for each suspect IHNV sample and compare to the occurrence of CPE of non-neutralised controls. Results are recorded either after a simple microscopic examination (phase contrast preferable) or after discarding the cell culture medium and staining cell monolayers with a solution of 1% crystal violet in 20% ethanol.</w:t>
      </w:r>
    </w:p>
    <w:p w14:paraId="1BA6839C" w14:textId="77777777" w:rsidR="00C7266C" w:rsidRPr="00D403F5" w:rsidRDefault="00C7266C" w:rsidP="00D403F5">
      <w:pPr>
        <w:pStyle w:val="Para3i"/>
        <w:spacing w:after="0"/>
        <w:rPr>
          <w:rFonts w:ascii="Arial" w:hAnsi="Arial"/>
          <w:sz w:val="18"/>
        </w:rPr>
      </w:pPr>
      <w:r w:rsidRPr="00D403F5">
        <w:rPr>
          <w:rFonts w:ascii="Arial" w:hAnsi="Arial"/>
          <w:sz w:val="18"/>
        </w:rPr>
        <w:t>viii)</w:t>
      </w:r>
      <w:r w:rsidRPr="00D403F5">
        <w:rPr>
          <w:rFonts w:ascii="Arial" w:hAnsi="Arial"/>
          <w:sz w:val="18"/>
        </w:rPr>
        <w:tab/>
        <w:t>The tested virus is identified as IHNV when CPE is prevented or noticeably delayed in the cell cultures that received the virus suspension treated with the IHNV-specific antibody, whereas CPE is evident in all other cell cultures.</w:t>
      </w:r>
    </w:p>
    <w:p w14:paraId="5E13B8C8" w14:textId="77777777" w:rsidR="00C7266C" w:rsidRPr="00D403F5" w:rsidRDefault="00C7266C" w:rsidP="00D403F5">
      <w:pPr>
        <w:pStyle w:val="Para3"/>
        <w:spacing w:after="0"/>
        <w:rPr>
          <w:rFonts w:cs="Arial"/>
          <w:szCs w:val="18"/>
        </w:rPr>
      </w:pPr>
      <w:r w:rsidRPr="00D403F5">
        <w:rPr>
          <w:rFonts w:cs="Arial"/>
          <w:szCs w:val="18"/>
        </w:rPr>
        <w:t>Other neutralisation tests of demonstrated performance may be used instead.</w:t>
      </w:r>
    </w:p>
    <w:p w14:paraId="35A4CAF1"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4.9.2.</w:t>
      </w:r>
      <w:r w:rsidRPr="00D403F5">
        <w:rPr>
          <w:rFonts w:ascii="Arial" w:hAnsi="Arial" w:cs="Arial"/>
          <w:sz w:val="18"/>
          <w:szCs w:val="18"/>
          <w:lang w:val="en-IE"/>
        </w:rPr>
        <w:tab/>
        <w:t>Indirect fluorescent antibody test (IFAT)</w:t>
      </w:r>
      <w:r w:rsidRPr="00D403F5">
        <w:rPr>
          <w:rFonts w:ascii="Arial" w:hAnsi="Arial" w:cs="Arial"/>
          <w:i/>
          <w:sz w:val="18"/>
          <w:szCs w:val="18"/>
          <w:lang w:val="en-IE"/>
        </w:rPr>
        <w:t xml:space="preserve"> </w:t>
      </w:r>
      <w:r w:rsidRPr="00D403F5">
        <w:rPr>
          <w:rFonts w:ascii="Arial" w:hAnsi="Arial" w:cs="Arial"/>
          <w:sz w:val="18"/>
          <w:szCs w:val="18"/>
          <w:lang w:val="en-IE"/>
        </w:rPr>
        <w:t>(identification in cell culture)</w:t>
      </w:r>
    </w:p>
    <w:p w14:paraId="0E0A43D0" w14:textId="77777777" w:rsidR="00C7266C" w:rsidRPr="00D403F5" w:rsidRDefault="00C7266C" w:rsidP="00D403F5">
      <w:pPr>
        <w:pStyle w:val="Para3i"/>
        <w:spacing w:after="0"/>
        <w:rPr>
          <w:rFonts w:ascii="Arial" w:hAnsi="Arial"/>
          <w:sz w:val="18"/>
        </w:rPr>
      </w:pPr>
      <w:r w:rsidRPr="00D403F5">
        <w:rPr>
          <w:rFonts w:ascii="Arial" w:hAnsi="Arial"/>
          <w:sz w:val="18"/>
        </w:rPr>
        <w:t>i)</w:t>
      </w:r>
      <w:r w:rsidRPr="00D403F5">
        <w:rPr>
          <w:rFonts w:ascii="Arial" w:hAnsi="Arial"/>
          <w:sz w:val="18"/>
        </w:rPr>
        <w:tab/>
        <w:t>Prepare monolayers of cells in 2 cm</w:t>
      </w:r>
      <w:r w:rsidRPr="00D403F5">
        <w:rPr>
          <w:rFonts w:ascii="Arial" w:hAnsi="Arial"/>
          <w:sz w:val="18"/>
          <w:vertAlign w:val="superscript"/>
        </w:rPr>
        <w:t>2</w:t>
      </w:r>
      <w:r w:rsidRPr="00D403F5">
        <w:rPr>
          <w:rFonts w:ascii="Arial" w:hAnsi="Arial"/>
          <w:sz w:val="18"/>
        </w:rPr>
        <w:t xml:space="preserve"> wells of cell culture plastic plates or on cover slips in order to reach around 80% confluency, which is usually achieved within 24 hours of incubation at 22°C (seed six cell monolayers per virus isolate to be identified, plus two for positive and two for negative controls). The FBS content of the cell culture medium can be reduced to 2–4%. If numerous virus isolates have to be identified, the use of black 96-well plates for immunofluorescence is recommended.</w:t>
      </w:r>
    </w:p>
    <w:p w14:paraId="3AD8483F" w14:textId="77777777" w:rsidR="00C7266C" w:rsidRPr="00D403F5" w:rsidRDefault="00C7266C" w:rsidP="00D403F5">
      <w:pPr>
        <w:pStyle w:val="Para3i"/>
        <w:spacing w:after="0"/>
        <w:rPr>
          <w:rFonts w:ascii="Arial" w:hAnsi="Arial"/>
          <w:sz w:val="18"/>
        </w:rPr>
      </w:pPr>
      <w:r w:rsidRPr="00D403F5">
        <w:rPr>
          <w:rFonts w:ascii="Arial" w:hAnsi="Arial"/>
          <w:sz w:val="18"/>
        </w:rPr>
        <w:t>ii)</w:t>
      </w:r>
      <w:r w:rsidRPr="00D403F5">
        <w:rPr>
          <w:rFonts w:ascii="Arial" w:hAnsi="Arial"/>
          <w:sz w:val="18"/>
        </w:rPr>
        <w:tab/>
        <w:t>When the cell monolayers are ready for infection (i.e. on the same day or on the day after seeding) inoculate the virus suspensions to be identified by making tenfold dilution steps directly in the cell culture wells or flasks.</w:t>
      </w:r>
    </w:p>
    <w:p w14:paraId="07E95B76" w14:textId="77777777" w:rsidR="00983DC1" w:rsidRPr="00D403F5" w:rsidRDefault="00983DC1" w:rsidP="00D403F5">
      <w:pPr>
        <w:spacing w:after="0"/>
        <w:jc w:val="right"/>
        <w:rPr>
          <w:rFonts w:ascii="Arial" w:hAnsi="Arial" w:cs="Arial"/>
          <w:noProof/>
          <w:sz w:val="18"/>
          <w:szCs w:val="18"/>
          <w:u w:val="single"/>
          <w:lang w:val="en-US"/>
        </w:rPr>
      </w:pPr>
      <w:r w:rsidRPr="00D403F5">
        <w:rPr>
          <w:rFonts w:ascii="Arial" w:hAnsi="Arial" w:cs="Arial"/>
          <w:noProof/>
          <w:sz w:val="18"/>
          <w:szCs w:val="18"/>
          <w:u w:val="single"/>
          <w:lang w:val="en-US"/>
        </w:rPr>
        <w:br w:type="page"/>
      </w:r>
    </w:p>
    <w:p w14:paraId="16586FE2" w14:textId="67FFEFB8" w:rsidR="00C7266C" w:rsidRPr="00D403F5" w:rsidRDefault="000B38E2" w:rsidP="006237A8">
      <w:pPr>
        <w:spacing w:after="480"/>
        <w:jc w:val="right"/>
        <w:rPr>
          <w:rFonts w:ascii="Times New Roman" w:hAnsi="Times New Roman" w:cs="Times New Roman"/>
          <w:sz w:val="18"/>
          <w:szCs w:val="18"/>
        </w:rPr>
      </w:pPr>
      <w:r w:rsidRPr="00D403F5">
        <w:rPr>
          <w:rFonts w:ascii="Times New Roman" w:hAnsi="Times New Roman" w:cs="Times New Roman"/>
          <w:noProof/>
          <w:sz w:val="18"/>
          <w:szCs w:val="18"/>
          <w:u w:val="single"/>
          <w:lang w:val="en-US"/>
        </w:rPr>
        <w:t xml:space="preserve">Annex 12 </w:t>
      </w:r>
      <w:r w:rsidRPr="00D403F5">
        <w:rPr>
          <w:rFonts w:ascii="Times New Roman" w:hAnsi="Times New Roman" w:cs="Times New Roman"/>
          <w:noProof/>
          <w:sz w:val="18"/>
          <w:szCs w:val="18"/>
          <w:lang w:val="en-US"/>
        </w:rPr>
        <w:t>(contd)</w:t>
      </w:r>
    </w:p>
    <w:p w14:paraId="59C8E028" w14:textId="77777777" w:rsidR="00C7266C" w:rsidRPr="00D403F5" w:rsidRDefault="00C7266C" w:rsidP="00D403F5">
      <w:pPr>
        <w:pStyle w:val="Para3i"/>
        <w:spacing w:after="0"/>
        <w:rPr>
          <w:rFonts w:ascii="Arial" w:hAnsi="Arial"/>
          <w:sz w:val="18"/>
        </w:rPr>
      </w:pPr>
      <w:r w:rsidRPr="00D403F5">
        <w:rPr>
          <w:rFonts w:ascii="Arial" w:hAnsi="Arial"/>
          <w:sz w:val="18"/>
        </w:rPr>
        <w:t>iii)</w:t>
      </w:r>
      <w:r w:rsidRPr="00D403F5">
        <w:rPr>
          <w:rFonts w:ascii="Arial" w:hAnsi="Arial"/>
          <w:sz w:val="18"/>
        </w:rPr>
        <w:tab/>
        <w:t>Dilute the control virus suspension of IHNV in a similar way, in order to obtain a virus titre of about 5,000–10,000 plaque-forming units (PFU)/ml in the cell culture medium.</w:t>
      </w:r>
    </w:p>
    <w:p w14:paraId="0A4C3B12" w14:textId="77777777" w:rsidR="00C7266C" w:rsidRPr="00D403F5" w:rsidRDefault="00C7266C" w:rsidP="00D403F5">
      <w:pPr>
        <w:pStyle w:val="Para3i"/>
        <w:spacing w:after="0"/>
        <w:rPr>
          <w:rFonts w:ascii="Arial" w:hAnsi="Arial"/>
          <w:sz w:val="18"/>
        </w:rPr>
      </w:pPr>
      <w:r w:rsidRPr="00D403F5">
        <w:rPr>
          <w:rFonts w:ascii="Arial" w:hAnsi="Arial"/>
          <w:sz w:val="18"/>
        </w:rPr>
        <w:t>iv)</w:t>
      </w:r>
      <w:r w:rsidRPr="00D403F5">
        <w:rPr>
          <w:rFonts w:ascii="Arial" w:hAnsi="Arial"/>
          <w:sz w:val="18"/>
        </w:rPr>
        <w:tab/>
        <w:t>Incubate at 15°C for 24 hours.</w:t>
      </w:r>
    </w:p>
    <w:p w14:paraId="2982E188" w14:textId="77777777" w:rsidR="00C7266C" w:rsidRPr="00D403F5" w:rsidRDefault="00C7266C" w:rsidP="00D403F5">
      <w:pPr>
        <w:pStyle w:val="Para3i"/>
        <w:spacing w:after="0"/>
        <w:rPr>
          <w:rFonts w:ascii="Arial" w:hAnsi="Arial"/>
          <w:sz w:val="18"/>
        </w:rPr>
      </w:pPr>
      <w:r w:rsidRPr="00D403F5">
        <w:rPr>
          <w:rFonts w:ascii="Arial" w:hAnsi="Arial"/>
          <w:sz w:val="18"/>
        </w:rPr>
        <w:t>v)</w:t>
      </w:r>
      <w:r w:rsidRPr="00D403F5">
        <w:rPr>
          <w:rFonts w:ascii="Arial" w:hAnsi="Arial"/>
          <w:sz w:val="18"/>
        </w:rPr>
        <w:tab/>
        <w:t>Remove the cell culture medium, rinse once with 0.01 M phosphate buffered saline (PBS), pH 7.2, then three times briefly with a cold mixture of acetone 30%/ethanol 70% (v/v) (stored at –20°C).</w:t>
      </w:r>
    </w:p>
    <w:p w14:paraId="1D12D688" w14:textId="77777777" w:rsidR="00C7266C" w:rsidRPr="00D403F5" w:rsidRDefault="00C7266C" w:rsidP="00D403F5">
      <w:pPr>
        <w:pStyle w:val="Para3i"/>
        <w:spacing w:after="0"/>
        <w:rPr>
          <w:rFonts w:ascii="Arial" w:hAnsi="Arial"/>
          <w:sz w:val="18"/>
        </w:rPr>
      </w:pPr>
      <w:r w:rsidRPr="00D403F5">
        <w:rPr>
          <w:rFonts w:ascii="Arial" w:hAnsi="Arial"/>
          <w:sz w:val="18"/>
        </w:rPr>
        <w:t>vi)</w:t>
      </w:r>
      <w:r w:rsidRPr="00D403F5">
        <w:rPr>
          <w:rFonts w:ascii="Arial" w:hAnsi="Arial"/>
          <w:sz w:val="18"/>
        </w:rPr>
        <w:tab/>
        <w:t>Let the fixative act for 15 minutes. A volume of 0.5 ml is adequate for 2 cm</w:t>
      </w:r>
      <w:r w:rsidRPr="00D403F5">
        <w:rPr>
          <w:rFonts w:ascii="Arial" w:hAnsi="Arial"/>
          <w:sz w:val="18"/>
          <w:vertAlign w:val="superscript"/>
        </w:rPr>
        <w:t>2</w:t>
      </w:r>
      <w:r w:rsidRPr="00D403F5">
        <w:rPr>
          <w:rFonts w:ascii="Arial" w:hAnsi="Arial"/>
          <w:sz w:val="18"/>
        </w:rPr>
        <w:t xml:space="preserve"> of cell monolayer.</w:t>
      </w:r>
    </w:p>
    <w:p w14:paraId="76BCD4C1" w14:textId="77777777" w:rsidR="00C7266C" w:rsidRPr="00D403F5" w:rsidRDefault="00C7266C" w:rsidP="00D403F5">
      <w:pPr>
        <w:pStyle w:val="Para3i"/>
        <w:spacing w:after="0"/>
        <w:rPr>
          <w:rFonts w:ascii="Arial" w:hAnsi="Arial"/>
          <w:sz w:val="18"/>
        </w:rPr>
      </w:pPr>
      <w:r w:rsidRPr="00D403F5">
        <w:rPr>
          <w:rFonts w:ascii="Arial" w:hAnsi="Arial"/>
          <w:sz w:val="18"/>
        </w:rPr>
        <w:t>vii)</w:t>
      </w:r>
      <w:r w:rsidRPr="00D403F5">
        <w:rPr>
          <w:rFonts w:ascii="Arial" w:hAnsi="Arial"/>
          <w:sz w:val="18"/>
        </w:rPr>
        <w:tab/>
        <w:t xml:space="preserve">Allow the cell monolayers to air-dry for at least 30 minutes and process immediately or freeze at </w:t>
      </w:r>
      <w:r w:rsidRPr="00D403F5">
        <w:rPr>
          <w:rFonts w:ascii="Arial" w:hAnsi="Arial"/>
          <w:sz w:val="18"/>
        </w:rPr>
        <w:br/>
        <w:t>–20°C.</w:t>
      </w:r>
    </w:p>
    <w:p w14:paraId="453AD68A" w14:textId="77777777" w:rsidR="00C7266C" w:rsidRPr="00D403F5" w:rsidRDefault="00C7266C" w:rsidP="00D403F5">
      <w:pPr>
        <w:pStyle w:val="Para3i"/>
        <w:spacing w:after="0"/>
        <w:rPr>
          <w:rFonts w:ascii="Arial" w:hAnsi="Arial"/>
          <w:sz w:val="18"/>
        </w:rPr>
      </w:pPr>
      <w:r w:rsidRPr="00D403F5">
        <w:rPr>
          <w:rFonts w:ascii="Arial" w:hAnsi="Arial"/>
          <w:sz w:val="18"/>
        </w:rPr>
        <w:t>viii)</w:t>
      </w:r>
      <w:r w:rsidRPr="00D403F5">
        <w:rPr>
          <w:rFonts w:ascii="Arial" w:hAnsi="Arial"/>
          <w:sz w:val="18"/>
        </w:rPr>
        <w:tab/>
        <w:t>Prepare a solution of purified IHNV antibody or serum in 0.01 M PBS, pH 7.2, containing 0.05% Tween-80 (PBST), at the appropriate dilution (which has been established previously or is given by the reagent supplier).</w:t>
      </w:r>
    </w:p>
    <w:p w14:paraId="7D4551A8" w14:textId="77777777" w:rsidR="00C7266C" w:rsidRPr="00D403F5" w:rsidRDefault="00C7266C" w:rsidP="00D403F5">
      <w:pPr>
        <w:pStyle w:val="Para3i"/>
        <w:spacing w:after="0"/>
        <w:rPr>
          <w:rFonts w:ascii="Arial" w:hAnsi="Arial"/>
          <w:sz w:val="18"/>
        </w:rPr>
      </w:pPr>
      <w:r w:rsidRPr="00D403F5">
        <w:rPr>
          <w:rFonts w:ascii="Arial" w:hAnsi="Arial"/>
          <w:sz w:val="18"/>
        </w:rPr>
        <w:t>ix)</w:t>
      </w:r>
      <w:r w:rsidRPr="00D403F5">
        <w:rPr>
          <w:rFonts w:ascii="Arial" w:hAnsi="Arial"/>
          <w:sz w:val="18"/>
        </w:rPr>
        <w:tab/>
        <w:t>Rehydrate the dried cell monolayers by four rinsing steps with the PBST solution and remove this buffer completely after the last rinsing.</w:t>
      </w:r>
    </w:p>
    <w:p w14:paraId="675A9EF4" w14:textId="77777777" w:rsidR="00C7266C" w:rsidRPr="00D403F5" w:rsidRDefault="00C7266C" w:rsidP="00D403F5">
      <w:pPr>
        <w:pStyle w:val="Para3i"/>
        <w:spacing w:after="0"/>
        <w:rPr>
          <w:rFonts w:ascii="Arial" w:hAnsi="Arial"/>
          <w:sz w:val="18"/>
        </w:rPr>
      </w:pPr>
      <w:r w:rsidRPr="00D403F5">
        <w:rPr>
          <w:rFonts w:ascii="Arial" w:hAnsi="Arial"/>
          <w:sz w:val="18"/>
        </w:rPr>
        <w:t>x)</w:t>
      </w:r>
      <w:r w:rsidRPr="00D403F5">
        <w:rPr>
          <w:rFonts w:ascii="Arial" w:hAnsi="Arial"/>
          <w:sz w:val="18"/>
        </w:rPr>
        <w:tab/>
        <w:t>Treat the cell monolayers with the antibody solution for 1 hour at 37°C in a humid chamber and do not allow evaporation to occur (e.g. by adding a piece of wet cotton to the humid chamber). The volume of solution to be used is 0.25 ml/2 cm</w:t>
      </w:r>
      <w:r w:rsidRPr="00D403F5">
        <w:rPr>
          <w:rFonts w:ascii="Arial" w:hAnsi="Arial"/>
          <w:sz w:val="18"/>
          <w:vertAlign w:val="superscript"/>
        </w:rPr>
        <w:t>2</w:t>
      </w:r>
      <w:r w:rsidRPr="00D403F5">
        <w:rPr>
          <w:rFonts w:ascii="Arial" w:hAnsi="Arial"/>
          <w:sz w:val="18"/>
        </w:rPr>
        <w:t xml:space="preserve"> well.</w:t>
      </w:r>
    </w:p>
    <w:p w14:paraId="1A90D953" w14:textId="77777777" w:rsidR="00C7266C" w:rsidRPr="00D403F5" w:rsidRDefault="00C7266C" w:rsidP="00D403F5">
      <w:pPr>
        <w:pStyle w:val="Para3i"/>
        <w:spacing w:after="0"/>
        <w:rPr>
          <w:rFonts w:ascii="Arial" w:hAnsi="Arial"/>
          <w:sz w:val="18"/>
        </w:rPr>
      </w:pPr>
      <w:r w:rsidRPr="00D403F5">
        <w:rPr>
          <w:rFonts w:ascii="Arial" w:hAnsi="Arial"/>
          <w:sz w:val="18"/>
        </w:rPr>
        <w:t>xi)</w:t>
      </w:r>
      <w:r w:rsidRPr="00D403F5">
        <w:rPr>
          <w:rFonts w:ascii="Arial" w:hAnsi="Arial"/>
          <w:sz w:val="18"/>
        </w:rPr>
        <w:tab/>
        <w:t>Rinse four times with PBST as above.</w:t>
      </w:r>
    </w:p>
    <w:p w14:paraId="41EE0118" w14:textId="77777777" w:rsidR="00C7266C" w:rsidRPr="00D403F5" w:rsidRDefault="00C7266C" w:rsidP="00D403F5">
      <w:pPr>
        <w:pStyle w:val="Para3i"/>
        <w:spacing w:after="0"/>
        <w:rPr>
          <w:rFonts w:ascii="Arial" w:hAnsi="Arial"/>
          <w:sz w:val="18"/>
        </w:rPr>
      </w:pPr>
      <w:r w:rsidRPr="00D403F5">
        <w:rPr>
          <w:rFonts w:ascii="Arial" w:hAnsi="Arial"/>
          <w:sz w:val="18"/>
        </w:rPr>
        <w:t>xii)</w:t>
      </w:r>
      <w:r w:rsidRPr="00D403F5">
        <w:rPr>
          <w:rFonts w:ascii="Arial" w:hAnsi="Arial"/>
          <w:sz w:val="18"/>
        </w:rPr>
        <w:tab/>
        <w:t>Treat the cell monolayers for 1 hour at 37°C with a solution of fluorescein isothiocyanate- or tetramethylrhodamine-5-(and-6-) isothiocyanate-conjugated antibody to the immunoglobulin used in the first layer and prepared according to the instructions of the supplier. These conjugated antibodies are most often rabbit or goat antibodies.</w:t>
      </w:r>
    </w:p>
    <w:p w14:paraId="62ACDB8B" w14:textId="77777777" w:rsidR="00C7266C" w:rsidRPr="00D403F5" w:rsidRDefault="00C7266C" w:rsidP="00D403F5">
      <w:pPr>
        <w:pStyle w:val="Para3i"/>
        <w:spacing w:after="0"/>
        <w:rPr>
          <w:rFonts w:ascii="Arial" w:hAnsi="Arial"/>
          <w:sz w:val="18"/>
        </w:rPr>
      </w:pPr>
      <w:r w:rsidRPr="00D403F5">
        <w:rPr>
          <w:rFonts w:ascii="Arial" w:hAnsi="Arial"/>
          <w:sz w:val="18"/>
        </w:rPr>
        <w:t>xiii)</w:t>
      </w:r>
      <w:r w:rsidRPr="00D403F5">
        <w:rPr>
          <w:rFonts w:ascii="Arial" w:hAnsi="Arial"/>
          <w:sz w:val="18"/>
        </w:rPr>
        <w:tab/>
        <w:t>Rinse four times with PBST.</w:t>
      </w:r>
    </w:p>
    <w:p w14:paraId="1C6F5DEE" w14:textId="77777777" w:rsidR="00C7266C" w:rsidRPr="00D403F5" w:rsidRDefault="00C7266C" w:rsidP="00D403F5">
      <w:pPr>
        <w:pStyle w:val="Para3i"/>
        <w:spacing w:after="0"/>
        <w:rPr>
          <w:rFonts w:ascii="Arial" w:hAnsi="Arial"/>
          <w:sz w:val="18"/>
        </w:rPr>
      </w:pPr>
      <w:r w:rsidRPr="00D403F5">
        <w:rPr>
          <w:rFonts w:ascii="Arial" w:hAnsi="Arial"/>
          <w:sz w:val="18"/>
        </w:rPr>
        <w:t>xiv)</w:t>
      </w:r>
      <w:r w:rsidRPr="00D403F5">
        <w:rPr>
          <w:rFonts w:ascii="Arial" w:hAnsi="Arial"/>
          <w:sz w:val="18"/>
        </w:rPr>
        <w:tab/>
        <w:t>Examine the treated cell monolayers on plastic plates immediately, or mount the cover slips using, for example, glycerol saline, pH 8.5 prior to microscopic observation.</w:t>
      </w:r>
    </w:p>
    <w:p w14:paraId="777345A7" w14:textId="77777777" w:rsidR="00C7266C" w:rsidRPr="00D403F5" w:rsidRDefault="00C7266C" w:rsidP="00D403F5">
      <w:pPr>
        <w:pStyle w:val="Para3i"/>
        <w:spacing w:after="0"/>
        <w:rPr>
          <w:rFonts w:ascii="Arial" w:hAnsi="Arial"/>
          <w:sz w:val="18"/>
        </w:rPr>
      </w:pPr>
      <w:r w:rsidRPr="00D403F5">
        <w:rPr>
          <w:rFonts w:ascii="Arial" w:hAnsi="Arial"/>
          <w:sz w:val="18"/>
        </w:rPr>
        <w:t>xv)</w:t>
      </w:r>
      <w:r w:rsidRPr="00D403F5">
        <w:rPr>
          <w:rFonts w:ascii="Arial" w:hAnsi="Arial"/>
          <w:sz w:val="18"/>
        </w:rPr>
        <w:tab/>
        <w:t>Examine under incident UV light using a microscope with × 10 eye pieces and × 20–40 objective lens having numerical aperture &gt;0.65 and &gt;1.3, respectively. Positive and negative controls must be found to give the expected results prior to any other observation.</w:t>
      </w:r>
    </w:p>
    <w:p w14:paraId="1C4421D7" w14:textId="77777777" w:rsidR="00C7266C" w:rsidRPr="00D403F5" w:rsidRDefault="00C7266C" w:rsidP="00D403F5">
      <w:pPr>
        <w:pStyle w:val="Para3"/>
        <w:spacing w:after="0"/>
        <w:rPr>
          <w:rFonts w:cs="Arial"/>
          <w:szCs w:val="18"/>
        </w:rPr>
      </w:pPr>
      <w:r w:rsidRPr="00D403F5">
        <w:rPr>
          <w:rFonts w:cs="Arial"/>
          <w:szCs w:val="18"/>
        </w:rPr>
        <w:t>Other IFAT or immunocytochemical (alkaline phosphatase or peroxidase) techniques of demonstrated performance may be used instead.</w:t>
      </w:r>
    </w:p>
    <w:p w14:paraId="7CD2E67B"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4.9.3.</w:t>
      </w:r>
      <w:r w:rsidRPr="00D403F5">
        <w:rPr>
          <w:rFonts w:ascii="Arial" w:hAnsi="Arial" w:cs="Arial"/>
          <w:sz w:val="18"/>
          <w:szCs w:val="18"/>
          <w:lang w:val="en-IE"/>
        </w:rPr>
        <w:tab/>
        <w:t>Enzyme-linked immunosorbent assay (ELISA)</w:t>
      </w:r>
    </w:p>
    <w:p w14:paraId="41E0F16C" w14:textId="77777777" w:rsidR="00C7266C" w:rsidRPr="00D403F5" w:rsidRDefault="00C7266C" w:rsidP="00D403F5">
      <w:pPr>
        <w:pStyle w:val="Para3i"/>
        <w:spacing w:after="0"/>
        <w:rPr>
          <w:rFonts w:ascii="Arial" w:hAnsi="Arial"/>
          <w:sz w:val="18"/>
        </w:rPr>
      </w:pPr>
      <w:r w:rsidRPr="00D403F5">
        <w:rPr>
          <w:rFonts w:ascii="Arial" w:hAnsi="Arial"/>
          <w:sz w:val="18"/>
        </w:rPr>
        <w:t>i)</w:t>
      </w:r>
      <w:r w:rsidRPr="00D403F5">
        <w:rPr>
          <w:rFonts w:ascii="Arial" w:hAnsi="Arial"/>
          <w:sz w:val="18"/>
        </w:rPr>
        <w:tab/>
        <w:t>Coat the wells of microplates designed for ELISAs with appropriate dilutions of purified immunoglobulins (Ig) or serum specific for IHNV, in 0.01 M PBS, pH 7.2 (200 µl/well).</w:t>
      </w:r>
    </w:p>
    <w:p w14:paraId="6D9A95EC" w14:textId="77777777" w:rsidR="00C7266C" w:rsidRPr="00D403F5" w:rsidRDefault="00C7266C" w:rsidP="00D403F5">
      <w:pPr>
        <w:pStyle w:val="Para3i"/>
        <w:spacing w:after="0"/>
        <w:rPr>
          <w:rFonts w:ascii="Arial" w:hAnsi="Arial"/>
          <w:sz w:val="18"/>
        </w:rPr>
      </w:pPr>
      <w:r w:rsidRPr="00D403F5">
        <w:rPr>
          <w:rFonts w:ascii="Arial" w:hAnsi="Arial"/>
          <w:sz w:val="18"/>
        </w:rPr>
        <w:t>ii)</w:t>
      </w:r>
      <w:r w:rsidRPr="00D403F5">
        <w:rPr>
          <w:rFonts w:ascii="Arial" w:hAnsi="Arial"/>
          <w:sz w:val="18"/>
        </w:rPr>
        <w:tab/>
        <w:t>Incubate overnight at 4°C.</w:t>
      </w:r>
    </w:p>
    <w:p w14:paraId="5E7668D5" w14:textId="77777777" w:rsidR="00C7266C" w:rsidRPr="00D403F5" w:rsidRDefault="00C7266C" w:rsidP="00D403F5">
      <w:pPr>
        <w:pStyle w:val="Para3i"/>
        <w:spacing w:after="0"/>
        <w:rPr>
          <w:rFonts w:ascii="Arial" w:hAnsi="Arial"/>
          <w:sz w:val="18"/>
        </w:rPr>
      </w:pPr>
      <w:r w:rsidRPr="00D403F5">
        <w:rPr>
          <w:rFonts w:ascii="Arial" w:hAnsi="Arial"/>
          <w:sz w:val="18"/>
        </w:rPr>
        <w:t>iii)</w:t>
      </w:r>
      <w:r w:rsidRPr="00D403F5">
        <w:rPr>
          <w:rFonts w:ascii="Arial" w:hAnsi="Arial"/>
          <w:sz w:val="18"/>
        </w:rPr>
        <w:tab/>
        <w:t>Rinse four times with 0.01 M PBS containing 0.05% Tween-20 (PBST).</w:t>
      </w:r>
    </w:p>
    <w:p w14:paraId="7FA09502" w14:textId="77777777" w:rsidR="00C7266C" w:rsidRPr="00D403F5" w:rsidRDefault="00C7266C" w:rsidP="00D403F5">
      <w:pPr>
        <w:pStyle w:val="Para3i"/>
        <w:spacing w:after="0"/>
        <w:rPr>
          <w:rFonts w:ascii="Arial" w:hAnsi="Arial"/>
          <w:sz w:val="18"/>
        </w:rPr>
      </w:pPr>
      <w:r w:rsidRPr="00D403F5">
        <w:rPr>
          <w:rFonts w:ascii="Arial" w:hAnsi="Arial"/>
          <w:sz w:val="18"/>
        </w:rPr>
        <w:t>iv)</w:t>
      </w:r>
      <w:r w:rsidRPr="00D403F5">
        <w:rPr>
          <w:rFonts w:ascii="Arial" w:hAnsi="Arial"/>
          <w:sz w:val="18"/>
        </w:rPr>
        <w:tab/>
        <w:t>Block with skim milk (5% in PBST) or other blocking solution for 1 hour at 37°C (200 µl/well).</w:t>
      </w:r>
    </w:p>
    <w:p w14:paraId="4E816191" w14:textId="77777777" w:rsidR="00C7266C" w:rsidRPr="00D403F5" w:rsidRDefault="00C7266C" w:rsidP="00D403F5">
      <w:pPr>
        <w:pStyle w:val="Para3i"/>
        <w:spacing w:after="0"/>
        <w:rPr>
          <w:rFonts w:ascii="Arial" w:hAnsi="Arial"/>
          <w:sz w:val="18"/>
        </w:rPr>
      </w:pPr>
      <w:r w:rsidRPr="00D403F5">
        <w:rPr>
          <w:rFonts w:ascii="Arial" w:hAnsi="Arial"/>
          <w:sz w:val="18"/>
        </w:rPr>
        <w:t>v)</w:t>
      </w:r>
      <w:r w:rsidRPr="00D403F5">
        <w:rPr>
          <w:rFonts w:ascii="Arial" w:hAnsi="Arial"/>
          <w:sz w:val="18"/>
        </w:rPr>
        <w:tab/>
        <w:t>Rinse four times with PBST.</w:t>
      </w:r>
    </w:p>
    <w:p w14:paraId="5488CA78" w14:textId="77777777" w:rsidR="00C7266C" w:rsidRPr="00D403F5" w:rsidRDefault="00C7266C" w:rsidP="00D403F5">
      <w:pPr>
        <w:pStyle w:val="Para3i"/>
        <w:spacing w:after="0"/>
        <w:rPr>
          <w:rFonts w:ascii="Arial" w:hAnsi="Arial"/>
          <w:sz w:val="18"/>
        </w:rPr>
      </w:pPr>
      <w:r w:rsidRPr="00D403F5">
        <w:rPr>
          <w:rFonts w:ascii="Arial" w:hAnsi="Arial"/>
          <w:sz w:val="18"/>
        </w:rPr>
        <w:t>vi)</w:t>
      </w:r>
      <w:r w:rsidRPr="00D403F5">
        <w:rPr>
          <w:rFonts w:ascii="Arial" w:hAnsi="Arial"/>
          <w:sz w:val="18"/>
        </w:rPr>
        <w:tab/>
        <w:t>Add 2% Triton X-100 to the virus suspension to be identified.</w:t>
      </w:r>
    </w:p>
    <w:p w14:paraId="1ECC52C9" w14:textId="77777777" w:rsidR="00C7266C" w:rsidRPr="00D403F5" w:rsidRDefault="00C7266C" w:rsidP="00D403F5">
      <w:pPr>
        <w:pStyle w:val="Para3i"/>
        <w:spacing w:after="0"/>
        <w:rPr>
          <w:rFonts w:ascii="Arial" w:hAnsi="Arial"/>
          <w:sz w:val="18"/>
        </w:rPr>
      </w:pPr>
      <w:r w:rsidRPr="00D403F5">
        <w:rPr>
          <w:rFonts w:ascii="Arial" w:hAnsi="Arial"/>
          <w:sz w:val="18"/>
        </w:rPr>
        <w:t>vii)</w:t>
      </w:r>
      <w:r w:rsidRPr="00D403F5">
        <w:rPr>
          <w:rFonts w:ascii="Arial" w:hAnsi="Arial"/>
          <w:sz w:val="18"/>
        </w:rPr>
        <w:tab/>
        <w:t>Dispense 100 µl/well of two- or four-step dilutions of the virus to be identified and of IHNV control virus, and a heterologous virus control (e.g. viral haemorrhagic septicaemia virus). Allow the samples to react with the coated antibody to IHNV for 1 hour at 20°C.</w:t>
      </w:r>
    </w:p>
    <w:p w14:paraId="1F909FCB" w14:textId="77777777" w:rsidR="00C7266C" w:rsidRPr="00D403F5" w:rsidRDefault="00C7266C" w:rsidP="00D403F5">
      <w:pPr>
        <w:pStyle w:val="Para3i"/>
        <w:spacing w:after="0"/>
        <w:rPr>
          <w:rFonts w:ascii="Arial" w:hAnsi="Arial"/>
          <w:sz w:val="18"/>
        </w:rPr>
      </w:pPr>
      <w:r w:rsidRPr="00D403F5">
        <w:rPr>
          <w:rFonts w:ascii="Arial" w:hAnsi="Arial"/>
          <w:sz w:val="18"/>
        </w:rPr>
        <w:t>viii)</w:t>
      </w:r>
      <w:r w:rsidRPr="00D403F5">
        <w:rPr>
          <w:rFonts w:ascii="Arial" w:hAnsi="Arial"/>
          <w:sz w:val="18"/>
        </w:rPr>
        <w:tab/>
        <w:t>Rinse four times with PBST.</w:t>
      </w:r>
    </w:p>
    <w:p w14:paraId="0A4F001F" w14:textId="77777777" w:rsidR="00C7266C" w:rsidRPr="00D403F5" w:rsidRDefault="00C7266C" w:rsidP="00D403F5">
      <w:pPr>
        <w:pStyle w:val="Para3i"/>
        <w:spacing w:after="0"/>
        <w:rPr>
          <w:rFonts w:ascii="Arial" w:hAnsi="Arial"/>
          <w:sz w:val="18"/>
        </w:rPr>
      </w:pPr>
      <w:r w:rsidRPr="00D403F5">
        <w:rPr>
          <w:rFonts w:ascii="Arial" w:hAnsi="Arial"/>
          <w:sz w:val="18"/>
        </w:rPr>
        <w:t>ix)</w:t>
      </w:r>
      <w:r w:rsidRPr="00D403F5">
        <w:rPr>
          <w:rFonts w:ascii="Arial" w:hAnsi="Arial"/>
          <w:sz w:val="18"/>
        </w:rPr>
        <w:tab/>
        <w:t>Add to the wells either biotinylated polyclonal IHNV antiserum or MAb to N protein specific for a domain different from the one of the coating MAb and previously conjugated with biotin.</w:t>
      </w:r>
    </w:p>
    <w:p w14:paraId="13C462C8" w14:textId="77777777" w:rsidR="00C7266C" w:rsidRPr="00D403F5" w:rsidRDefault="00C7266C" w:rsidP="00D403F5">
      <w:pPr>
        <w:pStyle w:val="Para3i"/>
        <w:spacing w:after="0"/>
        <w:rPr>
          <w:rFonts w:ascii="Arial" w:hAnsi="Arial"/>
          <w:sz w:val="18"/>
        </w:rPr>
      </w:pPr>
      <w:r w:rsidRPr="00D403F5">
        <w:rPr>
          <w:rFonts w:ascii="Arial" w:hAnsi="Arial"/>
          <w:sz w:val="18"/>
        </w:rPr>
        <w:t>x)</w:t>
      </w:r>
      <w:r w:rsidRPr="00D403F5">
        <w:rPr>
          <w:rFonts w:ascii="Arial" w:hAnsi="Arial"/>
          <w:sz w:val="18"/>
        </w:rPr>
        <w:tab/>
        <w:t>Incubate for 1 hour at 37°C.</w:t>
      </w:r>
    </w:p>
    <w:p w14:paraId="700E4B00" w14:textId="77777777" w:rsidR="00C7266C" w:rsidRPr="00D403F5" w:rsidRDefault="00C7266C" w:rsidP="00D403F5">
      <w:pPr>
        <w:pStyle w:val="Para3i"/>
        <w:spacing w:after="0"/>
        <w:rPr>
          <w:rFonts w:ascii="Arial" w:hAnsi="Arial"/>
          <w:sz w:val="18"/>
        </w:rPr>
      </w:pPr>
      <w:r w:rsidRPr="00D403F5">
        <w:rPr>
          <w:rFonts w:ascii="Arial" w:hAnsi="Arial"/>
          <w:sz w:val="18"/>
        </w:rPr>
        <w:t>xi)</w:t>
      </w:r>
      <w:r w:rsidRPr="00D403F5">
        <w:rPr>
          <w:rFonts w:ascii="Arial" w:hAnsi="Arial"/>
          <w:sz w:val="18"/>
        </w:rPr>
        <w:tab/>
        <w:t>Rinse four times with PBST.</w:t>
      </w:r>
    </w:p>
    <w:p w14:paraId="6F602F9D" w14:textId="77777777" w:rsidR="00C7266C" w:rsidRPr="00D403F5" w:rsidRDefault="00C7266C" w:rsidP="00D403F5">
      <w:pPr>
        <w:pStyle w:val="Para3i"/>
        <w:spacing w:after="0"/>
        <w:rPr>
          <w:rFonts w:ascii="Arial" w:hAnsi="Arial"/>
          <w:sz w:val="18"/>
        </w:rPr>
      </w:pPr>
      <w:r w:rsidRPr="00D403F5">
        <w:rPr>
          <w:rFonts w:ascii="Arial" w:hAnsi="Arial"/>
          <w:sz w:val="18"/>
        </w:rPr>
        <w:t>xii)</w:t>
      </w:r>
      <w:r w:rsidRPr="00D403F5">
        <w:rPr>
          <w:rFonts w:ascii="Arial" w:hAnsi="Arial"/>
          <w:sz w:val="18"/>
        </w:rPr>
        <w:tab/>
        <w:t>Add streptavidin-conjugated horseradish peroxidase to those wells that have received the biotin-conjugated antibody, and incubate for 1 hour at 20°C.</w:t>
      </w:r>
    </w:p>
    <w:p w14:paraId="468B19D2" w14:textId="77777777" w:rsidR="000B38E2" w:rsidRPr="00D403F5" w:rsidRDefault="000B38E2" w:rsidP="00D403F5">
      <w:pPr>
        <w:spacing w:after="0"/>
        <w:rPr>
          <w:noProof/>
          <w:sz w:val="18"/>
          <w:szCs w:val="18"/>
          <w:u w:val="single"/>
          <w:lang w:val="en-US"/>
        </w:rPr>
      </w:pPr>
      <w:r w:rsidRPr="00D403F5">
        <w:rPr>
          <w:noProof/>
          <w:sz w:val="18"/>
          <w:szCs w:val="18"/>
          <w:u w:val="single"/>
          <w:lang w:val="en-US"/>
        </w:rPr>
        <w:br w:type="page"/>
      </w:r>
    </w:p>
    <w:p w14:paraId="580F9A89" w14:textId="493437F9" w:rsidR="00C7266C" w:rsidRPr="00D403F5" w:rsidRDefault="000B38E2" w:rsidP="006237A8">
      <w:pPr>
        <w:spacing w:after="480" w:line="240" w:lineRule="auto"/>
        <w:rPr>
          <w:sz w:val="18"/>
          <w:szCs w:val="18"/>
        </w:rPr>
      </w:pPr>
      <w:r w:rsidRPr="00D403F5">
        <w:rPr>
          <w:rFonts w:ascii="Times New Roman" w:hAnsi="Times New Roman" w:cs="Times New Roman"/>
          <w:noProof/>
          <w:sz w:val="18"/>
          <w:szCs w:val="18"/>
          <w:u w:val="single"/>
          <w:lang w:val="en-US"/>
        </w:rPr>
        <w:t>Annex 12</w:t>
      </w:r>
      <w:r w:rsidRPr="00D403F5">
        <w:rPr>
          <w:rFonts w:ascii="Times New Roman" w:hAnsi="Times New Roman" w:cs="Times New Roman"/>
          <w:noProof/>
          <w:sz w:val="18"/>
          <w:szCs w:val="18"/>
          <w:lang w:val="en-US"/>
        </w:rPr>
        <w:t xml:space="preserve"> (contd)</w:t>
      </w:r>
    </w:p>
    <w:p w14:paraId="69A86763" w14:textId="77777777" w:rsidR="00C7266C" w:rsidRPr="006237A8" w:rsidRDefault="00C7266C" w:rsidP="006237A8">
      <w:pPr>
        <w:pStyle w:val="Para3i"/>
        <w:spacing w:after="160"/>
        <w:rPr>
          <w:rFonts w:ascii="Arial" w:hAnsi="Arial"/>
          <w:sz w:val="18"/>
        </w:rPr>
      </w:pPr>
      <w:r w:rsidRPr="00D403F5">
        <w:rPr>
          <w:rFonts w:ascii="Arial" w:hAnsi="Arial"/>
          <w:sz w:val="18"/>
        </w:rPr>
        <w:t>xiii)</w:t>
      </w:r>
      <w:r w:rsidRPr="00D403F5">
        <w:rPr>
          <w:rFonts w:ascii="Arial" w:hAnsi="Arial"/>
          <w:sz w:val="18"/>
        </w:rPr>
        <w:tab/>
        <w:t xml:space="preserve">Rinse four times with PBST. Add the substrate and chromogen. Stop the course of the test </w:t>
      </w:r>
      <w:r w:rsidRPr="006237A8">
        <w:rPr>
          <w:rFonts w:ascii="Arial" w:hAnsi="Arial"/>
          <w:sz w:val="18"/>
        </w:rPr>
        <w:t>when positive controls react and read the results.</w:t>
      </w:r>
    </w:p>
    <w:p w14:paraId="7C933733" w14:textId="77777777" w:rsidR="00C7266C" w:rsidRPr="006237A8" w:rsidRDefault="00C7266C" w:rsidP="006237A8">
      <w:pPr>
        <w:pStyle w:val="Para3i"/>
        <w:spacing w:after="160"/>
        <w:rPr>
          <w:rFonts w:ascii="Arial" w:hAnsi="Arial"/>
          <w:sz w:val="18"/>
        </w:rPr>
      </w:pPr>
      <w:r w:rsidRPr="006237A8">
        <w:rPr>
          <w:rFonts w:ascii="Arial" w:hAnsi="Arial"/>
          <w:sz w:val="18"/>
        </w:rPr>
        <w:t>xiv)</w:t>
      </w:r>
      <w:r w:rsidRPr="006237A8">
        <w:rPr>
          <w:rFonts w:ascii="Arial" w:hAnsi="Arial"/>
          <w:sz w:val="18"/>
        </w:rPr>
        <w:tab/>
        <w:t xml:space="preserve">Interpretation of the results is according to the optical absorbencies achieved by negative and positive controls and must follow the guidelines for each test, e.g. absorbency at 450 nm of positive control must be minimum 5–10 × A450 of negative control. </w:t>
      </w:r>
    </w:p>
    <w:p w14:paraId="36B9917F" w14:textId="77777777" w:rsidR="00C7266C" w:rsidRPr="006237A8" w:rsidRDefault="00C7266C" w:rsidP="006237A8">
      <w:pPr>
        <w:pStyle w:val="Para3"/>
        <w:spacing w:after="160"/>
        <w:rPr>
          <w:rFonts w:cs="Arial"/>
          <w:szCs w:val="18"/>
        </w:rPr>
      </w:pPr>
      <w:r w:rsidRPr="006237A8">
        <w:rPr>
          <w:rFonts w:cs="Arial"/>
          <w:szCs w:val="18"/>
        </w:rPr>
        <w:t>The above biotin–avidin-based ELISA version is given as an example. Other ELISA versions of demonstrated performance may be used instead.</w:t>
      </w:r>
    </w:p>
    <w:p w14:paraId="080F7342" w14:textId="77777777" w:rsidR="00C7266C" w:rsidRPr="006237A8" w:rsidRDefault="00C7266C" w:rsidP="006237A8">
      <w:pPr>
        <w:pStyle w:val="11"/>
        <w:spacing w:after="160"/>
        <w:rPr>
          <w:rFonts w:ascii="Arial" w:hAnsi="Arial" w:cs="Arial"/>
          <w:sz w:val="18"/>
          <w:szCs w:val="18"/>
          <w:lang w:val="en-IE"/>
        </w:rPr>
      </w:pPr>
      <w:r w:rsidRPr="006237A8">
        <w:rPr>
          <w:rFonts w:ascii="Arial" w:hAnsi="Arial" w:cs="Arial"/>
          <w:sz w:val="18"/>
          <w:szCs w:val="18"/>
          <w:lang w:val="en-IE"/>
        </w:rPr>
        <w:t>4.10.</w:t>
      </w:r>
      <w:r w:rsidRPr="006237A8">
        <w:rPr>
          <w:rFonts w:ascii="Arial" w:hAnsi="Arial" w:cs="Arial"/>
          <w:sz w:val="18"/>
          <w:szCs w:val="18"/>
          <w:lang w:val="en-IE"/>
        </w:rPr>
        <w:tab/>
        <w:t>Other serological methods</w:t>
      </w:r>
    </w:p>
    <w:p w14:paraId="53C54E58" w14:textId="77777777" w:rsidR="00C7266C" w:rsidRPr="006237A8" w:rsidRDefault="00C7266C" w:rsidP="006237A8">
      <w:pPr>
        <w:pStyle w:val="Para20"/>
        <w:spacing w:after="160"/>
        <w:rPr>
          <w:rFonts w:cs="Arial"/>
          <w:szCs w:val="18"/>
        </w:rPr>
      </w:pPr>
      <w:r w:rsidRPr="006237A8">
        <w:rPr>
          <w:rFonts w:cs="Arial"/>
          <w:szCs w:val="18"/>
        </w:rPr>
        <w:t>Not relevant</w:t>
      </w:r>
    </w:p>
    <w:p w14:paraId="535B559E" w14:textId="77777777" w:rsidR="00C7266C" w:rsidRPr="006237A8" w:rsidRDefault="00C7266C" w:rsidP="006237A8">
      <w:pPr>
        <w:pStyle w:val="13"/>
        <w:spacing w:after="160"/>
        <w:rPr>
          <w:rFonts w:ascii="Arial" w:hAnsi="Arial"/>
          <w:sz w:val="18"/>
          <w:szCs w:val="18"/>
          <w:lang w:val="en-IE"/>
        </w:rPr>
      </w:pPr>
      <w:r w:rsidRPr="006237A8">
        <w:rPr>
          <w:rFonts w:ascii="Arial" w:hAnsi="Arial"/>
          <w:sz w:val="18"/>
          <w:szCs w:val="18"/>
          <w:lang w:val="en-IE"/>
        </w:rPr>
        <w:t>5.</w:t>
      </w:r>
      <w:r w:rsidRPr="006237A8">
        <w:rPr>
          <w:rFonts w:ascii="Arial" w:hAnsi="Arial"/>
          <w:sz w:val="18"/>
          <w:szCs w:val="18"/>
          <w:lang w:val="en-IE"/>
        </w:rPr>
        <w:tab/>
        <w:t>Test(s) recommended for surveillance to demonstrate freedom in apparently healthy populations</w:t>
      </w:r>
    </w:p>
    <w:p w14:paraId="71F06B75" w14:textId="77777777" w:rsidR="00C7266C" w:rsidRPr="006237A8" w:rsidRDefault="00C7266C" w:rsidP="006237A8">
      <w:pPr>
        <w:pStyle w:val="Para10"/>
        <w:spacing w:after="160"/>
        <w:rPr>
          <w:rFonts w:cs="Arial"/>
          <w:szCs w:val="18"/>
        </w:rPr>
      </w:pPr>
      <w:r w:rsidRPr="006237A8">
        <w:rPr>
          <w:rFonts w:cs="Arial"/>
          <w:szCs w:val="18"/>
        </w:rPr>
        <w:t>Virus isolation in cell culture or real-time RT-PCR are the recommended tests for surveillance to demonstrate freedom from infection with IHNV.</w:t>
      </w:r>
    </w:p>
    <w:p w14:paraId="2F575846" w14:textId="77777777" w:rsidR="00C7266C" w:rsidRPr="006237A8" w:rsidRDefault="00C7266C" w:rsidP="006237A8">
      <w:pPr>
        <w:pStyle w:val="13"/>
        <w:spacing w:after="160"/>
        <w:rPr>
          <w:rFonts w:ascii="Arial" w:hAnsi="Arial"/>
          <w:sz w:val="18"/>
          <w:szCs w:val="18"/>
          <w:lang w:val="en-IE"/>
        </w:rPr>
      </w:pPr>
      <w:r w:rsidRPr="006237A8">
        <w:rPr>
          <w:rFonts w:ascii="Arial" w:hAnsi="Arial"/>
          <w:sz w:val="18"/>
          <w:szCs w:val="18"/>
          <w:lang w:val="en-IE"/>
        </w:rPr>
        <w:t>6.</w:t>
      </w:r>
      <w:r w:rsidRPr="006237A8">
        <w:rPr>
          <w:rFonts w:ascii="Arial" w:hAnsi="Arial"/>
          <w:sz w:val="18"/>
          <w:szCs w:val="18"/>
          <w:lang w:val="en-IE"/>
        </w:rPr>
        <w:tab/>
        <w:t xml:space="preserve">Corroborative diagnostic criteria </w:t>
      </w:r>
    </w:p>
    <w:p w14:paraId="44E23724" w14:textId="77777777" w:rsidR="00C7266C" w:rsidRPr="006237A8" w:rsidRDefault="00C7266C" w:rsidP="006237A8">
      <w:pPr>
        <w:pStyle w:val="Para10"/>
        <w:spacing w:after="160"/>
        <w:rPr>
          <w:rFonts w:cs="Arial"/>
          <w:szCs w:val="18"/>
        </w:rPr>
      </w:pPr>
      <w:r w:rsidRPr="006237A8">
        <w:rPr>
          <w:rFonts w:cs="Arial"/>
          <w:szCs w:val="18"/>
        </w:rPr>
        <w:t>This section only addresses the diagnostic test results for detection of infection in the absence (Section 6.1.) or in the presence of clinical signs (Section 6.2.) but does not evaluate whether the infectious agent is the cause of the clinical event.</w:t>
      </w:r>
    </w:p>
    <w:p w14:paraId="356A4562" w14:textId="77777777" w:rsidR="00C7266C" w:rsidRPr="006237A8" w:rsidRDefault="00C7266C" w:rsidP="006237A8">
      <w:pPr>
        <w:pStyle w:val="Para10"/>
        <w:spacing w:after="160"/>
        <w:rPr>
          <w:rFonts w:cs="Arial"/>
          <w:szCs w:val="18"/>
        </w:rPr>
      </w:pPr>
      <w:r w:rsidRPr="006237A8">
        <w:rPr>
          <w:rFonts w:cs="Arial"/>
          <w:szCs w:val="18"/>
        </w:rPr>
        <w:t>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48F48A41" w14:textId="77777777" w:rsidR="00C7266C" w:rsidRPr="006237A8" w:rsidRDefault="00C7266C" w:rsidP="006237A8">
      <w:pPr>
        <w:pStyle w:val="11"/>
        <w:spacing w:after="160"/>
        <w:rPr>
          <w:rFonts w:ascii="Arial" w:hAnsi="Arial" w:cs="Arial"/>
          <w:sz w:val="18"/>
          <w:szCs w:val="18"/>
          <w:lang w:val="en-IE"/>
        </w:rPr>
      </w:pPr>
      <w:r w:rsidRPr="006237A8">
        <w:rPr>
          <w:rFonts w:ascii="Arial" w:hAnsi="Arial" w:cs="Arial"/>
          <w:sz w:val="18"/>
          <w:szCs w:val="18"/>
          <w:lang w:val="en-IE"/>
        </w:rPr>
        <w:t>6.1.</w:t>
      </w:r>
      <w:r w:rsidRPr="006237A8">
        <w:rPr>
          <w:rFonts w:ascii="Arial" w:hAnsi="Arial" w:cs="Arial"/>
          <w:sz w:val="18"/>
          <w:szCs w:val="18"/>
          <w:lang w:val="en-IE"/>
        </w:rPr>
        <w:tab/>
        <w:t>Apparently healthy animals or animals of unknown health status</w:t>
      </w:r>
      <w:r w:rsidRPr="006237A8">
        <w:rPr>
          <w:rStyle w:val="af6"/>
          <w:rFonts w:ascii="Arial" w:hAnsi="Arial" w:cs="Arial"/>
          <w:sz w:val="18"/>
          <w:szCs w:val="18"/>
          <w:lang w:val="en-IE"/>
        </w:rPr>
        <w:footnoteReference w:id="10"/>
      </w:r>
    </w:p>
    <w:p w14:paraId="6868CEA8" w14:textId="77777777" w:rsidR="00C7266C" w:rsidRPr="006237A8" w:rsidRDefault="00C7266C" w:rsidP="006237A8">
      <w:pPr>
        <w:pStyle w:val="Para20"/>
        <w:spacing w:after="160"/>
        <w:rPr>
          <w:rFonts w:cs="Arial"/>
          <w:szCs w:val="18"/>
        </w:rPr>
      </w:pPr>
      <w:r w:rsidRPr="006237A8">
        <w:rPr>
          <w:rFonts w:cs="Arial"/>
          <w:szCs w:val="18"/>
        </w:rPr>
        <w:t>Apparently healthy populations may fall under suspicion, and therefore be sampled, if there is an epidemiological link to an infected population. Geographic proximity to, or movement of animals or animal products or equipment, etc., from a known infected</w:t>
      </w:r>
      <w:r w:rsidRPr="006237A8">
        <w:rPr>
          <w:rFonts w:eastAsiaTheme="minorEastAsia" w:cs="Arial"/>
          <w:szCs w:val="18"/>
          <w:lang w:eastAsia="zh-CN"/>
        </w:rPr>
        <w:t xml:space="preserve"> </w:t>
      </w:r>
      <w:r w:rsidRPr="006237A8">
        <w:rPr>
          <w:rFonts w:cs="Arial"/>
          <w:szCs w:val="18"/>
        </w:rPr>
        <w:t>population equate to an epidemiological link. Alternatively, healthy populations are sampled in surveys to demonstrate disease freedom.</w:t>
      </w:r>
    </w:p>
    <w:p w14:paraId="17CCE437" w14:textId="77777777" w:rsidR="00C7266C" w:rsidRPr="006237A8" w:rsidRDefault="00C7266C" w:rsidP="006237A8">
      <w:pPr>
        <w:pStyle w:val="111"/>
        <w:spacing w:after="160"/>
        <w:rPr>
          <w:rFonts w:ascii="Arial" w:hAnsi="Arial" w:cs="Arial"/>
          <w:sz w:val="18"/>
          <w:szCs w:val="18"/>
          <w:lang w:val="en-IE"/>
        </w:rPr>
      </w:pPr>
      <w:bookmarkStart w:id="88" w:name="_Hlk20639542"/>
      <w:r w:rsidRPr="006237A8">
        <w:rPr>
          <w:rFonts w:ascii="Arial" w:hAnsi="Arial" w:cs="Arial"/>
          <w:sz w:val="18"/>
          <w:szCs w:val="18"/>
          <w:lang w:val="en-IE"/>
        </w:rPr>
        <w:t>6.1.1.</w:t>
      </w:r>
      <w:r w:rsidRPr="006237A8">
        <w:rPr>
          <w:rFonts w:ascii="Arial" w:hAnsi="Arial" w:cs="Arial"/>
          <w:sz w:val="18"/>
          <w:szCs w:val="18"/>
          <w:lang w:val="en-IE"/>
        </w:rPr>
        <w:tab/>
        <w:t>Definition of suspect case in apparently healthy animals</w:t>
      </w:r>
    </w:p>
    <w:p w14:paraId="2A5BDC03" w14:textId="77777777" w:rsidR="00C7266C" w:rsidRPr="006237A8" w:rsidRDefault="00C7266C" w:rsidP="006237A8">
      <w:pPr>
        <w:pStyle w:val="Para3"/>
        <w:spacing w:after="160"/>
        <w:rPr>
          <w:rFonts w:cs="Arial"/>
          <w:szCs w:val="18"/>
        </w:rPr>
      </w:pPr>
      <w:r w:rsidRPr="006237A8">
        <w:rPr>
          <w:rFonts w:cs="Arial"/>
          <w:szCs w:val="18"/>
        </w:rPr>
        <w:t>The presence of infection shall be suspected if at least one of the following criteria is met:</w:t>
      </w:r>
    </w:p>
    <w:p w14:paraId="21142440" w14:textId="77777777" w:rsidR="00C7266C" w:rsidRPr="006237A8" w:rsidRDefault="00C7266C" w:rsidP="006237A8">
      <w:pPr>
        <w:pStyle w:val="Para3i"/>
        <w:spacing w:after="160"/>
        <w:rPr>
          <w:rFonts w:ascii="Arial" w:hAnsi="Arial"/>
          <w:sz w:val="18"/>
        </w:rPr>
      </w:pPr>
      <w:r w:rsidRPr="006237A8">
        <w:rPr>
          <w:rFonts w:ascii="Arial" w:hAnsi="Arial"/>
          <w:sz w:val="18"/>
        </w:rPr>
        <w:t>i)</w:t>
      </w:r>
      <w:r w:rsidRPr="006237A8">
        <w:rPr>
          <w:rFonts w:ascii="Arial" w:hAnsi="Arial"/>
          <w:sz w:val="18"/>
        </w:rPr>
        <w:tab/>
        <w:t>Positive result by real-time RT-PCR;</w:t>
      </w:r>
    </w:p>
    <w:p w14:paraId="1CBF77D4" w14:textId="77777777" w:rsidR="00C7266C" w:rsidRPr="006237A8" w:rsidRDefault="00C7266C" w:rsidP="006237A8">
      <w:pPr>
        <w:pStyle w:val="Para3i"/>
        <w:spacing w:after="160"/>
        <w:rPr>
          <w:rFonts w:ascii="Arial" w:hAnsi="Arial"/>
          <w:sz w:val="18"/>
        </w:rPr>
      </w:pPr>
      <w:r w:rsidRPr="006237A8">
        <w:rPr>
          <w:rFonts w:ascii="Arial" w:hAnsi="Arial"/>
          <w:sz w:val="18"/>
        </w:rPr>
        <w:t>ii)</w:t>
      </w:r>
      <w:r w:rsidRPr="006237A8">
        <w:rPr>
          <w:rFonts w:ascii="Arial" w:hAnsi="Arial"/>
          <w:sz w:val="18"/>
        </w:rPr>
        <w:tab/>
        <w:t>Cytopathic effect in cell culture.</w:t>
      </w:r>
    </w:p>
    <w:p w14:paraId="7864CBEA" w14:textId="77777777" w:rsidR="00C7266C" w:rsidRPr="006237A8" w:rsidRDefault="00C7266C" w:rsidP="006237A8">
      <w:pPr>
        <w:pStyle w:val="111"/>
        <w:spacing w:after="160"/>
        <w:rPr>
          <w:rFonts w:ascii="Arial" w:hAnsi="Arial" w:cs="Arial"/>
          <w:sz w:val="18"/>
          <w:szCs w:val="18"/>
          <w:lang w:val="en-IE"/>
        </w:rPr>
      </w:pPr>
      <w:r w:rsidRPr="006237A8">
        <w:rPr>
          <w:rFonts w:ascii="Arial" w:hAnsi="Arial" w:cs="Arial"/>
          <w:sz w:val="18"/>
          <w:szCs w:val="18"/>
          <w:lang w:val="en-IE"/>
        </w:rPr>
        <w:t>6.1.2.</w:t>
      </w:r>
      <w:r w:rsidRPr="006237A8">
        <w:rPr>
          <w:rFonts w:ascii="Arial" w:hAnsi="Arial" w:cs="Arial"/>
          <w:sz w:val="18"/>
          <w:szCs w:val="18"/>
          <w:lang w:val="en-IE"/>
        </w:rPr>
        <w:tab/>
        <w:t>Definition of confirmed case in apparently healthy animals</w:t>
      </w:r>
    </w:p>
    <w:p w14:paraId="4DEFD049" w14:textId="77777777" w:rsidR="00C7266C" w:rsidRPr="006237A8" w:rsidRDefault="00C7266C" w:rsidP="006237A8">
      <w:pPr>
        <w:pStyle w:val="Para3"/>
        <w:spacing w:after="160"/>
        <w:rPr>
          <w:rFonts w:cs="Arial"/>
          <w:szCs w:val="18"/>
        </w:rPr>
      </w:pPr>
      <w:r w:rsidRPr="006237A8">
        <w:rPr>
          <w:rFonts w:cs="Arial"/>
          <w:szCs w:val="18"/>
        </w:rPr>
        <w:t>The presence of infection shall be confirmed if positive results have been obtained on at least one animal from two tests used in the following combination:</w:t>
      </w:r>
    </w:p>
    <w:p w14:paraId="0416592A" w14:textId="77777777" w:rsidR="00C7266C" w:rsidRPr="006237A8" w:rsidRDefault="00C7266C" w:rsidP="006237A8">
      <w:pPr>
        <w:pStyle w:val="Para3i"/>
        <w:spacing w:after="160"/>
        <w:rPr>
          <w:rFonts w:ascii="Arial" w:hAnsi="Arial"/>
          <w:sz w:val="18"/>
        </w:rPr>
      </w:pPr>
      <w:r w:rsidRPr="006237A8">
        <w:rPr>
          <w:rFonts w:ascii="Arial" w:hAnsi="Arial"/>
          <w:sz w:val="18"/>
        </w:rPr>
        <w:t>i)</w:t>
      </w:r>
      <w:r w:rsidRPr="006237A8">
        <w:rPr>
          <w:rFonts w:ascii="Arial" w:hAnsi="Arial"/>
          <w:sz w:val="18"/>
        </w:rPr>
        <w:tab/>
        <w:t xml:space="preserve">Positive result by real-time RT PCR followed by a positive result from a conventional PCR targeting a non-overlapping region of the genome and amplicon sequencing; </w:t>
      </w:r>
    </w:p>
    <w:p w14:paraId="68674F29" w14:textId="77777777" w:rsidR="00C7266C" w:rsidRPr="006237A8" w:rsidRDefault="00C7266C" w:rsidP="006237A8">
      <w:pPr>
        <w:pStyle w:val="Para3i"/>
        <w:spacing w:after="160"/>
        <w:rPr>
          <w:rFonts w:ascii="Arial" w:hAnsi="Arial"/>
          <w:sz w:val="18"/>
        </w:rPr>
      </w:pPr>
      <w:r w:rsidRPr="006237A8">
        <w:rPr>
          <w:rFonts w:ascii="Arial" w:hAnsi="Arial"/>
          <w:sz w:val="18"/>
        </w:rPr>
        <w:t>ii)</w:t>
      </w:r>
      <w:r w:rsidRPr="006237A8">
        <w:rPr>
          <w:rFonts w:ascii="Arial" w:hAnsi="Arial"/>
          <w:sz w:val="18"/>
        </w:rPr>
        <w:tab/>
        <w:t>Isolation of virus in cell culture confirmed by IFAT or Ag-ELISA or by a neutralisation test and a positive result by real-time RT-PCR;</w:t>
      </w:r>
    </w:p>
    <w:p w14:paraId="0BCFAC92" w14:textId="77777777" w:rsidR="000B38E2" w:rsidRPr="00D403F5" w:rsidRDefault="000B38E2" w:rsidP="00D403F5">
      <w:pPr>
        <w:spacing w:after="0"/>
        <w:jc w:val="right"/>
        <w:rPr>
          <w:noProof/>
          <w:sz w:val="18"/>
          <w:szCs w:val="18"/>
          <w:u w:val="single"/>
          <w:lang w:val="en-US"/>
        </w:rPr>
      </w:pPr>
      <w:r w:rsidRPr="00D403F5">
        <w:rPr>
          <w:noProof/>
          <w:sz w:val="18"/>
          <w:szCs w:val="18"/>
          <w:u w:val="single"/>
          <w:lang w:val="en-US"/>
        </w:rPr>
        <w:br w:type="page"/>
      </w:r>
    </w:p>
    <w:p w14:paraId="5E54CCDB" w14:textId="773C0274" w:rsidR="00C7266C" w:rsidRPr="00D403F5" w:rsidRDefault="000B38E2" w:rsidP="006237A8">
      <w:pPr>
        <w:spacing w:after="480"/>
        <w:jc w:val="right"/>
        <w:rPr>
          <w:sz w:val="18"/>
          <w:szCs w:val="18"/>
        </w:rPr>
      </w:pPr>
      <w:r w:rsidRPr="00D403F5">
        <w:rPr>
          <w:rFonts w:ascii="Times New Roman" w:hAnsi="Times New Roman" w:cs="Times New Roman"/>
          <w:noProof/>
          <w:sz w:val="18"/>
          <w:szCs w:val="18"/>
          <w:u w:val="single"/>
          <w:lang w:val="en-US"/>
        </w:rPr>
        <w:t>Annex 12</w:t>
      </w:r>
      <w:r w:rsidRPr="00D403F5">
        <w:rPr>
          <w:rFonts w:ascii="Times New Roman" w:hAnsi="Times New Roman" w:cs="Times New Roman"/>
          <w:noProof/>
          <w:sz w:val="18"/>
          <w:szCs w:val="18"/>
          <w:lang w:val="en-US"/>
        </w:rPr>
        <w:t xml:space="preserve"> (contd)</w:t>
      </w:r>
    </w:p>
    <w:p w14:paraId="7643DC26" w14:textId="77777777" w:rsidR="00C7266C" w:rsidRPr="00D403F5" w:rsidRDefault="00C7266C" w:rsidP="00D403F5">
      <w:pPr>
        <w:pStyle w:val="Para3i"/>
        <w:spacing w:after="0"/>
        <w:rPr>
          <w:rFonts w:ascii="Arial" w:hAnsi="Arial"/>
          <w:sz w:val="18"/>
        </w:rPr>
      </w:pPr>
      <w:r w:rsidRPr="00D403F5">
        <w:rPr>
          <w:rFonts w:ascii="Arial" w:hAnsi="Arial"/>
          <w:sz w:val="18"/>
        </w:rPr>
        <w:t>iii)</w:t>
      </w:r>
      <w:r w:rsidRPr="00D403F5">
        <w:rPr>
          <w:rFonts w:ascii="Arial" w:hAnsi="Arial"/>
          <w:sz w:val="18"/>
        </w:rPr>
        <w:tab/>
        <w:t>Isolation of virus in cell culture confirmed by IFAT or Ag-ELISA or by a neutralisation test and conventional PCR and amplicon sequencing;</w:t>
      </w:r>
    </w:p>
    <w:p w14:paraId="2461A1E8" w14:textId="77777777" w:rsidR="00C7266C" w:rsidRPr="00D403F5" w:rsidRDefault="00C7266C" w:rsidP="00D403F5">
      <w:pPr>
        <w:pStyle w:val="Para3i"/>
        <w:spacing w:after="0"/>
        <w:rPr>
          <w:rFonts w:ascii="Arial" w:hAnsi="Arial"/>
          <w:sz w:val="18"/>
        </w:rPr>
      </w:pPr>
      <w:r w:rsidRPr="00D403F5">
        <w:rPr>
          <w:rFonts w:ascii="Arial" w:hAnsi="Arial"/>
          <w:sz w:val="18"/>
        </w:rPr>
        <w:t>iv)</w:t>
      </w:r>
      <w:r w:rsidRPr="00D403F5">
        <w:rPr>
          <w:rFonts w:ascii="Arial" w:hAnsi="Arial"/>
          <w:sz w:val="18"/>
        </w:rPr>
        <w:tab/>
        <w:t>Isolation of virus in cell culture confirmed by conventional PCR and amplicon sequencing.</w:t>
      </w:r>
    </w:p>
    <w:p w14:paraId="508CFDBF" w14:textId="77777777" w:rsidR="00C7266C" w:rsidRPr="00D403F5" w:rsidRDefault="00C7266C" w:rsidP="00D403F5">
      <w:pPr>
        <w:pStyle w:val="Para3"/>
        <w:spacing w:after="0"/>
        <w:rPr>
          <w:rFonts w:cs="Arial"/>
          <w:szCs w:val="18"/>
        </w:rPr>
      </w:pPr>
      <w:r w:rsidRPr="00D403F5">
        <w:rPr>
          <w:rFonts w:cs="Arial"/>
          <w:szCs w:val="18"/>
        </w:rPr>
        <w:t>Reference Laboratories should be contacted for specimen referral when testing laboratories cannot undertake any of the recommended test methods and testing is being undertaken that will result in notification to the OIE.</w:t>
      </w:r>
    </w:p>
    <w:p w14:paraId="4BEF78A1" w14:textId="77777777" w:rsidR="00C7266C" w:rsidRPr="00D403F5" w:rsidRDefault="00C7266C" w:rsidP="00D403F5">
      <w:pPr>
        <w:pStyle w:val="11"/>
        <w:spacing w:after="0"/>
        <w:rPr>
          <w:rFonts w:ascii="Arial" w:hAnsi="Arial" w:cs="Arial"/>
          <w:sz w:val="18"/>
          <w:szCs w:val="18"/>
          <w:lang w:val="en-IE"/>
        </w:rPr>
      </w:pPr>
      <w:r w:rsidRPr="00D403F5">
        <w:rPr>
          <w:rFonts w:ascii="Arial" w:hAnsi="Arial" w:cs="Arial"/>
          <w:sz w:val="18"/>
          <w:szCs w:val="18"/>
          <w:lang w:val="en-IE"/>
        </w:rPr>
        <w:t>6.2</w:t>
      </w:r>
      <w:r w:rsidRPr="00D403F5">
        <w:rPr>
          <w:rFonts w:ascii="Arial" w:hAnsi="Arial" w:cs="Arial"/>
          <w:sz w:val="18"/>
          <w:szCs w:val="18"/>
          <w:lang w:val="en-IE"/>
        </w:rPr>
        <w:tab/>
        <w:t>Clinically affected animals</w:t>
      </w:r>
    </w:p>
    <w:p w14:paraId="3CF39613" w14:textId="77777777" w:rsidR="00C7266C" w:rsidRPr="00D403F5" w:rsidRDefault="00C7266C" w:rsidP="00D403F5">
      <w:pPr>
        <w:pStyle w:val="Para20"/>
        <w:spacing w:after="0"/>
        <w:rPr>
          <w:rFonts w:cs="Arial"/>
          <w:szCs w:val="18"/>
        </w:rPr>
      </w:pPr>
      <w:r w:rsidRPr="00D403F5">
        <w:rPr>
          <w:rFonts w:cs="Arial"/>
          <w:szCs w:val="18"/>
        </w:rPr>
        <w:t>Clinical signs are not pathognomonic for a single disease; however, they may narrow the range of possible diagnoses.</w:t>
      </w:r>
    </w:p>
    <w:p w14:paraId="67D12BB8"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6.2.1.</w:t>
      </w:r>
      <w:r w:rsidRPr="00D403F5">
        <w:rPr>
          <w:rFonts w:ascii="Arial" w:hAnsi="Arial" w:cs="Arial"/>
          <w:sz w:val="18"/>
          <w:szCs w:val="18"/>
          <w:lang w:val="en-IE"/>
        </w:rPr>
        <w:tab/>
        <w:t>Definition of suspect case in clinically affected animals</w:t>
      </w:r>
    </w:p>
    <w:p w14:paraId="5E87235C" w14:textId="77777777" w:rsidR="00C7266C" w:rsidRPr="00D403F5" w:rsidRDefault="00C7266C" w:rsidP="00D403F5">
      <w:pPr>
        <w:pStyle w:val="Para3"/>
        <w:spacing w:after="0"/>
        <w:rPr>
          <w:rFonts w:cs="Arial"/>
          <w:szCs w:val="18"/>
        </w:rPr>
      </w:pPr>
      <w:r w:rsidRPr="00D403F5">
        <w:rPr>
          <w:rFonts w:cs="Arial"/>
          <w:szCs w:val="18"/>
        </w:rPr>
        <w:t>The presence of infection shall be suspected if at least one of the following criteria is met:</w:t>
      </w:r>
    </w:p>
    <w:p w14:paraId="01646162" w14:textId="77777777" w:rsidR="00C7266C" w:rsidRPr="00D403F5" w:rsidRDefault="00C7266C" w:rsidP="00D403F5">
      <w:pPr>
        <w:pStyle w:val="Para3i"/>
        <w:spacing w:after="0"/>
        <w:rPr>
          <w:rFonts w:ascii="Arial" w:hAnsi="Arial"/>
          <w:sz w:val="18"/>
        </w:rPr>
      </w:pPr>
      <w:r w:rsidRPr="00D403F5">
        <w:rPr>
          <w:rFonts w:ascii="Arial" w:hAnsi="Arial"/>
          <w:sz w:val="18"/>
        </w:rPr>
        <w:t>i)</w:t>
      </w:r>
      <w:r w:rsidRPr="00D403F5">
        <w:rPr>
          <w:rFonts w:ascii="Arial" w:hAnsi="Arial"/>
          <w:sz w:val="18"/>
        </w:rPr>
        <w:tab/>
      </w:r>
      <w:r w:rsidRPr="00D403F5">
        <w:rPr>
          <w:rFonts w:ascii="Arial" w:hAnsi="Arial"/>
          <w:sz w:val="18"/>
          <w:lang w:bidi="en-US"/>
        </w:rPr>
        <w:t>Gross pathology or clinical signs associated with the disease as described in this chapter, with or without elevated mortality;</w:t>
      </w:r>
    </w:p>
    <w:p w14:paraId="02F8A1BB" w14:textId="77777777" w:rsidR="00C7266C" w:rsidRPr="00D403F5" w:rsidRDefault="00C7266C" w:rsidP="00D403F5">
      <w:pPr>
        <w:pStyle w:val="Para3i"/>
        <w:spacing w:after="0"/>
        <w:rPr>
          <w:rFonts w:ascii="Arial" w:hAnsi="Arial"/>
          <w:sz w:val="18"/>
        </w:rPr>
      </w:pPr>
      <w:r w:rsidRPr="00D403F5">
        <w:rPr>
          <w:rFonts w:ascii="Arial" w:hAnsi="Arial"/>
          <w:sz w:val="18"/>
        </w:rPr>
        <w:t>ii)</w:t>
      </w:r>
      <w:r w:rsidRPr="00D403F5">
        <w:rPr>
          <w:rFonts w:ascii="Arial" w:hAnsi="Arial"/>
          <w:sz w:val="18"/>
        </w:rPr>
        <w:tab/>
        <w:t>Positive result by real-time RT-PCR;</w:t>
      </w:r>
    </w:p>
    <w:p w14:paraId="17612E19" w14:textId="77777777" w:rsidR="00C7266C" w:rsidRPr="00D403F5" w:rsidRDefault="00C7266C" w:rsidP="00D403F5">
      <w:pPr>
        <w:pStyle w:val="Para3i"/>
        <w:spacing w:after="0"/>
        <w:rPr>
          <w:rFonts w:ascii="Arial" w:hAnsi="Arial"/>
          <w:sz w:val="18"/>
        </w:rPr>
      </w:pPr>
      <w:r w:rsidRPr="00D403F5">
        <w:rPr>
          <w:rFonts w:ascii="Arial" w:hAnsi="Arial"/>
          <w:sz w:val="18"/>
        </w:rPr>
        <w:t>iii)</w:t>
      </w:r>
      <w:r w:rsidRPr="00D403F5">
        <w:rPr>
          <w:rFonts w:ascii="Arial" w:hAnsi="Arial"/>
          <w:sz w:val="18"/>
        </w:rPr>
        <w:tab/>
        <w:t>Cytopathic effect in cell culture.</w:t>
      </w:r>
    </w:p>
    <w:p w14:paraId="063225AD"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6.2.2.</w:t>
      </w:r>
      <w:r w:rsidRPr="00D403F5">
        <w:rPr>
          <w:rFonts w:ascii="Arial" w:hAnsi="Arial" w:cs="Arial"/>
          <w:sz w:val="18"/>
          <w:szCs w:val="18"/>
          <w:lang w:val="en-IE"/>
        </w:rPr>
        <w:tab/>
        <w:t>Definition of confirmed case in clinically affected animals</w:t>
      </w:r>
    </w:p>
    <w:p w14:paraId="4CDC0599" w14:textId="77777777" w:rsidR="00C7266C" w:rsidRPr="00D403F5" w:rsidRDefault="00C7266C" w:rsidP="00D403F5">
      <w:pPr>
        <w:pStyle w:val="Para3"/>
        <w:spacing w:after="0"/>
        <w:rPr>
          <w:rFonts w:cs="Arial"/>
          <w:szCs w:val="18"/>
        </w:rPr>
      </w:pPr>
      <w:r w:rsidRPr="00D403F5">
        <w:rPr>
          <w:rFonts w:cs="Arial"/>
          <w:szCs w:val="18"/>
        </w:rPr>
        <w:t>The presence of infection shall be confirmed if: positive results has been obtained on at least one animal from two test used in the following combination:</w:t>
      </w:r>
    </w:p>
    <w:p w14:paraId="2FCF9311" w14:textId="77777777" w:rsidR="00C7266C" w:rsidRPr="00D403F5" w:rsidRDefault="00C7266C" w:rsidP="00D403F5">
      <w:pPr>
        <w:pStyle w:val="Para3i"/>
        <w:spacing w:after="0"/>
        <w:rPr>
          <w:rFonts w:ascii="Arial" w:hAnsi="Arial"/>
          <w:sz w:val="18"/>
        </w:rPr>
      </w:pPr>
      <w:r w:rsidRPr="00D403F5">
        <w:rPr>
          <w:rFonts w:ascii="Arial" w:hAnsi="Arial"/>
          <w:sz w:val="18"/>
        </w:rPr>
        <w:t>i)</w:t>
      </w:r>
      <w:r w:rsidRPr="00D403F5">
        <w:rPr>
          <w:rFonts w:ascii="Arial" w:hAnsi="Arial"/>
          <w:sz w:val="18"/>
        </w:rPr>
        <w:tab/>
        <w:t xml:space="preserve">Positive result by real-time RT-PCR followed by a positive result from a conventional PCR targeting a non-overlapping region of the genome and amplicon sequencing; </w:t>
      </w:r>
    </w:p>
    <w:p w14:paraId="4949B231" w14:textId="77777777" w:rsidR="00C7266C" w:rsidRPr="00D403F5" w:rsidRDefault="00C7266C" w:rsidP="00D403F5">
      <w:pPr>
        <w:pStyle w:val="Para3i"/>
        <w:spacing w:after="0"/>
        <w:rPr>
          <w:rFonts w:ascii="Arial" w:hAnsi="Arial"/>
          <w:sz w:val="18"/>
        </w:rPr>
      </w:pPr>
      <w:r w:rsidRPr="00D403F5">
        <w:rPr>
          <w:rFonts w:ascii="Arial" w:hAnsi="Arial"/>
          <w:sz w:val="18"/>
        </w:rPr>
        <w:t>ii)</w:t>
      </w:r>
      <w:r w:rsidRPr="00D403F5">
        <w:rPr>
          <w:rFonts w:ascii="Arial" w:hAnsi="Arial"/>
          <w:sz w:val="18"/>
        </w:rPr>
        <w:tab/>
        <w:t>Isolation of virus in cell culture confirmed by IFAT or Ag-ELISA or by a neutralisation test and a positive result by real-time RT-PCR;</w:t>
      </w:r>
    </w:p>
    <w:p w14:paraId="2B45D26D" w14:textId="77777777" w:rsidR="00C7266C" w:rsidRPr="00D403F5" w:rsidRDefault="00C7266C" w:rsidP="00D403F5">
      <w:pPr>
        <w:pStyle w:val="Para3i"/>
        <w:spacing w:after="0"/>
        <w:rPr>
          <w:rFonts w:ascii="Arial" w:hAnsi="Arial"/>
          <w:sz w:val="18"/>
        </w:rPr>
      </w:pPr>
      <w:r w:rsidRPr="00D403F5">
        <w:rPr>
          <w:rFonts w:ascii="Arial" w:hAnsi="Arial"/>
          <w:sz w:val="18"/>
        </w:rPr>
        <w:t>iii)</w:t>
      </w:r>
      <w:r w:rsidRPr="00D403F5">
        <w:rPr>
          <w:rFonts w:ascii="Arial" w:hAnsi="Arial"/>
          <w:sz w:val="18"/>
        </w:rPr>
        <w:tab/>
        <w:t>Isolation of virus in cell culture confirmed by IFAT or Ag-ELISA or by a neutralisation test and conventional PCR and amplicon sequencing;</w:t>
      </w:r>
    </w:p>
    <w:p w14:paraId="30A66429" w14:textId="77777777" w:rsidR="00C7266C" w:rsidRPr="00D403F5" w:rsidRDefault="00C7266C" w:rsidP="00D403F5">
      <w:pPr>
        <w:pStyle w:val="Para3i"/>
        <w:spacing w:after="0"/>
        <w:rPr>
          <w:rFonts w:ascii="Arial" w:hAnsi="Arial"/>
          <w:sz w:val="18"/>
        </w:rPr>
      </w:pPr>
      <w:r w:rsidRPr="00D403F5">
        <w:rPr>
          <w:rFonts w:ascii="Arial" w:hAnsi="Arial"/>
          <w:sz w:val="18"/>
        </w:rPr>
        <w:t>iv)</w:t>
      </w:r>
      <w:r w:rsidRPr="00D403F5">
        <w:rPr>
          <w:rFonts w:ascii="Arial" w:hAnsi="Arial"/>
          <w:sz w:val="18"/>
        </w:rPr>
        <w:tab/>
        <w:t>Isolation of virus in cell culture confirmed by conventional PCR and amplicon sequencing;</w:t>
      </w:r>
    </w:p>
    <w:p w14:paraId="7A5D3416" w14:textId="77777777" w:rsidR="00C7266C" w:rsidRPr="00D403F5" w:rsidRDefault="00C7266C" w:rsidP="00D403F5">
      <w:pPr>
        <w:pStyle w:val="Para3"/>
        <w:spacing w:after="0"/>
        <w:rPr>
          <w:rFonts w:cs="Arial"/>
          <w:szCs w:val="18"/>
        </w:rPr>
      </w:pPr>
      <w:r w:rsidRPr="00D403F5">
        <w:rPr>
          <w:rFonts w:cs="Arial"/>
          <w:szCs w:val="18"/>
        </w:rPr>
        <w:t>Reference Laboratories should be contacted for specimen referral when testing laboratories cannot undertake any of the recommended test methods and testing is being undertaken that will result in notification to the OIE.</w:t>
      </w:r>
    </w:p>
    <w:bookmarkEnd w:id="88"/>
    <w:p w14:paraId="64A41CDC" w14:textId="77777777" w:rsidR="00C7266C" w:rsidRPr="00D403F5" w:rsidRDefault="00C7266C" w:rsidP="00D403F5">
      <w:pPr>
        <w:pStyle w:val="111"/>
        <w:spacing w:after="0"/>
        <w:rPr>
          <w:rFonts w:ascii="Arial" w:hAnsi="Arial" w:cs="Arial"/>
          <w:sz w:val="18"/>
          <w:szCs w:val="18"/>
          <w:lang w:val="en-IE"/>
        </w:rPr>
      </w:pPr>
      <w:r w:rsidRPr="00D403F5">
        <w:rPr>
          <w:rFonts w:ascii="Arial" w:hAnsi="Arial" w:cs="Arial"/>
          <w:sz w:val="18"/>
          <w:szCs w:val="18"/>
          <w:lang w:val="en-IE"/>
        </w:rPr>
        <w:t>6.3.</w:t>
      </w:r>
      <w:r w:rsidRPr="00D403F5">
        <w:rPr>
          <w:rFonts w:ascii="Arial" w:hAnsi="Arial" w:cs="Arial"/>
          <w:sz w:val="18"/>
          <w:szCs w:val="18"/>
          <w:lang w:val="en-IE"/>
        </w:rPr>
        <w:tab/>
        <w:t>Diagnostic sensitivity and specificity for diagnostic tests</w:t>
      </w:r>
    </w:p>
    <w:tbl>
      <w:tblPr>
        <w:tblW w:w="9232" w:type="dxa"/>
        <w:tblInd w:w="108" w:type="dxa"/>
        <w:tblCellMar>
          <w:left w:w="0" w:type="dxa"/>
          <w:right w:w="0" w:type="dxa"/>
        </w:tblCellMar>
        <w:tblLook w:val="04A0" w:firstRow="1" w:lastRow="0" w:firstColumn="1" w:lastColumn="0" w:noHBand="0" w:noVBand="1"/>
      </w:tblPr>
      <w:tblGrid>
        <w:gridCol w:w="911"/>
        <w:gridCol w:w="1172"/>
        <w:gridCol w:w="1175"/>
        <w:gridCol w:w="1136"/>
        <w:gridCol w:w="1279"/>
        <w:gridCol w:w="660"/>
        <w:gridCol w:w="660"/>
        <w:gridCol w:w="1255"/>
        <w:gridCol w:w="984"/>
      </w:tblGrid>
      <w:tr w:rsidR="00C7266C" w:rsidRPr="00D403F5" w14:paraId="0227759C" w14:textId="77777777" w:rsidTr="00C7266C">
        <w:tc>
          <w:tcPr>
            <w:tcW w:w="9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F42148"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Test type</w:t>
            </w:r>
          </w:p>
        </w:tc>
        <w:tc>
          <w:tcPr>
            <w:tcW w:w="11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AD7636"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Test purpose</w:t>
            </w:r>
          </w:p>
        </w:tc>
        <w:tc>
          <w:tcPr>
            <w:tcW w:w="1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F9CD227"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Source populations</w:t>
            </w:r>
          </w:p>
        </w:tc>
        <w:tc>
          <w:tcPr>
            <w:tcW w:w="113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E370884"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Tissue or sample types</w:t>
            </w:r>
          </w:p>
        </w:tc>
        <w:tc>
          <w:tcPr>
            <w:tcW w:w="12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04EB4CE"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Species</w:t>
            </w:r>
          </w:p>
        </w:tc>
        <w:tc>
          <w:tcPr>
            <w:tcW w:w="6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67AF843"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DSe (</w:t>
            </w:r>
            <w:r w:rsidRPr="00D403F5">
              <w:rPr>
                <w:rFonts w:ascii="Arial Narrow" w:hAnsi="Arial Narrow"/>
                <w:b/>
                <w:bCs/>
                <w:i/>
                <w:iCs/>
                <w:sz w:val="18"/>
                <w:szCs w:val="18"/>
                <w:lang w:val="en-IE" w:eastAsia="fr-FR"/>
              </w:rPr>
              <w:t>n</w:t>
            </w:r>
            <w:r w:rsidRPr="00D403F5">
              <w:rPr>
                <w:rFonts w:ascii="Arial Narrow" w:hAnsi="Arial Narrow"/>
                <w:b/>
                <w:bCs/>
                <w:sz w:val="18"/>
                <w:szCs w:val="18"/>
                <w:lang w:val="en-IE" w:eastAsia="fr-FR"/>
              </w:rPr>
              <w:t>)</w:t>
            </w:r>
          </w:p>
        </w:tc>
        <w:tc>
          <w:tcPr>
            <w:tcW w:w="6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92E95F"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DSp (</w:t>
            </w:r>
            <w:r w:rsidRPr="00D403F5">
              <w:rPr>
                <w:rFonts w:ascii="Arial Narrow" w:hAnsi="Arial Narrow"/>
                <w:b/>
                <w:bCs/>
                <w:i/>
                <w:iCs/>
                <w:sz w:val="18"/>
                <w:szCs w:val="18"/>
                <w:lang w:val="en-IE" w:eastAsia="fr-FR"/>
              </w:rPr>
              <w:t>n</w:t>
            </w:r>
            <w:r w:rsidRPr="00D403F5">
              <w:rPr>
                <w:rFonts w:ascii="Arial Narrow" w:hAnsi="Arial Narrow"/>
                <w:b/>
                <w:bCs/>
                <w:sz w:val="18"/>
                <w:szCs w:val="18"/>
                <w:lang w:val="en-IE" w:eastAsia="fr-FR"/>
              </w:rPr>
              <w:t>)</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D0FC2D8"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Reference test</w:t>
            </w:r>
          </w:p>
        </w:tc>
        <w:tc>
          <w:tcPr>
            <w:tcW w:w="9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0B2B070"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b/>
                <w:bCs/>
                <w:sz w:val="18"/>
                <w:szCs w:val="18"/>
                <w:lang w:val="en-IE" w:eastAsia="fr-FR"/>
              </w:rPr>
              <w:t>Citation</w:t>
            </w:r>
          </w:p>
        </w:tc>
      </w:tr>
      <w:tr w:rsidR="00C7266C" w:rsidRPr="00D403F5" w14:paraId="7BF7B74A" w14:textId="77777777" w:rsidTr="00C7266C">
        <w:tc>
          <w:tcPr>
            <w:tcW w:w="91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3ED788A3"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Real-time RT-PCR</w:t>
            </w:r>
          </w:p>
        </w:tc>
        <w:tc>
          <w:tcPr>
            <w:tcW w:w="117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6DA19A13"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Diagnosis</w:t>
            </w:r>
          </w:p>
        </w:tc>
        <w:tc>
          <w:tcPr>
            <w:tcW w:w="117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6BA0B8F8"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Experimentally infected salmon</w:t>
            </w:r>
          </w:p>
        </w:tc>
        <w:tc>
          <w:tcPr>
            <w:tcW w:w="1136"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FE4FBDB"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Kidney</w:t>
            </w:r>
          </w:p>
        </w:tc>
        <w:tc>
          <w:tcPr>
            <w:tcW w:w="127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E9EBA7A"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Steelhead (</w:t>
            </w:r>
            <w:r w:rsidRPr="00D403F5">
              <w:rPr>
                <w:rFonts w:ascii="Arial Narrow" w:hAnsi="Arial Narrow"/>
                <w:i/>
                <w:sz w:val="18"/>
                <w:szCs w:val="18"/>
                <w:lang w:val="en-IE" w:eastAsia="fr-FR"/>
              </w:rPr>
              <w:t>Oncorhynchus mykiss</w:t>
            </w:r>
            <w:r w:rsidRPr="00D403F5">
              <w:rPr>
                <w:rFonts w:ascii="Arial Narrow" w:hAnsi="Arial Narrow"/>
                <w:sz w:val="18"/>
                <w:szCs w:val="18"/>
                <w:lang w:val="en-IE" w:eastAsia="fr-FR"/>
              </w:rPr>
              <w:t>)</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A64C3D3"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100 (50)</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6B91F89"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100 (50)</w:t>
            </w:r>
          </w:p>
        </w:tc>
        <w:tc>
          <w:tcPr>
            <w:tcW w:w="125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6FBB937"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Animals of known infection status</w:t>
            </w:r>
          </w:p>
        </w:tc>
        <w:tc>
          <w:tcPr>
            <w:tcW w:w="984"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1FD42C7"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noProof/>
                <w:sz w:val="18"/>
                <w:szCs w:val="18"/>
                <w:lang w:val="en-IE" w:eastAsia="fr-FR"/>
              </w:rPr>
              <w:t xml:space="preserve">Purcell </w:t>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2013</w:t>
            </w:r>
          </w:p>
        </w:tc>
      </w:tr>
      <w:tr w:rsidR="00C7266C" w:rsidRPr="00D403F5" w14:paraId="636438FC" w14:textId="77777777" w:rsidTr="00C7266C">
        <w:tc>
          <w:tcPr>
            <w:tcW w:w="91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93F7A68"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RT-PCR (single step)</w:t>
            </w:r>
          </w:p>
        </w:tc>
        <w:tc>
          <w:tcPr>
            <w:tcW w:w="1172" w:type="dxa"/>
            <w:tcBorders>
              <w:top w:val="nil"/>
              <w:left w:val="nil"/>
              <w:bottom w:val="single" w:sz="4" w:space="0" w:color="auto"/>
              <w:right w:val="single" w:sz="8" w:space="0" w:color="auto"/>
            </w:tcBorders>
            <w:tcMar>
              <w:top w:w="0" w:type="dxa"/>
              <w:left w:w="108" w:type="dxa"/>
              <w:bottom w:w="0" w:type="dxa"/>
              <w:right w:w="108" w:type="dxa"/>
            </w:tcMar>
            <w:vAlign w:val="center"/>
          </w:tcPr>
          <w:p w14:paraId="4347D09B"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Diagnosis</w:t>
            </w:r>
          </w:p>
        </w:tc>
        <w:tc>
          <w:tcPr>
            <w:tcW w:w="1175" w:type="dxa"/>
            <w:tcBorders>
              <w:top w:val="nil"/>
              <w:left w:val="nil"/>
              <w:bottom w:val="single" w:sz="4" w:space="0" w:color="auto"/>
              <w:right w:val="single" w:sz="8" w:space="0" w:color="auto"/>
            </w:tcBorders>
            <w:tcMar>
              <w:top w:w="0" w:type="dxa"/>
              <w:left w:w="108" w:type="dxa"/>
              <w:bottom w:w="0" w:type="dxa"/>
              <w:right w:w="108" w:type="dxa"/>
            </w:tcMar>
            <w:vAlign w:val="center"/>
          </w:tcPr>
          <w:p w14:paraId="351AA892"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Experimentally infected salmon</w:t>
            </w:r>
          </w:p>
        </w:tc>
        <w:tc>
          <w:tcPr>
            <w:tcW w:w="1136" w:type="dxa"/>
            <w:tcBorders>
              <w:top w:val="nil"/>
              <w:left w:val="nil"/>
              <w:bottom w:val="single" w:sz="4" w:space="0" w:color="auto"/>
              <w:right w:val="single" w:sz="8" w:space="0" w:color="auto"/>
            </w:tcBorders>
            <w:tcMar>
              <w:top w:w="0" w:type="dxa"/>
              <w:left w:w="108" w:type="dxa"/>
              <w:bottom w:w="0" w:type="dxa"/>
              <w:right w:w="108" w:type="dxa"/>
            </w:tcMar>
            <w:vAlign w:val="center"/>
          </w:tcPr>
          <w:p w14:paraId="5AC1AFD8"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Kidney</w:t>
            </w:r>
          </w:p>
        </w:tc>
        <w:tc>
          <w:tcPr>
            <w:tcW w:w="1279" w:type="dxa"/>
            <w:tcBorders>
              <w:top w:val="nil"/>
              <w:left w:val="nil"/>
              <w:bottom w:val="single" w:sz="4" w:space="0" w:color="auto"/>
              <w:right w:val="single" w:sz="8" w:space="0" w:color="auto"/>
            </w:tcBorders>
            <w:tcMar>
              <w:top w:w="0" w:type="dxa"/>
              <w:left w:w="108" w:type="dxa"/>
              <w:bottom w:w="0" w:type="dxa"/>
              <w:right w:w="108" w:type="dxa"/>
            </w:tcMar>
            <w:vAlign w:val="center"/>
          </w:tcPr>
          <w:p w14:paraId="5383E442"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Steelhead (</w:t>
            </w:r>
            <w:r w:rsidRPr="00D403F5">
              <w:rPr>
                <w:rFonts w:ascii="Arial Narrow" w:hAnsi="Arial Narrow"/>
                <w:i/>
                <w:sz w:val="18"/>
                <w:szCs w:val="18"/>
                <w:lang w:val="en-IE" w:eastAsia="fr-FR"/>
              </w:rPr>
              <w:t>Oncorhynchus mykiss</w:t>
            </w:r>
            <w:r w:rsidRPr="00D403F5">
              <w:rPr>
                <w:rFonts w:ascii="Arial Narrow" w:hAnsi="Arial Narrow"/>
                <w:sz w:val="18"/>
                <w:szCs w:val="18"/>
                <w:lang w:val="en-IE" w:eastAsia="fr-FR"/>
              </w:rPr>
              <w:t>)</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tcPr>
          <w:p w14:paraId="05D89C4F"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58 (50)</w:t>
            </w:r>
          </w:p>
        </w:tc>
        <w:tc>
          <w:tcPr>
            <w:tcW w:w="660" w:type="dxa"/>
            <w:tcBorders>
              <w:top w:val="nil"/>
              <w:left w:val="nil"/>
              <w:bottom w:val="single" w:sz="4" w:space="0" w:color="auto"/>
              <w:right w:val="single" w:sz="8" w:space="0" w:color="auto"/>
            </w:tcBorders>
            <w:tcMar>
              <w:top w:w="0" w:type="dxa"/>
              <w:left w:w="108" w:type="dxa"/>
              <w:bottom w:w="0" w:type="dxa"/>
              <w:right w:w="108" w:type="dxa"/>
            </w:tcMar>
            <w:vAlign w:val="center"/>
          </w:tcPr>
          <w:p w14:paraId="61F13E7E"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100 (50)</w:t>
            </w:r>
          </w:p>
        </w:tc>
        <w:tc>
          <w:tcPr>
            <w:tcW w:w="1255" w:type="dxa"/>
            <w:tcBorders>
              <w:top w:val="nil"/>
              <w:left w:val="nil"/>
              <w:bottom w:val="single" w:sz="4" w:space="0" w:color="auto"/>
              <w:right w:val="single" w:sz="8" w:space="0" w:color="auto"/>
            </w:tcBorders>
            <w:tcMar>
              <w:top w:w="0" w:type="dxa"/>
              <w:left w:w="108" w:type="dxa"/>
              <w:bottom w:w="0" w:type="dxa"/>
              <w:right w:w="108" w:type="dxa"/>
            </w:tcMar>
            <w:vAlign w:val="center"/>
          </w:tcPr>
          <w:p w14:paraId="7EF73FA9"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Animals of known infection status</w:t>
            </w:r>
          </w:p>
        </w:tc>
        <w:tc>
          <w:tcPr>
            <w:tcW w:w="984" w:type="dxa"/>
            <w:tcBorders>
              <w:top w:val="nil"/>
              <w:left w:val="nil"/>
              <w:bottom w:val="single" w:sz="4" w:space="0" w:color="auto"/>
              <w:right w:val="single" w:sz="8" w:space="0" w:color="auto"/>
            </w:tcBorders>
            <w:tcMar>
              <w:top w:w="0" w:type="dxa"/>
              <w:left w:w="108" w:type="dxa"/>
              <w:bottom w:w="0" w:type="dxa"/>
              <w:right w:w="108" w:type="dxa"/>
            </w:tcMar>
            <w:vAlign w:val="center"/>
          </w:tcPr>
          <w:p w14:paraId="6E523911" w14:textId="77777777" w:rsidR="00C7266C" w:rsidRPr="00D403F5" w:rsidRDefault="00C7266C" w:rsidP="00D403F5">
            <w:pPr>
              <w:spacing w:after="0"/>
              <w:ind w:left="-57"/>
              <w:jc w:val="center"/>
              <w:rPr>
                <w:rFonts w:ascii="Arial Narrow" w:hAnsi="Arial Narrow"/>
                <w:noProof/>
                <w:sz w:val="18"/>
                <w:szCs w:val="18"/>
                <w:lang w:val="en-IE" w:eastAsia="fr-FR"/>
              </w:rPr>
            </w:pPr>
            <w:r w:rsidRPr="00D403F5">
              <w:rPr>
                <w:rFonts w:ascii="Arial Narrow" w:hAnsi="Arial Narrow"/>
                <w:noProof/>
                <w:sz w:val="18"/>
                <w:szCs w:val="18"/>
                <w:lang w:val="en-IE" w:eastAsia="fr-FR"/>
              </w:rPr>
              <w:t xml:space="preserve">Purcell </w:t>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2013</w:t>
            </w:r>
          </w:p>
        </w:tc>
      </w:tr>
      <w:tr w:rsidR="00C7266C" w:rsidRPr="00D403F5" w14:paraId="70CE0A68" w14:textId="77777777" w:rsidTr="00C7266C">
        <w:tc>
          <w:tcPr>
            <w:tcW w:w="911" w:type="dxa"/>
            <w:vMerge w:val="restart"/>
            <w:tcBorders>
              <w:top w:val="single" w:sz="4" w:space="0" w:color="auto"/>
              <w:left w:val="single" w:sz="8" w:space="0" w:color="auto"/>
              <w:right w:val="single" w:sz="8" w:space="0" w:color="auto"/>
            </w:tcBorders>
            <w:tcMar>
              <w:top w:w="0" w:type="dxa"/>
              <w:left w:w="108" w:type="dxa"/>
              <w:bottom w:w="0" w:type="dxa"/>
              <w:right w:w="108" w:type="dxa"/>
            </w:tcMar>
            <w:vAlign w:val="center"/>
          </w:tcPr>
          <w:p w14:paraId="16EB0679"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Virus Isolation</w:t>
            </w:r>
          </w:p>
        </w:tc>
        <w:tc>
          <w:tcPr>
            <w:tcW w:w="1172" w:type="dxa"/>
            <w:vMerge w:val="restart"/>
            <w:tcBorders>
              <w:top w:val="single" w:sz="4" w:space="0" w:color="auto"/>
              <w:left w:val="nil"/>
              <w:right w:val="single" w:sz="8" w:space="0" w:color="auto"/>
            </w:tcBorders>
            <w:tcMar>
              <w:top w:w="0" w:type="dxa"/>
              <w:left w:w="108" w:type="dxa"/>
              <w:bottom w:w="0" w:type="dxa"/>
              <w:right w:w="108" w:type="dxa"/>
            </w:tcMar>
            <w:vAlign w:val="center"/>
          </w:tcPr>
          <w:p w14:paraId="51640B26"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Diagnosis</w:t>
            </w:r>
          </w:p>
        </w:tc>
        <w:tc>
          <w:tcPr>
            <w:tcW w:w="117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60C9DAE"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Experimentally infected salmon</w:t>
            </w:r>
          </w:p>
        </w:tc>
        <w:tc>
          <w:tcPr>
            <w:tcW w:w="113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D09CCC4"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Kidney</w:t>
            </w:r>
          </w:p>
        </w:tc>
        <w:tc>
          <w:tcPr>
            <w:tcW w:w="127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C0149A7"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Steelhead (</w:t>
            </w:r>
            <w:r w:rsidRPr="00D403F5">
              <w:rPr>
                <w:rFonts w:ascii="Arial Narrow" w:hAnsi="Arial Narrow"/>
                <w:i/>
                <w:sz w:val="18"/>
                <w:szCs w:val="18"/>
                <w:lang w:val="en-IE" w:eastAsia="fr-FR"/>
              </w:rPr>
              <w:t>Oncorhynchus mykiss</w:t>
            </w:r>
            <w:r w:rsidRPr="00D403F5">
              <w:rPr>
                <w:rFonts w:ascii="Arial Narrow" w:hAnsi="Arial Narrow"/>
                <w:sz w:val="18"/>
                <w:szCs w:val="18"/>
                <w:lang w:val="en-IE" w:eastAsia="fr-FR"/>
              </w:rPr>
              <w:t>)</w:t>
            </w:r>
          </w:p>
        </w:tc>
        <w:tc>
          <w:tcPr>
            <w:tcW w:w="66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8736C54"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84 (50)</w:t>
            </w:r>
          </w:p>
        </w:tc>
        <w:tc>
          <w:tcPr>
            <w:tcW w:w="66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F0F9221"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100 (50)</w:t>
            </w:r>
          </w:p>
        </w:tc>
        <w:tc>
          <w:tcPr>
            <w:tcW w:w="125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365DDFF"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sz w:val="18"/>
                <w:szCs w:val="18"/>
                <w:lang w:val="en-IE" w:eastAsia="fr-FR"/>
              </w:rPr>
              <w:t>Animals of known infection status</w:t>
            </w:r>
          </w:p>
        </w:tc>
        <w:tc>
          <w:tcPr>
            <w:tcW w:w="9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6024998" w14:textId="77777777" w:rsidR="00C7266C" w:rsidRPr="00D403F5" w:rsidRDefault="00C7266C" w:rsidP="00D403F5">
            <w:pPr>
              <w:spacing w:after="0"/>
              <w:ind w:left="-57"/>
              <w:jc w:val="center"/>
              <w:rPr>
                <w:rFonts w:ascii="Calibri" w:eastAsia="Calibri" w:hAnsi="Calibri"/>
                <w:sz w:val="18"/>
                <w:szCs w:val="18"/>
                <w:lang w:val="en-IE"/>
              </w:rPr>
            </w:pPr>
            <w:r w:rsidRPr="00D403F5">
              <w:rPr>
                <w:rFonts w:ascii="Arial Narrow" w:hAnsi="Arial Narrow"/>
                <w:noProof/>
                <w:sz w:val="18"/>
                <w:szCs w:val="18"/>
                <w:lang w:val="en-IE" w:eastAsia="fr-FR"/>
              </w:rPr>
              <w:t xml:space="preserve">Purcell </w:t>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2013</w:t>
            </w:r>
          </w:p>
        </w:tc>
      </w:tr>
      <w:tr w:rsidR="00C7266C" w:rsidRPr="00D403F5" w14:paraId="3892BE85" w14:textId="77777777" w:rsidTr="00C7266C">
        <w:tc>
          <w:tcPr>
            <w:tcW w:w="911"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14:paraId="2B722ED8" w14:textId="77777777" w:rsidR="00C7266C" w:rsidRPr="00D403F5" w:rsidRDefault="00C7266C" w:rsidP="00D403F5">
            <w:pPr>
              <w:spacing w:after="0"/>
              <w:ind w:left="-57"/>
              <w:jc w:val="center"/>
              <w:rPr>
                <w:rFonts w:ascii="Arial Narrow" w:hAnsi="Arial Narrow"/>
                <w:sz w:val="18"/>
                <w:szCs w:val="18"/>
                <w:lang w:val="en-IE" w:eastAsia="fr-FR"/>
              </w:rPr>
            </w:pPr>
          </w:p>
        </w:tc>
        <w:tc>
          <w:tcPr>
            <w:tcW w:w="1172" w:type="dxa"/>
            <w:vMerge/>
            <w:tcBorders>
              <w:left w:val="nil"/>
              <w:bottom w:val="single" w:sz="8" w:space="0" w:color="auto"/>
              <w:right w:val="single" w:sz="8" w:space="0" w:color="auto"/>
            </w:tcBorders>
            <w:tcMar>
              <w:top w:w="0" w:type="dxa"/>
              <w:left w:w="108" w:type="dxa"/>
              <w:bottom w:w="0" w:type="dxa"/>
              <w:right w:w="108" w:type="dxa"/>
            </w:tcMar>
            <w:vAlign w:val="center"/>
          </w:tcPr>
          <w:p w14:paraId="567BE012" w14:textId="77777777" w:rsidR="00C7266C" w:rsidRPr="00D403F5" w:rsidRDefault="00C7266C" w:rsidP="00D403F5">
            <w:pPr>
              <w:spacing w:after="0"/>
              <w:ind w:left="-57"/>
              <w:jc w:val="center"/>
              <w:rPr>
                <w:rFonts w:ascii="Arial Narrow" w:hAnsi="Arial Narrow"/>
                <w:sz w:val="18"/>
                <w:szCs w:val="18"/>
                <w:lang w:val="en-IE" w:eastAsia="fr-FR"/>
              </w:rPr>
            </w:pPr>
          </w:p>
        </w:tc>
        <w:tc>
          <w:tcPr>
            <w:tcW w:w="117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94FF6F1"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Field samples</w:t>
            </w:r>
          </w:p>
        </w:tc>
        <w:tc>
          <w:tcPr>
            <w:tcW w:w="113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BC164AD"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Kidney and spleen</w:t>
            </w:r>
          </w:p>
        </w:tc>
        <w:tc>
          <w:tcPr>
            <w:tcW w:w="127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540149F"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Atlantic salmon</w:t>
            </w:r>
            <w:r w:rsidRPr="00D403F5">
              <w:rPr>
                <w:rFonts w:ascii="Arial Narrow" w:hAnsi="Arial Narrow"/>
                <w:sz w:val="18"/>
                <w:szCs w:val="18"/>
                <w:lang w:val="en-IE" w:eastAsia="fr-FR"/>
              </w:rPr>
              <w:br/>
              <w:t>(</w:t>
            </w:r>
            <w:r w:rsidRPr="00D403F5">
              <w:rPr>
                <w:rFonts w:ascii="Arial Narrow" w:hAnsi="Arial Narrow"/>
                <w:i/>
                <w:sz w:val="18"/>
                <w:szCs w:val="18"/>
                <w:lang w:val="en-IE" w:eastAsia="fr-FR"/>
              </w:rPr>
              <w:t>Salmo salar</w:t>
            </w:r>
            <w:r w:rsidRPr="00D403F5">
              <w:rPr>
                <w:rFonts w:ascii="Arial Narrow" w:hAnsi="Arial Narrow"/>
                <w:sz w:val="18"/>
                <w:szCs w:val="18"/>
                <w:lang w:val="en-IE" w:eastAsia="fr-FR"/>
              </w:rPr>
              <w:t>)</w:t>
            </w:r>
          </w:p>
        </w:tc>
        <w:tc>
          <w:tcPr>
            <w:tcW w:w="6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663CE17"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80-86 (50)</w:t>
            </w:r>
          </w:p>
        </w:tc>
        <w:tc>
          <w:tcPr>
            <w:tcW w:w="6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DE5EFEB"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100 (50)</w:t>
            </w:r>
          </w:p>
        </w:tc>
        <w:tc>
          <w:tcPr>
            <w:tcW w:w="125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931E09D"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sz w:val="18"/>
                <w:szCs w:val="18"/>
                <w:lang w:val="en-IE" w:eastAsia="fr-FR"/>
              </w:rPr>
              <w:t>Clinical signs – history</w:t>
            </w:r>
          </w:p>
        </w:tc>
        <w:tc>
          <w:tcPr>
            <w:tcW w:w="98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982C37F" w14:textId="77777777" w:rsidR="00C7266C" w:rsidRPr="00D403F5" w:rsidRDefault="00C7266C" w:rsidP="00D403F5">
            <w:pPr>
              <w:spacing w:after="0"/>
              <w:ind w:left="-57"/>
              <w:jc w:val="center"/>
              <w:rPr>
                <w:rFonts w:ascii="Arial Narrow" w:hAnsi="Arial Narrow"/>
                <w:sz w:val="18"/>
                <w:szCs w:val="18"/>
                <w:lang w:val="en-IE" w:eastAsia="fr-FR"/>
              </w:rPr>
            </w:pPr>
            <w:r w:rsidRPr="00D403F5">
              <w:rPr>
                <w:rFonts w:ascii="Arial Narrow" w:hAnsi="Arial Narrow"/>
                <w:noProof/>
                <w:sz w:val="18"/>
                <w:szCs w:val="18"/>
                <w:lang w:val="en-IE" w:eastAsia="fr-FR"/>
              </w:rPr>
              <w:t xml:space="preserve">McClure </w:t>
            </w:r>
            <w:r w:rsidRPr="00D403F5">
              <w:rPr>
                <w:rFonts w:ascii="Arial Narrow" w:hAnsi="Arial Narrow"/>
                <w:noProof/>
                <w:sz w:val="18"/>
                <w:szCs w:val="18"/>
                <w:lang w:val="en-IE" w:eastAsia="fr-FR"/>
              </w:rPr>
              <w:br/>
            </w:r>
            <w:r w:rsidRPr="00D403F5">
              <w:rPr>
                <w:rFonts w:ascii="Arial Narrow" w:hAnsi="Arial Narrow"/>
                <w:i/>
                <w:noProof/>
                <w:sz w:val="18"/>
                <w:szCs w:val="18"/>
                <w:lang w:val="en-IE" w:eastAsia="fr-FR"/>
              </w:rPr>
              <w:t>et al.,</w:t>
            </w:r>
            <w:r w:rsidRPr="00D403F5">
              <w:rPr>
                <w:rFonts w:ascii="Arial Narrow" w:hAnsi="Arial Narrow"/>
                <w:noProof/>
                <w:sz w:val="18"/>
                <w:szCs w:val="18"/>
                <w:lang w:val="en-IE" w:eastAsia="fr-FR"/>
              </w:rPr>
              <w:t xml:space="preserve"> 2008</w:t>
            </w:r>
          </w:p>
        </w:tc>
      </w:tr>
    </w:tbl>
    <w:p w14:paraId="70A3D6EB" w14:textId="77777777" w:rsidR="00C7266C" w:rsidRPr="00D403F5" w:rsidRDefault="00C7266C" w:rsidP="00D403F5">
      <w:pPr>
        <w:spacing w:after="0"/>
        <w:rPr>
          <w:rFonts w:ascii="Ottawa" w:eastAsia="MS Mincho" w:hAnsi="Ottawa"/>
          <w:b/>
          <w:sz w:val="18"/>
          <w:szCs w:val="18"/>
          <w:lang w:val="en-IE" w:eastAsia="fr-FR" w:bidi="en-US"/>
        </w:rPr>
      </w:pPr>
      <w:bookmarkStart w:id="89" w:name="_Hlk18398484"/>
      <w:r w:rsidRPr="00D403F5">
        <w:rPr>
          <w:sz w:val="18"/>
          <w:szCs w:val="18"/>
          <w:lang w:val="en-IE" w:bidi="en-US"/>
        </w:rPr>
        <w:br w:type="page"/>
      </w:r>
    </w:p>
    <w:p w14:paraId="5878F712" w14:textId="3FC97C0A" w:rsidR="00C7266C" w:rsidRPr="00D403F5" w:rsidRDefault="000B38E2" w:rsidP="006237A8">
      <w:pPr>
        <w:spacing w:after="480"/>
        <w:rPr>
          <w:sz w:val="18"/>
          <w:szCs w:val="18"/>
        </w:rPr>
      </w:pPr>
      <w:r w:rsidRPr="00D403F5">
        <w:rPr>
          <w:rFonts w:ascii="Times New Roman" w:hAnsi="Times New Roman" w:cs="Times New Roman"/>
          <w:noProof/>
          <w:sz w:val="18"/>
          <w:szCs w:val="18"/>
          <w:u w:val="single"/>
          <w:lang w:val="en-US"/>
        </w:rPr>
        <w:t>Annex 12</w:t>
      </w:r>
      <w:r w:rsidRPr="00D403F5">
        <w:rPr>
          <w:rFonts w:ascii="Times New Roman" w:hAnsi="Times New Roman" w:cs="Times New Roman"/>
          <w:noProof/>
          <w:sz w:val="18"/>
          <w:szCs w:val="18"/>
          <w:lang w:val="en-US"/>
        </w:rPr>
        <w:t xml:space="preserve"> (contd)</w:t>
      </w:r>
    </w:p>
    <w:p w14:paraId="33AB5790" w14:textId="77777777" w:rsidR="00C7266C" w:rsidRPr="00D403F5" w:rsidRDefault="00C7266C" w:rsidP="00D403F5">
      <w:pPr>
        <w:pStyle w:val="13"/>
        <w:spacing w:after="0"/>
        <w:rPr>
          <w:sz w:val="18"/>
          <w:szCs w:val="18"/>
          <w:lang w:val="en-IE" w:bidi="en-US"/>
        </w:rPr>
      </w:pPr>
      <w:r w:rsidRPr="00D403F5">
        <w:rPr>
          <w:sz w:val="18"/>
          <w:szCs w:val="18"/>
          <w:lang w:val="en-IE" w:bidi="en-US"/>
        </w:rPr>
        <w:t>7.</w:t>
      </w:r>
      <w:r w:rsidRPr="00D403F5">
        <w:rPr>
          <w:sz w:val="18"/>
          <w:szCs w:val="18"/>
          <w:lang w:val="en-IE" w:bidi="en-US"/>
        </w:rPr>
        <w:tab/>
        <w:t>References</w:t>
      </w:r>
    </w:p>
    <w:p w14:paraId="4F4B09FA" w14:textId="77777777" w:rsidR="00C7266C" w:rsidRPr="00D403F5" w:rsidRDefault="00C7266C" w:rsidP="00D403F5">
      <w:pPr>
        <w:pStyle w:val="REF"/>
        <w:spacing w:after="0"/>
        <w:rPr>
          <w:szCs w:val="18"/>
        </w:rPr>
      </w:pPr>
      <w:bookmarkStart w:id="90" w:name="_Hlk491953918"/>
      <w:r w:rsidRPr="00D403F5">
        <w:rPr>
          <w:smallCaps/>
          <w:szCs w:val="18"/>
        </w:rPr>
        <w:t>Alonso M. &amp; Leong J.</w:t>
      </w:r>
      <w:r w:rsidRPr="00D403F5">
        <w:rPr>
          <w:szCs w:val="18"/>
        </w:rPr>
        <w:t xml:space="preserve"> (2013). Licensed DNA vaccines against infectious hematopoietic necrosis virus (IHNV). </w:t>
      </w:r>
      <w:r w:rsidRPr="00D403F5">
        <w:rPr>
          <w:i/>
          <w:szCs w:val="18"/>
        </w:rPr>
        <w:t xml:space="preserve">Recent Pat. DNA Gene Seq., </w:t>
      </w:r>
      <w:r w:rsidRPr="00D403F5">
        <w:rPr>
          <w:b/>
          <w:szCs w:val="18"/>
        </w:rPr>
        <w:t>7</w:t>
      </w:r>
      <w:r w:rsidRPr="00D403F5">
        <w:rPr>
          <w:szCs w:val="18"/>
        </w:rPr>
        <w:t>, 62–65.</w:t>
      </w:r>
    </w:p>
    <w:p w14:paraId="0CCA8D6C" w14:textId="77777777" w:rsidR="00C7266C" w:rsidRPr="00D403F5" w:rsidRDefault="00C7266C" w:rsidP="00D403F5">
      <w:pPr>
        <w:pStyle w:val="REF"/>
        <w:spacing w:after="0"/>
        <w:rPr>
          <w:szCs w:val="18"/>
        </w:rPr>
      </w:pPr>
      <w:r w:rsidRPr="00D403F5">
        <w:rPr>
          <w:smallCaps/>
          <w:szCs w:val="18"/>
          <w:lang w:val="nb-NO"/>
        </w:rPr>
        <w:t>Auinger B.M., Pfandl K. &amp; Boenigk J.</w:t>
      </w:r>
      <w:r w:rsidRPr="00D403F5">
        <w:rPr>
          <w:szCs w:val="18"/>
          <w:lang w:val="nb-NO"/>
        </w:rPr>
        <w:t xml:space="preserve"> (2008). </w:t>
      </w:r>
      <w:r w:rsidRPr="00D403F5">
        <w:rPr>
          <w:szCs w:val="18"/>
        </w:rPr>
        <w:t xml:space="preserve">Improved methodology for identification of protists and microalgae from plankton samples preserved in Lugol’s iodine solution: combining microscopic analysis with single-cell PCR. </w:t>
      </w:r>
      <w:r w:rsidRPr="00D403F5">
        <w:rPr>
          <w:i/>
          <w:szCs w:val="18"/>
        </w:rPr>
        <w:t xml:space="preserve">Appl. Environ. Microbiol., </w:t>
      </w:r>
      <w:r w:rsidRPr="00D403F5">
        <w:rPr>
          <w:b/>
          <w:szCs w:val="18"/>
        </w:rPr>
        <w:t>74</w:t>
      </w:r>
      <w:r w:rsidRPr="00D403F5">
        <w:rPr>
          <w:szCs w:val="18"/>
        </w:rPr>
        <w:t>, 2505–2510.</w:t>
      </w:r>
    </w:p>
    <w:p w14:paraId="51A0144B" w14:textId="77777777" w:rsidR="00C7266C" w:rsidRPr="00D403F5" w:rsidRDefault="00C7266C" w:rsidP="00D403F5">
      <w:pPr>
        <w:pStyle w:val="REF"/>
        <w:spacing w:after="0"/>
        <w:rPr>
          <w:szCs w:val="18"/>
        </w:rPr>
      </w:pPr>
      <w:r w:rsidRPr="00D403F5">
        <w:rPr>
          <w:smallCaps/>
          <w:szCs w:val="18"/>
        </w:rPr>
        <w:t>Balmer B.F., Powers R.L., Zhang T.-H., Lee J., Vigant F., Lee B., Jung M.E., Purcell M.K., Snekvik K. &amp; Aguilar H.C.</w:t>
      </w:r>
      <w:r w:rsidRPr="00D403F5">
        <w:rPr>
          <w:szCs w:val="18"/>
        </w:rPr>
        <w:t xml:space="preserve"> (2017). Inhibition of an aquatic rhabdovirus demonstrates promise of a broad-spectrum antiviral for use in aquaculture. </w:t>
      </w:r>
      <w:r w:rsidRPr="00D403F5">
        <w:rPr>
          <w:i/>
          <w:szCs w:val="18"/>
        </w:rPr>
        <w:t xml:space="preserve">J. Virol., </w:t>
      </w:r>
      <w:r w:rsidRPr="00D403F5">
        <w:rPr>
          <w:b/>
          <w:szCs w:val="18"/>
        </w:rPr>
        <w:t>91</w:t>
      </w:r>
      <w:r w:rsidRPr="00D403F5">
        <w:rPr>
          <w:szCs w:val="18"/>
        </w:rPr>
        <w:t xml:space="preserve"> (4), e02181–02116.</w:t>
      </w:r>
    </w:p>
    <w:p w14:paraId="05375399" w14:textId="77777777" w:rsidR="00C7266C" w:rsidRPr="00D403F5" w:rsidRDefault="00C7266C" w:rsidP="00D403F5">
      <w:pPr>
        <w:pStyle w:val="REF"/>
        <w:spacing w:after="0"/>
        <w:rPr>
          <w:szCs w:val="18"/>
        </w:rPr>
      </w:pPr>
      <w:r w:rsidRPr="00D403F5">
        <w:rPr>
          <w:smallCaps/>
          <w:szCs w:val="18"/>
        </w:rPr>
        <w:t>Barlic-Maganja D., Strancar M., Hostnik P., Jencic V. &amp; Grom J</w:t>
      </w:r>
      <w:r w:rsidRPr="00D403F5">
        <w:rPr>
          <w:szCs w:val="18"/>
        </w:rPr>
        <w:t xml:space="preserve">. (2002). Comparison of the efficiency and sensitivity of virus isolation and molecular methods for routine diagnosis of infectious haematopoietic necrosis virus and infectious pancreatic necrosis virus. </w:t>
      </w:r>
      <w:r w:rsidRPr="00D403F5">
        <w:rPr>
          <w:i/>
          <w:szCs w:val="18"/>
        </w:rPr>
        <w:t xml:space="preserve">J. Fish Dis., </w:t>
      </w:r>
      <w:r w:rsidRPr="00D403F5">
        <w:rPr>
          <w:b/>
          <w:szCs w:val="18"/>
        </w:rPr>
        <w:t>25</w:t>
      </w:r>
      <w:r w:rsidRPr="00D403F5">
        <w:rPr>
          <w:szCs w:val="18"/>
        </w:rPr>
        <w:t>, 73–80.</w:t>
      </w:r>
    </w:p>
    <w:p w14:paraId="368EB999" w14:textId="77777777" w:rsidR="00C7266C" w:rsidRPr="00D403F5" w:rsidRDefault="00C7266C" w:rsidP="00D403F5">
      <w:pPr>
        <w:pStyle w:val="REF"/>
        <w:spacing w:after="0"/>
        <w:rPr>
          <w:szCs w:val="18"/>
        </w:rPr>
      </w:pPr>
      <w:r w:rsidRPr="00D403F5">
        <w:rPr>
          <w:smallCaps/>
          <w:szCs w:val="18"/>
        </w:rPr>
        <w:t xml:space="preserve">Barroso R.M., Wheeler P.A., LaPatra S.E., Drew R.E. &amp; Thorgaard G.H. (2008). </w:t>
      </w:r>
      <w:r w:rsidRPr="00D403F5">
        <w:rPr>
          <w:szCs w:val="18"/>
        </w:rPr>
        <w:t>QTL for IHNV resistance and growth identified in a rainbow trout (</w:t>
      </w:r>
      <w:r w:rsidRPr="00D403F5">
        <w:rPr>
          <w:i/>
          <w:szCs w:val="18"/>
        </w:rPr>
        <w:t>Oncorhynchus mykiss</w:t>
      </w:r>
      <w:r w:rsidRPr="00D403F5">
        <w:rPr>
          <w:szCs w:val="18"/>
        </w:rPr>
        <w:t>) X Yellowstone cutthroat (</w:t>
      </w:r>
      <w:r w:rsidRPr="00D403F5">
        <w:rPr>
          <w:i/>
          <w:szCs w:val="18"/>
        </w:rPr>
        <w:t>Oncorhynchus clarki bouvieri</w:t>
      </w:r>
      <w:r w:rsidRPr="00D403F5">
        <w:rPr>
          <w:szCs w:val="18"/>
        </w:rPr>
        <w:t xml:space="preserve">) trout cross. </w:t>
      </w:r>
      <w:r w:rsidRPr="00D403F5">
        <w:rPr>
          <w:i/>
          <w:szCs w:val="18"/>
        </w:rPr>
        <w:t>Aquaculture,</w:t>
      </w:r>
      <w:r w:rsidRPr="00D403F5">
        <w:rPr>
          <w:szCs w:val="18"/>
        </w:rPr>
        <w:t xml:space="preserve"> </w:t>
      </w:r>
      <w:r w:rsidRPr="00D403F5">
        <w:rPr>
          <w:b/>
          <w:szCs w:val="18"/>
        </w:rPr>
        <w:t>277</w:t>
      </w:r>
      <w:r w:rsidRPr="00D403F5">
        <w:rPr>
          <w:szCs w:val="18"/>
        </w:rPr>
        <w:t>, 156–163.</w:t>
      </w:r>
    </w:p>
    <w:p w14:paraId="1C72F215" w14:textId="77777777" w:rsidR="00C7266C" w:rsidRPr="00D403F5" w:rsidRDefault="00C7266C" w:rsidP="00D403F5">
      <w:pPr>
        <w:pStyle w:val="REF"/>
        <w:spacing w:after="0"/>
        <w:rPr>
          <w:szCs w:val="18"/>
        </w:rPr>
      </w:pPr>
      <w:r w:rsidRPr="00D403F5">
        <w:rPr>
          <w:smallCaps/>
          <w:szCs w:val="18"/>
        </w:rPr>
        <w:t>Batts W.N. &amp; Winton J.R</w:t>
      </w:r>
      <w:r w:rsidRPr="00D403F5">
        <w:rPr>
          <w:szCs w:val="18"/>
        </w:rPr>
        <w:t xml:space="preserve">. (1989). Concentration of infectious hematopoietic necrosis virus from water samples by tangential flow filtration and polyethylene glycol precipitation. </w:t>
      </w:r>
      <w:r w:rsidRPr="00D403F5">
        <w:rPr>
          <w:i/>
          <w:szCs w:val="18"/>
        </w:rPr>
        <w:t xml:space="preserve">Can. J. Fish. Aquat. Sci., </w:t>
      </w:r>
      <w:r w:rsidRPr="00D403F5">
        <w:rPr>
          <w:b/>
          <w:szCs w:val="18"/>
        </w:rPr>
        <w:t>46</w:t>
      </w:r>
      <w:r w:rsidRPr="00D403F5">
        <w:rPr>
          <w:szCs w:val="18"/>
        </w:rPr>
        <w:t>, 964–968.</w:t>
      </w:r>
    </w:p>
    <w:p w14:paraId="00BDDEC2" w14:textId="77777777" w:rsidR="00C7266C" w:rsidRPr="00D403F5" w:rsidRDefault="00C7266C" w:rsidP="00D403F5">
      <w:pPr>
        <w:pStyle w:val="REF"/>
        <w:spacing w:after="0"/>
        <w:rPr>
          <w:szCs w:val="18"/>
        </w:rPr>
      </w:pPr>
      <w:r w:rsidRPr="00D403F5">
        <w:rPr>
          <w:smallCaps/>
          <w:szCs w:val="18"/>
        </w:rPr>
        <w:t xml:space="preserve">Bootland L.M. &amp; Leong J.C. (1999). </w:t>
      </w:r>
      <w:r w:rsidRPr="00D403F5">
        <w:rPr>
          <w:szCs w:val="18"/>
        </w:rPr>
        <w:t xml:space="preserve">Infectious hematopoietic necrosis virus. </w:t>
      </w:r>
      <w:r w:rsidRPr="00D403F5">
        <w:rPr>
          <w:i/>
          <w:szCs w:val="18"/>
        </w:rPr>
        <w:t xml:space="preserve">In: </w:t>
      </w:r>
      <w:r w:rsidRPr="00D403F5">
        <w:rPr>
          <w:szCs w:val="18"/>
        </w:rPr>
        <w:t>Fish Diseases and Disorders, Volume 3: Viral, Bacterial and Fungal Infections, Woo P.T.K. &amp; Bruno D.W., eds. CAB International, Oxon, UK, 57–121.</w:t>
      </w:r>
    </w:p>
    <w:p w14:paraId="0F1764C3" w14:textId="77777777" w:rsidR="00C7266C" w:rsidRPr="00D403F5" w:rsidRDefault="00C7266C" w:rsidP="00D403F5">
      <w:pPr>
        <w:pStyle w:val="REF"/>
        <w:spacing w:after="0"/>
        <w:rPr>
          <w:szCs w:val="18"/>
        </w:rPr>
      </w:pPr>
      <w:r w:rsidRPr="00D403F5">
        <w:rPr>
          <w:smallCaps/>
          <w:szCs w:val="18"/>
        </w:rPr>
        <w:t>Bovo G., Håstein T., Hill B., LaPatra S.E., Michel C., Olesen N.J., Shchelkunov I., Storset A., Wollfrom T. &amp; Midtlying P.J.</w:t>
      </w:r>
      <w:r w:rsidRPr="00D403F5">
        <w:rPr>
          <w:szCs w:val="18"/>
        </w:rPr>
        <w:t xml:space="preserve"> (2005). Hazard identification for vertical transfer of fish disease agents. Available at: </w:t>
      </w:r>
      <w:hyperlink r:id="rId130" w:history="1">
        <w:r w:rsidRPr="00D403F5">
          <w:rPr>
            <w:rStyle w:val="aa"/>
            <w:rFonts w:cs="Arial"/>
            <w:szCs w:val="18"/>
          </w:rPr>
          <w:t>http://www.crl-fish.eu/upload/sites/crl-fish/reports/links/fisheggtrade%20wp1.pdf</w:t>
        </w:r>
      </w:hyperlink>
      <w:r w:rsidRPr="00D403F5">
        <w:rPr>
          <w:szCs w:val="18"/>
        </w:rPr>
        <w:t xml:space="preserve"> </w:t>
      </w:r>
    </w:p>
    <w:p w14:paraId="0F814DBB" w14:textId="77777777" w:rsidR="00C7266C" w:rsidRPr="00D403F5" w:rsidRDefault="00C7266C" w:rsidP="00D403F5">
      <w:pPr>
        <w:pStyle w:val="REF"/>
        <w:spacing w:after="0"/>
        <w:rPr>
          <w:szCs w:val="18"/>
        </w:rPr>
      </w:pPr>
      <w:r w:rsidRPr="00D403F5">
        <w:rPr>
          <w:smallCaps/>
          <w:szCs w:val="18"/>
        </w:rPr>
        <w:t>Burbank D.R., Fehringer T.R. &amp; Chiaramonte L.V.</w:t>
      </w:r>
      <w:r w:rsidRPr="00D403F5">
        <w:rPr>
          <w:szCs w:val="18"/>
        </w:rPr>
        <w:t xml:space="preserve"> (2017). Comparison of selected nonlethal samples from adult steelhead for detection of infectious hematopoietic necrosis virus using cell culture. </w:t>
      </w:r>
      <w:r w:rsidRPr="00D403F5">
        <w:rPr>
          <w:i/>
          <w:szCs w:val="18"/>
        </w:rPr>
        <w:t xml:space="preserve">J. Aquat. Anim. Health, </w:t>
      </w:r>
      <w:r w:rsidRPr="00D403F5">
        <w:rPr>
          <w:b/>
          <w:szCs w:val="18"/>
        </w:rPr>
        <w:t>29</w:t>
      </w:r>
      <w:r w:rsidRPr="00D403F5">
        <w:rPr>
          <w:szCs w:val="18"/>
        </w:rPr>
        <w:t>, 67–73.</w:t>
      </w:r>
    </w:p>
    <w:p w14:paraId="6E8FC973" w14:textId="77777777" w:rsidR="00C7266C" w:rsidRPr="00D403F5" w:rsidRDefault="00C7266C" w:rsidP="00D403F5">
      <w:pPr>
        <w:pStyle w:val="REF"/>
        <w:spacing w:after="0"/>
        <w:rPr>
          <w:szCs w:val="18"/>
        </w:rPr>
      </w:pPr>
      <w:r w:rsidRPr="00D403F5">
        <w:rPr>
          <w:smallCaps/>
          <w:szCs w:val="18"/>
        </w:rPr>
        <w:t>Burke J. &amp; Mulcahy D.</w:t>
      </w:r>
      <w:r w:rsidRPr="00D403F5">
        <w:rPr>
          <w:szCs w:val="18"/>
        </w:rPr>
        <w:t xml:space="preserve"> (1983). Retention of infectious haematopoietic necrosis virus infectivity in fish tissue homogenates and fluids stored at three temperatures. </w:t>
      </w:r>
      <w:r w:rsidRPr="00D403F5">
        <w:rPr>
          <w:i/>
          <w:szCs w:val="18"/>
        </w:rPr>
        <w:t xml:space="preserve">J. Fish Dis., </w:t>
      </w:r>
      <w:r w:rsidRPr="00D403F5">
        <w:rPr>
          <w:b/>
          <w:szCs w:val="18"/>
        </w:rPr>
        <w:t>6</w:t>
      </w:r>
      <w:r w:rsidRPr="00D403F5">
        <w:rPr>
          <w:szCs w:val="18"/>
        </w:rPr>
        <w:t>, 543–547.</w:t>
      </w:r>
    </w:p>
    <w:p w14:paraId="1D30200D" w14:textId="77777777" w:rsidR="00C7266C" w:rsidRPr="00D403F5" w:rsidRDefault="00C7266C" w:rsidP="00D403F5">
      <w:pPr>
        <w:pStyle w:val="REF"/>
        <w:spacing w:after="0"/>
        <w:rPr>
          <w:szCs w:val="18"/>
          <w:lang w:val="es-ES"/>
        </w:rPr>
      </w:pPr>
      <w:r w:rsidRPr="00D403F5">
        <w:rPr>
          <w:smallCaps/>
          <w:szCs w:val="18"/>
        </w:rPr>
        <w:t>Cieslak M., Wahli T., Diserens N., Haenen O.L.M. &amp; Schutze H.</w:t>
      </w:r>
      <w:r w:rsidRPr="00D403F5">
        <w:rPr>
          <w:szCs w:val="18"/>
        </w:rPr>
        <w:t xml:space="preserve"> (2017). Phylogeny of the infectious hematopoietic necrosis virus in European aquaculture. </w:t>
      </w:r>
      <w:r w:rsidRPr="00D403F5">
        <w:rPr>
          <w:i/>
          <w:szCs w:val="18"/>
          <w:lang w:val="es-ES"/>
        </w:rPr>
        <w:t xml:space="preserve">PloS one, </w:t>
      </w:r>
      <w:r w:rsidRPr="00D403F5">
        <w:rPr>
          <w:b/>
          <w:szCs w:val="18"/>
          <w:lang w:val="es-ES"/>
        </w:rPr>
        <w:t>12</w:t>
      </w:r>
      <w:r w:rsidRPr="00D403F5">
        <w:rPr>
          <w:szCs w:val="18"/>
          <w:lang w:val="es-ES"/>
        </w:rPr>
        <w:t xml:space="preserve"> (9), e0184490.</w:t>
      </w:r>
    </w:p>
    <w:p w14:paraId="5A4A57BB" w14:textId="77777777" w:rsidR="00C7266C" w:rsidRPr="00D403F5" w:rsidRDefault="00C7266C" w:rsidP="00D403F5">
      <w:pPr>
        <w:pStyle w:val="REF"/>
        <w:spacing w:after="0"/>
        <w:rPr>
          <w:szCs w:val="18"/>
        </w:rPr>
      </w:pPr>
      <w:r w:rsidRPr="00D403F5">
        <w:rPr>
          <w:smallCaps/>
          <w:szCs w:val="18"/>
          <w:lang w:val="es-ES"/>
        </w:rPr>
        <w:t>Dixon P., Paley R., Alegria-Moran R. &amp; Oidtmann B.</w:t>
      </w:r>
      <w:r w:rsidRPr="00D403F5">
        <w:rPr>
          <w:szCs w:val="18"/>
          <w:lang w:val="es-ES"/>
        </w:rPr>
        <w:t xml:space="preserve"> (2016). </w:t>
      </w:r>
      <w:r w:rsidRPr="00D403F5">
        <w:rPr>
          <w:szCs w:val="18"/>
        </w:rPr>
        <w:t xml:space="preserve">Epidemiological characteristics of infectious hematopoietic necrosis virus (IHNV): a review. </w:t>
      </w:r>
      <w:r w:rsidRPr="00D403F5">
        <w:rPr>
          <w:i/>
          <w:szCs w:val="18"/>
        </w:rPr>
        <w:t xml:space="preserve">Vet. Res., </w:t>
      </w:r>
      <w:r w:rsidRPr="00D403F5">
        <w:rPr>
          <w:b/>
          <w:szCs w:val="18"/>
        </w:rPr>
        <w:t>47</w:t>
      </w:r>
      <w:r w:rsidRPr="00D403F5">
        <w:rPr>
          <w:szCs w:val="18"/>
        </w:rPr>
        <w:t>, 63.</w:t>
      </w:r>
    </w:p>
    <w:p w14:paraId="711485EF" w14:textId="77777777" w:rsidR="00C7266C" w:rsidRPr="00D403F5" w:rsidRDefault="00C7266C" w:rsidP="00D403F5">
      <w:pPr>
        <w:pStyle w:val="REF"/>
        <w:spacing w:after="0"/>
        <w:rPr>
          <w:szCs w:val="18"/>
        </w:rPr>
      </w:pPr>
      <w:r w:rsidRPr="00D403F5">
        <w:rPr>
          <w:smallCaps/>
          <w:szCs w:val="18"/>
        </w:rPr>
        <w:t>Drolet B.S., Chiou P.P., Heidel J. &amp; Leong J.A.</w:t>
      </w:r>
      <w:r w:rsidRPr="00D403F5">
        <w:rPr>
          <w:szCs w:val="18"/>
        </w:rPr>
        <w:t xml:space="preserve"> (1995). Detection of truncated virus particles in a persistent RNA virus infection </w:t>
      </w:r>
      <w:r w:rsidRPr="00D403F5">
        <w:rPr>
          <w:i/>
          <w:szCs w:val="18"/>
        </w:rPr>
        <w:t>in vivo</w:t>
      </w:r>
      <w:r w:rsidRPr="00D403F5">
        <w:rPr>
          <w:szCs w:val="18"/>
        </w:rPr>
        <w:t xml:space="preserve">. </w:t>
      </w:r>
      <w:r w:rsidRPr="00D403F5">
        <w:rPr>
          <w:i/>
          <w:szCs w:val="18"/>
        </w:rPr>
        <w:t xml:space="preserve">J. Virol., </w:t>
      </w:r>
      <w:r w:rsidRPr="00D403F5">
        <w:rPr>
          <w:b/>
          <w:szCs w:val="18"/>
        </w:rPr>
        <w:t>69</w:t>
      </w:r>
      <w:r w:rsidRPr="00D403F5">
        <w:rPr>
          <w:szCs w:val="18"/>
        </w:rPr>
        <w:t>, 2140–2147.</w:t>
      </w:r>
    </w:p>
    <w:p w14:paraId="3B631C55" w14:textId="77777777" w:rsidR="00C7266C" w:rsidRPr="00D403F5" w:rsidRDefault="00C7266C" w:rsidP="00D403F5">
      <w:pPr>
        <w:pStyle w:val="REF"/>
        <w:spacing w:after="0"/>
        <w:rPr>
          <w:szCs w:val="18"/>
        </w:rPr>
      </w:pPr>
      <w:r w:rsidRPr="00D403F5">
        <w:rPr>
          <w:smallCaps/>
          <w:szCs w:val="18"/>
        </w:rPr>
        <w:t>Drolet B.S., Rohovec J.S. &amp; Leong J.C</w:t>
      </w:r>
      <w:r w:rsidRPr="00D403F5">
        <w:rPr>
          <w:szCs w:val="18"/>
        </w:rPr>
        <w:t xml:space="preserve">. (1994). The route of entry and progression of infectious haematopoietic necrosis virus in </w:t>
      </w:r>
      <w:r w:rsidRPr="00D403F5">
        <w:rPr>
          <w:i/>
          <w:szCs w:val="18"/>
        </w:rPr>
        <w:t>Oncorhynchus mykiss</w:t>
      </w:r>
      <w:r w:rsidRPr="00D403F5">
        <w:rPr>
          <w:szCs w:val="18"/>
        </w:rPr>
        <w:t xml:space="preserve"> (Walbaum): a sequential immunohistochemical study. </w:t>
      </w:r>
      <w:r w:rsidRPr="00D403F5">
        <w:rPr>
          <w:i/>
          <w:szCs w:val="18"/>
        </w:rPr>
        <w:t xml:space="preserve">J. Fish Dis., </w:t>
      </w:r>
      <w:r w:rsidRPr="00D403F5">
        <w:rPr>
          <w:b/>
          <w:szCs w:val="18"/>
        </w:rPr>
        <w:t>17</w:t>
      </w:r>
      <w:r w:rsidRPr="00D403F5">
        <w:rPr>
          <w:szCs w:val="18"/>
        </w:rPr>
        <w:t>, 337–347.</w:t>
      </w:r>
    </w:p>
    <w:p w14:paraId="6442C21E" w14:textId="77777777" w:rsidR="00C7266C" w:rsidRPr="00D403F5" w:rsidRDefault="00C7266C" w:rsidP="00D403F5">
      <w:pPr>
        <w:pStyle w:val="REF"/>
        <w:spacing w:after="0"/>
        <w:rPr>
          <w:szCs w:val="18"/>
        </w:rPr>
      </w:pPr>
      <w:r w:rsidRPr="00D403F5">
        <w:rPr>
          <w:smallCaps/>
          <w:szCs w:val="18"/>
        </w:rPr>
        <w:t xml:space="preserve">Emmenegger E.J., Meyers T.R., Burton T.O. &amp; Kurath G. (2000). </w:t>
      </w:r>
      <w:r w:rsidRPr="00D403F5">
        <w:rPr>
          <w:szCs w:val="18"/>
        </w:rPr>
        <w:t xml:space="preserve">Genetic diversity and epidemiology of infectious hematopoietic necrosis virus in Alaska. </w:t>
      </w:r>
      <w:r w:rsidRPr="00D403F5">
        <w:rPr>
          <w:i/>
          <w:szCs w:val="18"/>
        </w:rPr>
        <w:t>Dis. Aquat. Org.</w:t>
      </w:r>
      <w:r w:rsidRPr="00D403F5">
        <w:rPr>
          <w:szCs w:val="18"/>
        </w:rPr>
        <w:t xml:space="preserve">, </w:t>
      </w:r>
      <w:r w:rsidRPr="00D403F5">
        <w:rPr>
          <w:b/>
          <w:szCs w:val="18"/>
        </w:rPr>
        <w:t>40</w:t>
      </w:r>
      <w:r w:rsidRPr="00D403F5">
        <w:rPr>
          <w:szCs w:val="18"/>
        </w:rPr>
        <w:t>, 163–176.</w:t>
      </w:r>
    </w:p>
    <w:p w14:paraId="701DDF8C" w14:textId="77777777" w:rsidR="00C7266C" w:rsidRPr="00D403F5" w:rsidRDefault="00C7266C" w:rsidP="00D403F5">
      <w:pPr>
        <w:pStyle w:val="REF"/>
        <w:spacing w:after="0"/>
        <w:rPr>
          <w:szCs w:val="18"/>
          <w:lang w:val="nb-NO"/>
        </w:rPr>
      </w:pPr>
      <w:r w:rsidRPr="00D403F5">
        <w:rPr>
          <w:smallCaps/>
          <w:szCs w:val="18"/>
        </w:rPr>
        <w:t>Enzmann P.J., Castric J., Bovo G., Thiery R., Fichtner D., Schütze H. &amp;</w:t>
      </w:r>
      <w:r w:rsidRPr="00D403F5">
        <w:rPr>
          <w:szCs w:val="18"/>
        </w:rPr>
        <w:t xml:space="preserve"> </w:t>
      </w:r>
      <w:r w:rsidRPr="00D403F5">
        <w:rPr>
          <w:smallCaps/>
          <w:szCs w:val="18"/>
        </w:rPr>
        <w:t>Wahli</w:t>
      </w:r>
      <w:r w:rsidRPr="00D403F5">
        <w:rPr>
          <w:szCs w:val="18"/>
        </w:rPr>
        <w:t xml:space="preserve"> T. (2010). Evolution of infectious hematopoietic necrosis virus (IHNV), a fish rhabdovirus, in Europe over 20 years: implications for control. </w:t>
      </w:r>
      <w:r w:rsidRPr="00D403F5">
        <w:rPr>
          <w:i/>
          <w:szCs w:val="18"/>
          <w:lang w:val="nb-NO"/>
        </w:rPr>
        <w:t>Dis. Aquat. Org.,</w:t>
      </w:r>
      <w:r w:rsidRPr="00D403F5">
        <w:rPr>
          <w:szCs w:val="18"/>
          <w:lang w:val="nb-NO"/>
        </w:rPr>
        <w:t xml:space="preserve"> </w:t>
      </w:r>
      <w:r w:rsidRPr="00D403F5">
        <w:rPr>
          <w:b/>
          <w:szCs w:val="18"/>
          <w:lang w:val="nb-NO"/>
        </w:rPr>
        <w:t>89</w:t>
      </w:r>
      <w:r w:rsidRPr="00D403F5">
        <w:rPr>
          <w:szCs w:val="18"/>
          <w:lang w:val="nb-NO"/>
        </w:rPr>
        <w:t>, 9–15.</w:t>
      </w:r>
    </w:p>
    <w:p w14:paraId="4515F838" w14:textId="77777777" w:rsidR="00C7266C" w:rsidRPr="00D403F5" w:rsidRDefault="00C7266C" w:rsidP="00D403F5">
      <w:pPr>
        <w:pStyle w:val="REF"/>
        <w:spacing w:after="0"/>
        <w:rPr>
          <w:szCs w:val="18"/>
        </w:rPr>
      </w:pPr>
      <w:r w:rsidRPr="00D403F5">
        <w:rPr>
          <w:smallCaps/>
          <w:szCs w:val="18"/>
          <w:lang w:val="nb-NO"/>
        </w:rPr>
        <w:t xml:space="preserve">Enzmann P.J., Kurath G., Fichtner D. &amp; Bergmann S.M. (2005). </w:t>
      </w:r>
      <w:r w:rsidRPr="00D403F5">
        <w:rPr>
          <w:szCs w:val="18"/>
        </w:rPr>
        <w:t xml:space="preserve">Infectious hematopoietic necrosis virus: Monophyletic origin of European IHNV isolates from North-American genogroup M. </w:t>
      </w:r>
      <w:r w:rsidRPr="00D403F5">
        <w:rPr>
          <w:i/>
          <w:szCs w:val="18"/>
        </w:rPr>
        <w:t>Dis. Aquat. Org</w:t>
      </w:r>
      <w:r w:rsidRPr="00D403F5">
        <w:rPr>
          <w:szCs w:val="18"/>
        </w:rPr>
        <w:t xml:space="preserve">., </w:t>
      </w:r>
      <w:r w:rsidRPr="00D403F5">
        <w:rPr>
          <w:b/>
          <w:szCs w:val="18"/>
        </w:rPr>
        <w:t>66</w:t>
      </w:r>
      <w:r w:rsidRPr="00D403F5">
        <w:rPr>
          <w:szCs w:val="18"/>
        </w:rPr>
        <w:t>, 187–195.</w:t>
      </w:r>
    </w:p>
    <w:p w14:paraId="76E047A5" w14:textId="77777777" w:rsidR="00C7266C" w:rsidRPr="00D403F5" w:rsidRDefault="00C7266C" w:rsidP="00D403F5">
      <w:pPr>
        <w:spacing w:after="0"/>
        <w:rPr>
          <w:noProof/>
          <w:sz w:val="18"/>
          <w:szCs w:val="18"/>
          <w:u w:val="single"/>
          <w:lang w:val="en-IE"/>
        </w:rPr>
      </w:pPr>
      <w:r w:rsidRPr="00D403F5">
        <w:rPr>
          <w:noProof/>
          <w:sz w:val="18"/>
          <w:szCs w:val="18"/>
          <w:u w:val="single"/>
          <w:lang w:val="en-IE"/>
        </w:rPr>
        <w:br w:type="page"/>
      </w:r>
    </w:p>
    <w:p w14:paraId="152973D7" w14:textId="3717E5B0" w:rsidR="00C7266C" w:rsidRPr="00D403F5" w:rsidRDefault="000B38E2" w:rsidP="006237A8">
      <w:pPr>
        <w:spacing w:after="480"/>
        <w:jc w:val="right"/>
        <w:rPr>
          <w:sz w:val="18"/>
          <w:szCs w:val="18"/>
        </w:rPr>
      </w:pPr>
      <w:r w:rsidRPr="00D403F5">
        <w:rPr>
          <w:rFonts w:ascii="Times New Roman" w:hAnsi="Times New Roman" w:cs="Times New Roman"/>
          <w:noProof/>
          <w:sz w:val="18"/>
          <w:szCs w:val="18"/>
          <w:u w:val="single"/>
          <w:lang w:val="en-US"/>
        </w:rPr>
        <w:t>Annex 12</w:t>
      </w:r>
      <w:r w:rsidRPr="00D403F5">
        <w:rPr>
          <w:rFonts w:ascii="Times New Roman" w:hAnsi="Times New Roman" w:cs="Times New Roman"/>
          <w:noProof/>
          <w:sz w:val="18"/>
          <w:szCs w:val="18"/>
          <w:lang w:val="en-US"/>
        </w:rPr>
        <w:t xml:space="preserve"> (contd)</w:t>
      </w:r>
    </w:p>
    <w:p w14:paraId="724DABFC" w14:textId="77777777" w:rsidR="00C7266C" w:rsidRPr="00D403F5" w:rsidRDefault="00C7266C" w:rsidP="00D403F5">
      <w:pPr>
        <w:pStyle w:val="REF"/>
        <w:spacing w:after="0"/>
        <w:rPr>
          <w:szCs w:val="18"/>
        </w:rPr>
      </w:pPr>
      <w:r w:rsidRPr="00D403F5">
        <w:rPr>
          <w:smallCaps/>
          <w:szCs w:val="18"/>
        </w:rPr>
        <w:t>Foott J.S., Free D., McDowell T., Arkush K.D. &amp; Hedrick R.P.</w:t>
      </w:r>
      <w:r w:rsidRPr="00D403F5">
        <w:rPr>
          <w:szCs w:val="18"/>
        </w:rPr>
        <w:t xml:space="preserve"> (2006). Infectious hematopoietic necrosis virus transmission and disease among juvenile Chinook salmon exposed in culture compared to environmentally relevant conditions. </w:t>
      </w:r>
      <w:r w:rsidRPr="00D403F5">
        <w:rPr>
          <w:i/>
          <w:szCs w:val="18"/>
        </w:rPr>
        <w:t xml:space="preserve">San Franc. Estuary Watershed Sci., </w:t>
      </w:r>
      <w:r w:rsidRPr="00D403F5">
        <w:rPr>
          <w:b/>
          <w:szCs w:val="18"/>
        </w:rPr>
        <w:t>4</w:t>
      </w:r>
      <w:r w:rsidRPr="00D403F5">
        <w:rPr>
          <w:szCs w:val="18"/>
        </w:rPr>
        <w:t xml:space="preserve"> (1).</w:t>
      </w:r>
    </w:p>
    <w:p w14:paraId="28CBDB2F" w14:textId="77777777" w:rsidR="00C7266C" w:rsidRPr="00D403F5" w:rsidRDefault="00C7266C" w:rsidP="00D403F5">
      <w:pPr>
        <w:pStyle w:val="REF"/>
        <w:spacing w:after="0"/>
        <w:rPr>
          <w:szCs w:val="18"/>
        </w:rPr>
      </w:pPr>
      <w:r w:rsidRPr="00D403F5">
        <w:rPr>
          <w:smallCaps/>
          <w:szCs w:val="18"/>
        </w:rPr>
        <w:t xml:space="preserve">Garver K.A., Batts W.N. &amp; Kurath G. (2006). </w:t>
      </w:r>
      <w:r w:rsidRPr="00D403F5">
        <w:rPr>
          <w:szCs w:val="18"/>
        </w:rPr>
        <w:t xml:space="preserve">Virulence comparisons of infectious hematopoietic necrosis virus (IHNV) U and M genogroups in sockeye salmon and rainbow trout. </w:t>
      </w:r>
      <w:r w:rsidRPr="00D403F5">
        <w:rPr>
          <w:i/>
          <w:szCs w:val="18"/>
        </w:rPr>
        <w:t>J. Aquat. Anim. Health</w:t>
      </w:r>
      <w:r w:rsidRPr="00D403F5">
        <w:rPr>
          <w:szCs w:val="18"/>
        </w:rPr>
        <w:t xml:space="preserve">, </w:t>
      </w:r>
      <w:r w:rsidRPr="00D403F5">
        <w:rPr>
          <w:b/>
          <w:szCs w:val="18"/>
        </w:rPr>
        <w:t>18</w:t>
      </w:r>
      <w:r w:rsidRPr="00D403F5">
        <w:rPr>
          <w:szCs w:val="18"/>
        </w:rPr>
        <w:t>, 232–243. doi: 10.1577/h05-038.</w:t>
      </w:r>
    </w:p>
    <w:p w14:paraId="2FA45E7C" w14:textId="77777777" w:rsidR="00C7266C" w:rsidRPr="00D403F5" w:rsidRDefault="00C7266C" w:rsidP="00D403F5">
      <w:pPr>
        <w:pStyle w:val="REF"/>
        <w:spacing w:after="0"/>
        <w:rPr>
          <w:szCs w:val="18"/>
        </w:rPr>
      </w:pPr>
      <w:r w:rsidRPr="00D403F5">
        <w:rPr>
          <w:smallCaps/>
          <w:szCs w:val="18"/>
        </w:rPr>
        <w:t>Garver K.A., Mahony-Grant A.M., Stucchi D.J., Richard J., Van Woensel C. &amp; Foreman M.G.G.</w:t>
      </w:r>
      <w:r w:rsidRPr="00D403F5">
        <w:rPr>
          <w:szCs w:val="18"/>
        </w:rPr>
        <w:t xml:space="preserve"> (2013). Estimation of parameters influencing waterborne transmission of Infectious Hematopoietic Necrosis Virus (IHNV) in Atlantic Salmon (</w:t>
      </w:r>
      <w:r w:rsidRPr="00D403F5">
        <w:rPr>
          <w:i/>
          <w:szCs w:val="18"/>
        </w:rPr>
        <w:t>Salmo salar</w:t>
      </w:r>
      <w:r w:rsidRPr="00D403F5">
        <w:rPr>
          <w:szCs w:val="18"/>
        </w:rPr>
        <w:t xml:space="preserve">). </w:t>
      </w:r>
      <w:r w:rsidRPr="00D403F5">
        <w:rPr>
          <w:i/>
          <w:szCs w:val="18"/>
        </w:rPr>
        <w:t xml:space="preserve">PLoS One, </w:t>
      </w:r>
      <w:r w:rsidRPr="00D403F5">
        <w:rPr>
          <w:b/>
          <w:szCs w:val="18"/>
        </w:rPr>
        <w:t>8</w:t>
      </w:r>
      <w:r w:rsidRPr="00D403F5">
        <w:rPr>
          <w:szCs w:val="18"/>
        </w:rPr>
        <w:t xml:space="preserve"> (12), e82296. doi: 10.1371/journal.pone.0082296. pmid:24340016.</w:t>
      </w:r>
    </w:p>
    <w:p w14:paraId="4FC98EAB" w14:textId="77777777" w:rsidR="00C7266C" w:rsidRPr="00D403F5" w:rsidRDefault="00C7266C" w:rsidP="00D403F5">
      <w:pPr>
        <w:pStyle w:val="REF"/>
        <w:spacing w:after="0"/>
        <w:rPr>
          <w:szCs w:val="18"/>
        </w:rPr>
      </w:pPr>
      <w:r w:rsidRPr="00D403F5">
        <w:rPr>
          <w:smallCaps/>
          <w:szCs w:val="18"/>
        </w:rPr>
        <w:t>Garver K.A. &amp; Wade J.</w:t>
      </w:r>
      <w:r w:rsidRPr="00D403F5">
        <w:rPr>
          <w:szCs w:val="18"/>
        </w:rPr>
        <w:t xml:space="preserve"> (2017). Characterization of Infectious Hematopoietic Necrosis Virus (IHNV). </w:t>
      </w:r>
      <w:r w:rsidRPr="00D403F5">
        <w:rPr>
          <w:i/>
          <w:szCs w:val="18"/>
        </w:rPr>
        <w:t xml:space="preserve">Canadian Science Advisory Secretariat </w:t>
      </w:r>
      <w:r w:rsidRPr="00D403F5">
        <w:rPr>
          <w:szCs w:val="18"/>
        </w:rPr>
        <w:t>(</w:t>
      </w:r>
      <w:r w:rsidRPr="00D403F5">
        <w:rPr>
          <w:i/>
          <w:szCs w:val="18"/>
        </w:rPr>
        <w:t>CSAS</w:t>
      </w:r>
      <w:r w:rsidRPr="00D403F5">
        <w:rPr>
          <w:szCs w:val="18"/>
        </w:rPr>
        <w:t>),</w:t>
      </w:r>
      <w:r w:rsidRPr="00D403F5">
        <w:rPr>
          <w:i/>
          <w:szCs w:val="18"/>
        </w:rPr>
        <w:t xml:space="preserve"> </w:t>
      </w:r>
      <w:r w:rsidRPr="00D403F5">
        <w:rPr>
          <w:b/>
          <w:szCs w:val="18"/>
        </w:rPr>
        <w:t>073</w:t>
      </w:r>
      <w:r w:rsidRPr="00D403F5">
        <w:rPr>
          <w:szCs w:val="18"/>
        </w:rPr>
        <w:t>.</w:t>
      </w:r>
    </w:p>
    <w:p w14:paraId="027304E0" w14:textId="77777777" w:rsidR="00C7266C" w:rsidRPr="00D403F5" w:rsidRDefault="00C7266C" w:rsidP="00D403F5">
      <w:pPr>
        <w:pStyle w:val="REF"/>
        <w:spacing w:after="0"/>
        <w:rPr>
          <w:szCs w:val="18"/>
          <w:lang w:val="fr-FR"/>
        </w:rPr>
      </w:pPr>
      <w:r w:rsidRPr="00D403F5">
        <w:rPr>
          <w:smallCaps/>
          <w:szCs w:val="18"/>
        </w:rPr>
        <w:t>Gosting L.H. &amp; Gould R.W.</w:t>
      </w:r>
      <w:r w:rsidRPr="00D403F5">
        <w:rPr>
          <w:szCs w:val="18"/>
        </w:rPr>
        <w:t xml:space="preserve"> (1981). Thermal inactivation of infectious hematopoietic necrosis and infectious pancreatic necrosis viruses. </w:t>
      </w:r>
      <w:r w:rsidRPr="00D403F5">
        <w:rPr>
          <w:i/>
          <w:szCs w:val="18"/>
          <w:lang w:val="fr-FR"/>
        </w:rPr>
        <w:t xml:space="preserve">Appl. Environ. Microbiol., </w:t>
      </w:r>
      <w:r w:rsidRPr="00D403F5">
        <w:rPr>
          <w:b/>
          <w:szCs w:val="18"/>
          <w:lang w:val="fr-FR"/>
        </w:rPr>
        <w:t>41</w:t>
      </w:r>
      <w:r w:rsidRPr="00D403F5">
        <w:rPr>
          <w:szCs w:val="18"/>
          <w:lang w:val="fr-FR"/>
        </w:rPr>
        <w:t>, 1081–1082.</w:t>
      </w:r>
    </w:p>
    <w:p w14:paraId="118EB52F" w14:textId="77777777" w:rsidR="00C7266C" w:rsidRPr="00D403F5" w:rsidRDefault="00C7266C" w:rsidP="00D403F5">
      <w:pPr>
        <w:pStyle w:val="REF"/>
        <w:spacing w:after="0"/>
        <w:rPr>
          <w:szCs w:val="18"/>
        </w:rPr>
      </w:pPr>
      <w:r w:rsidRPr="00D403F5">
        <w:rPr>
          <w:smallCaps/>
          <w:szCs w:val="18"/>
          <w:lang w:val="fr-FR"/>
        </w:rPr>
        <w:t>Harmache A., LeBerre M., Droineau S., Giovannini M. &amp; Bremont M</w:t>
      </w:r>
      <w:r w:rsidRPr="00D403F5">
        <w:rPr>
          <w:szCs w:val="18"/>
          <w:lang w:val="fr-FR"/>
        </w:rPr>
        <w:t xml:space="preserve">. (2006). </w:t>
      </w:r>
      <w:r w:rsidRPr="00D403F5">
        <w:rPr>
          <w:szCs w:val="18"/>
        </w:rPr>
        <w:t xml:space="preserve">Bioluminescence imaging of live infected salmonids reveals that the fin bases are the major portal of entry for Novirhabdovirus. </w:t>
      </w:r>
      <w:r w:rsidRPr="00D403F5">
        <w:rPr>
          <w:i/>
          <w:szCs w:val="18"/>
        </w:rPr>
        <w:t xml:space="preserve">J. Virol., </w:t>
      </w:r>
      <w:r w:rsidRPr="00D403F5">
        <w:rPr>
          <w:b/>
          <w:szCs w:val="18"/>
        </w:rPr>
        <w:t>80</w:t>
      </w:r>
      <w:r w:rsidRPr="00D403F5">
        <w:rPr>
          <w:szCs w:val="18"/>
        </w:rPr>
        <w:t>, 3655–3659.</w:t>
      </w:r>
    </w:p>
    <w:p w14:paraId="2AC97B35" w14:textId="77777777" w:rsidR="00C7266C" w:rsidRPr="00D403F5" w:rsidRDefault="00C7266C" w:rsidP="00D403F5">
      <w:pPr>
        <w:pStyle w:val="REF"/>
        <w:spacing w:after="0"/>
        <w:rPr>
          <w:szCs w:val="18"/>
        </w:rPr>
      </w:pPr>
      <w:r w:rsidRPr="00D403F5">
        <w:rPr>
          <w:smallCaps/>
          <w:szCs w:val="18"/>
        </w:rPr>
        <w:t>Hasobe M. &amp; Saneyoshi M</w:t>
      </w:r>
      <w:r w:rsidRPr="00D403F5">
        <w:rPr>
          <w:szCs w:val="18"/>
        </w:rPr>
        <w:t xml:space="preserve">. (1985). On the approach to the viral chemotherapy against infectious hematopoietic necrosis virus (IHNV) </w:t>
      </w:r>
      <w:r w:rsidRPr="00D403F5">
        <w:rPr>
          <w:i/>
          <w:szCs w:val="18"/>
        </w:rPr>
        <w:t>in vitro</w:t>
      </w:r>
      <w:r w:rsidRPr="00D403F5">
        <w:rPr>
          <w:szCs w:val="18"/>
        </w:rPr>
        <w:t xml:space="preserve"> and </w:t>
      </w:r>
      <w:r w:rsidRPr="00D403F5">
        <w:rPr>
          <w:i/>
          <w:szCs w:val="18"/>
        </w:rPr>
        <w:t>in vivo</w:t>
      </w:r>
      <w:r w:rsidRPr="00D403F5">
        <w:rPr>
          <w:szCs w:val="18"/>
        </w:rPr>
        <w:t xml:space="preserve"> on salmonid fishes. </w:t>
      </w:r>
      <w:r w:rsidRPr="00D403F5">
        <w:rPr>
          <w:i/>
          <w:szCs w:val="18"/>
        </w:rPr>
        <w:t xml:space="preserve">Fish Pathol., </w:t>
      </w:r>
      <w:r w:rsidRPr="00D403F5">
        <w:rPr>
          <w:b/>
          <w:szCs w:val="18"/>
        </w:rPr>
        <w:t>20</w:t>
      </w:r>
      <w:r w:rsidRPr="00D403F5">
        <w:rPr>
          <w:szCs w:val="18"/>
        </w:rPr>
        <w:t>, 343–351.</w:t>
      </w:r>
    </w:p>
    <w:p w14:paraId="0E887467" w14:textId="77777777" w:rsidR="00C7266C" w:rsidRPr="00D403F5" w:rsidRDefault="00C7266C" w:rsidP="00D403F5">
      <w:pPr>
        <w:pStyle w:val="REF"/>
        <w:spacing w:after="0"/>
        <w:rPr>
          <w:szCs w:val="18"/>
        </w:rPr>
      </w:pPr>
      <w:r w:rsidRPr="00D403F5">
        <w:rPr>
          <w:smallCaps/>
          <w:szCs w:val="18"/>
        </w:rPr>
        <w:t>Hoferer M., Akimkin V., Skrypski J., Schütze H. &amp; Sting R.</w:t>
      </w:r>
      <w:r w:rsidRPr="00D403F5">
        <w:rPr>
          <w:szCs w:val="18"/>
        </w:rPr>
        <w:t xml:space="preserve"> (2019). Improvement of a diagnostic procedure in surveillance of the listed fish diseases IHN and VHS. </w:t>
      </w:r>
      <w:r w:rsidRPr="00D403F5">
        <w:rPr>
          <w:i/>
          <w:szCs w:val="18"/>
        </w:rPr>
        <w:t xml:space="preserve">J. Fish Dis., </w:t>
      </w:r>
      <w:r w:rsidRPr="00D403F5">
        <w:rPr>
          <w:b/>
          <w:szCs w:val="18"/>
        </w:rPr>
        <w:t>42</w:t>
      </w:r>
      <w:r w:rsidRPr="00D403F5">
        <w:rPr>
          <w:szCs w:val="18"/>
        </w:rPr>
        <w:t>, 559–572.</w:t>
      </w:r>
    </w:p>
    <w:p w14:paraId="23E64639" w14:textId="77777777" w:rsidR="00C7266C" w:rsidRPr="00D403F5" w:rsidRDefault="00C7266C" w:rsidP="00D403F5">
      <w:pPr>
        <w:pStyle w:val="REF"/>
        <w:spacing w:after="0"/>
        <w:rPr>
          <w:szCs w:val="18"/>
          <w:lang w:val="nb-NO"/>
        </w:rPr>
      </w:pPr>
      <w:r w:rsidRPr="00D403F5">
        <w:rPr>
          <w:smallCaps/>
          <w:szCs w:val="18"/>
          <w:lang w:val="nb-NO"/>
        </w:rPr>
        <w:t>Hostnik P., Barlic-Maganja D., Strancar M., Jencic V., Toplak I. &amp; Grom J.</w:t>
      </w:r>
      <w:r w:rsidRPr="00D403F5">
        <w:rPr>
          <w:szCs w:val="18"/>
          <w:lang w:val="nb-NO"/>
        </w:rPr>
        <w:t xml:space="preserve"> (2002). </w:t>
      </w:r>
      <w:r w:rsidRPr="00D403F5">
        <w:rPr>
          <w:szCs w:val="18"/>
        </w:rPr>
        <w:t xml:space="preserve">Influence of storage temperature on infectious hematopoietic necrosis virus detection by cell culture isolation and RT-PCR methods. </w:t>
      </w:r>
      <w:r w:rsidRPr="00D403F5">
        <w:rPr>
          <w:i/>
          <w:szCs w:val="18"/>
          <w:lang w:val="nb-NO"/>
        </w:rPr>
        <w:t xml:space="preserve">Dis. Aquat. Org., </w:t>
      </w:r>
      <w:r w:rsidRPr="00D403F5">
        <w:rPr>
          <w:b/>
          <w:szCs w:val="18"/>
          <w:lang w:val="nb-NO"/>
        </w:rPr>
        <w:t>52</w:t>
      </w:r>
      <w:r w:rsidRPr="00D403F5">
        <w:rPr>
          <w:szCs w:val="18"/>
          <w:lang w:val="nb-NO"/>
        </w:rPr>
        <w:t>, 179–184.</w:t>
      </w:r>
    </w:p>
    <w:p w14:paraId="5420B207" w14:textId="77777777" w:rsidR="00C7266C" w:rsidRPr="00D403F5" w:rsidRDefault="00C7266C" w:rsidP="00D403F5">
      <w:pPr>
        <w:pStyle w:val="REF"/>
        <w:spacing w:after="0"/>
        <w:rPr>
          <w:szCs w:val="18"/>
        </w:rPr>
      </w:pPr>
      <w:r w:rsidRPr="00D403F5">
        <w:rPr>
          <w:rStyle w:val="auteurs"/>
          <w:smallCaps/>
          <w:szCs w:val="18"/>
          <w:lang w:val="nb-NO"/>
        </w:rPr>
        <w:t>Jakob E., Barker D.S. &amp; Garver K.A</w:t>
      </w:r>
      <w:r w:rsidRPr="00D403F5">
        <w:rPr>
          <w:rStyle w:val="auteurs"/>
          <w:rFonts w:cs="Arial"/>
          <w:szCs w:val="18"/>
          <w:lang w:val="nb-NO"/>
        </w:rPr>
        <w:t>.</w:t>
      </w:r>
      <w:r w:rsidRPr="00D403F5">
        <w:rPr>
          <w:szCs w:val="18"/>
          <w:lang w:val="nb-NO"/>
        </w:rPr>
        <w:t xml:space="preserve"> (2011). </w:t>
      </w:r>
      <w:r w:rsidRPr="00D403F5">
        <w:rPr>
          <w:szCs w:val="18"/>
        </w:rPr>
        <w:t xml:space="preserve">Vector potential of the salmon louse Lepeophtheirus salmonis in the transmission of infectious haematopoietic necrosis virus (IHNV). </w:t>
      </w:r>
      <w:r w:rsidRPr="00D403F5">
        <w:rPr>
          <w:rStyle w:val="nom-revue"/>
          <w:rFonts w:eastAsia="Calibri" w:cs="Arial"/>
          <w:i/>
          <w:szCs w:val="18"/>
        </w:rPr>
        <w:t>Dis. Aquat. Org</w:t>
      </w:r>
      <w:r w:rsidRPr="00D403F5">
        <w:rPr>
          <w:rStyle w:val="nom-revue"/>
          <w:rFonts w:eastAsia="Calibri" w:cs="Arial"/>
          <w:szCs w:val="18"/>
        </w:rPr>
        <w:t>.</w:t>
      </w:r>
      <w:r w:rsidRPr="00D403F5">
        <w:rPr>
          <w:szCs w:val="18"/>
        </w:rPr>
        <w:t xml:space="preserve">, </w:t>
      </w:r>
      <w:r w:rsidRPr="00D403F5">
        <w:rPr>
          <w:rStyle w:val="num-revue"/>
          <w:rFonts w:cs="Arial"/>
          <w:b/>
          <w:szCs w:val="18"/>
        </w:rPr>
        <w:t>97</w:t>
      </w:r>
      <w:r w:rsidRPr="00D403F5">
        <w:rPr>
          <w:szCs w:val="18"/>
        </w:rPr>
        <w:t>, 155–165.</w:t>
      </w:r>
    </w:p>
    <w:p w14:paraId="055A8EAA" w14:textId="77777777" w:rsidR="00C7266C" w:rsidRPr="00D403F5" w:rsidRDefault="00C7266C" w:rsidP="00D403F5">
      <w:pPr>
        <w:pStyle w:val="REF"/>
        <w:spacing w:after="0"/>
        <w:rPr>
          <w:szCs w:val="18"/>
        </w:rPr>
      </w:pPr>
      <w:r w:rsidRPr="00D403F5">
        <w:rPr>
          <w:smallCaps/>
          <w:szCs w:val="18"/>
        </w:rPr>
        <w:t>Johansson T., Einer-Jensen K., Batts W.N., Ahrens P., Björkblom C., Kurath G., Björklund H. &amp; Lorenzen N</w:t>
      </w:r>
      <w:r w:rsidRPr="00D403F5">
        <w:rPr>
          <w:szCs w:val="18"/>
        </w:rPr>
        <w:t xml:space="preserve">. (2009). Genetic and serological typing of European infectious haematopoietic necrosis virus (IHNV) isolates. </w:t>
      </w:r>
      <w:r w:rsidRPr="00D403F5">
        <w:rPr>
          <w:i/>
          <w:szCs w:val="18"/>
        </w:rPr>
        <w:t>Dis. Aquat. Org</w:t>
      </w:r>
      <w:r w:rsidRPr="00D403F5">
        <w:rPr>
          <w:szCs w:val="18"/>
        </w:rPr>
        <w:t xml:space="preserve">., </w:t>
      </w:r>
      <w:r w:rsidRPr="00D403F5">
        <w:rPr>
          <w:b/>
          <w:szCs w:val="18"/>
        </w:rPr>
        <w:t>86</w:t>
      </w:r>
      <w:r w:rsidRPr="00D403F5">
        <w:rPr>
          <w:szCs w:val="18"/>
        </w:rPr>
        <w:t>, 213–221.</w:t>
      </w:r>
    </w:p>
    <w:p w14:paraId="7E1FB43F" w14:textId="77777777" w:rsidR="00C7266C" w:rsidRPr="00D403F5" w:rsidRDefault="00C7266C" w:rsidP="00D403F5">
      <w:pPr>
        <w:pStyle w:val="REF"/>
        <w:spacing w:after="0"/>
        <w:rPr>
          <w:szCs w:val="18"/>
        </w:rPr>
      </w:pPr>
      <w:r w:rsidRPr="00D403F5">
        <w:rPr>
          <w:smallCaps/>
          <w:szCs w:val="18"/>
        </w:rPr>
        <w:t>Kamei Y., Yoshimizu M., Ezura Y. &amp; Kimura T.</w:t>
      </w:r>
      <w:r w:rsidRPr="00D403F5">
        <w:rPr>
          <w:szCs w:val="18"/>
        </w:rPr>
        <w:t xml:space="preserve"> (1987). Effects of estuarine and marine waters on the infectivities of infectious hematopoietic necrosis virus (IHNV) and infectious pancreatic necrosis virus (IPNV). </w:t>
      </w:r>
      <w:r w:rsidRPr="00D403F5">
        <w:rPr>
          <w:i/>
          <w:szCs w:val="18"/>
        </w:rPr>
        <w:t xml:space="preserve">Bull. Fac. Fish. Hokkaido Uni., </w:t>
      </w:r>
      <w:r w:rsidRPr="00D403F5">
        <w:rPr>
          <w:b/>
          <w:szCs w:val="18"/>
        </w:rPr>
        <w:t>38</w:t>
      </w:r>
      <w:r w:rsidRPr="00D403F5">
        <w:rPr>
          <w:szCs w:val="18"/>
        </w:rPr>
        <w:t>, 271–285.</w:t>
      </w:r>
    </w:p>
    <w:p w14:paraId="2152C056" w14:textId="77777777" w:rsidR="00C7266C" w:rsidRPr="00D403F5" w:rsidRDefault="00C7266C" w:rsidP="00D403F5">
      <w:pPr>
        <w:pStyle w:val="REF"/>
        <w:spacing w:after="0"/>
        <w:rPr>
          <w:szCs w:val="18"/>
        </w:rPr>
      </w:pPr>
      <w:r w:rsidRPr="00D403F5">
        <w:rPr>
          <w:smallCaps/>
          <w:szCs w:val="18"/>
        </w:rPr>
        <w:t>Kell A.M., Wargo A.R. &amp; Kurath G.</w:t>
      </w:r>
      <w:r w:rsidRPr="00D403F5">
        <w:rPr>
          <w:szCs w:val="18"/>
        </w:rPr>
        <w:t xml:space="preserve"> (2014). Viral fitness does not correlate with three genotype displacement events involving infectious hematopoietic necrosis virus. </w:t>
      </w:r>
      <w:r w:rsidRPr="00D403F5">
        <w:rPr>
          <w:i/>
          <w:szCs w:val="18"/>
        </w:rPr>
        <w:t xml:space="preserve">Virology, </w:t>
      </w:r>
      <w:r w:rsidRPr="00D403F5">
        <w:rPr>
          <w:b/>
          <w:szCs w:val="18"/>
        </w:rPr>
        <w:t>464</w:t>
      </w:r>
      <w:r w:rsidRPr="00D403F5">
        <w:rPr>
          <w:szCs w:val="18"/>
        </w:rPr>
        <w:t>, 146–155.</w:t>
      </w:r>
    </w:p>
    <w:p w14:paraId="7EA968D9" w14:textId="77777777" w:rsidR="00C7266C" w:rsidRPr="00D403F5" w:rsidRDefault="00C7266C" w:rsidP="00D403F5">
      <w:pPr>
        <w:pStyle w:val="REF"/>
        <w:spacing w:after="0"/>
        <w:rPr>
          <w:szCs w:val="18"/>
          <w:lang w:val="nb-NO"/>
        </w:rPr>
      </w:pPr>
      <w:r w:rsidRPr="00D403F5">
        <w:rPr>
          <w:smallCaps/>
          <w:szCs w:val="18"/>
        </w:rPr>
        <w:t>Kim C.H., Dummer D.M., Chiou P.P. &amp; Leong J.A.</w:t>
      </w:r>
      <w:r w:rsidRPr="00D403F5">
        <w:rPr>
          <w:szCs w:val="18"/>
        </w:rPr>
        <w:t xml:space="preserve"> (1999). Truncated particles produced in fish surviving infectious hematopoietic necrosis virus infection: mediators of persistence? </w:t>
      </w:r>
      <w:r w:rsidRPr="00D403F5">
        <w:rPr>
          <w:i/>
          <w:szCs w:val="18"/>
          <w:lang w:val="nb-NO"/>
        </w:rPr>
        <w:t xml:space="preserve">J. Virol., </w:t>
      </w:r>
      <w:r w:rsidRPr="00D403F5">
        <w:rPr>
          <w:b/>
          <w:szCs w:val="18"/>
          <w:lang w:val="nb-NO"/>
        </w:rPr>
        <w:t>73</w:t>
      </w:r>
      <w:r w:rsidRPr="00D403F5">
        <w:rPr>
          <w:szCs w:val="18"/>
          <w:lang w:val="nb-NO"/>
        </w:rPr>
        <w:t>, 843–849.</w:t>
      </w:r>
    </w:p>
    <w:p w14:paraId="44284338" w14:textId="77777777" w:rsidR="00C7266C" w:rsidRPr="00D403F5" w:rsidRDefault="00C7266C" w:rsidP="00D403F5">
      <w:pPr>
        <w:pStyle w:val="REF"/>
        <w:spacing w:after="0"/>
        <w:rPr>
          <w:szCs w:val="18"/>
        </w:rPr>
      </w:pPr>
      <w:r w:rsidRPr="00D403F5">
        <w:rPr>
          <w:smallCaps/>
          <w:szCs w:val="18"/>
          <w:lang w:val="nb-NO"/>
        </w:rPr>
        <w:t>Knusel R., Bergmann S.M., Einer-Jensen K., Casey J., Segner H. &amp; Wahli T.</w:t>
      </w:r>
      <w:r w:rsidRPr="00D403F5">
        <w:rPr>
          <w:szCs w:val="18"/>
          <w:lang w:val="nb-NO"/>
        </w:rPr>
        <w:t xml:space="preserve"> (2007). </w:t>
      </w:r>
      <w:r w:rsidRPr="00D403F5">
        <w:rPr>
          <w:szCs w:val="18"/>
        </w:rPr>
        <w:t xml:space="preserve">Virus isolation vs RT-PCR: which method is more successful in detecting VHSV and IHNV in fish tissue sampled under field conditions? </w:t>
      </w:r>
      <w:r w:rsidRPr="00D403F5">
        <w:rPr>
          <w:i/>
          <w:szCs w:val="18"/>
        </w:rPr>
        <w:t xml:space="preserve">J. Fish Dis., </w:t>
      </w:r>
      <w:r w:rsidRPr="00D403F5">
        <w:rPr>
          <w:b/>
          <w:szCs w:val="18"/>
        </w:rPr>
        <w:t>30</w:t>
      </w:r>
      <w:r w:rsidRPr="00D403F5">
        <w:rPr>
          <w:szCs w:val="18"/>
        </w:rPr>
        <w:t>, 559–568. doi: JFD842 [pii]</w:t>
      </w:r>
    </w:p>
    <w:p w14:paraId="57A794E2" w14:textId="77777777" w:rsidR="00C7266C" w:rsidRPr="00D403F5" w:rsidRDefault="00C7266C" w:rsidP="00D403F5">
      <w:pPr>
        <w:pStyle w:val="REF"/>
        <w:spacing w:after="0"/>
        <w:rPr>
          <w:szCs w:val="18"/>
          <w:lang w:val="nb-NO"/>
        </w:rPr>
      </w:pPr>
      <w:r w:rsidRPr="00D403F5">
        <w:rPr>
          <w:smallCaps/>
          <w:szCs w:val="18"/>
        </w:rPr>
        <w:t>Kolodziejek J., Schachner O., Durrwald R., Latif M. &amp; Nowotny N</w:t>
      </w:r>
      <w:r w:rsidRPr="00D403F5">
        <w:rPr>
          <w:szCs w:val="18"/>
        </w:rPr>
        <w:t xml:space="preserve">. (2008). “Mid-G” region sequences of the glycoprotein gene of Austrian infectious hematopoietic necrosis virus isolates form two lineages within European isolates and are distinct from American and Asian lineages. </w:t>
      </w:r>
      <w:r w:rsidRPr="00D403F5">
        <w:rPr>
          <w:i/>
          <w:szCs w:val="18"/>
          <w:lang w:val="nb-NO"/>
        </w:rPr>
        <w:t xml:space="preserve">J. Clin. Microbiol., </w:t>
      </w:r>
      <w:r w:rsidRPr="00D403F5">
        <w:rPr>
          <w:b/>
          <w:szCs w:val="18"/>
          <w:lang w:val="nb-NO"/>
        </w:rPr>
        <w:t>46</w:t>
      </w:r>
      <w:r w:rsidRPr="00D403F5">
        <w:rPr>
          <w:szCs w:val="18"/>
          <w:lang w:val="nb-NO"/>
        </w:rPr>
        <w:t>, 22–30.</w:t>
      </w:r>
    </w:p>
    <w:p w14:paraId="53077E43" w14:textId="77777777" w:rsidR="00C7266C" w:rsidRPr="00D403F5" w:rsidRDefault="00C7266C" w:rsidP="00D403F5">
      <w:pPr>
        <w:pStyle w:val="REF"/>
        <w:spacing w:after="0"/>
        <w:rPr>
          <w:szCs w:val="18"/>
        </w:rPr>
      </w:pPr>
      <w:r w:rsidRPr="00D403F5">
        <w:rPr>
          <w:smallCaps/>
          <w:szCs w:val="18"/>
          <w:lang w:val="nb-NO"/>
        </w:rPr>
        <w:t xml:space="preserve">Kurath G., Garver K.A., Troyer R.M., Emmenegger E.J., Einer-Jensen K. &amp; Andersen E.D. (2003). </w:t>
      </w:r>
      <w:r w:rsidRPr="00D403F5">
        <w:rPr>
          <w:szCs w:val="18"/>
        </w:rPr>
        <w:t xml:space="preserve">Phylogeography of infectious haematopoietic necrosis virus in North America. </w:t>
      </w:r>
      <w:r w:rsidRPr="00D403F5">
        <w:rPr>
          <w:i/>
          <w:szCs w:val="18"/>
        </w:rPr>
        <w:t>J. Gen. Virol.</w:t>
      </w:r>
      <w:r w:rsidRPr="00D403F5">
        <w:rPr>
          <w:szCs w:val="18"/>
        </w:rPr>
        <w:t xml:space="preserve">, </w:t>
      </w:r>
      <w:r w:rsidRPr="00D403F5">
        <w:rPr>
          <w:b/>
          <w:szCs w:val="18"/>
        </w:rPr>
        <w:t>84</w:t>
      </w:r>
      <w:r w:rsidRPr="00D403F5">
        <w:rPr>
          <w:szCs w:val="18"/>
        </w:rPr>
        <w:t>, 803–814.</w:t>
      </w:r>
    </w:p>
    <w:p w14:paraId="6183BA36" w14:textId="77777777" w:rsidR="00C7266C" w:rsidRPr="00D403F5" w:rsidRDefault="00C7266C" w:rsidP="00D403F5">
      <w:pPr>
        <w:pStyle w:val="REF"/>
        <w:spacing w:after="0"/>
        <w:rPr>
          <w:szCs w:val="18"/>
        </w:rPr>
      </w:pPr>
      <w:r w:rsidRPr="00D403F5">
        <w:rPr>
          <w:smallCaps/>
          <w:szCs w:val="18"/>
        </w:rPr>
        <w:t>LaPatra S.E</w:t>
      </w:r>
      <w:r w:rsidRPr="00D403F5">
        <w:rPr>
          <w:szCs w:val="18"/>
        </w:rPr>
        <w:t xml:space="preserve">. (1998). Factors affecting pathogenicity of infectious hematopoietic necrosis virus (IHNV) for salmonid fish. </w:t>
      </w:r>
      <w:r w:rsidRPr="00D403F5">
        <w:rPr>
          <w:i/>
          <w:szCs w:val="18"/>
        </w:rPr>
        <w:t xml:space="preserve">J Aquat Anim Health, </w:t>
      </w:r>
      <w:r w:rsidRPr="00D403F5">
        <w:rPr>
          <w:b/>
          <w:szCs w:val="18"/>
        </w:rPr>
        <w:t>10</w:t>
      </w:r>
      <w:r w:rsidRPr="00D403F5">
        <w:rPr>
          <w:szCs w:val="18"/>
        </w:rPr>
        <w:t>, 121–131.</w:t>
      </w:r>
    </w:p>
    <w:p w14:paraId="158B9CB6" w14:textId="77777777" w:rsidR="00C7266C" w:rsidRPr="00D403F5" w:rsidRDefault="00C7266C" w:rsidP="00D403F5">
      <w:pPr>
        <w:spacing w:after="0"/>
        <w:rPr>
          <w:noProof/>
          <w:sz w:val="18"/>
          <w:szCs w:val="18"/>
          <w:u w:val="single"/>
          <w:lang w:val="en-IE"/>
        </w:rPr>
      </w:pPr>
      <w:r w:rsidRPr="00D403F5">
        <w:rPr>
          <w:noProof/>
          <w:sz w:val="18"/>
          <w:szCs w:val="18"/>
          <w:u w:val="single"/>
          <w:lang w:val="en-IE"/>
        </w:rPr>
        <w:br w:type="page"/>
      </w:r>
    </w:p>
    <w:p w14:paraId="2807A598" w14:textId="02433F64" w:rsidR="00C7266C" w:rsidRPr="00D403F5" w:rsidRDefault="000B38E2" w:rsidP="006237A8">
      <w:pPr>
        <w:spacing w:after="480"/>
        <w:rPr>
          <w:sz w:val="18"/>
          <w:szCs w:val="18"/>
        </w:rPr>
      </w:pPr>
      <w:r w:rsidRPr="00D403F5">
        <w:rPr>
          <w:rFonts w:ascii="Times New Roman" w:hAnsi="Times New Roman" w:cs="Times New Roman"/>
          <w:noProof/>
          <w:sz w:val="18"/>
          <w:szCs w:val="18"/>
          <w:u w:val="single"/>
          <w:lang w:val="en-US"/>
        </w:rPr>
        <w:t>Annex 12</w:t>
      </w:r>
      <w:r w:rsidRPr="00D403F5">
        <w:rPr>
          <w:rFonts w:ascii="Times New Roman" w:hAnsi="Times New Roman" w:cs="Times New Roman"/>
          <w:noProof/>
          <w:sz w:val="18"/>
          <w:szCs w:val="18"/>
          <w:lang w:val="en-US"/>
        </w:rPr>
        <w:t xml:space="preserve"> (contd)</w:t>
      </w:r>
    </w:p>
    <w:p w14:paraId="486889E4" w14:textId="77777777" w:rsidR="00C7266C" w:rsidRPr="00D403F5" w:rsidRDefault="00C7266C" w:rsidP="00D403F5">
      <w:pPr>
        <w:pStyle w:val="REF"/>
        <w:spacing w:after="0"/>
        <w:rPr>
          <w:szCs w:val="18"/>
        </w:rPr>
      </w:pPr>
      <w:r w:rsidRPr="00D403F5">
        <w:rPr>
          <w:smallCaps/>
          <w:szCs w:val="18"/>
        </w:rPr>
        <w:t>LaPatra S.E., Rohovec J.S. &amp; Fryer J.L</w:t>
      </w:r>
      <w:r w:rsidRPr="00D403F5">
        <w:rPr>
          <w:szCs w:val="18"/>
        </w:rPr>
        <w:t xml:space="preserve">. (1989). Detection of infectious hematopoietic necrosis virus in fish mucus. </w:t>
      </w:r>
      <w:r w:rsidRPr="00D403F5">
        <w:rPr>
          <w:i/>
          <w:szCs w:val="18"/>
        </w:rPr>
        <w:t xml:space="preserve">Fish Pathol., </w:t>
      </w:r>
      <w:r w:rsidRPr="00D403F5">
        <w:rPr>
          <w:b/>
          <w:szCs w:val="18"/>
        </w:rPr>
        <w:t>24</w:t>
      </w:r>
      <w:r w:rsidRPr="00D403F5">
        <w:rPr>
          <w:szCs w:val="18"/>
        </w:rPr>
        <w:t>, 197–202.</w:t>
      </w:r>
    </w:p>
    <w:p w14:paraId="6D7EC937" w14:textId="77777777" w:rsidR="00C7266C" w:rsidRPr="00D403F5" w:rsidRDefault="00C7266C" w:rsidP="00D403F5">
      <w:pPr>
        <w:pStyle w:val="REF"/>
        <w:spacing w:after="0"/>
        <w:rPr>
          <w:szCs w:val="18"/>
        </w:rPr>
      </w:pPr>
      <w:r w:rsidRPr="00D403F5">
        <w:rPr>
          <w:smallCaps/>
          <w:szCs w:val="18"/>
        </w:rPr>
        <w:t>McClure C., Saksida S., Karreman G., Constantine J., Robinson J., Traxler G. &amp; Hammell L.</w:t>
      </w:r>
      <w:r w:rsidRPr="00D403F5">
        <w:rPr>
          <w:szCs w:val="18"/>
        </w:rPr>
        <w:t xml:space="preserve"> (2008). Evaluation of a reverse transcriptase polymerase chain reaction test and virus isolation on field samples collected for the diagnosis of infectious hematopoietic necrosis virus in cultured Atlantic salmon in British Columbia. </w:t>
      </w:r>
      <w:r w:rsidRPr="00D403F5">
        <w:rPr>
          <w:i/>
          <w:szCs w:val="18"/>
        </w:rPr>
        <w:t xml:space="preserve">J. Aquat. Anim. Health, </w:t>
      </w:r>
      <w:r w:rsidRPr="00D403F5">
        <w:rPr>
          <w:b/>
          <w:szCs w:val="18"/>
        </w:rPr>
        <w:t>20</w:t>
      </w:r>
      <w:r w:rsidRPr="00D403F5">
        <w:rPr>
          <w:szCs w:val="18"/>
        </w:rPr>
        <w:t>, 12–18.</w:t>
      </w:r>
    </w:p>
    <w:p w14:paraId="33FA3792" w14:textId="77777777" w:rsidR="00C7266C" w:rsidRPr="00D403F5" w:rsidRDefault="00C7266C" w:rsidP="00D403F5">
      <w:pPr>
        <w:pStyle w:val="REF"/>
        <w:spacing w:after="0"/>
        <w:rPr>
          <w:szCs w:val="18"/>
        </w:rPr>
      </w:pPr>
      <w:r w:rsidRPr="00D403F5">
        <w:rPr>
          <w:smallCaps/>
          <w:szCs w:val="18"/>
        </w:rPr>
        <w:t>Meyers T.R., Korn D., Burton T.M., Glass K., Follett J.E., Thomas J.B., Sullivan J., Starkey N., Short S. &amp; Lipson K.</w:t>
      </w:r>
      <w:r w:rsidRPr="00D403F5">
        <w:rPr>
          <w:szCs w:val="18"/>
        </w:rPr>
        <w:t xml:space="preserve"> (2003). Infectious hematopoietic necrosis virus (IHNV) in Alaskan sockeye salmon culture from 1973 to 2000: annual virus prevalences and titers in broodstocks compared with juvenile losses. </w:t>
      </w:r>
      <w:r w:rsidRPr="00D403F5">
        <w:rPr>
          <w:i/>
          <w:szCs w:val="18"/>
        </w:rPr>
        <w:t xml:space="preserve">J. Aquat. Anim. Health, </w:t>
      </w:r>
      <w:r w:rsidRPr="00D403F5">
        <w:rPr>
          <w:b/>
          <w:szCs w:val="18"/>
        </w:rPr>
        <w:t>15</w:t>
      </w:r>
      <w:r w:rsidRPr="00D403F5">
        <w:rPr>
          <w:szCs w:val="18"/>
        </w:rPr>
        <w:t>, 21–30.</w:t>
      </w:r>
    </w:p>
    <w:p w14:paraId="2132A7CB" w14:textId="77777777" w:rsidR="00C7266C" w:rsidRPr="00D403F5" w:rsidRDefault="00C7266C" w:rsidP="00D403F5">
      <w:pPr>
        <w:pStyle w:val="REF"/>
        <w:spacing w:after="0"/>
        <w:rPr>
          <w:szCs w:val="18"/>
        </w:rPr>
      </w:pPr>
      <w:r w:rsidRPr="00D403F5">
        <w:rPr>
          <w:smallCaps/>
          <w:szCs w:val="18"/>
        </w:rPr>
        <w:t>Morzunov S.P., Winton J.R. &amp; Nichol S.T.</w:t>
      </w:r>
      <w:r w:rsidRPr="00D403F5">
        <w:rPr>
          <w:szCs w:val="18"/>
        </w:rPr>
        <w:t xml:space="preserve"> (1995). The complete genome structure and phylogenetic relationship of infectious hematopoietic necrosis virus. </w:t>
      </w:r>
      <w:r w:rsidRPr="00D403F5">
        <w:rPr>
          <w:i/>
          <w:szCs w:val="18"/>
        </w:rPr>
        <w:t>Virus Res</w:t>
      </w:r>
      <w:r w:rsidRPr="00D403F5">
        <w:rPr>
          <w:szCs w:val="18"/>
        </w:rPr>
        <w:t xml:space="preserve">., </w:t>
      </w:r>
      <w:r w:rsidRPr="00D403F5">
        <w:rPr>
          <w:b/>
          <w:szCs w:val="18"/>
        </w:rPr>
        <w:t>38</w:t>
      </w:r>
      <w:r w:rsidRPr="00D403F5">
        <w:rPr>
          <w:szCs w:val="18"/>
        </w:rPr>
        <w:t>, 175–192.</w:t>
      </w:r>
    </w:p>
    <w:p w14:paraId="2F5BE2BA" w14:textId="77777777" w:rsidR="00C7266C" w:rsidRPr="00D403F5" w:rsidRDefault="00C7266C" w:rsidP="00D403F5">
      <w:pPr>
        <w:pStyle w:val="REF"/>
        <w:spacing w:after="0"/>
        <w:rPr>
          <w:szCs w:val="18"/>
        </w:rPr>
      </w:pPr>
      <w:r w:rsidRPr="00D403F5">
        <w:rPr>
          <w:smallCaps/>
          <w:szCs w:val="18"/>
        </w:rPr>
        <w:t>Mulcahy D., Burke J., Pascho R. &amp; Jenes C.K.</w:t>
      </w:r>
      <w:r w:rsidRPr="00D403F5">
        <w:rPr>
          <w:szCs w:val="18"/>
        </w:rPr>
        <w:t xml:space="preserve"> (1982). Pathogenesis of infectious hematopoietic necrosis virus in spawning sockeye salmon (</w:t>
      </w:r>
      <w:r w:rsidRPr="00D403F5">
        <w:rPr>
          <w:i/>
          <w:szCs w:val="18"/>
        </w:rPr>
        <w:t>Oncorhynchus nerka</w:t>
      </w:r>
      <w:r w:rsidRPr="00D403F5">
        <w:rPr>
          <w:szCs w:val="18"/>
        </w:rPr>
        <w:t xml:space="preserve">). </w:t>
      </w:r>
      <w:r w:rsidRPr="00D403F5">
        <w:rPr>
          <w:i/>
          <w:szCs w:val="18"/>
        </w:rPr>
        <w:t xml:space="preserve">Can. J. Fish. Aquat. Sci, </w:t>
      </w:r>
      <w:r w:rsidRPr="00D403F5">
        <w:rPr>
          <w:b/>
          <w:szCs w:val="18"/>
        </w:rPr>
        <w:t>39</w:t>
      </w:r>
      <w:r w:rsidRPr="00D403F5">
        <w:rPr>
          <w:szCs w:val="18"/>
        </w:rPr>
        <w:t>, 1144–1149. 10.1111/j.1365-2761.2007.00842.x.</w:t>
      </w:r>
    </w:p>
    <w:p w14:paraId="7315B416" w14:textId="77777777" w:rsidR="00C7266C" w:rsidRPr="00D403F5" w:rsidRDefault="00C7266C" w:rsidP="00D403F5">
      <w:pPr>
        <w:pStyle w:val="REF"/>
        <w:spacing w:after="0"/>
        <w:rPr>
          <w:szCs w:val="18"/>
        </w:rPr>
      </w:pPr>
      <w:r w:rsidRPr="00D403F5">
        <w:rPr>
          <w:smallCaps/>
          <w:szCs w:val="18"/>
        </w:rPr>
        <w:t>Mulcahy D., Jenes C.K. &amp; Pascho R.</w:t>
      </w:r>
      <w:r w:rsidRPr="00D403F5">
        <w:rPr>
          <w:szCs w:val="18"/>
        </w:rPr>
        <w:t xml:space="preserve"> (1984). Appearance and quantification of infectious hematopoietic necrosis virus in female sockeye salmon (</w:t>
      </w:r>
      <w:r w:rsidRPr="00D403F5">
        <w:rPr>
          <w:i/>
          <w:szCs w:val="18"/>
        </w:rPr>
        <w:t>Oncorhynchus nerka</w:t>
      </w:r>
      <w:r w:rsidRPr="00D403F5">
        <w:rPr>
          <w:szCs w:val="18"/>
        </w:rPr>
        <w:t xml:space="preserve">) during their spawning migration. </w:t>
      </w:r>
      <w:r w:rsidRPr="00D403F5">
        <w:rPr>
          <w:i/>
          <w:szCs w:val="18"/>
        </w:rPr>
        <w:t xml:space="preserve">Arch. Virol., </w:t>
      </w:r>
      <w:r w:rsidRPr="00D403F5">
        <w:rPr>
          <w:b/>
          <w:szCs w:val="18"/>
        </w:rPr>
        <w:t>80</w:t>
      </w:r>
      <w:r w:rsidRPr="00D403F5">
        <w:rPr>
          <w:szCs w:val="18"/>
        </w:rPr>
        <w:t>, 171–181.</w:t>
      </w:r>
    </w:p>
    <w:p w14:paraId="22AAAAE0" w14:textId="77777777" w:rsidR="00C7266C" w:rsidRPr="00D403F5" w:rsidRDefault="00C7266C" w:rsidP="00D403F5">
      <w:pPr>
        <w:pStyle w:val="REF"/>
        <w:spacing w:after="0"/>
        <w:rPr>
          <w:szCs w:val="18"/>
        </w:rPr>
      </w:pPr>
      <w:r w:rsidRPr="00D403F5">
        <w:rPr>
          <w:smallCaps/>
          <w:szCs w:val="18"/>
        </w:rPr>
        <w:t>Mulcahy D. &amp; Pascho R.J.</w:t>
      </w:r>
      <w:r w:rsidRPr="00D403F5">
        <w:rPr>
          <w:szCs w:val="18"/>
        </w:rPr>
        <w:t xml:space="preserve"> (1985). Vertical transmission of infectious haematopoietic necrosis virus in sockeye salmon, </w:t>
      </w:r>
      <w:r w:rsidRPr="00D403F5">
        <w:rPr>
          <w:i/>
          <w:szCs w:val="18"/>
        </w:rPr>
        <w:t>Oncorhynchus nerka</w:t>
      </w:r>
      <w:r w:rsidRPr="00D403F5">
        <w:rPr>
          <w:szCs w:val="18"/>
        </w:rPr>
        <w:t xml:space="preserve"> (Walbaum): isolation of virus from dead eggs and fry. </w:t>
      </w:r>
      <w:r w:rsidRPr="00D403F5">
        <w:rPr>
          <w:i/>
          <w:szCs w:val="18"/>
        </w:rPr>
        <w:t xml:space="preserve">J Fish Dis, </w:t>
      </w:r>
      <w:r w:rsidRPr="00D403F5">
        <w:rPr>
          <w:b/>
          <w:szCs w:val="18"/>
        </w:rPr>
        <w:t>8</w:t>
      </w:r>
      <w:r w:rsidRPr="00D403F5">
        <w:rPr>
          <w:szCs w:val="18"/>
        </w:rPr>
        <w:t>, 393–396.</w:t>
      </w:r>
    </w:p>
    <w:p w14:paraId="086A2906" w14:textId="77777777" w:rsidR="00C7266C" w:rsidRPr="00D403F5" w:rsidRDefault="00C7266C" w:rsidP="00D403F5">
      <w:pPr>
        <w:pStyle w:val="REF"/>
        <w:spacing w:after="0"/>
        <w:rPr>
          <w:szCs w:val="18"/>
        </w:rPr>
      </w:pPr>
      <w:r w:rsidRPr="00D403F5">
        <w:rPr>
          <w:smallCaps/>
          <w:szCs w:val="18"/>
        </w:rPr>
        <w:t>Muller A., Sutherland B.J.G., Koop B.F., Johnson S.C. &amp; Garver K.A</w:t>
      </w:r>
      <w:r w:rsidRPr="00D403F5">
        <w:rPr>
          <w:szCs w:val="18"/>
        </w:rPr>
        <w:t xml:space="preserve">. (2015). Infectious hematopoietic necrosis virus (IHNV) persistence in Sockeye Salmon: influence on brain transcriptome and subsequent response to the viral mimic poly(I:C). </w:t>
      </w:r>
      <w:r w:rsidRPr="00D403F5">
        <w:rPr>
          <w:i/>
          <w:szCs w:val="18"/>
        </w:rPr>
        <w:t xml:space="preserve">BMC Genomics, </w:t>
      </w:r>
      <w:r w:rsidRPr="00D403F5">
        <w:rPr>
          <w:b/>
          <w:szCs w:val="18"/>
        </w:rPr>
        <w:t>16</w:t>
      </w:r>
      <w:r w:rsidRPr="00D403F5">
        <w:rPr>
          <w:szCs w:val="18"/>
        </w:rPr>
        <w:t>, 1–19.</w:t>
      </w:r>
    </w:p>
    <w:p w14:paraId="6BB46FE4" w14:textId="77777777" w:rsidR="00C7266C" w:rsidRPr="00D403F5" w:rsidRDefault="00C7266C" w:rsidP="00D403F5">
      <w:pPr>
        <w:pStyle w:val="REF"/>
        <w:spacing w:after="0"/>
        <w:rPr>
          <w:szCs w:val="18"/>
        </w:rPr>
      </w:pPr>
      <w:r w:rsidRPr="00D403F5">
        <w:rPr>
          <w:rStyle w:val="rfrencesChar"/>
          <w:smallCaps/>
          <w:szCs w:val="18"/>
          <w:lang w:val="en-IE"/>
        </w:rPr>
        <w:t>Nishizawa T., Kinoshita S., Kim W.S., Higashi S. &amp; Yoshimizu</w:t>
      </w:r>
      <w:r w:rsidRPr="00D403F5">
        <w:rPr>
          <w:smallCaps/>
          <w:szCs w:val="18"/>
        </w:rPr>
        <w:t xml:space="preserve"> M.</w:t>
      </w:r>
      <w:r w:rsidRPr="00D403F5">
        <w:rPr>
          <w:szCs w:val="18"/>
        </w:rPr>
        <w:t xml:space="preserve"> (2006). Nucleotide diversity of Japanese isolates of infectious hematopoietic necrosis virus (IHNV) based on the glycoprotein gene. </w:t>
      </w:r>
      <w:r w:rsidRPr="00D403F5">
        <w:rPr>
          <w:i/>
          <w:szCs w:val="18"/>
        </w:rPr>
        <w:t>Dis. Aquat. Org</w:t>
      </w:r>
      <w:r w:rsidRPr="00D403F5">
        <w:rPr>
          <w:szCs w:val="18"/>
        </w:rPr>
        <w:t xml:space="preserve">., </w:t>
      </w:r>
      <w:r w:rsidRPr="00D403F5">
        <w:rPr>
          <w:b/>
          <w:szCs w:val="18"/>
        </w:rPr>
        <w:t>71</w:t>
      </w:r>
      <w:r w:rsidRPr="00D403F5">
        <w:rPr>
          <w:szCs w:val="18"/>
        </w:rPr>
        <w:t>, 267–272.</w:t>
      </w:r>
    </w:p>
    <w:p w14:paraId="04357E2F" w14:textId="77777777" w:rsidR="00C7266C" w:rsidRPr="00D403F5" w:rsidRDefault="00C7266C" w:rsidP="00D403F5">
      <w:pPr>
        <w:pStyle w:val="REF"/>
        <w:spacing w:after="0"/>
        <w:rPr>
          <w:szCs w:val="18"/>
        </w:rPr>
      </w:pPr>
      <w:r w:rsidRPr="00D403F5">
        <w:rPr>
          <w:smallCaps/>
          <w:szCs w:val="18"/>
        </w:rPr>
        <w:t>Ogut H. &amp; Reno P.</w:t>
      </w:r>
      <w:r w:rsidRPr="00D403F5">
        <w:rPr>
          <w:szCs w:val="18"/>
        </w:rPr>
        <w:t xml:space="preserve"> (2004). Effects of fish density on spread of infectious hematopoietic necrosis virus (IHNV) in rainbow trout, </w:t>
      </w:r>
      <w:r w:rsidRPr="00D403F5">
        <w:rPr>
          <w:i/>
          <w:szCs w:val="18"/>
        </w:rPr>
        <w:t>Oncorhynchus mykiss</w:t>
      </w:r>
      <w:r w:rsidRPr="00D403F5">
        <w:rPr>
          <w:szCs w:val="18"/>
        </w:rPr>
        <w:t xml:space="preserve">. </w:t>
      </w:r>
      <w:r w:rsidRPr="00D403F5">
        <w:rPr>
          <w:i/>
          <w:szCs w:val="18"/>
        </w:rPr>
        <w:t>Israeli J. Aquaculture</w:t>
      </w:r>
      <w:r w:rsidRPr="00D403F5">
        <w:rPr>
          <w:szCs w:val="18"/>
        </w:rPr>
        <w:t xml:space="preserve">, </w:t>
      </w:r>
      <w:r w:rsidRPr="00D403F5">
        <w:rPr>
          <w:b/>
          <w:szCs w:val="18"/>
        </w:rPr>
        <w:t>56</w:t>
      </w:r>
      <w:r w:rsidRPr="00D403F5">
        <w:rPr>
          <w:szCs w:val="18"/>
        </w:rPr>
        <w:t>, 218–225.</w:t>
      </w:r>
    </w:p>
    <w:p w14:paraId="13368A66" w14:textId="77777777" w:rsidR="00C7266C" w:rsidRPr="00D403F5" w:rsidRDefault="00C7266C" w:rsidP="00D403F5">
      <w:pPr>
        <w:pStyle w:val="REF"/>
        <w:spacing w:after="0"/>
        <w:rPr>
          <w:szCs w:val="18"/>
        </w:rPr>
      </w:pPr>
      <w:r w:rsidRPr="00D403F5">
        <w:rPr>
          <w:smallCaps/>
          <w:szCs w:val="18"/>
        </w:rPr>
        <w:t>Ooi E.L., Verjana N., Haraguchia I., Oshima T., Kondo H., Hirono I, Aoki T., Kiyono H &amp; Yuki Y.</w:t>
      </w:r>
      <w:r w:rsidRPr="00D403F5">
        <w:rPr>
          <w:szCs w:val="18"/>
        </w:rPr>
        <w:t xml:space="preserve"> (2008). Innate immunomodulation with recombinant interferon-alpha enhances resistance of rainbow trout (</w:t>
      </w:r>
      <w:r w:rsidRPr="00D403F5">
        <w:rPr>
          <w:i/>
          <w:szCs w:val="18"/>
        </w:rPr>
        <w:t>Oncorhynchus mykiss</w:t>
      </w:r>
      <w:r w:rsidRPr="00D403F5">
        <w:rPr>
          <w:szCs w:val="18"/>
        </w:rPr>
        <w:t xml:space="preserve">) to infectious hematopoietic necrosis virus. </w:t>
      </w:r>
      <w:r w:rsidRPr="00D403F5">
        <w:rPr>
          <w:i/>
          <w:szCs w:val="18"/>
        </w:rPr>
        <w:t xml:space="preserve">Dev. Comp. Immunol., </w:t>
      </w:r>
      <w:r w:rsidRPr="00D403F5">
        <w:rPr>
          <w:b/>
          <w:szCs w:val="18"/>
        </w:rPr>
        <w:t>32</w:t>
      </w:r>
      <w:r w:rsidRPr="00D403F5">
        <w:rPr>
          <w:szCs w:val="18"/>
        </w:rPr>
        <w:t>, 1211–1220.</w:t>
      </w:r>
    </w:p>
    <w:p w14:paraId="2E681CCF" w14:textId="77777777" w:rsidR="00C7266C" w:rsidRPr="00D403F5" w:rsidRDefault="00C7266C" w:rsidP="00D403F5">
      <w:pPr>
        <w:pStyle w:val="REF"/>
        <w:spacing w:after="0"/>
        <w:rPr>
          <w:szCs w:val="18"/>
        </w:rPr>
      </w:pPr>
      <w:r w:rsidRPr="00D403F5">
        <w:rPr>
          <w:smallCaps/>
          <w:szCs w:val="18"/>
        </w:rPr>
        <w:t>Pascoli F., Bilo F., Marzano F.N., Borghesan F., Mancin M., Manfrin A. &amp; Toffan A</w:t>
      </w:r>
      <w:r w:rsidRPr="00D403F5">
        <w:rPr>
          <w:szCs w:val="18"/>
        </w:rPr>
        <w:t xml:space="preserve">. (2015). Susceptibility of genotyped marble trout Salmo marmoratus (Cuvier, 1829) strains to experimental challenge with European viral hemorrhagic septicemia virus (VHSV) and infectious hematopoietic necrosis virus (IHNV). </w:t>
      </w:r>
      <w:r w:rsidRPr="00D403F5">
        <w:rPr>
          <w:i/>
          <w:szCs w:val="18"/>
        </w:rPr>
        <w:t xml:space="preserve">Aquaculture, </w:t>
      </w:r>
      <w:r w:rsidRPr="00D403F5">
        <w:rPr>
          <w:b/>
          <w:szCs w:val="18"/>
        </w:rPr>
        <w:t>435</w:t>
      </w:r>
      <w:r w:rsidRPr="00D403F5">
        <w:rPr>
          <w:szCs w:val="18"/>
        </w:rPr>
        <w:t>, 152–156.</w:t>
      </w:r>
    </w:p>
    <w:p w14:paraId="6B25FC0D" w14:textId="77777777" w:rsidR="00C7266C" w:rsidRPr="00D403F5" w:rsidRDefault="00C7266C" w:rsidP="00D403F5">
      <w:pPr>
        <w:pStyle w:val="REF"/>
        <w:spacing w:after="0"/>
        <w:rPr>
          <w:szCs w:val="18"/>
        </w:rPr>
      </w:pPr>
      <w:r w:rsidRPr="00D403F5">
        <w:rPr>
          <w:smallCaps/>
          <w:szCs w:val="18"/>
        </w:rPr>
        <w:t>Pham P.H., Sokeechand B.S., Garver K.A., Jones G., Lumsden J.S. &amp; Bols N.C.</w:t>
      </w:r>
      <w:r w:rsidRPr="00D403F5">
        <w:rPr>
          <w:szCs w:val="18"/>
        </w:rPr>
        <w:t xml:space="preserve"> (2018). Fish viruses stored in RNAlater can remain infectious and even be temporarily protected from inactivation by heat or by tissue homogenates. </w:t>
      </w:r>
      <w:r w:rsidRPr="00D403F5">
        <w:rPr>
          <w:i/>
          <w:szCs w:val="18"/>
        </w:rPr>
        <w:t xml:space="preserve">J. Virol. Methods, </w:t>
      </w:r>
      <w:r w:rsidRPr="00D403F5">
        <w:rPr>
          <w:b/>
          <w:szCs w:val="18"/>
        </w:rPr>
        <w:t>253</w:t>
      </w:r>
      <w:r w:rsidRPr="00D403F5">
        <w:rPr>
          <w:szCs w:val="18"/>
        </w:rPr>
        <w:t>, 31–37.</w:t>
      </w:r>
    </w:p>
    <w:p w14:paraId="2B436A2C" w14:textId="77777777" w:rsidR="00C7266C" w:rsidRPr="00D403F5" w:rsidRDefault="00C7266C" w:rsidP="00D403F5">
      <w:pPr>
        <w:pStyle w:val="REF"/>
        <w:spacing w:after="0"/>
        <w:rPr>
          <w:szCs w:val="18"/>
        </w:rPr>
      </w:pPr>
      <w:r w:rsidRPr="00D403F5">
        <w:rPr>
          <w:smallCaps/>
          <w:szCs w:val="18"/>
        </w:rPr>
        <w:t xml:space="preserve">Pietsch J.P., Amend D.F. &amp; Miller C.M. </w:t>
      </w:r>
      <w:r w:rsidRPr="00D403F5">
        <w:rPr>
          <w:szCs w:val="18"/>
        </w:rPr>
        <w:t xml:space="preserve">(1977). Survival of infectious hematopoietic necrosis virus held under various environmental conditions. </w:t>
      </w:r>
      <w:r w:rsidRPr="00D403F5">
        <w:rPr>
          <w:i/>
          <w:szCs w:val="18"/>
        </w:rPr>
        <w:t xml:space="preserve">J. Fish. Res. Board Can., </w:t>
      </w:r>
      <w:r w:rsidRPr="00D403F5">
        <w:rPr>
          <w:b/>
          <w:szCs w:val="18"/>
        </w:rPr>
        <w:t>34</w:t>
      </w:r>
      <w:r w:rsidRPr="00D403F5">
        <w:rPr>
          <w:szCs w:val="18"/>
        </w:rPr>
        <w:t>, 1360–1364.</w:t>
      </w:r>
    </w:p>
    <w:p w14:paraId="544CDF98" w14:textId="77777777" w:rsidR="00C7266C" w:rsidRPr="00D403F5" w:rsidRDefault="00C7266C" w:rsidP="00D403F5">
      <w:pPr>
        <w:pStyle w:val="REF"/>
        <w:spacing w:after="0"/>
        <w:rPr>
          <w:szCs w:val="18"/>
        </w:rPr>
      </w:pPr>
      <w:r w:rsidRPr="00D403F5">
        <w:rPr>
          <w:smallCaps/>
          <w:szCs w:val="18"/>
        </w:rPr>
        <w:t>Purcell M.K., LaPatra S.E., Woodson J.C., Kurath G. &amp; Winton J.R.</w:t>
      </w:r>
      <w:r w:rsidRPr="00D403F5">
        <w:rPr>
          <w:szCs w:val="18"/>
        </w:rPr>
        <w:t xml:space="preserve"> (2010). Early viral replication and induced or constitutive immunity in rainbow trout families with differential resistance to Infectious hematopieticnecrosis virus (IHNV). </w:t>
      </w:r>
      <w:r w:rsidRPr="00D403F5">
        <w:rPr>
          <w:i/>
          <w:szCs w:val="18"/>
        </w:rPr>
        <w:t>Fish Shellfish Immunol</w:t>
      </w:r>
      <w:r w:rsidRPr="00D403F5">
        <w:rPr>
          <w:szCs w:val="18"/>
        </w:rPr>
        <w:t xml:space="preserve">., </w:t>
      </w:r>
      <w:r w:rsidRPr="00D403F5">
        <w:rPr>
          <w:b/>
          <w:szCs w:val="18"/>
        </w:rPr>
        <w:t>28</w:t>
      </w:r>
      <w:r w:rsidRPr="00D403F5">
        <w:rPr>
          <w:szCs w:val="18"/>
        </w:rPr>
        <w:t>, 98–105.</w:t>
      </w:r>
    </w:p>
    <w:p w14:paraId="242A9A3F" w14:textId="77777777" w:rsidR="00C7266C" w:rsidRPr="00D403F5" w:rsidRDefault="00C7266C" w:rsidP="00D403F5">
      <w:pPr>
        <w:pStyle w:val="REF"/>
        <w:spacing w:after="0"/>
        <w:rPr>
          <w:szCs w:val="18"/>
        </w:rPr>
      </w:pPr>
      <w:r w:rsidRPr="00D403F5">
        <w:rPr>
          <w:smallCaps/>
          <w:szCs w:val="18"/>
        </w:rPr>
        <w:t xml:space="preserve">Purcell M.K., Thompson R., Garver K.A., Hawley L.M., Batts W.N., Sprague L., Sampson C. &amp; Winton J.R. </w:t>
      </w:r>
      <w:r w:rsidRPr="00D403F5">
        <w:rPr>
          <w:szCs w:val="18"/>
        </w:rPr>
        <w:t xml:space="preserve">(2013). Universal reverse-transcriptase real-time PCR for infectious hematopoietic necrosis virus (IHNV). </w:t>
      </w:r>
      <w:r w:rsidRPr="00D403F5">
        <w:rPr>
          <w:i/>
          <w:szCs w:val="18"/>
        </w:rPr>
        <w:t xml:space="preserve">Dis. Aquat. Org., </w:t>
      </w:r>
      <w:r w:rsidRPr="00D403F5">
        <w:rPr>
          <w:b/>
          <w:szCs w:val="18"/>
        </w:rPr>
        <w:t>106</w:t>
      </w:r>
      <w:r w:rsidRPr="00D403F5">
        <w:rPr>
          <w:szCs w:val="18"/>
        </w:rPr>
        <w:t>, 103–115.</w:t>
      </w:r>
    </w:p>
    <w:p w14:paraId="116C1611" w14:textId="77777777" w:rsidR="00C7266C" w:rsidRPr="00D403F5" w:rsidRDefault="00C7266C" w:rsidP="00D403F5">
      <w:pPr>
        <w:pStyle w:val="desc"/>
        <w:spacing w:before="0" w:beforeAutospacing="0" w:after="0" w:afterAutospacing="0"/>
        <w:rPr>
          <w:rFonts w:ascii="Arial" w:hAnsi="Arial" w:cs="Arial"/>
          <w:sz w:val="18"/>
          <w:szCs w:val="18"/>
        </w:rPr>
      </w:pPr>
      <w:r w:rsidRPr="00D403F5">
        <w:rPr>
          <w:rFonts w:ascii="Arial" w:hAnsi="Arial" w:cs="Arial"/>
          <w:bCs/>
          <w:smallCaps/>
          <w:sz w:val="18"/>
          <w:szCs w:val="18"/>
        </w:rPr>
        <w:t>Saksida</w:t>
      </w:r>
      <w:r w:rsidRPr="00D403F5">
        <w:rPr>
          <w:rFonts w:ascii="Arial" w:hAnsi="Arial" w:cs="Arial"/>
          <w:sz w:val="18"/>
          <w:szCs w:val="18"/>
        </w:rPr>
        <w:t xml:space="preserve"> S.M. (2006). Infectious haematopoietic necrosis epidemic (2001 to 2003) in farmed </w:t>
      </w:r>
      <w:r w:rsidRPr="00D403F5">
        <w:rPr>
          <w:rFonts w:ascii="Arial" w:hAnsi="Arial" w:cs="Arial"/>
          <w:bCs/>
          <w:sz w:val="18"/>
          <w:szCs w:val="18"/>
        </w:rPr>
        <w:t>Atlantic salmon</w:t>
      </w:r>
      <w:r w:rsidRPr="00D403F5">
        <w:rPr>
          <w:rFonts w:ascii="Arial" w:hAnsi="Arial" w:cs="Arial"/>
          <w:sz w:val="18"/>
          <w:szCs w:val="18"/>
        </w:rPr>
        <w:t xml:space="preserve"> </w:t>
      </w:r>
      <w:r w:rsidRPr="00D403F5">
        <w:rPr>
          <w:rFonts w:ascii="Arial" w:hAnsi="Arial" w:cs="Arial"/>
          <w:i/>
          <w:sz w:val="18"/>
          <w:szCs w:val="18"/>
        </w:rPr>
        <w:t>Salmo salar</w:t>
      </w:r>
      <w:r w:rsidRPr="00D403F5">
        <w:rPr>
          <w:rFonts w:ascii="Arial" w:hAnsi="Arial" w:cs="Arial"/>
          <w:sz w:val="18"/>
          <w:szCs w:val="18"/>
        </w:rPr>
        <w:t xml:space="preserve"> in British Columbia.</w:t>
      </w:r>
      <w:r w:rsidRPr="00D403F5">
        <w:rPr>
          <w:rStyle w:val="jrnl"/>
          <w:rFonts w:ascii="Arial" w:hAnsi="Arial" w:cs="Arial"/>
          <w:sz w:val="18"/>
          <w:szCs w:val="18"/>
        </w:rPr>
        <w:t xml:space="preserve"> </w:t>
      </w:r>
      <w:r w:rsidRPr="00D403F5">
        <w:rPr>
          <w:rStyle w:val="jrnl"/>
          <w:rFonts w:ascii="Arial" w:hAnsi="Arial" w:cs="Arial"/>
          <w:i/>
          <w:sz w:val="18"/>
          <w:szCs w:val="18"/>
        </w:rPr>
        <w:t>Dis. Aquat. Org</w:t>
      </w:r>
      <w:r w:rsidRPr="00D403F5">
        <w:rPr>
          <w:rFonts w:ascii="Arial" w:hAnsi="Arial" w:cs="Arial"/>
          <w:sz w:val="18"/>
          <w:szCs w:val="18"/>
        </w:rPr>
        <w:t xml:space="preserve">., </w:t>
      </w:r>
      <w:r w:rsidRPr="00D403F5">
        <w:rPr>
          <w:rFonts w:ascii="Arial" w:hAnsi="Arial" w:cs="Arial"/>
          <w:b/>
          <w:sz w:val="18"/>
          <w:szCs w:val="18"/>
        </w:rPr>
        <w:t>72</w:t>
      </w:r>
      <w:r w:rsidRPr="00D403F5">
        <w:rPr>
          <w:rFonts w:ascii="Arial" w:hAnsi="Arial" w:cs="Arial"/>
          <w:sz w:val="18"/>
          <w:szCs w:val="18"/>
        </w:rPr>
        <w:t>, 213–223.</w:t>
      </w:r>
    </w:p>
    <w:p w14:paraId="7A973FF9" w14:textId="77777777" w:rsidR="00C7266C" w:rsidRPr="00D403F5" w:rsidRDefault="00C7266C" w:rsidP="00D403F5">
      <w:pPr>
        <w:spacing w:after="0"/>
        <w:rPr>
          <w:rFonts w:ascii="Arial" w:hAnsi="Arial"/>
          <w:smallCaps/>
          <w:sz w:val="18"/>
          <w:szCs w:val="18"/>
          <w:lang w:val="en-IE" w:bidi="en-US"/>
        </w:rPr>
      </w:pPr>
      <w:r w:rsidRPr="00D403F5">
        <w:rPr>
          <w:smallCaps/>
          <w:sz w:val="18"/>
          <w:szCs w:val="18"/>
        </w:rPr>
        <w:br w:type="page"/>
      </w:r>
    </w:p>
    <w:p w14:paraId="177E1D55" w14:textId="4743B15A" w:rsidR="00C7266C" w:rsidRPr="00D403F5" w:rsidRDefault="000B38E2" w:rsidP="00D403F5">
      <w:pPr>
        <w:spacing w:after="0"/>
        <w:jc w:val="right"/>
        <w:rPr>
          <w:sz w:val="18"/>
          <w:szCs w:val="18"/>
        </w:rPr>
      </w:pPr>
      <w:r w:rsidRPr="00D403F5">
        <w:rPr>
          <w:rFonts w:ascii="Times New Roman" w:hAnsi="Times New Roman" w:cs="Times New Roman"/>
          <w:noProof/>
          <w:sz w:val="18"/>
          <w:szCs w:val="18"/>
          <w:u w:val="single"/>
          <w:lang w:val="en-US"/>
        </w:rPr>
        <w:t>Annex 12</w:t>
      </w:r>
      <w:r w:rsidRPr="00D403F5">
        <w:rPr>
          <w:rFonts w:ascii="Times New Roman" w:hAnsi="Times New Roman" w:cs="Times New Roman"/>
          <w:noProof/>
          <w:sz w:val="18"/>
          <w:szCs w:val="18"/>
          <w:lang w:val="en-US"/>
        </w:rPr>
        <w:t xml:space="preserve"> (contd)</w:t>
      </w:r>
    </w:p>
    <w:p w14:paraId="5C3812AE" w14:textId="77777777" w:rsidR="00C7266C" w:rsidRPr="00D403F5" w:rsidRDefault="00C7266C" w:rsidP="00D403F5">
      <w:pPr>
        <w:pStyle w:val="REF"/>
        <w:spacing w:after="0"/>
        <w:rPr>
          <w:szCs w:val="18"/>
        </w:rPr>
      </w:pPr>
      <w:r w:rsidRPr="00D403F5">
        <w:rPr>
          <w:smallCaps/>
          <w:szCs w:val="18"/>
        </w:rPr>
        <w:t>Salonius K., Simard N., Harland R. &amp; Ulmer J.B.</w:t>
      </w:r>
      <w:r w:rsidRPr="00D403F5">
        <w:rPr>
          <w:szCs w:val="18"/>
        </w:rPr>
        <w:t xml:space="preserve"> (2007). The road to licensure of a DNA vaccine. </w:t>
      </w:r>
      <w:r w:rsidRPr="00D403F5">
        <w:rPr>
          <w:i/>
          <w:szCs w:val="18"/>
        </w:rPr>
        <w:t xml:space="preserve">Curr. Opin. Invest. Drugs, </w:t>
      </w:r>
      <w:r w:rsidRPr="00D403F5">
        <w:rPr>
          <w:b/>
          <w:szCs w:val="18"/>
        </w:rPr>
        <w:t>8</w:t>
      </w:r>
      <w:r w:rsidRPr="00D403F5">
        <w:rPr>
          <w:szCs w:val="18"/>
        </w:rPr>
        <w:t>, 635–641.</w:t>
      </w:r>
    </w:p>
    <w:p w14:paraId="6E317E04" w14:textId="77777777" w:rsidR="00C7266C" w:rsidRPr="00D403F5" w:rsidRDefault="00C7266C" w:rsidP="00D403F5">
      <w:pPr>
        <w:pStyle w:val="REF"/>
        <w:spacing w:after="0"/>
        <w:rPr>
          <w:szCs w:val="18"/>
        </w:rPr>
      </w:pPr>
      <w:r w:rsidRPr="00D403F5">
        <w:rPr>
          <w:smallCaps/>
          <w:szCs w:val="18"/>
        </w:rPr>
        <w:t xml:space="preserve">St-Hilaire S., Ribble C., Traxler G., Davies T. &amp; Kent M.L. </w:t>
      </w:r>
      <w:r w:rsidRPr="00D403F5">
        <w:rPr>
          <w:szCs w:val="18"/>
        </w:rPr>
        <w:t xml:space="preserve">(2001). Evidence for a carrier state of infectious hematopoietic necrosis virus in chinook salmon </w:t>
      </w:r>
      <w:r w:rsidRPr="00D403F5">
        <w:rPr>
          <w:i/>
          <w:szCs w:val="18"/>
        </w:rPr>
        <w:t>Oncorhynchus tshawytscha</w:t>
      </w:r>
      <w:r w:rsidRPr="00D403F5">
        <w:rPr>
          <w:szCs w:val="18"/>
        </w:rPr>
        <w:t xml:space="preserve">. </w:t>
      </w:r>
      <w:r w:rsidRPr="00D403F5">
        <w:rPr>
          <w:i/>
          <w:szCs w:val="18"/>
        </w:rPr>
        <w:t xml:space="preserve">Dis. Aquat. Org., </w:t>
      </w:r>
      <w:r w:rsidRPr="00D403F5">
        <w:rPr>
          <w:b/>
          <w:szCs w:val="18"/>
        </w:rPr>
        <w:t>46</w:t>
      </w:r>
      <w:r w:rsidRPr="00D403F5">
        <w:rPr>
          <w:szCs w:val="18"/>
        </w:rPr>
        <w:t>, 173–179.</w:t>
      </w:r>
    </w:p>
    <w:p w14:paraId="7BBC535D" w14:textId="77777777" w:rsidR="00C7266C" w:rsidRPr="00D403F5" w:rsidRDefault="00C7266C" w:rsidP="00D403F5">
      <w:pPr>
        <w:pStyle w:val="REF"/>
        <w:spacing w:after="0"/>
        <w:rPr>
          <w:szCs w:val="18"/>
        </w:rPr>
      </w:pPr>
      <w:r w:rsidRPr="00D403F5">
        <w:rPr>
          <w:smallCaps/>
          <w:szCs w:val="18"/>
        </w:rPr>
        <w:t>Traxler G.S.</w:t>
      </w:r>
      <w:r w:rsidRPr="00D403F5">
        <w:rPr>
          <w:szCs w:val="18"/>
        </w:rPr>
        <w:t xml:space="preserve"> (1986). An epizootic of infectious hematopoietic necrosis in 2-year-old kokanee, </w:t>
      </w:r>
      <w:r w:rsidRPr="00D403F5">
        <w:rPr>
          <w:i/>
          <w:szCs w:val="18"/>
        </w:rPr>
        <w:t>Oncorhynchus nerka</w:t>
      </w:r>
      <w:r w:rsidRPr="00D403F5">
        <w:rPr>
          <w:szCs w:val="18"/>
        </w:rPr>
        <w:t xml:space="preserve"> (Walbaum) at Lake Cowichan, British Columbia. </w:t>
      </w:r>
      <w:r w:rsidRPr="00D403F5">
        <w:rPr>
          <w:i/>
          <w:szCs w:val="18"/>
        </w:rPr>
        <w:t xml:space="preserve">J. Fish Dis., </w:t>
      </w:r>
      <w:r w:rsidRPr="00D403F5">
        <w:rPr>
          <w:b/>
          <w:szCs w:val="18"/>
        </w:rPr>
        <w:t>9</w:t>
      </w:r>
      <w:r w:rsidRPr="00D403F5">
        <w:rPr>
          <w:szCs w:val="18"/>
        </w:rPr>
        <w:t>, 545–549.</w:t>
      </w:r>
    </w:p>
    <w:p w14:paraId="02D716FE" w14:textId="77777777" w:rsidR="00C7266C" w:rsidRPr="00D403F5" w:rsidRDefault="00C7266C" w:rsidP="00D403F5">
      <w:pPr>
        <w:pStyle w:val="REF"/>
        <w:spacing w:after="0"/>
        <w:rPr>
          <w:szCs w:val="18"/>
        </w:rPr>
      </w:pPr>
      <w:r w:rsidRPr="00D403F5">
        <w:rPr>
          <w:smallCaps/>
          <w:szCs w:val="18"/>
        </w:rPr>
        <w:t>Traxler G.S., Roome J.R., Lauda K.A. &amp; LaPatra S</w:t>
      </w:r>
      <w:r w:rsidRPr="00D403F5">
        <w:rPr>
          <w:szCs w:val="18"/>
        </w:rPr>
        <w:t xml:space="preserve">. (1997). Appearance of infectious hematopoietic necrosis virus (IHNV) and neutralizing antibodies in sockeye salmon </w:t>
      </w:r>
      <w:r w:rsidRPr="00D403F5">
        <w:rPr>
          <w:i/>
          <w:szCs w:val="18"/>
        </w:rPr>
        <w:t>Oncorhynchus nerka</w:t>
      </w:r>
      <w:r w:rsidRPr="00D403F5">
        <w:rPr>
          <w:szCs w:val="18"/>
        </w:rPr>
        <w:t xml:space="preserve"> during their migration and maturation period. </w:t>
      </w:r>
      <w:r w:rsidRPr="00D403F5">
        <w:rPr>
          <w:i/>
          <w:szCs w:val="18"/>
        </w:rPr>
        <w:t xml:space="preserve">Dis. Aquat. Org., </w:t>
      </w:r>
      <w:r w:rsidRPr="00D403F5">
        <w:rPr>
          <w:b/>
          <w:szCs w:val="18"/>
        </w:rPr>
        <w:t>28</w:t>
      </w:r>
      <w:r w:rsidRPr="00D403F5">
        <w:rPr>
          <w:szCs w:val="18"/>
        </w:rPr>
        <w:t>, 31–38.</w:t>
      </w:r>
    </w:p>
    <w:p w14:paraId="1099B9A9" w14:textId="77777777" w:rsidR="00C7266C" w:rsidRPr="00D403F5" w:rsidRDefault="00C7266C" w:rsidP="00D403F5">
      <w:pPr>
        <w:pStyle w:val="REF"/>
        <w:spacing w:after="0"/>
        <w:rPr>
          <w:szCs w:val="18"/>
        </w:rPr>
      </w:pPr>
      <w:r w:rsidRPr="00D403F5">
        <w:rPr>
          <w:smallCaps/>
          <w:szCs w:val="18"/>
        </w:rPr>
        <w:t xml:space="preserve">Winton J.R. (1991). </w:t>
      </w:r>
      <w:r w:rsidRPr="00D403F5">
        <w:rPr>
          <w:szCs w:val="18"/>
        </w:rPr>
        <w:t xml:space="preserve">Recent advances in the detection and control of infectious hematopoietic necrosis virus (IHNV) in aquaculture. </w:t>
      </w:r>
      <w:r w:rsidRPr="00D403F5">
        <w:rPr>
          <w:i/>
          <w:szCs w:val="18"/>
        </w:rPr>
        <w:t>Ann. Rev. Fish Dis</w:t>
      </w:r>
      <w:r w:rsidRPr="00D403F5">
        <w:rPr>
          <w:szCs w:val="18"/>
        </w:rPr>
        <w:t xml:space="preserve">., </w:t>
      </w:r>
      <w:r w:rsidRPr="00D403F5">
        <w:rPr>
          <w:b/>
          <w:szCs w:val="18"/>
        </w:rPr>
        <w:t>1</w:t>
      </w:r>
      <w:r w:rsidRPr="00D403F5">
        <w:rPr>
          <w:szCs w:val="18"/>
        </w:rPr>
        <w:t>, 83–93.</w:t>
      </w:r>
    </w:p>
    <w:p w14:paraId="74744263" w14:textId="77777777" w:rsidR="00C7266C" w:rsidRPr="00D403F5" w:rsidRDefault="00C7266C" w:rsidP="00D403F5">
      <w:pPr>
        <w:pStyle w:val="REF"/>
        <w:spacing w:after="0"/>
        <w:rPr>
          <w:szCs w:val="18"/>
        </w:rPr>
      </w:pPr>
      <w:r w:rsidRPr="00D403F5">
        <w:rPr>
          <w:smallCaps/>
          <w:szCs w:val="18"/>
        </w:rPr>
        <w:t>Winton J.R. &amp; Einer-Jensen K. (2002).</w:t>
      </w:r>
      <w:r w:rsidRPr="00D403F5">
        <w:rPr>
          <w:szCs w:val="18"/>
        </w:rPr>
        <w:t xml:space="preserve"> Molecular diagnosis of infectious hematopoietic necrosis and viral hemorrhagic septicemia. </w:t>
      </w:r>
      <w:r w:rsidRPr="00D403F5">
        <w:rPr>
          <w:i/>
          <w:szCs w:val="18"/>
        </w:rPr>
        <w:t xml:space="preserve">In: </w:t>
      </w:r>
      <w:r w:rsidRPr="00D403F5">
        <w:rPr>
          <w:szCs w:val="18"/>
        </w:rPr>
        <w:t>Molecular Diagnosis of Salmonid Diseases, Cunningham C.O., ed. Kluwer, Dordrecht, The Netherlands, pp. 49–79.</w:t>
      </w:r>
    </w:p>
    <w:p w14:paraId="2B23D770" w14:textId="77777777" w:rsidR="00C7266C" w:rsidRPr="00D403F5" w:rsidRDefault="00C7266C" w:rsidP="00D403F5">
      <w:pPr>
        <w:pStyle w:val="REF"/>
        <w:spacing w:after="0"/>
        <w:rPr>
          <w:szCs w:val="18"/>
        </w:rPr>
      </w:pPr>
      <w:r w:rsidRPr="00D403F5">
        <w:rPr>
          <w:smallCaps/>
          <w:szCs w:val="18"/>
        </w:rPr>
        <w:t xml:space="preserve">Wolf K. (1988). </w:t>
      </w:r>
      <w:r w:rsidRPr="00D403F5">
        <w:rPr>
          <w:szCs w:val="18"/>
        </w:rPr>
        <w:t xml:space="preserve">Infectious hematopoietic necrosis. </w:t>
      </w:r>
      <w:r w:rsidRPr="00D403F5">
        <w:rPr>
          <w:i/>
          <w:szCs w:val="18"/>
        </w:rPr>
        <w:t xml:space="preserve">In: </w:t>
      </w:r>
      <w:r w:rsidRPr="00D403F5">
        <w:rPr>
          <w:szCs w:val="18"/>
        </w:rPr>
        <w:t>Fish Viruses and Fish Viral Diseases. Cornell University Press, Ithaca, New York, USA, pp. 83–114.</w:t>
      </w:r>
    </w:p>
    <w:p w14:paraId="190CA6C0" w14:textId="77777777" w:rsidR="00C7266C" w:rsidRPr="00D403F5" w:rsidRDefault="00C7266C" w:rsidP="00D403F5">
      <w:pPr>
        <w:pStyle w:val="REF"/>
        <w:spacing w:after="0"/>
        <w:rPr>
          <w:szCs w:val="18"/>
        </w:rPr>
      </w:pPr>
      <w:r w:rsidRPr="00D403F5">
        <w:rPr>
          <w:smallCaps/>
          <w:szCs w:val="18"/>
        </w:rPr>
        <w:t>Yamamoto T., Batts W.N., Arakawa C.K. &amp; Winton J.R.</w:t>
      </w:r>
      <w:r w:rsidRPr="00D403F5">
        <w:rPr>
          <w:szCs w:val="18"/>
        </w:rPr>
        <w:t xml:space="preserve"> (1990). Multiplication of infectious hematopoietic necrosis virus in rainbow trout following immersion infection: Whole-body assay and immunohistochemistry. </w:t>
      </w:r>
      <w:r w:rsidRPr="00D403F5">
        <w:rPr>
          <w:i/>
          <w:szCs w:val="18"/>
        </w:rPr>
        <w:t xml:space="preserve">J. Aquat. Anim. Health, </w:t>
      </w:r>
      <w:r w:rsidRPr="00D403F5">
        <w:rPr>
          <w:b/>
          <w:szCs w:val="18"/>
        </w:rPr>
        <w:t>2</w:t>
      </w:r>
      <w:r w:rsidRPr="00D403F5">
        <w:rPr>
          <w:szCs w:val="18"/>
        </w:rPr>
        <w:t>, 271–280.</w:t>
      </w:r>
    </w:p>
    <w:p w14:paraId="1565DD08" w14:textId="77777777" w:rsidR="00C7266C" w:rsidRPr="00D403F5" w:rsidRDefault="00C7266C" w:rsidP="00D403F5">
      <w:pPr>
        <w:pStyle w:val="REF"/>
        <w:spacing w:after="0"/>
        <w:rPr>
          <w:szCs w:val="18"/>
        </w:rPr>
      </w:pPr>
      <w:r w:rsidRPr="00D403F5">
        <w:rPr>
          <w:smallCaps/>
          <w:szCs w:val="18"/>
          <w:lang w:val="nb-NO"/>
        </w:rPr>
        <w:t xml:space="preserve">Yoshimizu M., Yoshinaka T., Hatori S. &amp; Kasai H. </w:t>
      </w:r>
      <w:r w:rsidRPr="00D403F5">
        <w:rPr>
          <w:szCs w:val="18"/>
          <w:lang w:val="nb-NO"/>
        </w:rPr>
        <w:t xml:space="preserve">(2005). </w:t>
      </w:r>
      <w:r w:rsidRPr="00D403F5">
        <w:rPr>
          <w:szCs w:val="18"/>
        </w:rPr>
        <w:t xml:space="preserve">Survivability of fish pathogenic viruses in environmental water, and inactivation of fish viruses. </w:t>
      </w:r>
      <w:r w:rsidRPr="00D403F5">
        <w:rPr>
          <w:i/>
          <w:szCs w:val="18"/>
        </w:rPr>
        <w:t xml:space="preserve">Bull. Fish Res. Agency, </w:t>
      </w:r>
      <w:r w:rsidRPr="00D403F5">
        <w:rPr>
          <w:b/>
          <w:szCs w:val="18"/>
        </w:rPr>
        <w:t>2</w:t>
      </w:r>
      <w:r w:rsidRPr="00D403F5">
        <w:rPr>
          <w:szCs w:val="18"/>
        </w:rPr>
        <w:t>, 47–54.</w:t>
      </w:r>
    </w:p>
    <w:bookmarkEnd w:id="89"/>
    <w:p w14:paraId="7FDD481B" w14:textId="77777777" w:rsidR="00C7266C" w:rsidRPr="00D403F5" w:rsidRDefault="00C7266C" w:rsidP="00D403F5">
      <w:pPr>
        <w:pStyle w:val="Para10"/>
        <w:spacing w:after="0"/>
        <w:jc w:val="center"/>
        <w:rPr>
          <w:rFonts w:cs="Arial"/>
          <w:szCs w:val="18"/>
        </w:rPr>
      </w:pPr>
      <w:r w:rsidRPr="00D403F5">
        <w:rPr>
          <w:rFonts w:cs="Arial"/>
          <w:szCs w:val="18"/>
        </w:rPr>
        <w:t>*</w:t>
      </w:r>
      <w:r w:rsidRPr="00D403F5">
        <w:rPr>
          <w:rFonts w:cs="Arial"/>
          <w:szCs w:val="18"/>
        </w:rPr>
        <w:br/>
        <w:t>*   *</w:t>
      </w:r>
    </w:p>
    <w:p w14:paraId="67242998" w14:textId="77777777" w:rsidR="00C7266C" w:rsidRPr="00D403F5" w:rsidRDefault="00C7266C" w:rsidP="00D403F5">
      <w:pPr>
        <w:pStyle w:val="a4"/>
        <w:spacing w:after="0"/>
        <w:ind w:left="0"/>
        <w:contextualSpacing w:val="0"/>
        <w:jc w:val="center"/>
        <w:rPr>
          <w:rFonts w:ascii="Arial" w:hAnsi="Arial" w:cs="Arial"/>
          <w:sz w:val="18"/>
          <w:szCs w:val="18"/>
          <w:lang w:val="en-IE"/>
        </w:rPr>
      </w:pPr>
      <w:r w:rsidRPr="00D403F5">
        <w:rPr>
          <w:rStyle w:val="ReflabnoteCar"/>
          <w:rFonts w:eastAsia="Calibri"/>
          <w:lang w:val="en-IE"/>
        </w:rPr>
        <w:t xml:space="preserve">NB: There </w:t>
      </w:r>
      <w:r w:rsidRPr="00D403F5">
        <w:rPr>
          <w:rFonts w:ascii="Arial" w:hAnsi="Arial" w:cs="Arial"/>
          <w:sz w:val="18"/>
          <w:szCs w:val="18"/>
          <w:lang w:val="en-IE"/>
        </w:rPr>
        <w:t>are OIE Reference Laboratories for Infection with infectious haematopoietic necrosis virus</w:t>
      </w:r>
      <w:r w:rsidRPr="00D403F5">
        <w:rPr>
          <w:rStyle w:val="ReflabnoteCar"/>
          <w:rFonts w:eastAsia="Calibri"/>
          <w:lang w:val="en-IE"/>
        </w:rPr>
        <w:br/>
        <w:t xml:space="preserve">(see </w:t>
      </w:r>
      <w:r w:rsidRPr="00D403F5">
        <w:rPr>
          <w:rFonts w:ascii="Arial" w:hAnsi="Arial" w:cs="Arial"/>
          <w:sz w:val="18"/>
          <w:szCs w:val="18"/>
          <w:lang w:val="en-IE"/>
        </w:rPr>
        <w:t xml:space="preserve">Table at the end of this </w:t>
      </w:r>
      <w:r w:rsidRPr="00D403F5">
        <w:rPr>
          <w:rFonts w:ascii="Arial" w:hAnsi="Arial" w:cs="Arial"/>
          <w:i/>
          <w:iCs/>
          <w:sz w:val="18"/>
          <w:szCs w:val="18"/>
          <w:lang w:val="en-IE"/>
        </w:rPr>
        <w:t>Aquatic Manual</w:t>
      </w:r>
      <w:r w:rsidRPr="00D403F5">
        <w:rPr>
          <w:rFonts w:ascii="Arial" w:hAnsi="Arial" w:cs="Arial"/>
          <w:sz w:val="18"/>
          <w:szCs w:val="18"/>
          <w:lang w:val="en-IE"/>
        </w:rPr>
        <w:t xml:space="preserve"> or </w:t>
      </w:r>
      <w:r w:rsidRPr="00D403F5">
        <w:rPr>
          <w:rStyle w:val="ReflabnoteCar"/>
          <w:rFonts w:eastAsia="Calibri"/>
          <w:lang w:val="en-IE"/>
        </w:rPr>
        <w:t xml:space="preserve">consult the OIE web site for the most up-to-date list: </w:t>
      </w:r>
      <w:hyperlink r:id="rId131" w:history="1">
        <w:r w:rsidRPr="00D403F5">
          <w:rPr>
            <w:rStyle w:val="aa"/>
            <w:rFonts w:ascii="Arial" w:hAnsi="Arial" w:cs="Arial"/>
            <w:sz w:val="18"/>
            <w:szCs w:val="18"/>
            <w:lang w:val="en-IE"/>
          </w:rPr>
          <w:t>http://www.oie.int/en/scientific-expertise/reference-laboratories/list-of-laboratories/</w:t>
        </w:r>
      </w:hyperlink>
      <w:r w:rsidRPr="00D403F5">
        <w:rPr>
          <w:rStyle w:val="ReflabnoteCar"/>
          <w:rFonts w:eastAsia="Calibri"/>
          <w:lang w:val="en-IE"/>
        </w:rPr>
        <w:t xml:space="preserve"> </w:t>
      </w:r>
      <w:hyperlink r:id="rId132" w:history="1"/>
      <w:r w:rsidRPr="00D403F5">
        <w:rPr>
          <w:rStyle w:val="ReflabnoteCar"/>
          <w:rFonts w:eastAsia="Calibri"/>
          <w:lang w:val="en-IE"/>
        </w:rPr>
        <w:t xml:space="preserve">). </w:t>
      </w:r>
      <w:r w:rsidRPr="00D403F5">
        <w:rPr>
          <w:rStyle w:val="ReflabnoteCar"/>
          <w:rFonts w:eastAsia="Calibri"/>
          <w:lang w:val="en-IE"/>
        </w:rPr>
        <w:br/>
      </w:r>
      <w:r w:rsidRPr="00D403F5">
        <w:rPr>
          <w:rFonts w:ascii="Arial" w:hAnsi="Arial" w:cs="Arial"/>
          <w:sz w:val="18"/>
          <w:szCs w:val="18"/>
          <w:lang w:val="en-IE"/>
        </w:rPr>
        <w:t xml:space="preserve">Please contact the OIE Reference Laboratories for any further information on infection with </w:t>
      </w:r>
      <w:r w:rsidRPr="00D403F5">
        <w:rPr>
          <w:rFonts w:ascii="Arial" w:hAnsi="Arial" w:cs="Arial"/>
          <w:sz w:val="18"/>
          <w:szCs w:val="18"/>
          <w:lang w:val="en-IE"/>
        </w:rPr>
        <w:br/>
        <w:t>viral haemorrhagic septicaemia virus</w:t>
      </w:r>
    </w:p>
    <w:p w14:paraId="715C9ABC" w14:textId="77777777" w:rsidR="00C7266C" w:rsidRPr="00D403F5" w:rsidRDefault="00C7266C" w:rsidP="00D403F5">
      <w:pPr>
        <w:pStyle w:val="Para3"/>
        <w:spacing w:after="0"/>
        <w:ind w:left="0"/>
        <w:jc w:val="center"/>
        <w:rPr>
          <w:rFonts w:cs="Arial"/>
          <w:b/>
          <w:szCs w:val="18"/>
        </w:rPr>
      </w:pPr>
      <w:r w:rsidRPr="00D403F5">
        <w:rPr>
          <w:rFonts w:cs="Arial"/>
          <w:b/>
          <w:smallCaps/>
          <w:szCs w:val="18"/>
        </w:rPr>
        <w:t>NB:</w:t>
      </w:r>
      <w:r w:rsidRPr="00D403F5">
        <w:rPr>
          <w:rFonts w:cs="Arial"/>
          <w:smallCaps/>
          <w:szCs w:val="18"/>
        </w:rPr>
        <w:t xml:space="preserve"> First adopted in 1995 as infectious haematopoietic necrosis;</w:t>
      </w:r>
      <w:r w:rsidRPr="00D403F5">
        <w:rPr>
          <w:rFonts w:cs="Arial"/>
          <w:smallCaps/>
          <w:szCs w:val="18"/>
        </w:rPr>
        <w:br/>
        <w:t>most recent updates adopted in 2019.</w:t>
      </w:r>
      <w:bookmarkEnd w:id="90"/>
    </w:p>
    <w:p w14:paraId="5F631366" w14:textId="77777777" w:rsidR="00C7266C" w:rsidRPr="00D403F5" w:rsidRDefault="00C7266C" w:rsidP="00D403F5">
      <w:pPr>
        <w:spacing w:after="0"/>
        <w:ind w:left="107"/>
        <w:jc w:val="both"/>
        <w:rPr>
          <w:rFonts w:ascii="Arial" w:hAnsi="Arial" w:cs="Arial"/>
          <w:sz w:val="18"/>
          <w:szCs w:val="18"/>
          <w:lang w:val="en-IE"/>
        </w:rPr>
        <w:sectPr w:rsidR="00C7266C" w:rsidRPr="00D403F5" w:rsidSect="006237A8">
          <w:headerReference w:type="even" r:id="rId133"/>
          <w:headerReference w:type="default" r:id="rId134"/>
          <w:footerReference w:type="default" r:id="rId135"/>
          <w:headerReference w:type="first" r:id="rId136"/>
          <w:pgSz w:w="11906" w:h="16838"/>
          <w:pgMar w:top="1440" w:right="1440" w:bottom="1440" w:left="1440" w:header="709" w:footer="709" w:gutter="0"/>
          <w:cols w:space="708"/>
          <w:vAlign w:val="both"/>
          <w:docGrid w:linePitch="360"/>
        </w:sectPr>
      </w:pPr>
    </w:p>
    <w:p w14:paraId="509C8116" w14:textId="77777777" w:rsidR="00C7266C" w:rsidRPr="00D403F5" w:rsidRDefault="00C7266C" w:rsidP="00D403F5">
      <w:pPr>
        <w:spacing w:after="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p>
    <w:p w14:paraId="1F10F93E" w14:textId="77777777" w:rsidR="00C7266C" w:rsidRPr="00D403F5" w:rsidRDefault="00C7266C" w:rsidP="00D403F5">
      <w:pPr>
        <w:pBdr>
          <w:bottom w:val="single" w:sz="6" w:space="6" w:color="auto"/>
        </w:pBdr>
        <w:spacing w:after="0" w:line="240" w:lineRule="auto"/>
        <w:jc w:val="center"/>
        <w:rPr>
          <w:rFonts w:ascii="Ottawa" w:eastAsia="Times New Roman" w:hAnsi="Ottawa" w:cs="Arial"/>
          <w:b/>
          <w:bCs/>
          <w:iCs/>
          <w:caps/>
          <w:spacing w:val="40"/>
          <w:sz w:val="18"/>
          <w:szCs w:val="18"/>
          <w:lang w:val="en-IE" w:bidi="en-US"/>
        </w:rPr>
      </w:pPr>
      <w:r w:rsidRPr="00A63C15">
        <w:rPr>
          <w:rFonts w:ascii="Ottawa" w:eastAsia="Times New Roman" w:hAnsi="Ottawa" w:cs="Arial"/>
          <w:bCs/>
          <w:iCs/>
          <w:caps/>
          <w:spacing w:val="40"/>
          <w:sz w:val="24"/>
          <w:szCs w:val="24"/>
          <w:lang w:val="en-IE" w:bidi="en-US"/>
        </w:rPr>
        <w:t>CHAPTER 2.3.10.</w:t>
      </w:r>
      <w:r w:rsidRPr="00A63C15">
        <w:rPr>
          <w:rFonts w:ascii="Ottawa" w:eastAsia="Times New Roman" w:hAnsi="Ottawa" w:cs="Arial"/>
          <w:bCs/>
          <w:iCs/>
          <w:caps/>
          <w:spacing w:val="40"/>
          <w:sz w:val="24"/>
          <w:szCs w:val="24"/>
          <w:lang w:val="en-IE" w:bidi="en-US"/>
        </w:rPr>
        <w:br/>
      </w:r>
      <w:r w:rsidRPr="00A63C15">
        <w:rPr>
          <w:rFonts w:ascii="Ottawa" w:eastAsia="Times New Roman" w:hAnsi="Ottawa" w:cs="Arial"/>
          <w:bCs/>
          <w:iCs/>
          <w:caps/>
          <w:spacing w:val="40"/>
          <w:sz w:val="24"/>
          <w:szCs w:val="24"/>
          <w:lang w:val="en-IE" w:bidi="en-US"/>
        </w:rPr>
        <w:br/>
      </w:r>
      <w:r w:rsidRPr="00A63C15">
        <w:rPr>
          <w:rFonts w:ascii="Ottawa" w:eastAsia="Times New Roman" w:hAnsi="Ottawa" w:cs="Arial"/>
          <w:b/>
          <w:bCs/>
          <w:iCs/>
          <w:caps/>
          <w:spacing w:val="40"/>
          <w:sz w:val="28"/>
          <w:szCs w:val="28"/>
          <w:lang w:val="en-IE" w:bidi="en-US"/>
        </w:rPr>
        <w:t xml:space="preserve">infection with viral </w:t>
      </w:r>
      <w:r w:rsidRPr="00A63C15">
        <w:rPr>
          <w:rFonts w:ascii="Ottawa" w:eastAsia="Times New Roman" w:hAnsi="Ottawa" w:cs="Arial"/>
          <w:b/>
          <w:bCs/>
          <w:iCs/>
          <w:caps/>
          <w:spacing w:val="40"/>
          <w:sz w:val="28"/>
          <w:szCs w:val="28"/>
          <w:lang w:val="en-IE" w:bidi="en-US"/>
        </w:rPr>
        <w:br/>
        <w:t>haemorrhagic septicaemia virus</w:t>
      </w:r>
    </w:p>
    <w:p w14:paraId="6936879A" w14:textId="77777777" w:rsidR="00C7266C" w:rsidRPr="00D403F5" w:rsidRDefault="00C7266C" w:rsidP="00D403F5">
      <w:pPr>
        <w:spacing w:after="0" w:line="240" w:lineRule="auto"/>
        <w:ind w:left="284" w:hanging="284"/>
        <w:jc w:val="both"/>
        <w:rPr>
          <w:rFonts w:ascii="Ottawa" w:eastAsia="MS Mincho" w:hAnsi="Ottawa" w:cs="Times New Roman"/>
          <w:b/>
          <w:sz w:val="18"/>
          <w:szCs w:val="18"/>
          <w:lang w:eastAsia="fr-FR"/>
        </w:rPr>
      </w:pPr>
      <w:r w:rsidRPr="00D403F5">
        <w:rPr>
          <w:rFonts w:ascii="Ottawa" w:eastAsia="MS Mincho" w:hAnsi="Ottawa" w:cs="Times New Roman"/>
          <w:b/>
          <w:sz w:val="18"/>
          <w:szCs w:val="18"/>
          <w:lang w:eastAsia="fr-FR"/>
        </w:rPr>
        <w:t>1.</w:t>
      </w:r>
      <w:r w:rsidRPr="00D403F5">
        <w:rPr>
          <w:rFonts w:ascii="Ottawa" w:eastAsia="MS Mincho" w:hAnsi="Ottawa" w:cs="Times New Roman"/>
          <w:b/>
          <w:sz w:val="18"/>
          <w:szCs w:val="18"/>
          <w:lang w:eastAsia="fr-FR"/>
        </w:rPr>
        <w:tab/>
        <w:t>Scope</w:t>
      </w:r>
    </w:p>
    <w:p w14:paraId="6BFD151B"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sz w:val="18"/>
          <w:szCs w:val="18"/>
          <w:lang w:val="en-IE" w:bidi="en-US"/>
        </w:rPr>
        <w:t xml:space="preserve">Infection with </w:t>
      </w:r>
      <w:r w:rsidRPr="00D403F5">
        <w:rPr>
          <w:rFonts w:ascii="Arial" w:eastAsia="Times New Roman" w:hAnsi="Arial" w:cs="Times New Roman"/>
          <w:sz w:val="18"/>
          <w:szCs w:val="18"/>
          <w:lang w:bidi="en-US"/>
        </w:rPr>
        <w:t xml:space="preserve">viral haemorrhagic septicaemia virus (VHSV) </w:t>
      </w:r>
      <w:r w:rsidRPr="00D403F5">
        <w:rPr>
          <w:rFonts w:ascii="Arial" w:eastAsia="Times New Roman" w:hAnsi="Arial" w:cs="Times New Roman"/>
          <w:sz w:val="18"/>
          <w:szCs w:val="18"/>
          <w:lang w:val="en-IE" w:bidi="en-US"/>
        </w:rPr>
        <w:t xml:space="preserve">means infection with the pathogenic agent </w:t>
      </w:r>
      <w:r w:rsidRPr="00D403F5">
        <w:rPr>
          <w:rFonts w:ascii="Arial" w:eastAsia="Times New Roman" w:hAnsi="Arial" w:cs="Times New Roman"/>
          <w:sz w:val="18"/>
          <w:szCs w:val="18"/>
          <w:lang w:bidi="en-US"/>
        </w:rPr>
        <w:t>viral haemorrhagic septicaemia virus</w:t>
      </w:r>
      <w:r w:rsidRPr="00D403F5">
        <w:rPr>
          <w:rFonts w:ascii="Arial" w:eastAsia="Times New Roman" w:hAnsi="Arial" w:cs="Times New Roman"/>
          <w:sz w:val="18"/>
          <w:szCs w:val="18"/>
          <w:lang w:val="en-IE" w:bidi="en-US"/>
        </w:rPr>
        <w:t xml:space="preserve"> of</w:t>
      </w:r>
      <w:r w:rsidRPr="00D403F5">
        <w:rPr>
          <w:rFonts w:ascii="Arial" w:eastAsia="Times New Roman" w:hAnsi="Arial" w:cs="Times New Roman"/>
          <w:sz w:val="18"/>
          <w:szCs w:val="18"/>
          <w:lang w:val="en-US" w:bidi="en-US"/>
        </w:rPr>
        <w:t xml:space="preserve"> the Genus </w:t>
      </w:r>
      <w:r w:rsidRPr="00D403F5">
        <w:rPr>
          <w:rFonts w:ascii="Arial" w:eastAsia="Times New Roman" w:hAnsi="Arial" w:cs="Arial"/>
          <w:i/>
          <w:sz w:val="18"/>
          <w:szCs w:val="18"/>
          <w:lang w:bidi="en-US"/>
        </w:rPr>
        <w:t>Novirhabdovirus</w:t>
      </w:r>
      <w:r w:rsidRPr="00D403F5">
        <w:rPr>
          <w:rFonts w:ascii="Arial" w:eastAsia="Times New Roman" w:hAnsi="Arial" w:cs="Arial"/>
          <w:sz w:val="18"/>
          <w:szCs w:val="18"/>
          <w:lang w:bidi="en-US"/>
        </w:rPr>
        <w:t xml:space="preserve"> and Family </w:t>
      </w:r>
      <w:r w:rsidRPr="00D403F5">
        <w:rPr>
          <w:rFonts w:ascii="Arial" w:eastAsia="Times New Roman" w:hAnsi="Arial" w:cs="Arial"/>
          <w:i/>
          <w:sz w:val="18"/>
          <w:szCs w:val="18"/>
          <w:lang w:bidi="en-US"/>
        </w:rPr>
        <w:t>Rhabdoviridae.</w:t>
      </w:r>
    </w:p>
    <w:p w14:paraId="671F97CE" w14:textId="77777777" w:rsidR="00C7266C" w:rsidRPr="00D403F5" w:rsidRDefault="00C7266C" w:rsidP="00D403F5">
      <w:pPr>
        <w:spacing w:after="0" w:line="240" w:lineRule="auto"/>
        <w:ind w:left="284" w:hanging="284"/>
        <w:jc w:val="both"/>
        <w:rPr>
          <w:rFonts w:ascii="Ottawa" w:eastAsia="MS Mincho" w:hAnsi="Ottawa" w:cs="Times New Roman"/>
          <w:b/>
          <w:sz w:val="18"/>
          <w:szCs w:val="18"/>
          <w:lang w:eastAsia="fr-FR"/>
        </w:rPr>
      </w:pPr>
      <w:r w:rsidRPr="00D403F5">
        <w:rPr>
          <w:rFonts w:ascii="Ottawa" w:eastAsia="MS Mincho" w:hAnsi="Ottawa" w:cs="Times New Roman"/>
          <w:b/>
          <w:sz w:val="18"/>
          <w:szCs w:val="18"/>
          <w:lang w:eastAsia="fr-FR"/>
        </w:rPr>
        <w:t>2.</w:t>
      </w:r>
      <w:r w:rsidRPr="00D403F5">
        <w:rPr>
          <w:rFonts w:ascii="Ottawa" w:eastAsia="MS Mincho" w:hAnsi="Ottawa" w:cs="Times New Roman"/>
          <w:b/>
          <w:sz w:val="18"/>
          <w:szCs w:val="18"/>
          <w:lang w:eastAsia="fr-FR"/>
        </w:rPr>
        <w:tab/>
        <w:t>Disease information</w:t>
      </w:r>
    </w:p>
    <w:p w14:paraId="420FA25C" w14:textId="77777777" w:rsidR="00C7266C" w:rsidRPr="00D403F5" w:rsidRDefault="00C7266C" w:rsidP="00A63C15">
      <w:pPr>
        <w:tabs>
          <w:tab w:val="left" w:pos="1418"/>
        </w:tabs>
        <w:spacing w:after="0" w:line="240" w:lineRule="auto"/>
        <w:ind w:left="426" w:hanging="426"/>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2.1.</w:t>
      </w:r>
      <w:r w:rsidRPr="00D403F5">
        <w:rPr>
          <w:rFonts w:ascii="Ottawa" w:eastAsia="MS Mincho" w:hAnsi="Ottawa" w:cs="Times New Roman"/>
          <w:b/>
          <w:sz w:val="18"/>
          <w:szCs w:val="18"/>
          <w:lang w:val="da-DK" w:eastAsia="da-DK"/>
        </w:rPr>
        <w:tab/>
        <w:t>Agent factors</w:t>
      </w:r>
    </w:p>
    <w:p w14:paraId="6CD48C2B"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2.1.1.</w:t>
      </w:r>
      <w:r w:rsidRPr="00D403F5">
        <w:rPr>
          <w:rFonts w:ascii="Ottawa" w:eastAsia="Times New Roman" w:hAnsi="Ottawa" w:cs="Times New Roman"/>
          <w:b/>
          <w:bCs/>
          <w:sz w:val="18"/>
          <w:szCs w:val="18"/>
          <w:lang w:val="en-IE" w:eastAsia="fr-FR"/>
        </w:rPr>
        <w:tab/>
        <w:t>Aetiological agent</w:t>
      </w:r>
    </w:p>
    <w:p w14:paraId="31124B47"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VHSV is a bullet-shaped particle, approximately 70 nm in diameter and 180 nm in length, that contains a negative-sense, single-stranded RNA genome of approximately 11,000 nucleotides, and possesses an envelope that contains the membrane glycoprotein, which is the neutralising surface antigen. The genome encodes six proteins: a nucleoprotein N; a phosphoprotein P (formerly designated M1); a matrix protein M (formerly designated M2); a glycoprotein G; a non-virion protein NV and a polymerase L (Walker </w:t>
      </w:r>
      <w:r w:rsidRPr="00D403F5">
        <w:rPr>
          <w:rFonts w:ascii="Arial" w:eastAsia="Times New Roman" w:hAnsi="Arial" w:cs="Arial"/>
          <w:bCs/>
          <w:i/>
          <w:sz w:val="18"/>
          <w:szCs w:val="18"/>
          <w:lang w:val="en-IE"/>
        </w:rPr>
        <w:t>et al</w:t>
      </w:r>
      <w:r w:rsidRPr="00D403F5">
        <w:rPr>
          <w:rFonts w:ascii="Arial" w:eastAsia="Times New Roman" w:hAnsi="Arial" w:cs="Arial"/>
          <w:bCs/>
          <w:sz w:val="18"/>
          <w:szCs w:val="18"/>
          <w:lang w:val="en-IE"/>
        </w:rPr>
        <w:t>., 2000).</w:t>
      </w:r>
    </w:p>
    <w:p w14:paraId="25DEADCC" w14:textId="77777777" w:rsidR="00C7266C" w:rsidRPr="00D403F5" w:rsidRDefault="00C7266C" w:rsidP="00D403F5">
      <w:pPr>
        <w:spacing w:after="0" w:line="240" w:lineRule="auto"/>
        <w:ind w:left="851"/>
        <w:jc w:val="both"/>
        <w:rPr>
          <w:rFonts w:ascii="Arial" w:eastAsia="Times New Roman" w:hAnsi="Arial" w:cs="Arial"/>
          <w:bCs/>
          <w:sz w:val="18"/>
          <w:szCs w:val="18"/>
        </w:rPr>
      </w:pPr>
      <w:r w:rsidRPr="00D403F5">
        <w:rPr>
          <w:rFonts w:ascii="Arial" w:eastAsia="Times New Roman" w:hAnsi="Arial" w:cs="Arial"/>
          <w:bCs/>
          <w:sz w:val="18"/>
          <w:szCs w:val="18"/>
        </w:rPr>
        <w:t xml:space="preserve">G-gene nucleotide sequences have been used to classify VHSV isolates into four major genotypes (I, II, III and IV) and nine subtypes (Ia–Ie and IVa-IVd) with almost distinct geographical distributions (Einer-Jensen </w:t>
      </w:r>
      <w:r w:rsidRPr="00D403F5">
        <w:rPr>
          <w:rFonts w:ascii="Arial" w:eastAsia="Times New Roman" w:hAnsi="Arial" w:cs="Arial"/>
          <w:bCs/>
          <w:i/>
          <w:sz w:val="18"/>
          <w:szCs w:val="18"/>
        </w:rPr>
        <w:t>et al</w:t>
      </w:r>
      <w:r w:rsidRPr="00D403F5">
        <w:rPr>
          <w:rFonts w:ascii="Arial" w:eastAsia="Times New Roman" w:hAnsi="Arial" w:cs="Arial"/>
          <w:bCs/>
          <w:sz w:val="18"/>
          <w:szCs w:val="18"/>
        </w:rPr>
        <w:t xml:space="preserve">., 2004; Elsayed </w:t>
      </w:r>
      <w:r w:rsidRPr="00D403F5">
        <w:rPr>
          <w:rFonts w:ascii="Arial" w:eastAsia="Times New Roman" w:hAnsi="Arial" w:cs="Arial"/>
          <w:bCs/>
          <w:i/>
          <w:sz w:val="18"/>
          <w:szCs w:val="18"/>
        </w:rPr>
        <w:t>et al</w:t>
      </w:r>
      <w:r w:rsidRPr="00D403F5">
        <w:rPr>
          <w:rFonts w:ascii="Arial" w:eastAsia="Times New Roman" w:hAnsi="Arial" w:cs="Arial"/>
          <w:bCs/>
          <w:sz w:val="18"/>
          <w:szCs w:val="18"/>
        </w:rPr>
        <w:t xml:space="preserve">., 2006). The host range and the pathogenicity appear, at least to some extent, to be linked to the genotype of VHSV. </w:t>
      </w:r>
    </w:p>
    <w:p w14:paraId="6ABE3E21"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Genotype Ia</w:t>
      </w:r>
    </w:p>
    <w:p w14:paraId="1F625BB8"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Almost all VHSV isolates causing outbreaks in European rainbow trout (</w:t>
      </w:r>
      <w:r w:rsidRPr="00D403F5">
        <w:rPr>
          <w:rFonts w:ascii="Arial" w:eastAsia="Times New Roman" w:hAnsi="Arial" w:cs="Times New Roman"/>
          <w:bCs/>
          <w:i/>
          <w:sz w:val="18"/>
          <w:szCs w:val="18"/>
          <w:lang w:bidi="en-US"/>
        </w:rPr>
        <w:t>Oncorhynchus mykiss</w:t>
      </w:r>
      <w:r w:rsidRPr="00D403F5">
        <w:rPr>
          <w:rFonts w:ascii="Arial" w:eastAsia="Times New Roman" w:hAnsi="Arial" w:cs="Times New Roman"/>
          <w:bCs/>
          <w:sz w:val="18"/>
          <w:szCs w:val="18"/>
          <w:lang w:bidi="en-US"/>
        </w:rPr>
        <w:t>)</w:t>
      </w:r>
      <w:r w:rsidRPr="00D403F5">
        <w:rPr>
          <w:rFonts w:ascii="Arial" w:eastAsia="Times New Roman" w:hAnsi="Arial" w:cs="Times New Roman"/>
          <w:bCs/>
          <w:sz w:val="18"/>
          <w:szCs w:val="18"/>
          <w:lang w:val="en-IE" w:bidi="en-US"/>
        </w:rPr>
        <w:t xml:space="preserve"> farms cluster in sub-lineage Ia, of which isolates have been reported from most continental European countries (Einer-Jensen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2004; Kahns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2012; Snow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2004; Toplak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2010). However, genotype Ia isolates have also been detected in other species such as brown trout (</w:t>
      </w:r>
      <w:r w:rsidRPr="00D403F5">
        <w:rPr>
          <w:rFonts w:ascii="Arial" w:eastAsia="Times New Roman" w:hAnsi="Arial" w:cs="Times New Roman"/>
          <w:bCs/>
          <w:i/>
          <w:sz w:val="18"/>
          <w:szCs w:val="18"/>
          <w:lang w:val="en-IE" w:bidi="en-US"/>
        </w:rPr>
        <w:t>Salmo trutta</w:t>
      </w:r>
      <w:r w:rsidRPr="00D403F5">
        <w:rPr>
          <w:rFonts w:ascii="Arial" w:eastAsia="Times New Roman" w:hAnsi="Arial" w:cs="Times New Roman"/>
          <w:bCs/>
          <w:sz w:val="18"/>
          <w:szCs w:val="18"/>
          <w:lang w:val="en-IE" w:bidi="en-US"/>
        </w:rPr>
        <w:t>), pike (</w:t>
      </w:r>
      <w:r w:rsidRPr="00D403F5">
        <w:rPr>
          <w:rFonts w:ascii="Arial" w:eastAsia="Times New Roman" w:hAnsi="Arial" w:cs="Times New Roman"/>
          <w:bCs/>
          <w:i/>
          <w:sz w:val="18"/>
          <w:szCs w:val="18"/>
          <w:lang w:val="en-IE" w:bidi="en-US"/>
        </w:rPr>
        <w:t>Esox lucius</w:t>
      </w:r>
      <w:r w:rsidRPr="00D403F5">
        <w:rPr>
          <w:rFonts w:ascii="Arial" w:eastAsia="Times New Roman" w:hAnsi="Arial" w:cs="Times New Roman"/>
          <w:bCs/>
          <w:sz w:val="18"/>
          <w:szCs w:val="18"/>
          <w:lang w:val="en-IE" w:bidi="en-US"/>
        </w:rPr>
        <w:t>) and grayling (</w:t>
      </w:r>
      <w:r w:rsidRPr="00D403F5">
        <w:rPr>
          <w:rFonts w:ascii="Arial" w:eastAsia="Times New Roman" w:hAnsi="Arial" w:cs="Times New Roman"/>
          <w:bCs/>
          <w:i/>
          <w:sz w:val="18"/>
          <w:szCs w:val="18"/>
          <w:lang w:val="en-IE" w:bidi="en-US"/>
        </w:rPr>
        <w:t>Thymallus thymallus</w:t>
      </w:r>
      <w:r w:rsidRPr="00D403F5">
        <w:rPr>
          <w:rFonts w:ascii="Arial" w:eastAsia="Times New Roman" w:hAnsi="Arial" w:cs="Times New Roman"/>
          <w:bCs/>
          <w:sz w:val="18"/>
          <w:szCs w:val="18"/>
          <w:lang w:val="en-IE" w:bidi="en-US"/>
        </w:rPr>
        <w:t xml:space="preserve">) (de Kinkelin &amp; Le Berre, 1977; Jonstrup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2009). Genotype Ia isolates have generally caused outbreaks in freshwater farms, but isolates have also been obtained from rainbow trout in seawater net pens and turbot </w:t>
      </w:r>
      <w:r w:rsidRPr="00D403F5">
        <w:rPr>
          <w:rFonts w:ascii="Arial" w:eastAsia="Times New Roman" w:hAnsi="Arial" w:cs="Arial"/>
          <w:bCs/>
          <w:color w:val="222222"/>
          <w:sz w:val="18"/>
          <w:szCs w:val="18"/>
          <w:shd w:val="clear" w:color="auto" w:fill="FFFFFF"/>
          <w:lang w:val="en-IE" w:bidi="en-US"/>
        </w:rPr>
        <w:t>(</w:t>
      </w:r>
      <w:r w:rsidRPr="00D403F5">
        <w:rPr>
          <w:rFonts w:ascii="Arial" w:eastAsia="Times New Roman" w:hAnsi="Arial" w:cs="Arial"/>
          <w:bCs/>
          <w:i/>
          <w:iCs/>
          <w:color w:val="222222"/>
          <w:sz w:val="18"/>
          <w:szCs w:val="18"/>
          <w:shd w:val="clear" w:color="auto" w:fill="FFFFFF"/>
          <w:lang w:val="en-IE" w:bidi="en-US"/>
        </w:rPr>
        <w:t xml:space="preserve">Scophthalmus maximus </w:t>
      </w:r>
      <w:r w:rsidRPr="00D403F5">
        <w:rPr>
          <w:rFonts w:ascii="Arial" w:eastAsia="Times New Roman" w:hAnsi="Arial" w:cs="Arial"/>
          <w:bCs/>
          <w:iCs/>
          <w:color w:val="222222"/>
          <w:sz w:val="18"/>
          <w:szCs w:val="18"/>
          <w:shd w:val="clear" w:color="auto" w:fill="FFFFFF"/>
          <w:lang w:val="en-IE" w:bidi="en-US"/>
        </w:rPr>
        <w:t xml:space="preserve">syn. </w:t>
      </w:r>
      <w:r w:rsidRPr="00D403F5">
        <w:rPr>
          <w:rFonts w:ascii="Arial" w:eastAsia="Times New Roman" w:hAnsi="Arial" w:cs="Arial"/>
          <w:bCs/>
          <w:i/>
          <w:iCs/>
          <w:color w:val="222222"/>
          <w:sz w:val="18"/>
          <w:szCs w:val="18"/>
          <w:shd w:val="clear" w:color="auto" w:fill="FFFFFF"/>
          <w:lang w:bidi="en-US"/>
        </w:rPr>
        <w:t>Psetta maxima</w:t>
      </w:r>
      <w:r w:rsidRPr="00D403F5">
        <w:rPr>
          <w:rFonts w:ascii="Arial" w:eastAsia="Times New Roman" w:hAnsi="Arial" w:cs="Arial"/>
          <w:bCs/>
          <w:color w:val="222222"/>
          <w:sz w:val="18"/>
          <w:szCs w:val="18"/>
          <w:shd w:val="clear" w:color="auto" w:fill="FFFFFF"/>
          <w:lang w:val="en-IE" w:bidi="en-US"/>
        </w:rPr>
        <w:t>)</w:t>
      </w:r>
      <w:r w:rsidRPr="00D403F5">
        <w:rPr>
          <w:rFonts w:ascii="Arial" w:eastAsia="Times New Roman" w:hAnsi="Arial" w:cs="Times New Roman"/>
          <w:bCs/>
          <w:sz w:val="18"/>
          <w:szCs w:val="18"/>
          <w:lang w:val="en-IE" w:bidi="en-US"/>
        </w:rPr>
        <w:t xml:space="preserve"> (Schlotfeldt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1991; Snow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2004), Genotype Ia can be further subdivided into two major subpopulations, Ia-1 and Ia-2, with a distinct geographic distribution within Europe (Kahns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2012). </w:t>
      </w:r>
    </w:p>
    <w:p w14:paraId="1B65729E"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Genotype Ib</w:t>
      </w:r>
    </w:p>
    <w:p w14:paraId="1DEAE9E6"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Viruses have been isolated from fish in the marine environment in the Baltic Sea, Kattegat, Skagerrak, the North Sea and the English Channel (Einer-Jensen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2004; Skall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2005; Snow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2004) and as far north as latitude 70°N close to Nordkapp in Norway (Sandlund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2014). A single case was observed in Japan (Nishizawa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2002). None of the isolations from wild fish has been associated with clinical disease outbreaks (Johansen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2013). Genotype Ib has been associated with evidence of transfer between wild fish and farmed rainbow trout in only two cases in pen-reared rainbow trout in Sweden in 1998 and 2000 (Nordblom, 1998; Nordblom &amp; Norell, 2000; Skall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2005).</w:t>
      </w:r>
    </w:p>
    <w:p w14:paraId="581BCF81"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Genotype Ic</w:t>
      </w:r>
    </w:p>
    <w:p w14:paraId="3DF4757C"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This genotype is a smaller group consisting of Danish farmed rainbow trout isolates from earlier dates. Isolates of this genotype have also been identified in Germany and Austria (Jonstrup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2009).</w:t>
      </w:r>
    </w:p>
    <w:p w14:paraId="4490D533" w14:textId="77777777" w:rsidR="00A63C15" w:rsidRDefault="00A63C15" w:rsidP="00D403F5">
      <w:pPr>
        <w:spacing w:after="0" w:line="240" w:lineRule="auto"/>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664BE5EB" w14:textId="031E82E9" w:rsidR="00C7266C" w:rsidRPr="00D403F5" w:rsidRDefault="00C7266C"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08C05A57"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Genotype Id</w:t>
      </w:r>
    </w:p>
    <w:p w14:paraId="565679A5"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This group consists of some old Scandinavian isolates from the 1960s until the first VHS outbreaks occurred in Finland in sea-reared rainbow trout in 2000 at two different areas where all isolates sampled proved to cluster in the Id genotype. In infection trials, it was demonstrated that the isolates were pathogenic to rainbow trout, but less virulent than most Ia isolates (Raja-Halli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2006).</w:t>
      </w:r>
    </w:p>
    <w:p w14:paraId="4E859811"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Genotype Ie</w:t>
      </w:r>
    </w:p>
    <w:p w14:paraId="762797F1"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These isolates have been obtained from both freshwater and marine (the Black Sea) environments in Georgia and Turkey. Isolations were from both farmed and wild turbot (Jonstrup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2009; Kalayci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2006; Nishizawa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2006) and from rainbow trout (Einer-Jensen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2004). VHSV Ie has also been identified in whiting (</w:t>
      </w:r>
      <w:r w:rsidRPr="00D403F5">
        <w:rPr>
          <w:rFonts w:ascii="Arial" w:eastAsia="Times New Roman" w:hAnsi="Arial" w:cs="Times New Roman"/>
          <w:bCs/>
          <w:i/>
          <w:sz w:val="18"/>
          <w:szCs w:val="18"/>
          <w:lang w:val="en-IE" w:bidi="en-US"/>
        </w:rPr>
        <w:t>Merlangius merlangus</w:t>
      </w:r>
      <w:r w:rsidRPr="00D403F5">
        <w:rPr>
          <w:rFonts w:ascii="Arial" w:eastAsia="Times New Roman" w:hAnsi="Arial" w:cs="Times New Roman"/>
          <w:bCs/>
          <w:sz w:val="18"/>
          <w:szCs w:val="18"/>
          <w:lang w:val="en-IE" w:bidi="en-US"/>
        </w:rPr>
        <w:t>) and sea bass (</w:t>
      </w:r>
      <w:r w:rsidRPr="00D403F5">
        <w:rPr>
          <w:rFonts w:ascii="Arial" w:eastAsia="Times New Roman" w:hAnsi="Arial" w:cs="Times New Roman"/>
          <w:bCs/>
          <w:i/>
          <w:sz w:val="18"/>
          <w:szCs w:val="18"/>
          <w:lang w:val="en-IE" w:bidi="en-US"/>
        </w:rPr>
        <w:t>Dicentrarchus labrax</w:t>
      </w:r>
      <w:r w:rsidRPr="00D403F5">
        <w:rPr>
          <w:rFonts w:ascii="Arial" w:eastAsia="Times New Roman" w:hAnsi="Arial" w:cs="Times New Roman"/>
          <w:bCs/>
          <w:sz w:val="18"/>
          <w:szCs w:val="18"/>
          <w:lang w:val="en-IE" w:bidi="en-US"/>
        </w:rPr>
        <w:t>) from the Black Sea (Altuntas &amp; Ogut, 2010).</w:t>
      </w:r>
    </w:p>
    <w:p w14:paraId="67FCFB99"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Genotype II</w:t>
      </w:r>
    </w:p>
    <w:p w14:paraId="6F4D10F1"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The members of this group consist of marine isolates from wild fish in the Baltic Sea, including the Gulf of Bothnia and the Gulf of Finland, especially from Atlantic herring (</w:t>
      </w:r>
      <w:r w:rsidRPr="00D403F5">
        <w:rPr>
          <w:rFonts w:ascii="Arial" w:eastAsia="Times New Roman" w:hAnsi="Arial" w:cs="Times New Roman"/>
          <w:bCs/>
          <w:i/>
          <w:sz w:val="18"/>
          <w:szCs w:val="18"/>
          <w:lang w:val="en-IE" w:bidi="en-US"/>
        </w:rPr>
        <w:t>Clupea harengus</w:t>
      </w:r>
      <w:r w:rsidRPr="00D403F5">
        <w:rPr>
          <w:rFonts w:ascii="Arial" w:eastAsia="Times New Roman" w:hAnsi="Arial" w:cs="Times New Roman"/>
          <w:bCs/>
          <w:sz w:val="18"/>
          <w:szCs w:val="18"/>
          <w:lang w:val="en-IE" w:bidi="en-US"/>
        </w:rPr>
        <w:t xml:space="preserve">) (Gadd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2011; Snow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2004) and lamprey (</w:t>
      </w:r>
      <w:r w:rsidRPr="00D403F5">
        <w:rPr>
          <w:rFonts w:ascii="Arial" w:eastAsia="Times New Roman" w:hAnsi="Arial" w:cs="Times New Roman"/>
          <w:bCs/>
          <w:i/>
          <w:sz w:val="18"/>
          <w:szCs w:val="18"/>
          <w:lang w:val="en-IE" w:bidi="en-US"/>
        </w:rPr>
        <w:t>Lampetra fluviatilis</w:t>
      </w:r>
      <w:r w:rsidRPr="00D403F5">
        <w:rPr>
          <w:rFonts w:ascii="Arial" w:eastAsia="Times New Roman" w:hAnsi="Arial" w:cs="Times New Roman"/>
          <w:bCs/>
          <w:sz w:val="18"/>
          <w:szCs w:val="18"/>
          <w:lang w:val="en-IE" w:bidi="en-US"/>
        </w:rPr>
        <w:t xml:space="preserve">) from the rivers Kalajoki and Lestijoki having an outlet into the Gulf of Bothnia (Gadd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2010).</w:t>
      </w:r>
    </w:p>
    <w:p w14:paraId="7A8FF11F"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Genotype III</w:t>
      </w:r>
    </w:p>
    <w:p w14:paraId="7F2230F6"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These isolates originate from wild and farmed fish in the North Atlantic Sea from the Flemish Cap (Lopez-Vazquez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2006b) to the Norwegian coast (Dale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2009), the North Sea, around the British Isles, Skagerrak and Kattegat. VHS outbreaks in farmed turbot in the United Kingdom and Ireland in the 1990s were due to genotype III isolates, and in 2007 an outbreak in sea-reared rainbow trout at the Norwegian west coast was due to VHSV genotype III. VHS outbreaks in five species of wrasse used as cleaner fish around the Shetland Islands were also due to this genotype (Munro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2015).</w:t>
      </w:r>
    </w:p>
    <w:p w14:paraId="5DBD5390"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Genotype IVa</w:t>
      </w:r>
    </w:p>
    <w:p w14:paraId="433BA171"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Isolates originate from both the east and west coasts of North America, as well as from the Asian countries of South Korea and Japan. Genotype IVa isolates in North America have caused severe epidemics in numerous wild marine species such as Pacific herring (</w:t>
      </w:r>
      <w:r w:rsidRPr="00D403F5">
        <w:rPr>
          <w:rFonts w:ascii="Arial" w:eastAsia="Times New Roman" w:hAnsi="Arial" w:cs="Times New Roman"/>
          <w:bCs/>
          <w:i/>
          <w:sz w:val="18"/>
          <w:szCs w:val="18"/>
          <w:lang w:val="en-IE" w:bidi="en-US"/>
        </w:rPr>
        <w:t>Clupea pallasii</w:t>
      </w:r>
      <w:r w:rsidRPr="00D403F5">
        <w:rPr>
          <w:rFonts w:ascii="Arial" w:eastAsia="Times New Roman" w:hAnsi="Arial" w:cs="Times New Roman"/>
          <w:bCs/>
          <w:sz w:val="18"/>
          <w:szCs w:val="18"/>
          <w:lang w:val="en-IE" w:bidi="en-US"/>
        </w:rPr>
        <w:t>) (Meyers &amp; Winton, 1995), which can serve as a reservoir of virus to sympatric net-pen farmed Atlantic salmon (</w:t>
      </w:r>
      <w:r w:rsidRPr="00D403F5">
        <w:rPr>
          <w:rFonts w:ascii="Arial" w:eastAsia="Times New Roman" w:hAnsi="Arial" w:cs="Times New Roman"/>
          <w:bCs/>
          <w:i/>
          <w:sz w:val="18"/>
          <w:szCs w:val="18"/>
          <w:lang w:val="en-IE" w:bidi="en-US"/>
        </w:rPr>
        <w:t>Salmo salar</w:t>
      </w:r>
      <w:r w:rsidRPr="00D403F5">
        <w:rPr>
          <w:rFonts w:ascii="Arial" w:eastAsia="Times New Roman" w:hAnsi="Arial" w:cs="Times New Roman"/>
          <w:bCs/>
          <w:sz w:val="18"/>
          <w:szCs w:val="18"/>
          <w:lang w:val="en-IE" w:bidi="en-US"/>
        </w:rPr>
        <w:t xml:space="preserve">) (Garver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2013). In Asia, genotype IVa isolates have caused disease outbreaks in olive flounder (</w:t>
      </w:r>
      <w:r w:rsidRPr="00D403F5">
        <w:rPr>
          <w:rFonts w:ascii="Arial" w:eastAsia="Times New Roman" w:hAnsi="Arial" w:cs="Times New Roman"/>
          <w:bCs/>
          <w:i/>
          <w:sz w:val="18"/>
          <w:szCs w:val="18"/>
          <w:lang w:val="en-IE" w:bidi="en-US"/>
        </w:rPr>
        <w:t>Paralichthys olivaceus</w:t>
      </w:r>
      <w:r w:rsidRPr="00D403F5">
        <w:rPr>
          <w:rFonts w:ascii="Arial" w:eastAsia="Times New Roman" w:hAnsi="Arial" w:cs="Times New Roman"/>
          <w:bCs/>
          <w:sz w:val="18"/>
          <w:szCs w:val="18"/>
          <w:lang w:val="en-IE" w:bidi="en-US"/>
        </w:rPr>
        <w:t xml:space="preserve">). </w:t>
      </w:r>
    </w:p>
    <w:p w14:paraId="61AD35A1"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Genotype IVb</w:t>
      </w:r>
    </w:p>
    <w:p w14:paraId="4CEF4990"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Isolates originate from the North America Laurentian Great Lakes region (Gagne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2007; Thompson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2011; Winton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2008) where they have caused die-off events in numerous fish species and have been detected in a micro-invertebrate (</w:t>
      </w:r>
      <w:r w:rsidRPr="00D403F5">
        <w:rPr>
          <w:rFonts w:ascii="Arial" w:eastAsia="Times New Roman" w:hAnsi="Arial" w:cs="Times New Roman"/>
          <w:bCs/>
          <w:i/>
          <w:iCs/>
          <w:color w:val="333333"/>
          <w:sz w:val="18"/>
          <w:szCs w:val="18"/>
          <w:lang w:val="en" w:bidi="en-US"/>
        </w:rPr>
        <w:t>Diporeia</w:t>
      </w:r>
      <w:r w:rsidRPr="00D403F5">
        <w:rPr>
          <w:rFonts w:ascii="Arial" w:eastAsia="Times New Roman" w:hAnsi="Arial" w:cs="Times New Roman"/>
          <w:bCs/>
          <w:color w:val="333333"/>
          <w:sz w:val="18"/>
          <w:szCs w:val="18"/>
          <w:lang w:val="en" w:bidi="en-US"/>
        </w:rPr>
        <w:t xml:space="preserve"> spp) (Faisal &amp; Winters, 2011)</w:t>
      </w:r>
      <w:r w:rsidRPr="00D403F5">
        <w:rPr>
          <w:rFonts w:ascii="Arial" w:eastAsia="Times New Roman" w:hAnsi="Arial" w:cs="Times New Roman"/>
          <w:bCs/>
          <w:sz w:val="18"/>
          <w:szCs w:val="18"/>
          <w:lang w:val="en-IE" w:bidi="en-US"/>
        </w:rPr>
        <w:t xml:space="preserve">. </w:t>
      </w:r>
    </w:p>
    <w:p w14:paraId="12E5FE9E"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Genotype IVc</w:t>
      </w:r>
    </w:p>
    <w:p w14:paraId="1C65BD0E"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 xml:space="preserve">Isolates originate from the estuarine waters of New Brunswick and Nova Scotia, Canada (Gagne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xml:space="preserve">., 2007; Pierce &amp; Stepien, 2012; </w:t>
      </w:r>
      <w:r w:rsidRPr="00D403F5">
        <w:rPr>
          <w:rFonts w:ascii="Arial" w:eastAsia="Times New Roman" w:hAnsi="Arial" w:cs="Times New Roman"/>
          <w:bCs/>
          <w:sz w:val="18"/>
          <w:szCs w:val="18"/>
          <w:lang w:val="en-IE" w:eastAsia="ko-KR" w:bidi="en-US"/>
        </w:rPr>
        <w:t xml:space="preserve">Stepien </w:t>
      </w:r>
      <w:r w:rsidRPr="00D403F5">
        <w:rPr>
          <w:rFonts w:ascii="Arial" w:eastAsia="Times New Roman" w:hAnsi="Arial" w:cs="Times New Roman"/>
          <w:bCs/>
          <w:i/>
          <w:sz w:val="18"/>
          <w:szCs w:val="18"/>
          <w:lang w:val="en-IE" w:eastAsia="ko-KR" w:bidi="en-US"/>
        </w:rPr>
        <w:t>et al</w:t>
      </w:r>
      <w:r w:rsidRPr="00D403F5">
        <w:rPr>
          <w:rFonts w:ascii="Arial" w:eastAsia="Times New Roman" w:hAnsi="Arial" w:cs="Times New Roman"/>
          <w:bCs/>
          <w:sz w:val="18"/>
          <w:szCs w:val="18"/>
          <w:lang w:val="en-IE" w:eastAsia="ko-KR" w:bidi="en-US"/>
        </w:rPr>
        <w:t>., 2015</w:t>
      </w:r>
      <w:r w:rsidRPr="00D403F5">
        <w:rPr>
          <w:rFonts w:ascii="Arial" w:eastAsia="Times New Roman" w:hAnsi="Arial" w:cs="Times New Roman"/>
          <w:bCs/>
          <w:sz w:val="18"/>
          <w:szCs w:val="18"/>
          <w:lang w:val="en-IE" w:bidi="en-US"/>
        </w:rPr>
        <w:t>).</w:t>
      </w:r>
    </w:p>
    <w:p w14:paraId="06128AC5"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w:t>
      </w:r>
      <w:r w:rsidRPr="00D403F5">
        <w:rPr>
          <w:rFonts w:ascii="Arial" w:eastAsia="MS Mincho" w:hAnsi="Arial" w:cs="Arial"/>
          <w:sz w:val="18"/>
          <w:szCs w:val="18"/>
          <w:lang w:val="en-IE"/>
        </w:rPr>
        <w:tab/>
        <w:t>Genotype IVd</w:t>
      </w:r>
    </w:p>
    <w:p w14:paraId="10626263" w14:textId="77777777" w:rsidR="00C7266C" w:rsidRPr="00D403F5" w:rsidRDefault="00C7266C" w:rsidP="00D403F5">
      <w:pPr>
        <w:spacing w:after="0" w:line="240" w:lineRule="auto"/>
        <w:ind w:left="1276"/>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Isolates originate from Iceland where they were identified in wild and farmed lumpfish (</w:t>
      </w:r>
      <w:r w:rsidRPr="00D403F5">
        <w:rPr>
          <w:rFonts w:ascii="Arial" w:eastAsia="Times New Roman" w:hAnsi="Arial" w:cs="Times New Roman"/>
          <w:bCs/>
          <w:i/>
          <w:sz w:val="18"/>
          <w:szCs w:val="18"/>
          <w:lang w:val="en-IE" w:bidi="en-US"/>
        </w:rPr>
        <w:t>Cyclopterus lumpus</w:t>
      </w:r>
      <w:r w:rsidRPr="00D403F5">
        <w:rPr>
          <w:rFonts w:ascii="Arial" w:eastAsia="Times New Roman" w:hAnsi="Arial" w:cs="Times New Roman"/>
          <w:bCs/>
          <w:sz w:val="18"/>
          <w:szCs w:val="18"/>
          <w:lang w:val="en-IE" w:bidi="en-US"/>
        </w:rPr>
        <w:t xml:space="preserve">) (Gudmundsdottir </w:t>
      </w:r>
      <w:r w:rsidRPr="00D403F5">
        <w:rPr>
          <w:rFonts w:ascii="Arial" w:eastAsia="Times New Roman" w:hAnsi="Arial" w:cs="Times New Roman"/>
          <w:bCs/>
          <w:i/>
          <w:sz w:val="18"/>
          <w:szCs w:val="18"/>
          <w:lang w:val="en-IE" w:bidi="en-US"/>
        </w:rPr>
        <w:t>et al</w:t>
      </w:r>
      <w:r w:rsidRPr="00D403F5">
        <w:rPr>
          <w:rFonts w:ascii="Arial" w:eastAsia="Times New Roman" w:hAnsi="Arial" w:cs="Times New Roman"/>
          <w:bCs/>
          <w:sz w:val="18"/>
          <w:szCs w:val="18"/>
          <w:lang w:val="en-IE" w:bidi="en-US"/>
        </w:rPr>
        <w:t>., 2019).</w:t>
      </w:r>
    </w:p>
    <w:p w14:paraId="296539FF" w14:textId="77777777" w:rsidR="00C7266C" w:rsidRPr="00D403F5" w:rsidRDefault="00C7266C" w:rsidP="00D403F5">
      <w:pPr>
        <w:spacing w:after="0"/>
        <w:rPr>
          <w:rFonts w:ascii="Ottawa" w:eastAsia="Times New Roman" w:hAnsi="Ottawa" w:cs="Times New Roman"/>
          <w:b/>
          <w:bCs/>
          <w:sz w:val="18"/>
          <w:szCs w:val="18"/>
          <w:lang w:val="en-IE" w:eastAsia="fr-FR"/>
        </w:rPr>
      </w:pPr>
      <w:r w:rsidRPr="00D403F5">
        <w:rPr>
          <w:rFonts w:ascii="Times New Roman" w:eastAsia="Times New Roman" w:hAnsi="Times New Roman" w:cs="Times New Roman"/>
          <w:sz w:val="18"/>
          <w:szCs w:val="18"/>
          <w:lang w:val="en-IE"/>
        </w:rPr>
        <w:br w:type="page"/>
      </w:r>
    </w:p>
    <w:p w14:paraId="2B6EB0CC" w14:textId="77777777" w:rsidR="00C7266C" w:rsidRPr="00D403F5" w:rsidRDefault="00C7266C"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50814EAF"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2.1.2.</w:t>
      </w:r>
      <w:r w:rsidRPr="00D403F5">
        <w:rPr>
          <w:rFonts w:ascii="Ottawa" w:eastAsia="Times New Roman" w:hAnsi="Ottawa" w:cs="Times New Roman"/>
          <w:b/>
          <w:bCs/>
          <w:sz w:val="18"/>
          <w:szCs w:val="18"/>
          <w:lang w:val="en-IE" w:eastAsia="fr-FR"/>
        </w:rPr>
        <w:tab/>
        <w:t>Survival and stability in processed or stored samples</w:t>
      </w:r>
    </w:p>
    <w:p w14:paraId="0BB481D8"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Times New Roman"/>
          <w:bCs/>
          <w:sz w:val="18"/>
          <w:szCs w:val="18"/>
          <w:lang w:val="en-IE"/>
        </w:rPr>
        <w:t xml:space="preserve">VHSV survival in host tissue is dependent on the conditions for storage. VHSV remains infectious for long time periods while stored frozen in fish tissue. However, VHSV-infected fish at commercial freezing temperatures had a 90% reduction in viral titre after the tissue was thawed (Arkush </w:t>
      </w:r>
      <w:r w:rsidRPr="00D403F5">
        <w:rPr>
          <w:rFonts w:ascii="Arial" w:eastAsia="Times New Roman" w:hAnsi="Arial" w:cs="Times New Roman"/>
          <w:bCs/>
          <w:i/>
          <w:sz w:val="18"/>
          <w:szCs w:val="18"/>
          <w:lang w:val="en-IE"/>
        </w:rPr>
        <w:t>et al</w:t>
      </w:r>
      <w:r w:rsidRPr="00D403F5">
        <w:rPr>
          <w:rFonts w:ascii="Arial" w:eastAsia="Times New Roman" w:hAnsi="Arial" w:cs="Times New Roman"/>
          <w:bCs/>
          <w:sz w:val="18"/>
          <w:szCs w:val="18"/>
          <w:lang w:val="en-IE"/>
        </w:rPr>
        <w:t xml:space="preserve">., 2006). VHSV is sensitive to enzymatic degradation, environments with high bacterial load and high temperatures (above 28°C). Fresh (unfrozen) muscle tissue from VHSV-infected rainbow trout could transmit VHS to naïve fish (Oidtmann </w:t>
      </w:r>
      <w:r w:rsidRPr="00D403F5">
        <w:rPr>
          <w:rFonts w:ascii="Arial" w:eastAsia="Times New Roman" w:hAnsi="Arial" w:cs="Times New Roman"/>
          <w:bCs/>
          <w:i/>
          <w:sz w:val="18"/>
          <w:szCs w:val="18"/>
          <w:lang w:val="en-IE"/>
        </w:rPr>
        <w:t>et al.,</w:t>
      </w:r>
      <w:r w:rsidRPr="00D403F5">
        <w:rPr>
          <w:rFonts w:ascii="Arial" w:eastAsia="Times New Roman" w:hAnsi="Arial" w:cs="Times New Roman"/>
          <w:bCs/>
          <w:sz w:val="18"/>
          <w:szCs w:val="18"/>
          <w:lang w:val="en-IE"/>
        </w:rPr>
        <w:t xml:space="preserve"> 2011). VHSV is also tolerant of high salt concentrations such as in brine-treated fish (Skall </w:t>
      </w:r>
      <w:r w:rsidRPr="00D403F5">
        <w:rPr>
          <w:rFonts w:ascii="Arial" w:eastAsia="Times New Roman" w:hAnsi="Arial" w:cs="Times New Roman"/>
          <w:bCs/>
          <w:i/>
          <w:sz w:val="18"/>
          <w:szCs w:val="18"/>
          <w:lang w:val="en-IE"/>
        </w:rPr>
        <w:t>et al.,</w:t>
      </w:r>
      <w:r w:rsidRPr="00D403F5">
        <w:rPr>
          <w:rFonts w:ascii="Arial" w:eastAsia="Times New Roman" w:hAnsi="Arial" w:cs="Times New Roman"/>
          <w:bCs/>
          <w:sz w:val="18"/>
          <w:szCs w:val="18"/>
          <w:lang w:val="en-IE"/>
        </w:rPr>
        <w:t xml:space="preserve"> 2015) or while stored in concentrated ammonium sulphate</w:t>
      </w:r>
      <w:r w:rsidRPr="00D403F5">
        <w:rPr>
          <w:rFonts w:ascii="Arial" w:eastAsia="Times New Roman" w:hAnsi="Arial" w:cs="Times New Roman"/>
          <w:bCs/>
          <w:sz w:val="18"/>
          <w:szCs w:val="18"/>
          <w:lang w:val="en-US"/>
        </w:rPr>
        <w:t xml:space="preserve"> solution</w:t>
      </w:r>
      <w:r w:rsidRPr="00D403F5">
        <w:rPr>
          <w:rFonts w:ascii="Arial" w:eastAsia="Times New Roman" w:hAnsi="Arial" w:cs="Times New Roman"/>
          <w:bCs/>
          <w:sz w:val="18"/>
          <w:szCs w:val="18"/>
          <w:lang w:val="en-IE"/>
        </w:rPr>
        <w:t xml:space="preserve"> (Pham </w:t>
      </w:r>
      <w:r w:rsidRPr="00D403F5">
        <w:rPr>
          <w:rFonts w:ascii="Arial" w:eastAsia="Times New Roman" w:hAnsi="Arial" w:cs="Times New Roman"/>
          <w:bCs/>
          <w:i/>
          <w:sz w:val="18"/>
          <w:szCs w:val="18"/>
          <w:lang w:val="en-IE"/>
        </w:rPr>
        <w:t>et al</w:t>
      </w:r>
      <w:r w:rsidRPr="00D403F5">
        <w:rPr>
          <w:rFonts w:ascii="Arial" w:eastAsia="Times New Roman" w:hAnsi="Arial" w:cs="Times New Roman"/>
          <w:bCs/>
          <w:sz w:val="18"/>
          <w:szCs w:val="18"/>
          <w:lang w:val="en-IE"/>
        </w:rPr>
        <w:t xml:space="preserve">., 2018). For optimal retention of VHSV in fish tissue, the sample should be placed in transport medium with antibiotics and kept on ice without freezing and processed within 24 hours after sampling. </w:t>
      </w:r>
    </w:p>
    <w:p w14:paraId="26E5EF05"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2.1.3.</w:t>
      </w:r>
      <w:r w:rsidRPr="00D403F5">
        <w:rPr>
          <w:rFonts w:ascii="Ottawa" w:eastAsia="Times New Roman" w:hAnsi="Ottawa" w:cs="Times New Roman"/>
          <w:b/>
          <w:bCs/>
          <w:sz w:val="18"/>
          <w:szCs w:val="18"/>
          <w:lang w:val="en-IE" w:eastAsia="fr-FR"/>
        </w:rPr>
        <w:tab/>
        <w:t xml:space="preserve">Survival and stability outside the host </w:t>
      </w:r>
    </w:p>
    <w:p w14:paraId="5E0F6B74"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VHSV survival outside the host is dependent on the physico-chemical conditions of the aqueous medium (Ahne, 1982) and on temperature: the virus survives for longer periods at 4°C compared with 20°C (Parry &amp; Dixon, 1997). </w:t>
      </w:r>
    </w:p>
    <w:p w14:paraId="109A3CC7"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VHSV is significantly more stable in freshwater than saltwater. The virus has been documented to persist in freshwater for 28–35 days at 4°C (Parry &amp; Dixon, 1997) and has been found to be infective for 1 year at 4°C in filtered freshwater (Hawley &amp; Garver, 2008). In raw freshwater at 15°C, the 99.9% inactivation time was 13 days, but in seawater the virus was inactivated within 4 days (Hawley &amp; Garver, 2008). In another study using seawater at 15°C, the infectivity of the virus was reduced by 50% after 10 hours, but could still be recovered after 40 hours (Kocan </w:t>
      </w:r>
      <w:r w:rsidRPr="00D403F5">
        <w:rPr>
          <w:rFonts w:ascii="Arial" w:eastAsia="Times New Roman" w:hAnsi="Arial" w:cs="Arial"/>
          <w:bCs/>
          <w:i/>
          <w:sz w:val="18"/>
          <w:szCs w:val="18"/>
          <w:lang w:val="en-IE"/>
        </w:rPr>
        <w:t>et al.,</w:t>
      </w:r>
      <w:r w:rsidRPr="00D403F5">
        <w:rPr>
          <w:rFonts w:ascii="Arial" w:eastAsia="Times New Roman" w:hAnsi="Arial" w:cs="Arial"/>
          <w:bCs/>
          <w:sz w:val="18"/>
          <w:szCs w:val="18"/>
          <w:lang w:val="en-IE"/>
        </w:rPr>
        <w:t xml:space="preserve"> 2001). </w:t>
      </w:r>
      <w:r w:rsidRPr="00D403F5">
        <w:rPr>
          <w:rFonts w:ascii="Arial" w:eastAsia="Times New Roman" w:hAnsi="Arial" w:cs="Times New Roman"/>
          <w:bCs/>
          <w:sz w:val="18"/>
          <w:szCs w:val="18"/>
          <w:lang w:val="en-IE"/>
        </w:rPr>
        <w:t>There appears to be no consistent correlation between the origin and stability of the virus isolates: freshwater isolates are not always the most stable in freshwater and seawater isolates are not consistently more stable in seawater (</w:t>
      </w:r>
      <w:r w:rsidRPr="00D403F5">
        <w:rPr>
          <w:rFonts w:ascii="Arial" w:eastAsia="Times New Roman" w:hAnsi="Arial" w:cs="Arial"/>
          <w:bCs/>
          <w:sz w:val="18"/>
          <w:szCs w:val="18"/>
          <w:lang w:val="en-IE"/>
        </w:rPr>
        <w:t>Hawley &amp; Garver, 2008)</w:t>
      </w:r>
      <w:r w:rsidRPr="00D403F5">
        <w:rPr>
          <w:rFonts w:ascii="Arial" w:eastAsia="Times New Roman" w:hAnsi="Arial" w:cs="Times New Roman"/>
          <w:bCs/>
          <w:sz w:val="18"/>
          <w:szCs w:val="18"/>
          <w:lang w:val="en-IE"/>
        </w:rPr>
        <w:t>.</w:t>
      </w:r>
    </w:p>
    <w:p w14:paraId="081A4689"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Arial"/>
          <w:bCs/>
          <w:sz w:val="18"/>
          <w:szCs w:val="18"/>
          <w:lang w:val="en-IE"/>
        </w:rPr>
        <w:t xml:space="preserve">The virus remains stable for a longer time if sterile organic materials are added to the water, such as ovarian fluids or blood products, such as bovine serum (Kocan </w:t>
      </w:r>
      <w:r w:rsidRPr="00D403F5">
        <w:rPr>
          <w:rFonts w:ascii="Arial" w:eastAsia="Times New Roman" w:hAnsi="Arial" w:cs="Arial"/>
          <w:bCs/>
          <w:i/>
          <w:sz w:val="18"/>
          <w:szCs w:val="18"/>
          <w:lang w:val="en-IE"/>
        </w:rPr>
        <w:t>et al.,</w:t>
      </w:r>
      <w:r w:rsidRPr="00D403F5">
        <w:rPr>
          <w:rFonts w:ascii="Arial" w:eastAsia="Times New Roman" w:hAnsi="Arial" w:cs="Arial"/>
          <w:bCs/>
          <w:sz w:val="18"/>
          <w:szCs w:val="18"/>
          <w:lang w:val="en-IE"/>
        </w:rPr>
        <w:t xml:space="preserve"> 2001). When the sea water was sterilised by autoclaving, or when passed through a 0.22 μm membrane, virus survival was prolonged significantly (60 days at 15°C and 32 days at 20°C), suggesting the bacterial load in the water is an important factor of viral decay.</w:t>
      </w:r>
    </w:p>
    <w:p w14:paraId="731097A2" w14:textId="77777777" w:rsidR="00C7266C" w:rsidRPr="00D403F5" w:rsidRDefault="00C7266C" w:rsidP="00A63C15">
      <w:pPr>
        <w:spacing w:after="0" w:line="240" w:lineRule="auto"/>
        <w:ind w:left="426" w:hanging="426"/>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2.2.</w:t>
      </w:r>
      <w:r w:rsidRPr="00D403F5">
        <w:rPr>
          <w:rFonts w:ascii="Ottawa" w:eastAsia="MS Mincho" w:hAnsi="Ottawa" w:cs="Times New Roman"/>
          <w:b/>
          <w:sz w:val="18"/>
          <w:szCs w:val="18"/>
          <w:lang w:val="da-DK" w:eastAsia="da-DK"/>
        </w:rPr>
        <w:tab/>
        <w:t>Host factors</w:t>
      </w:r>
    </w:p>
    <w:p w14:paraId="5E9625F3"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2.2.1.</w:t>
      </w:r>
      <w:r w:rsidRPr="00D403F5">
        <w:rPr>
          <w:rFonts w:ascii="Ottawa" w:eastAsia="Times New Roman" w:hAnsi="Ottawa" w:cs="Times New Roman"/>
          <w:b/>
          <w:bCs/>
          <w:sz w:val="18"/>
          <w:szCs w:val="18"/>
          <w:lang w:val="en-IE" w:eastAsia="fr-FR"/>
        </w:rPr>
        <w:tab/>
        <w:t xml:space="preserve">Susceptible host species </w:t>
      </w:r>
    </w:p>
    <w:p w14:paraId="413ABE1C"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Species that fulfil the criteria for listing as susceptible to infection with VHSV according to Chapter 1.5. of the </w:t>
      </w:r>
      <w:r w:rsidRPr="00D403F5">
        <w:rPr>
          <w:rFonts w:ascii="Arial" w:eastAsia="Times New Roman" w:hAnsi="Arial" w:cs="Arial"/>
          <w:bCs/>
          <w:i/>
          <w:iCs/>
          <w:sz w:val="18"/>
          <w:szCs w:val="18"/>
          <w:lang w:val="en-IE"/>
        </w:rPr>
        <w:t>Aquatic Animal Health Code</w:t>
      </w:r>
      <w:r w:rsidRPr="00D403F5">
        <w:rPr>
          <w:rFonts w:ascii="Arial" w:eastAsia="Times New Roman" w:hAnsi="Arial" w:cs="Arial"/>
          <w:bCs/>
          <w:sz w:val="18"/>
          <w:szCs w:val="18"/>
          <w:lang w:val="en-IE"/>
        </w:rPr>
        <w:t xml:space="preserve"> (</w:t>
      </w:r>
      <w:r w:rsidRPr="00D403F5">
        <w:rPr>
          <w:rFonts w:ascii="Arial" w:eastAsia="Times New Roman" w:hAnsi="Arial" w:cs="Arial"/>
          <w:bCs/>
          <w:i/>
          <w:iCs/>
          <w:sz w:val="18"/>
          <w:szCs w:val="18"/>
          <w:lang w:val="en-IE"/>
        </w:rPr>
        <w:t>Aquatic Code</w:t>
      </w:r>
      <w:r w:rsidRPr="00D403F5">
        <w:rPr>
          <w:rFonts w:ascii="Arial" w:eastAsia="Times New Roman" w:hAnsi="Arial" w:cs="Arial"/>
          <w:bCs/>
          <w:sz w:val="18"/>
          <w:szCs w:val="18"/>
          <w:lang w:val="en-IE"/>
        </w:rPr>
        <w:t>) include:</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552"/>
        <w:gridCol w:w="1134"/>
      </w:tblGrid>
      <w:tr w:rsidR="00C7266C" w:rsidRPr="00D403F5" w14:paraId="060B068E" w14:textId="77777777" w:rsidTr="00C7266C">
        <w:trPr>
          <w:tblHeader/>
          <w:jc w:val="center"/>
        </w:trPr>
        <w:tc>
          <w:tcPr>
            <w:tcW w:w="1700" w:type="dxa"/>
            <w:tcBorders>
              <w:top w:val="single" w:sz="4" w:space="0" w:color="auto"/>
              <w:bottom w:val="single" w:sz="4" w:space="0" w:color="auto"/>
            </w:tcBorders>
            <w:vAlign w:val="center"/>
          </w:tcPr>
          <w:p w14:paraId="059C020E"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Family</w:t>
            </w:r>
          </w:p>
        </w:tc>
        <w:tc>
          <w:tcPr>
            <w:tcW w:w="2552" w:type="dxa"/>
            <w:tcBorders>
              <w:top w:val="single" w:sz="4" w:space="0" w:color="auto"/>
              <w:bottom w:val="single" w:sz="4" w:space="0" w:color="auto"/>
            </w:tcBorders>
            <w:shd w:val="clear" w:color="auto" w:fill="auto"/>
            <w:vAlign w:val="center"/>
          </w:tcPr>
          <w:p w14:paraId="4D078A4F"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Scientific name</w:t>
            </w:r>
          </w:p>
        </w:tc>
        <w:tc>
          <w:tcPr>
            <w:tcW w:w="2552" w:type="dxa"/>
            <w:tcBorders>
              <w:top w:val="single" w:sz="4" w:space="0" w:color="auto"/>
              <w:bottom w:val="single" w:sz="4" w:space="0" w:color="auto"/>
            </w:tcBorders>
            <w:vAlign w:val="center"/>
          </w:tcPr>
          <w:p w14:paraId="3551CD85"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Common name</w:t>
            </w:r>
          </w:p>
        </w:tc>
        <w:tc>
          <w:tcPr>
            <w:tcW w:w="1134" w:type="dxa"/>
            <w:tcBorders>
              <w:top w:val="single" w:sz="4" w:space="0" w:color="auto"/>
              <w:bottom w:val="single" w:sz="4" w:space="0" w:color="auto"/>
            </w:tcBorders>
          </w:tcPr>
          <w:p w14:paraId="1E463279"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Genotype</w:t>
            </w:r>
          </w:p>
        </w:tc>
      </w:tr>
      <w:tr w:rsidR="00C7266C" w:rsidRPr="00D403F5" w14:paraId="3384C6E2" w14:textId="77777777" w:rsidTr="00C7266C">
        <w:trPr>
          <w:jc w:val="center"/>
        </w:trPr>
        <w:tc>
          <w:tcPr>
            <w:tcW w:w="1700" w:type="dxa"/>
            <w:tcBorders>
              <w:top w:val="single" w:sz="4" w:space="0" w:color="auto"/>
            </w:tcBorders>
            <w:vAlign w:val="center"/>
          </w:tcPr>
          <w:p w14:paraId="70072AB5"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Ammodytidae</w:t>
            </w:r>
          </w:p>
        </w:tc>
        <w:tc>
          <w:tcPr>
            <w:tcW w:w="2552" w:type="dxa"/>
            <w:tcBorders>
              <w:top w:val="single" w:sz="4" w:space="0" w:color="auto"/>
            </w:tcBorders>
            <w:shd w:val="clear" w:color="auto" w:fill="auto"/>
            <w:vAlign w:val="center"/>
          </w:tcPr>
          <w:p w14:paraId="5DFE59A3"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Ammodytes hexapterus</w:t>
            </w:r>
          </w:p>
        </w:tc>
        <w:tc>
          <w:tcPr>
            <w:tcW w:w="2552" w:type="dxa"/>
            <w:tcBorders>
              <w:top w:val="single" w:sz="4" w:space="0" w:color="auto"/>
            </w:tcBorders>
            <w:vAlign w:val="center"/>
          </w:tcPr>
          <w:p w14:paraId="01C1B40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Pacific sand lance</w:t>
            </w:r>
          </w:p>
        </w:tc>
        <w:tc>
          <w:tcPr>
            <w:tcW w:w="1134" w:type="dxa"/>
            <w:tcBorders>
              <w:top w:val="single" w:sz="4" w:space="0" w:color="auto"/>
            </w:tcBorders>
            <w:vAlign w:val="center"/>
          </w:tcPr>
          <w:p w14:paraId="7F246D5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4974BA3B" w14:textId="77777777" w:rsidTr="00C7266C">
        <w:trPr>
          <w:jc w:val="center"/>
        </w:trPr>
        <w:tc>
          <w:tcPr>
            <w:tcW w:w="1700" w:type="dxa"/>
            <w:tcBorders>
              <w:top w:val="single" w:sz="4" w:space="0" w:color="auto"/>
            </w:tcBorders>
            <w:vAlign w:val="center"/>
          </w:tcPr>
          <w:p w14:paraId="07CE8FC4"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Aralichthyidae</w:t>
            </w:r>
          </w:p>
        </w:tc>
        <w:tc>
          <w:tcPr>
            <w:tcW w:w="2552" w:type="dxa"/>
            <w:tcBorders>
              <w:top w:val="single" w:sz="4" w:space="0" w:color="auto"/>
            </w:tcBorders>
            <w:shd w:val="clear" w:color="auto" w:fill="auto"/>
            <w:vAlign w:val="center"/>
          </w:tcPr>
          <w:p w14:paraId="1A6E0681"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Paralichthys olivaceus</w:t>
            </w:r>
          </w:p>
        </w:tc>
        <w:tc>
          <w:tcPr>
            <w:tcW w:w="2552" w:type="dxa"/>
            <w:tcBorders>
              <w:top w:val="single" w:sz="4" w:space="0" w:color="auto"/>
            </w:tcBorders>
            <w:vAlign w:val="center"/>
          </w:tcPr>
          <w:p w14:paraId="09FC547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Bastard halibut</w:t>
            </w:r>
          </w:p>
        </w:tc>
        <w:tc>
          <w:tcPr>
            <w:tcW w:w="1134" w:type="dxa"/>
            <w:tcBorders>
              <w:top w:val="single" w:sz="4" w:space="0" w:color="auto"/>
            </w:tcBorders>
            <w:vAlign w:val="center"/>
          </w:tcPr>
          <w:p w14:paraId="3041054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798306A0" w14:textId="77777777" w:rsidTr="00C7266C">
        <w:trPr>
          <w:jc w:val="center"/>
        </w:trPr>
        <w:tc>
          <w:tcPr>
            <w:tcW w:w="1700" w:type="dxa"/>
            <w:tcBorders>
              <w:top w:val="single" w:sz="4" w:space="0" w:color="auto"/>
            </w:tcBorders>
            <w:vAlign w:val="center"/>
          </w:tcPr>
          <w:p w14:paraId="1E1934D0"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Carangidae</w:t>
            </w:r>
          </w:p>
        </w:tc>
        <w:tc>
          <w:tcPr>
            <w:tcW w:w="2552" w:type="dxa"/>
            <w:tcBorders>
              <w:top w:val="single" w:sz="4" w:space="0" w:color="auto"/>
            </w:tcBorders>
            <w:shd w:val="clear" w:color="auto" w:fill="auto"/>
            <w:vAlign w:val="center"/>
          </w:tcPr>
          <w:p w14:paraId="480BDF10"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Trachurus mediterraneus</w:t>
            </w:r>
          </w:p>
        </w:tc>
        <w:tc>
          <w:tcPr>
            <w:tcW w:w="2552" w:type="dxa"/>
            <w:tcBorders>
              <w:top w:val="single" w:sz="4" w:space="0" w:color="auto"/>
            </w:tcBorders>
            <w:vAlign w:val="center"/>
          </w:tcPr>
          <w:p w14:paraId="0A7937F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Mediterranean horse mackerel </w:t>
            </w:r>
          </w:p>
        </w:tc>
        <w:tc>
          <w:tcPr>
            <w:tcW w:w="1134" w:type="dxa"/>
            <w:tcBorders>
              <w:top w:val="single" w:sz="4" w:space="0" w:color="auto"/>
            </w:tcBorders>
            <w:vAlign w:val="center"/>
          </w:tcPr>
          <w:p w14:paraId="6763C4D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497EE64E" w14:textId="77777777" w:rsidTr="00C7266C">
        <w:trPr>
          <w:jc w:val="center"/>
        </w:trPr>
        <w:tc>
          <w:tcPr>
            <w:tcW w:w="1700" w:type="dxa"/>
            <w:vMerge w:val="restart"/>
            <w:tcBorders>
              <w:top w:val="single" w:sz="4" w:space="0" w:color="auto"/>
            </w:tcBorders>
            <w:vAlign w:val="center"/>
          </w:tcPr>
          <w:p w14:paraId="32A233DE"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Centrarchidae</w:t>
            </w:r>
          </w:p>
        </w:tc>
        <w:tc>
          <w:tcPr>
            <w:tcW w:w="2552" w:type="dxa"/>
            <w:tcBorders>
              <w:top w:val="single" w:sz="4" w:space="0" w:color="auto"/>
            </w:tcBorders>
            <w:shd w:val="clear" w:color="auto" w:fill="auto"/>
            <w:vAlign w:val="center"/>
          </w:tcPr>
          <w:p w14:paraId="13AC9C59"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Ambloplites rupestris</w:t>
            </w:r>
          </w:p>
        </w:tc>
        <w:tc>
          <w:tcPr>
            <w:tcW w:w="2552" w:type="dxa"/>
            <w:tcBorders>
              <w:top w:val="single" w:sz="4" w:space="0" w:color="auto"/>
            </w:tcBorders>
            <w:vAlign w:val="center"/>
          </w:tcPr>
          <w:p w14:paraId="5FF6CDDC"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Rock bass</w:t>
            </w:r>
          </w:p>
        </w:tc>
        <w:tc>
          <w:tcPr>
            <w:tcW w:w="1134" w:type="dxa"/>
            <w:tcBorders>
              <w:top w:val="single" w:sz="4" w:space="0" w:color="auto"/>
            </w:tcBorders>
            <w:vAlign w:val="center"/>
          </w:tcPr>
          <w:p w14:paraId="1A444E5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086FCCB5" w14:textId="77777777" w:rsidTr="00C7266C">
        <w:trPr>
          <w:jc w:val="center"/>
        </w:trPr>
        <w:tc>
          <w:tcPr>
            <w:tcW w:w="1700" w:type="dxa"/>
            <w:vMerge/>
            <w:vAlign w:val="center"/>
          </w:tcPr>
          <w:p w14:paraId="245611BC" w14:textId="77777777" w:rsidR="00C7266C" w:rsidRPr="00D403F5" w:rsidRDefault="00C7266C" w:rsidP="00D403F5">
            <w:pPr>
              <w:spacing w:after="0" w:line="240" w:lineRule="auto"/>
              <w:jc w:val="center"/>
              <w:rPr>
                <w:rFonts w:ascii="Arial" w:eastAsia="Times New Roman" w:hAnsi="Arial" w:cs="Arial"/>
                <w:color w:val="000000"/>
                <w:sz w:val="18"/>
                <w:szCs w:val="18"/>
              </w:rPr>
            </w:pPr>
          </w:p>
        </w:tc>
        <w:tc>
          <w:tcPr>
            <w:tcW w:w="2552" w:type="dxa"/>
            <w:tcBorders>
              <w:top w:val="single" w:sz="4" w:space="0" w:color="auto"/>
            </w:tcBorders>
            <w:shd w:val="clear" w:color="auto" w:fill="auto"/>
            <w:vAlign w:val="center"/>
          </w:tcPr>
          <w:p w14:paraId="14F31325"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Lepomis gibbosus</w:t>
            </w:r>
          </w:p>
        </w:tc>
        <w:tc>
          <w:tcPr>
            <w:tcW w:w="2552" w:type="dxa"/>
            <w:tcBorders>
              <w:top w:val="single" w:sz="4" w:space="0" w:color="auto"/>
            </w:tcBorders>
            <w:vAlign w:val="center"/>
          </w:tcPr>
          <w:p w14:paraId="4C322E9C"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Pumpkinseed</w:t>
            </w:r>
          </w:p>
        </w:tc>
        <w:tc>
          <w:tcPr>
            <w:tcW w:w="1134" w:type="dxa"/>
            <w:tcBorders>
              <w:top w:val="single" w:sz="4" w:space="0" w:color="auto"/>
            </w:tcBorders>
            <w:vAlign w:val="center"/>
          </w:tcPr>
          <w:p w14:paraId="3C32EB0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2F5B29D7" w14:textId="77777777" w:rsidTr="00C7266C">
        <w:trPr>
          <w:jc w:val="center"/>
        </w:trPr>
        <w:tc>
          <w:tcPr>
            <w:tcW w:w="1700" w:type="dxa"/>
            <w:vMerge/>
            <w:vAlign w:val="center"/>
          </w:tcPr>
          <w:p w14:paraId="440CE8B6" w14:textId="77777777" w:rsidR="00C7266C" w:rsidRPr="00D403F5" w:rsidRDefault="00C7266C" w:rsidP="00D403F5">
            <w:pPr>
              <w:spacing w:after="0" w:line="240" w:lineRule="auto"/>
              <w:jc w:val="center"/>
              <w:rPr>
                <w:rFonts w:ascii="Arial" w:eastAsia="Times New Roman" w:hAnsi="Arial" w:cs="Arial"/>
                <w:color w:val="000000"/>
                <w:sz w:val="18"/>
                <w:szCs w:val="18"/>
              </w:rPr>
            </w:pPr>
          </w:p>
        </w:tc>
        <w:tc>
          <w:tcPr>
            <w:tcW w:w="2552" w:type="dxa"/>
            <w:tcBorders>
              <w:top w:val="single" w:sz="4" w:space="0" w:color="auto"/>
            </w:tcBorders>
            <w:shd w:val="clear" w:color="auto" w:fill="auto"/>
            <w:vAlign w:val="center"/>
          </w:tcPr>
          <w:p w14:paraId="3E48675B"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Lepomis macrochirus</w:t>
            </w:r>
          </w:p>
        </w:tc>
        <w:tc>
          <w:tcPr>
            <w:tcW w:w="2552" w:type="dxa"/>
            <w:tcBorders>
              <w:top w:val="single" w:sz="4" w:space="0" w:color="auto"/>
            </w:tcBorders>
            <w:vAlign w:val="center"/>
          </w:tcPr>
          <w:p w14:paraId="7AB1F4B5"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Bluegill</w:t>
            </w:r>
          </w:p>
        </w:tc>
        <w:tc>
          <w:tcPr>
            <w:tcW w:w="1134" w:type="dxa"/>
            <w:tcBorders>
              <w:top w:val="single" w:sz="4" w:space="0" w:color="auto"/>
            </w:tcBorders>
            <w:vAlign w:val="center"/>
          </w:tcPr>
          <w:p w14:paraId="1805BE1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 IVb</w:t>
            </w:r>
          </w:p>
        </w:tc>
      </w:tr>
      <w:tr w:rsidR="00C7266C" w:rsidRPr="00D403F5" w14:paraId="05F6F21C" w14:textId="77777777" w:rsidTr="00C7266C">
        <w:trPr>
          <w:jc w:val="center"/>
        </w:trPr>
        <w:tc>
          <w:tcPr>
            <w:tcW w:w="1700" w:type="dxa"/>
            <w:vMerge/>
            <w:vAlign w:val="center"/>
          </w:tcPr>
          <w:p w14:paraId="5760E5A3" w14:textId="77777777" w:rsidR="00C7266C" w:rsidRPr="00D403F5" w:rsidRDefault="00C7266C" w:rsidP="00D403F5">
            <w:pPr>
              <w:spacing w:after="0" w:line="240" w:lineRule="auto"/>
              <w:jc w:val="center"/>
              <w:rPr>
                <w:rFonts w:ascii="Arial" w:eastAsia="Times New Roman" w:hAnsi="Arial" w:cs="Arial"/>
                <w:color w:val="000000"/>
                <w:sz w:val="18"/>
                <w:szCs w:val="18"/>
              </w:rPr>
            </w:pPr>
          </w:p>
        </w:tc>
        <w:tc>
          <w:tcPr>
            <w:tcW w:w="2552" w:type="dxa"/>
            <w:tcBorders>
              <w:top w:val="single" w:sz="4" w:space="0" w:color="auto"/>
            </w:tcBorders>
            <w:shd w:val="clear" w:color="auto" w:fill="auto"/>
            <w:vAlign w:val="center"/>
          </w:tcPr>
          <w:p w14:paraId="3B567176"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Micropterus dolomieu</w:t>
            </w:r>
          </w:p>
        </w:tc>
        <w:tc>
          <w:tcPr>
            <w:tcW w:w="2552" w:type="dxa"/>
            <w:tcBorders>
              <w:top w:val="single" w:sz="4" w:space="0" w:color="auto"/>
            </w:tcBorders>
            <w:vAlign w:val="center"/>
          </w:tcPr>
          <w:p w14:paraId="7E4B8E23"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Smallmouth bass</w:t>
            </w:r>
          </w:p>
        </w:tc>
        <w:tc>
          <w:tcPr>
            <w:tcW w:w="1134" w:type="dxa"/>
            <w:tcBorders>
              <w:top w:val="single" w:sz="4" w:space="0" w:color="auto"/>
            </w:tcBorders>
            <w:vAlign w:val="center"/>
          </w:tcPr>
          <w:p w14:paraId="3398BF7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7A56A3C2" w14:textId="77777777" w:rsidTr="00C7266C">
        <w:trPr>
          <w:jc w:val="center"/>
        </w:trPr>
        <w:tc>
          <w:tcPr>
            <w:tcW w:w="1700" w:type="dxa"/>
            <w:vMerge/>
            <w:vAlign w:val="center"/>
          </w:tcPr>
          <w:p w14:paraId="6DB2CB86" w14:textId="77777777" w:rsidR="00C7266C" w:rsidRPr="00D403F5" w:rsidRDefault="00C7266C" w:rsidP="00D403F5">
            <w:pPr>
              <w:spacing w:after="0" w:line="240" w:lineRule="auto"/>
              <w:jc w:val="center"/>
              <w:rPr>
                <w:rFonts w:ascii="Arial" w:eastAsia="Times New Roman" w:hAnsi="Arial" w:cs="Arial"/>
                <w:sz w:val="18"/>
                <w:szCs w:val="18"/>
              </w:rPr>
            </w:pPr>
          </w:p>
        </w:tc>
        <w:tc>
          <w:tcPr>
            <w:tcW w:w="2552" w:type="dxa"/>
            <w:tcBorders>
              <w:top w:val="single" w:sz="4" w:space="0" w:color="auto"/>
            </w:tcBorders>
            <w:shd w:val="clear" w:color="auto" w:fill="auto"/>
            <w:vAlign w:val="center"/>
          </w:tcPr>
          <w:p w14:paraId="7F36CC16"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Micropterus salmoides</w:t>
            </w:r>
          </w:p>
        </w:tc>
        <w:tc>
          <w:tcPr>
            <w:tcW w:w="2552" w:type="dxa"/>
            <w:tcBorders>
              <w:top w:val="single" w:sz="4" w:space="0" w:color="auto"/>
            </w:tcBorders>
            <w:vAlign w:val="center"/>
          </w:tcPr>
          <w:p w14:paraId="7440644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Largemouth bass</w:t>
            </w:r>
          </w:p>
        </w:tc>
        <w:tc>
          <w:tcPr>
            <w:tcW w:w="1134" w:type="dxa"/>
            <w:tcBorders>
              <w:top w:val="single" w:sz="4" w:space="0" w:color="auto"/>
            </w:tcBorders>
            <w:vAlign w:val="center"/>
          </w:tcPr>
          <w:p w14:paraId="65549EA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62AC0A91" w14:textId="77777777" w:rsidTr="00C7266C">
        <w:trPr>
          <w:jc w:val="center"/>
        </w:trPr>
        <w:tc>
          <w:tcPr>
            <w:tcW w:w="1700" w:type="dxa"/>
            <w:vMerge/>
            <w:vAlign w:val="center"/>
          </w:tcPr>
          <w:p w14:paraId="68D553CB"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tcBorders>
            <w:shd w:val="clear" w:color="auto" w:fill="auto"/>
            <w:vAlign w:val="center"/>
          </w:tcPr>
          <w:p w14:paraId="5AFC786C"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Pomoxis nigromaculatus</w:t>
            </w:r>
          </w:p>
        </w:tc>
        <w:tc>
          <w:tcPr>
            <w:tcW w:w="2552" w:type="dxa"/>
            <w:tcBorders>
              <w:top w:val="single" w:sz="4" w:space="0" w:color="auto"/>
            </w:tcBorders>
            <w:vAlign w:val="center"/>
          </w:tcPr>
          <w:p w14:paraId="22A4B3B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Black crappie</w:t>
            </w:r>
          </w:p>
        </w:tc>
        <w:tc>
          <w:tcPr>
            <w:tcW w:w="1134" w:type="dxa"/>
            <w:tcBorders>
              <w:top w:val="single" w:sz="4" w:space="0" w:color="auto"/>
            </w:tcBorders>
            <w:vAlign w:val="center"/>
          </w:tcPr>
          <w:p w14:paraId="238FE76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bl>
    <w:p w14:paraId="7C7042AF" w14:textId="77777777" w:rsidR="000B38E2" w:rsidRPr="00D403F5" w:rsidRDefault="000B38E2" w:rsidP="00A63C15">
      <w:pPr>
        <w:spacing w:after="480" w:line="240" w:lineRule="auto"/>
        <w:rPr>
          <w:rFonts w:ascii="Times New Roman" w:eastAsia="Times New Roman" w:hAnsi="Times New Roman" w:cs="Times New Roman"/>
          <w:sz w:val="18"/>
          <w:szCs w:val="18"/>
        </w:rPr>
      </w:pPr>
      <w:r w:rsidRPr="00D403F5">
        <w:rPr>
          <w:sz w:val="18"/>
          <w:szCs w:val="18"/>
        </w:rPr>
        <w:br w:type="page"/>
      </w: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552"/>
        <w:gridCol w:w="1134"/>
      </w:tblGrid>
      <w:tr w:rsidR="000B38E2" w:rsidRPr="00D403F5" w14:paraId="03540CD1" w14:textId="77777777" w:rsidTr="00D403F5">
        <w:trPr>
          <w:jc w:val="center"/>
        </w:trPr>
        <w:tc>
          <w:tcPr>
            <w:tcW w:w="1700" w:type="dxa"/>
            <w:vAlign w:val="center"/>
          </w:tcPr>
          <w:p w14:paraId="429424F4" w14:textId="4753AB68" w:rsidR="000B38E2" w:rsidRPr="00D403F5" w:rsidRDefault="000B38E2" w:rsidP="00D403F5">
            <w:pPr>
              <w:spacing w:after="0" w:line="240" w:lineRule="auto"/>
              <w:jc w:val="center"/>
              <w:rPr>
                <w:rFonts w:ascii="Arial" w:eastAsia="Times New Roman" w:hAnsi="Arial" w:cs="Arial"/>
                <w:color w:val="000000"/>
                <w:sz w:val="18"/>
                <w:szCs w:val="18"/>
              </w:rPr>
            </w:pPr>
            <w:r w:rsidRPr="00D403F5">
              <w:rPr>
                <w:rFonts w:ascii="Ottawa" w:eastAsia="Times New Roman" w:hAnsi="Ottawa" w:cs="Arial"/>
                <w:b/>
                <w:bCs/>
                <w:sz w:val="18"/>
                <w:szCs w:val="18"/>
                <w:lang w:bidi="en-US"/>
              </w:rPr>
              <w:t>Family</w:t>
            </w:r>
          </w:p>
        </w:tc>
        <w:tc>
          <w:tcPr>
            <w:tcW w:w="2552" w:type="dxa"/>
            <w:shd w:val="clear" w:color="auto" w:fill="auto"/>
            <w:vAlign w:val="center"/>
          </w:tcPr>
          <w:p w14:paraId="485A7EC7" w14:textId="6FE37EE2"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Ottawa" w:eastAsia="Times New Roman" w:hAnsi="Ottawa" w:cs="Arial"/>
                <w:b/>
                <w:bCs/>
                <w:sz w:val="18"/>
                <w:szCs w:val="18"/>
                <w:lang w:bidi="en-US"/>
              </w:rPr>
              <w:t>Scientific name</w:t>
            </w:r>
          </w:p>
        </w:tc>
        <w:tc>
          <w:tcPr>
            <w:tcW w:w="2552" w:type="dxa"/>
            <w:vAlign w:val="center"/>
          </w:tcPr>
          <w:p w14:paraId="52BE85D6" w14:textId="05879699"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Ottawa" w:eastAsia="Times New Roman" w:hAnsi="Ottawa" w:cs="Arial"/>
                <w:b/>
                <w:bCs/>
                <w:sz w:val="18"/>
                <w:szCs w:val="18"/>
                <w:lang w:bidi="en-US"/>
              </w:rPr>
              <w:t>Common name</w:t>
            </w:r>
          </w:p>
        </w:tc>
        <w:tc>
          <w:tcPr>
            <w:tcW w:w="1134" w:type="dxa"/>
          </w:tcPr>
          <w:p w14:paraId="72215202" w14:textId="3DA90DAD" w:rsidR="000B38E2" w:rsidRPr="00D403F5" w:rsidRDefault="000B38E2" w:rsidP="00D403F5">
            <w:pPr>
              <w:spacing w:after="0" w:line="240" w:lineRule="auto"/>
              <w:jc w:val="center"/>
              <w:rPr>
                <w:rFonts w:ascii="Arial" w:eastAsia="Times New Roman" w:hAnsi="Arial" w:cs="Arial"/>
                <w:bCs/>
                <w:iCs/>
                <w:sz w:val="18"/>
                <w:szCs w:val="18"/>
                <w:lang w:bidi="en-US"/>
              </w:rPr>
            </w:pPr>
            <w:r w:rsidRPr="00D403F5">
              <w:rPr>
                <w:rFonts w:ascii="Ottawa" w:eastAsia="Times New Roman" w:hAnsi="Ottawa" w:cs="Arial"/>
                <w:b/>
                <w:bCs/>
                <w:sz w:val="18"/>
                <w:szCs w:val="18"/>
                <w:lang w:bidi="en-US"/>
              </w:rPr>
              <w:t>Genotype</w:t>
            </w:r>
          </w:p>
        </w:tc>
      </w:tr>
      <w:tr w:rsidR="000B38E2" w:rsidRPr="00D403F5" w14:paraId="2B8674BE" w14:textId="77777777" w:rsidTr="00C7266C">
        <w:trPr>
          <w:jc w:val="center"/>
        </w:trPr>
        <w:tc>
          <w:tcPr>
            <w:tcW w:w="1700" w:type="dxa"/>
            <w:vMerge w:val="restart"/>
            <w:vAlign w:val="center"/>
          </w:tcPr>
          <w:p w14:paraId="76E9C126" w14:textId="4048AC98" w:rsidR="000B38E2" w:rsidRPr="00D403F5" w:rsidRDefault="000B38E2"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Clupeidae</w:t>
            </w:r>
          </w:p>
        </w:tc>
        <w:tc>
          <w:tcPr>
            <w:tcW w:w="2552" w:type="dxa"/>
            <w:shd w:val="clear" w:color="auto" w:fill="auto"/>
            <w:vAlign w:val="center"/>
          </w:tcPr>
          <w:p w14:paraId="00A3C426" w14:textId="6AF57511"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Alosa immaculata</w:t>
            </w:r>
          </w:p>
        </w:tc>
        <w:tc>
          <w:tcPr>
            <w:tcW w:w="2552" w:type="dxa"/>
            <w:vAlign w:val="center"/>
          </w:tcPr>
          <w:p w14:paraId="25A88427" w14:textId="6598FA7F"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Pontic shad </w:t>
            </w:r>
          </w:p>
        </w:tc>
        <w:tc>
          <w:tcPr>
            <w:tcW w:w="1134" w:type="dxa"/>
            <w:vAlign w:val="center"/>
          </w:tcPr>
          <w:p w14:paraId="4CE2954C" w14:textId="38CEB493" w:rsidR="000B38E2" w:rsidRPr="00D403F5" w:rsidRDefault="000B38E2"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0B38E2" w:rsidRPr="00D403F5" w14:paraId="3377F013" w14:textId="77777777" w:rsidTr="00C7266C">
        <w:trPr>
          <w:jc w:val="center"/>
        </w:trPr>
        <w:tc>
          <w:tcPr>
            <w:tcW w:w="1700" w:type="dxa"/>
            <w:vMerge/>
            <w:vAlign w:val="center"/>
          </w:tcPr>
          <w:p w14:paraId="744217AB" w14:textId="77777777" w:rsidR="000B38E2" w:rsidRPr="00D403F5" w:rsidRDefault="000B38E2" w:rsidP="00D403F5">
            <w:pPr>
              <w:spacing w:after="0" w:line="240" w:lineRule="auto"/>
              <w:jc w:val="center"/>
              <w:rPr>
                <w:rFonts w:ascii="Arial" w:eastAsia="Times New Roman" w:hAnsi="Arial" w:cs="Arial"/>
                <w:color w:val="000000"/>
                <w:sz w:val="18"/>
                <w:szCs w:val="18"/>
              </w:rPr>
            </w:pPr>
          </w:p>
        </w:tc>
        <w:tc>
          <w:tcPr>
            <w:tcW w:w="2552" w:type="dxa"/>
            <w:shd w:val="clear" w:color="auto" w:fill="auto"/>
            <w:vAlign w:val="center"/>
          </w:tcPr>
          <w:p w14:paraId="2692FCC0" w14:textId="6CF24E75"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Sardina pilchardus</w:t>
            </w:r>
          </w:p>
        </w:tc>
        <w:tc>
          <w:tcPr>
            <w:tcW w:w="2552" w:type="dxa"/>
            <w:vAlign w:val="center"/>
          </w:tcPr>
          <w:p w14:paraId="6FF70E5D" w14:textId="26B8BD4A"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Pilchard </w:t>
            </w:r>
          </w:p>
        </w:tc>
        <w:tc>
          <w:tcPr>
            <w:tcW w:w="1134" w:type="dxa"/>
            <w:vAlign w:val="center"/>
          </w:tcPr>
          <w:p w14:paraId="73EF03F6" w14:textId="77777777" w:rsidR="000B38E2" w:rsidRPr="00D403F5" w:rsidRDefault="000B38E2" w:rsidP="00D403F5">
            <w:pPr>
              <w:spacing w:after="0" w:line="240" w:lineRule="auto"/>
              <w:jc w:val="center"/>
              <w:rPr>
                <w:rFonts w:ascii="Arial" w:eastAsia="Times New Roman" w:hAnsi="Arial" w:cs="Arial"/>
                <w:bCs/>
                <w:iCs/>
                <w:sz w:val="18"/>
                <w:szCs w:val="18"/>
                <w:lang w:bidi="en-US"/>
              </w:rPr>
            </w:pPr>
          </w:p>
        </w:tc>
      </w:tr>
      <w:tr w:rsidR="000B38E2" w:rsidRPr="00D403F5" w14:paraId="11B24F7F" w14:textId="77777777" w:rsidTr="00C7266C">
        <w:trPr>
          <w:jc w:val="center"/>
        </w:trPr>
        <w:tc>
          <w:tcPr>
            <w:tcW w:w="1700" w:type="dxa"/>
            <w:vMerge/>
            <w:vAlign w:val="center"/>
          </w:tcPr>
          <w:p w14:paraId="3163E562" w14:textId="1729EB8E" w:rsidR="000B38E2" w:rsidRPr="00D403F5" w:rsidRDefault="000B38E2" w:rsidP="00D403F5">
            <w:pPr>
              <w:spacing w:after="0" w:line="240" w:lineRule="auto"/>
              <w:jc w:val="center"/>
              <w:rPr>
                <w:rFonts w:ascii="Arial" w:eastAsia="Times New Roman" w:hAnsi="Arial" w:cs="Arial"/>
                <w:color w:val="000000"/>
                <w:sz w:val="18"/>
                <w:szCs w:val="18"/>
              </w:rPr>
            </w:pPr>
          </w:p>
        </w:tc>
        <w:tc>
          <w:tcPr>
            <w:tcW w:w="2552" w:type="dxa"/>
            <w:shd w:val="clear" w:color="auto" w:fill="auto"/>
            <w:vAlign w:val="center"/>
          </w:tcPr>
          <w:p w14:paraId="6063B75E" w14:textId="77777777"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Clupea harengus</w:t>
            </w:r>
          </w:p>
        </w:tc>
        <w:tc>
          <w:tcPr>
            <w:tcW w:w="2552" w:type="dxa"/>
            <w:vAlign w:val="center"/>
          </w:tcPr>
          <w:p w14:paraId="6C7E7806" w14:textId="77777777"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Atlantic herring</w:t>
            </w:r>
          </w:p>
        </w:tc>
        <w:tc>
          <w:tcPr>
            <w:tcW w:w="1134" w:type="dxa"/>
            <w:vAlign w:val="center"/>
          </w:tcPr>
          <w:p w14:paraId="4ACF6714" w14:textId="77777777" w:rsidR="000B38E2" w:rsidRPr="00D403F5" w:rsidRDefault="000B38E2" w:rsidP="00D403F5">
            <w:pPr>
              <w:spacing w:after="0" w:line="240" w:lineRule="auto"/>
              <w:jc w:val="center"/>
              <w:rPr>
                <w:rFonts w:ascii="Arial" w:eastAsia="Times New Roman" w:hAnsi="Arial" w:cs="Arial"/>
                <w:bCs/>
                <w:iCs/>
                <w:color w:val="000000"/>
                <w:sz w:val="18"/>
                <w:szCs w:val="18"/>
                <w:lang w:val="en-IE" w:bidi="en-US"/>
              </w:rPr>
            </w:pPr>
            <w:r w:rsidRPr="00D403F5">
              <w:rPr>
                <w:rFonts w:ascii="Arial" w:eastAsia="Times New Roman" w:hAnsi="Arial" w:cs="Arial"/>
                <w:bCs/>
                <w:iCs/>
                <w:sz w:val="18"/>
                <w:szCs w:val="18"/>
                <w:lang w:bidi="en-US"/>
              </w:rPr>
              <w:t>Ib, III</w:t>
            </w:r>
          </w:p>
        </w:tc>
      </w:tr>
      <w:tr w:rsidR="000B38E2" w:rsidRPr="00D403F5" w14:paraId="4D33CBF7" w14:textId="77777777" w:rsidTr="00C7266C">
        <w:trPr>
          <w:jc w:val="center"/>
        </w:trPr>
        <w:tc>
          <w:tcPr>
            <w:tcW w:w="1700" w:type="dxa"/>
            <w:vMerge/>
            <w:vAlign w:val="center"/>
          </w:tcPr>
          <w:p w14:paraId="00A07DD4" w14:textId="77777777" w:rsidR="000B38E2" w:rsidRPr="00D403F5" w:rsidRDefault="000B38E2" w:rsidP="00D403F5">
            <w:pPr>
              <w:spacing w:after="0" w:line="240" w:lineRule="auto"/>
              <w:jc w:val="center"/>
              <w:rPr>
                <w:rFonts w:ascii="Arial" w:eastAsia="Times New Roman" w:hAnsi="Arial" w:cs="Arial"/>
                <w:color w:val="000000"/>
                <w:sz w:val="18"/>
                <w:szCs w:val="18"/>
              </w:rPr>
            </w:pPr>
          </w:p>
        </w:tc>
        <w:tc>
          <w:tcPr>
            <w:tcW w:w="2552" w:type="dxa"/>
            <w:shd w:val="clear" w:color="auto" w:fill="auto"/>
            <w:vAlign w:val="center"/>
          </w:tcPr>
          <w:p w14:paraId="2807D475" w14:textId="77777777"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 xml:space="preserve">Clupea pallasii pallasii </w:t>
            </w:r>
          </w:p>
        </w:tc>
        <w:tc>
          <w:tcPr>
            <w:tcW w:w="2552" w:type="dxa"/>
            <w:vAlign w:val="center"/>
          </w:tcPr>
          <w:p w14:paraId="4F6E46F3" w14:textId="77777777"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Pacific herring</w:t>
            </w:r>
          </w:p>
        </w:tc>
        <w:tc>
          <w:tcPr>
            <w:tcW w:w="1134" w:type="dxa"/>
            <w:vAlign w:val="center"/>
          </w:tcPr>
          <w:p w14:paraId="54A4B154" w14:textId="77777777" w:rsidR="000B38E2" w:rsidRPr="00D403F5" w:rsidRDefault="000B38E2" w:rsidP="00D403F5">
            <w:pPr>
              <w:spacing w:after="0" w:line="240" w:lineRule="auto"/>
              <w:jc w:val="center"/>
              <w:rPr>
                <w:rFonts w:ascii="Arial" w:eastAsia="Times New Roman" w:hAnsi="Arial" w:cs="Arial"/>
                <w:bCs/>
                <w:iCs/>
                <w:color w:val="000000"/>
                <w:sz w:val="18"/>
                <w:szCs w:val="18"/>
                <w:lang w:val="en-IE" w:bidi="en-US"/>
              </w:rPr>
            </w:pPr>
            <w:r w:rsidRPr="00D403F5">
              <w:rPr>
                <w:rFonts w:ascii="Arial" w:eastAsia="Times New Roman" w:hAnsi="Arial" w:cs="Arial"/>
                <w:bCs/>
                <w:iCs/>
                <w:sz w:val="18"/>
                <w:szCs w:val="18"/>
                <w:lang w:bidi="en-US"/>
              </w:rPr>
              <w:t>IVa</w:t>
            </w:r>
          </w:p>
        </w:tc>
      </w:tr>
      <w:tr w:rsidR="000B38E2" w:rsidRPr="00D403F5" w14:paraId="4A100D02" w14:textId="77777777" w:rsidTr="00C7266C">
        <w:trPr>
          <w:jc w:val="center"/>
        </w:trPr>
        <w:tc>
          <w:tcPr>
            <w:tcW w:w="1700" w:type="dxa"/>
            <w:vMerge/>
            <w:vAlign w:val="center"/>
          </w:tcPr>
          <w:p w14:paraId="5724A483" w14:textId="77777777" w:rsidR="000B38E2" w:rsidRPr="00D403F5" w:rsidRDefault="000B38E2" w:rsidP="00D403F5">
            <w:pPr>
              <w:spacing w:after="0" w:line="240" w:lineRule="auto"/>
              <w:jc w:val="center"/>
              <w:rPr>
                <w:rFonts w:ascii="Arial" w:eastAsia="Times New Roman" w:hAnsi="Arial" w:cs="Arial"/>
                <w:color w:val="000000"/>
                <w:sz w:val="18"/>
                <w:szCs w:val="18"/>
              </w:rPr>
            </w:pPr>
          </w:p>
        </w:tc>
        <w:tc>
          <w:tcPr>
            <w:tcW w:w="2552" w:type="dxa"/>
            <w:shd w:val="clear" w:color="auto" w:fill="auto"/>
            <w:vAlign w:val="center"/>
          </w:tcPr>
          <w:p w14:paraId="33C81101" w14:textId="77777777"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Dorosoma cepedianum</w:t>
            </w:r>
          </w:p>
        </w:tc>
        <w:tc>
          <w:tcPr>
            <w:tcW w:w="2552" w:type="dxa"/>
            <w:vAlign w:val="center"/>
          </w:tcPr>
          <w:p w14:paraId="1D411DEB" w14:textId="77777777"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American gizzard shad</w:t>
            </w:r>
          </w:p>
        </w:tc>
        <w:tc>
          <w:tcPr>
            <w:tcW w:w="1134" w:type="dxa"/>
            <w:vAlign w:val="center"/>
          </w:tcPr>
          <w:p w14:paraId="66258FF1" w14:textId="77777777" w:rsidR="000B38E2" w:rsidRPr="00D403F5" w:rsidRDefault="000B38E2" w:rsidP="00D403F5">
            <w:pPr>
              <w:spacing w:after="0" w:line="240" w:lineRule="auto"/>
              <w:jc w:val="center"/>
              <w:rPr>
                <w:rFonts w:ascii="Arial" w:eastAsia="Times New Roman" w:hAnsi="Arial" w:cs="Arial"/>
                <w:bCs/>
                <w:iCs/>
                <w:color w:val="000000"/>
                <w:sz w:val="18"/>
                <w:szCs w:val="18"/>
                <w:lang w:val="en-IE" w:bidi="en-US"/>
              </w:rPr>
            </w:pPr>
            <w:r w:rsidRPr="00D403F5">
              <w:rPr>
                <w:rFonts w:ascii="Arial" w:eastAsia="Times New Roman" w:hAnsi="Arial" w:cs="Arial"/>
                <w:bCs/>
                <w:iCs/>
                <w:color w:val="000000"/>
                <w:sz w:val="18"/>
                <w:szCs w:val="18"/>
                <w:lang w:val="en-IE" w:bidi="en-US"/>
              </w:rPr>
              <w:t>IVb</w:t>
            </w:r>
          </w:p>
        </w:tc>
      </w:tr>
      <w:tr w:rsidR="000B38E2" w:rsidRPr="00D403F5" w14:paraId="7ABE225B" w14:textId="77777777" w:rsidTr="00C7266C">
        <w:trPr>
          <w:jc w:val="center"/>
        </w:trPr>
        <w:tc>
          <w:tcPr>
            <w:tcW w:w="1700" w:type="dxa"/>
            <w:vMerge/>
            <w:vAlign w:val="center"/>
          </w:tcPr>
          <w:p w14:paraId="64CFD440" w14:textId="77777777" w:rsidR="000B38E2" w:rsidRPr="00D403F5" w:rsidRDefault="000B38E2" w:rsidP="00D403F5">
            <w:pPr>
              <w:spacing w:after="0" w:line="240" w:lineRule="auto"/>
              <w:jc w:val="center"/>
              <w:rPr>
                <w:rFonts w:ascii="Arial" w:eastAsia="Times New Roman" w:hAnsi="Arial" w:cs="Arial"/>
                <w:sz w:val="18"/>
                <w:szCs w:val="18"/>
              </w:rPr>
            </w:pPr>
          </w:p>
        </w:tc>
        <w:tc>
          <w:tcPr>
            <w:tcW w:w="2552" w:type="dxa"/>
            <w:shd w:val="clear" w:color="auto" w:fill="auto"/>
            <w:vAlign w:val="center"/>
          </w:tcPr>
          <w:p w14:paraId="140E82E1" w14:textId="77777777" w:rsidR="000B38E2" w:rsidRPr="00D403F5" w:rsidRDefault="000B38E2"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Sardinops sagax</w:t>
            </w:r>
          </w:p>
        </w:tc>
        <w:tc>
          <w:tcPr>
            <w:tcW w:w="2552" w:type="dxa"/>
            <w:vAlign w:val="center"/>
          </w:tcPr>
          <w:p w14:paraId="0BBFAD3C" w14:textId="77777777" w:rsidR="000B38E2" w:rsidRPr="00D403F5" w:rsidRDefault="000B38E2" w:rsidP="00D403F5">
            <w:pPr>
              <w:spacing w:after="0" w:line="240" w:lineRule="auto"/>
              <w:jc w:val="center"/>
              <w:rPr>
                <w:rFonts w:ascii="Arial" w:eastAsia="Times New Roman" w:hAnsi="Arial" w:cs="Arial"/>
                <w:bCs/>
                <w:iCs/>
                <w:color w:val="000000"/>
                <w:sz w:val="18"/>
                <w:szCs w:val="18"/>
                <w:lang w:val="en-IE" w:bidi="en-US"/>
              </w:rPr>
            </w:pPr>
            <w:r w:rsidRPr="00D403F5">
              <w:rPr>
                <w:rFonts w:ascii="Arial" w:eastAsia="Times New Roman" w:hAnsi="Arial" w:cs="Arial"/>
                <w:bCs/>
                <w:iCs/>
                <w:color w:val="000000"/>
                <w:sz w:val="18"/>
                <w:szCs w:val="18"/>
                <w:lang w:val="en-IE" w:bidi="en-US"/>
              </w:rPr>
              <w:t>South American pilchard</w:t>
            </w:r>
          </w:p>
        </w:tc>
        <w:tc>
          <w:tcPr>
            <w:tcW w:w="1134" w:type="dxa"/>
            <w:vAlign w:val="center"/>
          </w:tcPr>
          <w:p w14:paraId="536592D0" w14:textId="77777777" w:rsidR="000B38E2" w:rsidRPr="00D403F5" w:rsidRDefault="000B38E2"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0B38E2" w:rsidRPr="00D403F5" w14:paraId="3044CBC8" w14:textId="77777777" w:rsidTr="00C7266C">
        <w:trPr>
          <w:jc w:val="center"/>
        </w:trPr>
        <w:tc>
          <w:tcPr>
            <w:tcW w:w="1700" w:type="dxa"/>
            <w:vMerge/>
            <w:vAlign w:val="center"/>
          </w:tcPr>
          <w:p w14:paraId="6B38F35E" w14:textId="77777777" w:rsidR="000B38E2" w:rsidRPr="00D403F5" w:rsidRDefault="000B38E2"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2DD5629" w14:textId="77777777" w:rsidR="000B38E2" w:rsidRPr="00D403F5" w:rsidRDefault="000B38E2"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Sprattus sprattus</w:t>
            </w:r>
          </w:p>
        </w:tc>
        <w:tc>
          <w:tcPr>
            <w:tcW w:w="2552" w:type="dxa"/>
            <w:vAlign w:val="center"/>
          </w:tcPr>
          <w:p w14:paraId="003F23DD" w14:textId="77777777" w:rsidR="000B38E2" w:rsidRPr="00D403F5" w:rsidRDefault="000B38E2"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sprat</w:t>
            </w:r>
          </w:p>
        </w:tc>
        <w:tc>
          <w:tcPr>
            <w:tcW w:w="1134" w:type="dxa"/>
            <w:vAlign w:val="center"/>
          </w:tcPr>
          <w:p w14:paraId="114F74E9" w14:textId="77777777" w:rsidR="000B38E2" w:rsidRPr="00D403F5" w:rsidRDefault="000B38E2"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7726DAA2" w14:textId="77777777" w:rsidTr="00C7266C">
        <w:trPr>
          <w:trHeight w:val="233"/>
          <w:jc w:val="center"/>
        </w:trPr>
        <w:tc>
          <w:tcPr>
            <w:tcW w:w="1700" w:type="dxa"/>
            <w:vAlign w:val="center"/>
          </w:tcPr>
          <w:p w14:paraId="5A4A89A0"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Cyclopteridae</w:t>
            </w:r>
          </w:p>
        </w:tc>
        <w:tc>
          <w:tcPr>
            <w:tcW w:w="2552" w:type="dxa"/>
            <w:shd w:val="clear" w:color="auto" w:fill="auto"/>
            <w:vAlign w:val="center"/>
          </w:tcPr>
          <w:p w14:paraId="788EB462"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Cyclopterus lumpus</w:t>
            </w:r>
          </w:p>
        </w:tc>
        <w:tc>
          <w:tcPr>
            <w:tcW w:w="2552" w:type="dxa"/>
            <w:vAlign w:val="center"/>
          </w:tcPr>
          <w:p w14:paraId="15AB1E1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Lumpfish</w:t>
            </w:r>
          </w:p>
        </w:tc>
        <w:tc>
          <w:tcPr>
            <w:tcW w:w="1134" w:type="dxa"/>
            <w:vAlign w:val="center"/>
          </w:tcPr>
          <w:p w14:paraId="60AD65C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IVd</w:t>
            </w:r>
          </w:p>
        </w:tc>
      </w:tr>
      <w:tr w:rsidR="00C7266C" w:rsidRPr="00D403F5" w14:paraId="7FC539F8" w14:textId="77777777" w:rsidTr="00C7266C">
        <w:trPr>
          <w:trHeight w:val="233"/>
          <w:jc w:val="center"/>
        </w:trPr>
        <w:tc>
          <w:tcPr>
            <w:tcW w:w="1700" w:type="dxa"/>
            <w:vMerge w:val="restart"/>
            <w:vAlign w:val="center"/>
          </w:tcPr>
          <w:p w14:paraId="289E7A68" w14:textId="77777777" w:rsidR="00C7266C" w:rsidRPr="00D403F5" w:rsidRDefault="00C7266C" w:rsidP="00D403F5">
            <w:pPr>
              <w:spacing w:after="0" w:line="240" w:lineRule="auto"/>
              <w:jc w:val="center"/>
              <w:rPr>
                <w:rFonts w:ascii="Arial" w:eastAsia="Times New Roman" w:hAnsi="Arial" w:cs="Arial"/>
                <w:sz w:val="18"/>
                <w:szCs w:val="18"/>
              </w:rPr>
            </w:pPr>
            <w:r w:rsidRPr="00D403F5">
              <w:rPr>
                <w:rFonts w:ascii="Arial" w:eastAsia="Times New Roman" w:hAnsi="Arial" w:cs="Arial"/>
                <w:color w:val="000000"/>
                <w:sz w:val="18"/>
                <w:szCs w:val="18"/>
              </w:rPr>
              <w:t>Cyprinidae</w:t>
            </w:r>
          </w:p>
        </w:tc>
        <w:tc>
          <w:tcPr>
            <w:tcW w:w="2552" w:type="dxa"/>
            <w:shd w:val="clear" w:color="auto" w:fill="auto"/>
            <w:vAlign w:val="center"/>
          </w:tcPr>
          <w:p w14:paraId="62CA9D81"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Danio rerio</w:t>
            </w:r>
          </w:p>
        </w:tc>
        <w:tc>
          <w:tcPr>
            <w:tcW w:w="2552" w:type="dxa"/>
            <w:vAlign w:val="center"/>
          </w:tcPr>
          <w:p w14:paraId="120940C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Zebra fish</w:t>
            </w:r>
          </w:p>
        </w:tc>
        <w:tc>
          <w:tcPr>
            <w:tcW w:w="1134" w:type="dxa"/>
            <w:vAlign w:val="center"/>
          </w:tcPr>
          <w:p w14:paraId="0806966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58975712" w14:textId="77777777" w:rsidTr="00C7266C">
        <w:trPr>
          <w:jc w:val="center"/>
        </w:trPr>
        <w:tc>
          <w:tcPr>
            <w:tcW w:w="1700" w:type="dxa"/>
            <w:vMerge/>
            <w:vAlign w:val="center"/>
          </w:tcPr>
          <w:p w14:paraId="4C4DDAA6"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61CA005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Notropis hudsonius</w:t>
            </w:r>
          </w:p>
        </w:tc>
        <w:tc>
          <w:tcPr>
            <w:tcW w:w="2552" w:type="dxa"/>
            <w:vAlign w:val="center"/>
          </w:tcPr>
          <w:p w14:paraId="1D7D363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Spottail shiner</w:t>
            </w:r>
          </w:p>
        </w:tc>
        <w:tc>
          <w:tcPr>
            <w:tcW w:w="1134" w:type="dxa"/>
            <w:vAlign w:val="center"/>
          </w:tcPr>
          <w:p w14:paraId="6794F56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1321BCFB" w14:textId="77777777" w:rsidTr="00C7266C">
        <w:trPr>
          <w:jc w:val="center"/>
        </w:trPr>
        <w:tc>
          <w:tcPr>
            <w:tcW w:w="1700" w:type="dxa"/>
            <w:vMerge/>
            <w:vAlign w:val="center"/>
          </w:tcPr>
          <w:p w14:paraId="40F42189"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70B74FF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Notropis atherinoides</w:t>
            </w:r>
          </w:p>
        </w:tc>
        <w:tc>
          <w:tcPr>
            <w:tcW w:w="2552" w:type="dxa"/>
            <w:vAlign w:val="center"/>
          </w:tcPr>
          <w:p w14:paraId="4384D19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Emerald shiner</w:t>
            </w:r>
          </w:p>
        </w:tc>
        <w:tc>
          <w:tcPr>
            <w:tcW w:w="1134" w:type="dxa"/>
            <w:vAlign w:val="center"/>
          </w:tcPr>
          <w:p w14:paraId="596858C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3DBE9A1D" w14:textId="77777777" w:rsidTr="00C7266C">
        <w:trPr>
          <w:jc w:val="center"/>
        </w:trPr>
        <w:tc>
          <w:tcPr>
            <w:tcW w:w="1700" w:type="dxa"/>
            <w:vMerge/>
            <w:vAlign w:val="center"/>
          </w:tcPr>
          <w:p w14:paraId="105BACFF"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280874E0"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Pimephales notatus</w:t>
            </w:r>
          </w:p>
        </w:tc>
        <w:tc>
          <w:tcPr>
            <w:tcW w:w="2552" w:type="dxa"/>
            <w:vAlign w:val="center"/>
          </w:tcPr>
          <w:p w14:paraId="67787EB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Bluntnose minnow</w:t>
            </w:r>
          </w:p>
        </w:tc>
        <w:tc>
          <w:tcPr>
            <w:tcW w:w="1134" w:type="dxa"/>
            <w:vAlign w:val="center"/>
          </w:tcPr>
          <w:p w14:paraId="14A29F1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740D4AD5" w14:textId="77777777" w:rsidTr="00C7266C">
        <w:trPr>
          <w:jc w:val="center"/>
        </w:trPr>
        <w:tc>
          <w:tcPr>
            <w:tcW w:w="1700" w:type="dxa"/>
            <w:vMerge/>
            <w:vAlign w:val="center"/>
          </w:tcPr>
          <w:p w14:paraId="542B1311"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387466D"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Pimephales promelas</w:t>
            </w:r>
          </w:p>
        </w:tc>
        <w:tc>
          <w:tcPr>
            <w:tcW w:w="2552" w:type="dxa"/>
            <w:vAlign w:val="center"/>
          </w:tcPr>
          <w:p w14:paraId="47A56F81"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Fathead minnow </w:t>
            </w:r>
          </w:p>
        </w:tc>
        <w:tc>
          <w:tcPr>
            <w:tcW w:w="1134" w:type="dxa"/>
            <w:vAlign w:val="center"/>
          </w:tcPr>
          <w:p w14:paraId="30B392A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44DEE5EF" w14:textId="77777777" w:rsidTr="00C7266C">
        <w:trPr>
          <w:jc w:val="center"/>
        </w:trPr>
        <w:tc>
          <w:tcPr>
            <w:tcW w:w="1700" w:type="dxa"/>
            <w:vAlign w:val="center"/>
          </w:tcPr>
          <w:p w14:paraId="3CFCC27E"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Embiotocidae</w:t>
            </w:r>
          </w:p>
        </w:tc>
        <w:tc>
          <w:tcPr>
            <w:tcW w:w="2552" w:type="dxa"/>
            <w:shd w:val="clear" w:color="auto" w:fill="auto"/>
            <w:vAlign w:val="center"/>
          </w:tcPr>
          <w:p w14:paraId="47BE3204"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Cymatogaster aggregata</w:t>
            </w:r>
          </w:p>
        </w:tc>
        <w:tc>
          <w:tcPr>
            <w:tcW w:w="2552" w:type="dxa"/>
            <w:vAlign w:val="center"/>
          </w:tcPr>
          <w:p w14:paraId="66919FE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Shiner perch</w:t>
            </w:r>
          </w:p>
        </w:tc>
        <w:tc>
          <w:tcPr>
            <w:tcW w:w="1134" w:type="dxa"/>
            <w:vAlign w:val="center"/>
          </w:tcPr>
          <w:p w14:paraId="7BB0B36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1F10DDDE" w14:textId="77777777" w:rsidTr="00C7266C">
        <w:trPr>
          <w:jc w:val="center"/>
        </w:trPr>
        <w:tc>
          <w:tcPr>
            <w:tcW w:w="1700" w:type="dxa"/>
            <w:vAlign w:val="center"/>
          </w:tcPr>
          <w:p w14:paraId="3627DD2A"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Engraulidae</w:t>
            </w:r>
          </w:p>
        </w:tc>
        <w:tc>
          <w:tcPr>
            <w:tcW w:w="2552" w:type="dxa"/>
            <w:shd w:val="clear" w:color="auto" w:fill="auto"/>
            <w:vAlign w:val="center"/>
          </w:tcPr>
          <w:p w14:paraId="325C57D8"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Engraulis encrasicolus</w:t>
            </w:r>
          </w:p>
        </w:tc>
        <w:tc>
          <w:tcPr>
            <w:tcW w:w="2552" w:type="dxa"/>
            <w:vAlign w:val="center"/>
          </w:tcPr>
          <w:p w14:paraId="1BA2CD2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anchovy</w:t>
            </w:r>
          </w:p>
        </w:tc>
        <w:tc>
          <w:tcPr>
            <w:tcW w:w="1134" w:type="dxa"/>
            <w:vAlign w:val="center"/>
          </w:tcPr>
          <w:p w14:paraId="4FA599F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20FB8032" w14:textId="77777777" w:rsidTr="00C7266C">
        <w:trPr>
          <w:jc w:val="center"/>
        </w:trPr>
        <w:tc>
          <w:tcPr>
            <w:tcW w:w="1700" w:type="dxa"/>
            <w:vMerge w:val="restart"/>
            <w:vAlign w:val="center"/>
          </w:tcPr>
          <w:p w14:paraId="651C6384"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Esocidae</w:t>
            </w:r>
          </w:p>
        </w:tc>
        <w:tc>
          <w:tcPr>
            <w:tcW w:w="2552" w:type="dxa"/>
            <w:shd w:val="clear" w:color="auto" w:fill="auto"/>
            <w:vAlign w:val="center"/>
          </w:tcPr>
          <w:p w14:paraId="0D229EF1" w14:textId="77777777" w:rsidR="00C7266C" w:rsidRPr="00D403F5" w:rsidRDefault="00C7266C" w:rsidP="00D403F5">
            <w:pPr>
              <w:spacing w:after="0" w:line="240" w:lineRule="auto"/>
              <w:jc w:val="center"/>
              <w:rPr>
                <w:rFonts w:ascii="Arial" w:eastAsia="Times New Roman" w:hAnsi="Arial" w:cs="Arial"/>
                <w:b/>
                <w:i/>
                <w:sz w:val="18"/>
                <w:szCs w:val="18"/>
                <w:lang w:bidi="en-US"/>
              </w:rPr>
            </w:pPr>
            <w:r w:rsidRPr="00D403F5">
              <w:rPr>
                <w:rFonts w:ascii="Arial" w:eastAsia="Times New Roman" w:hAnsi="Arial" w:cs="Arial"/>
                <w:bCs/>
                <w:i/>
                <w:iCs/>
                <w:color w:val="000000"/>
                <w:sz w:val="18"/>
                <w:szCs w:val="18"/>
                <w:lang w:val="en-IE" w:bidi="en-US"/>
              </w:rPr>
              <w:t>Esox lucius</w:t>
            </w:r>
          </w:p>
        </w:tc>
        <w:tc>
          <w:tcPr>
            <w:tcW w:w="2552" w:type="dxa"/>
            <w:vAlign w:val="center"/>
          </w:tcPr>
          <w:p w14:paraId="04382AD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Northern pike</w:t>
            </w:r>
          </w:p>
        </w:tc>
        <w:tc>
          <w:tcPr>
            <w:tcW w:w="1134" w:type="dxa"/>
            <w:vAlign w:val="center"/>
          </w:tcPr>
          <w:p w14:paraId="79CF4E4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630CBF83" w14:textId="77777777" w:rsidTr="00C7266C">
        <w:trPr>
          <w:jc w:val="center"/>
        </w:trPr>
        <w:tc>
          <w:tcPr>
            <w:tcW w:w="1700" w:type="dxa"/>
            <w:vMerge/>
            <w:vAlign w:val="center"/>
          </w:tcPr>
          <w:p w14:paraId="6B71B5AF" w14:textId="77777777" w:rsidR="00C7266C" w:rsidRPr="00D403F5" w:rsidRDefault="00C7266C" w:rsidP="00D403F5">
            <w:pPr>
              <w:spacing w:after="0" w:line="240" w:lineRule="auto"/>
              <w:jc w:val="center"/>
              <w:rPr>
                <w:rFonts w:ascii="Arial" w:eastAsia="Times New Roman" w:hAnsi="Arial" w:cs="Arial"/>
                <w:color w:val="000000"/>
                <w:sz w:val="18"/>
                <w:szCs w:val="18"/>
              </w:rPr>
            </w:pPr>
          </w:p>
        </w:tc>
        <w:tc>
          <w:tcPr>
            <w:tcW w:w="2552" w:type="dxa"/>
            <w:shd w:val="clear" w:color="auto" w:fill="auto"/>
            <w:vAlign w:val="center"/>
          </w:tcPr>
          <w:p w14:paraId="0453EB45"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Esox masquinongy</w:t>
            </w:r>
          </w:p>
        </w:tc>
        <w:tc>
          <w:tcPr>
            <w:tcW w:w="2552" w:type="dxa"/>
            <w:vAlign w:val="center"/>
          </w:tcPr>
          <w:p w14:paraId="227570BD"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Muskellunge</w:t>
            </w:r>
          </w:p>
        </w:tc>
        <w:tc>
          <w:tcPr>
            <w:tcW w:w="1134" w:type="dxa"/>
            <w:vAlign w:val="center"/>
          </w:tcPr>
          <w:p w14:paraId="0E72BEC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05CDDD31" w14:textId="77777777" w:rsidTr="00C7266C">
        <w:trPr>
          <w:jc w:val="center"/>
        </w:trPr>
        <w:tc>
          <w:tcPr>
            <w:tcW w:w="1700" w:type="dxa"/>
            <w:vAlign w:val="center"/>
          </w:tcPr>
          <w:p w14:paraId="7B1BF6C7"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Fundulidae</w:t>
            </w:r>
          </w:p>
        </w:tc>
        <w:tc>
          <w:tcPr>
            <w:tcW w:w="2552" w:type="dxa"/>
            <w:shd w:val="clear" w:color="auto" w:fill="auto"/>
            <w:vAlign w:val="center"/>
          </w:tcPr>
          <w:p w14:paraId="7AD72999"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Fundulus heteroclitus</w:t>
            </w:r>
          </w:p>
        </w:tc>
        <w:tc>
          <w:tcPr>
            <w:tcW w:w="2552" w:type="dxa"/>
            <w:vAlign w:val="center"/>
          </w:tcPr>
          <w:p w14:paraId="2B63D5C8"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Mummichog</w:t>
            </w:r>
          </w:p>
        </w:tc>
        <w:tc>
          <w:tcPr>
            <w:tcW w:w="1134" w:type="dxa"/>
            <w:vAlign w:val="center"/>
          </w:tcPr>
          <w:p w14:paraId="300D359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IVc</w:t>
            </w:r>
          </w:p>
        </w:tc>
      </w:tr>
      <w:tr w:rsidR="00C7266C" w:rsidRPr="00D403F5" w14:paraId="023443FA" w14:textId="77777777" w:rsidTr="00C7266C">
        <w:trPr>
          <w:jc w:val="center"/>
        </w:trPr>
        <w:tc>
          <w:tcPr>
            <w:tcW w:w="1700" w:type="dxa"/>
            <w:vMerge w:val="restart"/>
            <w:vAlign w:val="center"/>
          </w:tcPr>
          <w:p w14:paraId="45AB5387" w14:textId="77777777" w:rsidR="00C7266C" w:rsidRPr="00D403F5" w:rsidRDefault="00C7266C" w:rsidP="00D403F5">
            <w:pPr>
              <w:spacing w:after="0" w:line="240" w:lineRule="auto"/>
              <w:jc w:val="center"/>
              <w:rPr>
                <w:rFonts w:ascii="Arial" w:eastAsia="Times New Roman" w:hAnsi="Arial" w:cs="Arial"/>
                <w:sz w:val="18"/>
                <w:szCs w:val="18"/>
              </w:rPr>
            </w:pPr>
            <w:r w:rsidRPr="00D403F5">
              <w:rPr>
                <w:rFonts w:ascii="Arial" w:eastAsia="Times New Roman" w:hAnsi="Arial" w:cs="Arial"/>
                <w:color w:val="000000"/>
                <w:sz w:val="18"/>
                <w:szCs w:val="18"/>
              </w:rPr>
              <w:t>Gadidae</w:t>
            </w:r>
          </w:p>
        </w:tc>
        <w:tc>
          <w:tcPr>
            <w:tcW w:w="2552" w:type="dxa"/>
            <w:shd w:val="clear" w:color="auto" w:fill="auto"/>
            <w:vAlign w:val="center"/>
          </w:tcPr>
          <w:p w14:paraId="58B03AC2"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Gadus macrocephalus</w:t>
            </w:r>
          </w:p>
        </w:tc>
        <w:tc>
          <w:tcPr>
            <w:tcW w:w="2552" w:type="dxa"/>
            <w:vAlign w:val="center"/>
          </w:tcPr>
          <w:p w14:paraId="7BCB00B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Pacific cod</w:t>
            </w:r>
          </w:p>
        </w:tc>
        <w:tc>
          <w:tcPr>
            <w:tcW w:w="1134" w:type="dxa"/>
            <w:vAlign w:val="center"/>
          </w:tcPr>
          <w:p w14:paraId="35E736F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67F8A305" w14:textId="77777777" w:rsidTr="00C7266C">
        <w:trPr>
          <w:jc w:val="center"/>
        </w:trPr>
        <w:tc>
          <w:tcPr>
            <w:tcW w:w="1700" w:type="dxa"/>
            <w:vMerge/>
            <w:vAlign w:val="center"/>
          </w:tcPr>
          <w:p w14:paraId="2A2081AC"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C1B71A3"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Gadus morhua</w:t>
            </w:r>
          </w:p>
        </w:tc>
        <w:tc>
          <w:tcPr>
            <w:tcW w:w="2552" w:type="dxa"/>
            <w:vAlign w:val="center"/>
          </w:tcPr>
          <w:p w14:paraId="03E3560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Atlantic cod</w:t>
            </w:r>
          </w:p>
        </w:tc>
        <w:tc>
          <w:tcPr>
            <w:tcW w:w="1134" w:type="dxa"/>
            <w:vAlign w:val="center"/>
          </w:tcPr>
          <w:p w14:paraId="43672B6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 III</w:t>
            </w:r>
          </w:p>
        </w:tc>
      </w:tr>
      <w:tr w:rsidR="00C7266C" w:rsidRPr="00D403F5" w14:paraId="371DF4A1" w14:textId="77777777" w:rsidTr="00C7266C">
        <w:trPr>
          <w:jc w:val="center"/>
        </w:trPr>
        <w:tc>
          <w:tcPr>
            <w:tcW w:w="1700" w:type="dxa"/>
            <w:vMerge/>
            <w:vAlign w:val="center"/>
          </w:tcPr>
          <w:p w14:paraId="4892F525"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8D36FB9"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Merlangius merlangus</w:t>
            </w:r>
          </w:p>
        </w:tc>
        <w:tc>
          <w:tcPr>
            <w:tcW w:w="2552" w:type="dxa"/>
            <w:vAlign w:val="center"/>
          </w:tcPr>
          <w:p w14:paraId="7271D98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Whiting</w:t>
            </w:r>
          </w:p>
        </w:tc>
        <w:tc>
          <w:tcPr>
            <w:tcW w:w="1134" w:type="dxa"/>
            <w:vAlign w:val="center"/>
          </w:tcPr>
          <w:p w14:paraId="14B321A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26723524" w14:textId="77777777" w:rsidTr="00C7266C">
        <w:trPr>
          <w:jc w:val="center"/>
        </w:trPr>
        <w:tc>
          <w:tcPr>
            <w:tcW w:w="1700" w:type="dxa"/>
            <w:vMerge/>
            <w:vAlign w:val="center"/>
          </w:tcPr>
          <w:p w14:paraId="133EA7D9"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65B9DDC3"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Micromesistius poutassou</w:t>
            </w:r>
          </w:p>
        </w:tc>
        <w:tc>
          <w:tcPr>
            <w:tcW w:w="2552" w:type="dxa"/>
            <w:vAlign w:val="center"/>
          </w:tcPr>
          <w:p w14:paraId="267D68F1"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Blue whiting </w:t>
            </w:r>
          </w:p>
        </w:tc>
        <w:tc>
          <w:tcPr>
            <w:tcW w:w="1134" w:type="dxa"/>
            <w:vAlign w:val="center"/>
          </w:tcPr>
          <w:p w14:paraId="342FBCF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 III</w:t>
            </w:r>
          </w:p>
        </w:tc>
      </w:tr>
      <w:tr w:rsidR="00C7266C" w:rsidRPr="00D403F5" w14:paraId="4C59F411" w14:textId="77777777" w:rsidTr="00C7266C">
        <w:trPr>
          <w:jc w:val="center"/>
        </w:trPr>
        <w:tc>
          <w:tcPr>
            <w:tcW w:w="1700" w:type="dxa"/>
            <w:vMerge/>
            <w:vAlign w:val="center"/>
          </w:tcPr>
          <w:p w14:paraId="066D69E4"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2E841211"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Trisopterus esmarkii</w:t>
            </w:r>
          </w:p>
        </w:tc>
        <w:tc>
          <w:tcPr>
            <w:tcW w:w="2552" w:type="dxa"/>
            <w:vAlign w:val="center"/>
          </w:tcPr>
          <w:p w14:paraId="1BB5DF88"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Norway pout</w:t>
            </w:r>
          </w:p>
        </w:tc>
        <w:tc>
          <w:tcPr>
            <w:tcW w:w="1134" w:type="dxa"/>
            <w:vAlign w:val="center"/>
          </w:tcPr>
          <w:p w14:paraId="2B4D379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 III</w:t>
            </w:r>
          </w:p>
        </w:tc>
      </w:tr>
      <w:tr w:rsidR="00C7266C" w:rsidRPr="00D403F5" w14:paraId="69757EA6" w14:textId="77777777" w:rsidTr="00C7266C">
        <w:trPr>
          <w:jc w:val="center"/>
        </w:trPr>
        <w:tc>
          <w:tcPr>
            <w:tcW w:w="1700" w:type="dxa"/>
            <w:vAlign w:val="center"/>
          </w:tcPr>
          <w:p w14:paraId="31F51F12"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Gasterosteidae</w:t>
            </w:r>
          </w:p>
        </w:tc>
        <w:tc>
          <w:tcPr>
            <w:tcW w:w="2552" w:type="dxa"/>
            <w:shd w:val="clear" w:color="auto" w:fill="auto"/>
            <w:vAlign w:val="center"/>
          </w:tcPr>
          <w:p w14:paraId="23B5C8C9"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Gasterosteus aculeatus</w:t>
            </w:r>
          </w:p>
        </w:tc>
        <w:tc>
          <w:tcPr>
            <w:tcW w:w="2552" w:type="dxa"/>
            <w:vAlign w:val="center"/>
          </w:tcPr>
          <w:p w14:paraId="0FE4994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Three-spine stickleback </w:t>
            </w:r>
          </w:p>
        </w:tc>
        <w:tc>
          <w:tcPr>
            <w:tcW w:w="1134" w:type="dxa"/>
            <w:vAlign w:val="center"/>
          </w:tcPr>
          <w:p w14:paraId="4FD996A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IVc</w:t>
            </w:r>
          </w:p>
        </w:tc>
      </w:tr>
      <w:tr w:rsidR="00C7266C" w:rsidRPr="00D403F5" w14:paraId="42260A38" w14:textId="77777777" w:rsidTr="00C7266C">
        <w:trPr>
          <w:jc w:val="center"/>
        </w:trPr>
        <w:tc>
          <w:tcPr>
            <w:tcW w:w="1700" w:type="dxa"/>
            <w:vMerge w:val="restart"/>
            <w:vAlign w:val="center"/>
          </w:tcPr>
          <w:p w14:paraId="5B889B6B"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Gobiidae</w:t>
            </w:r>
          </w:p>
        </w:tc>
        <w:tc>
          <w:tcPr>
            <w:tcW w:w="2552" w:type="dxa"/>
            <w:shd w:val="clear" w:color="auto" w:fill="auto"/>
            <w:vAlign w:val="center"/>
          </w:tcPr>
          <w:p w14:paraId="22BF2E0A"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Neogobius melanostomus</w:t>
            </w:r>
          </w:p>
        </w:tc>
        <w:tc>
          <w:tcPr>
            <w:tcW w:w="2552" w:type="dxa"/>
            <w:vAlign w:val="center"/>
          </w:tcPr>
          <w:p w14:paraId="1B560B2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Round goby</w:t>
            </w:r>
          </w:p>
        </w:tc>
        <w:tc>
          <w:tcPr>
            <w:tcW w:w="1134" w:type="dxa"/>
            <w:vAlign w:val="center"/>
          </w:tcPr>
          <w:p w14:paraId="4EF5AE2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42B89BCB" w14:textId="77777777" w:rsidTr="00C7266C">
        <w:trPr>
          <w:jc w:val="center"/>
        </w:trPr>
        <w:tc>
          <w:tcPr>
            <w:tcW w:w="1700" w:type="dxa"/>
            <w:vMerge/>
            <w:vAlign w:val="center"/>
          </w:tcPr>
          <w:p w14:paraId="4862E534"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4FFD416"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Pomatoschistus minutus</w:t>
            </w:r>
          </w:p>
        </w:tc>
        <w:tc>
          <w:tcPr>
            <w:tcW w:w="2552" w:type="dxa"/>
            <w:vAlign w:val="center"/>
          </w:tcPr>
          <w:p w14:paraId="3577FB7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Sand goby</w:t>
            </w:r>
          </w:p>
        </w:tc>
        <w:tc>
          <w:tcPr>
            <w:tcW w:w="1134" w:type="dxa"/>
            <w:vAlign w:val="center"/>
          </w:tcPr>
          <w:p w14:paraId="56F6521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5A4D377A" w14:textId="77777777" w:rsidTr="00C7266C">
        <w:trPr>
          <w:jc w:val="center"/>
        </w:trPr>
        <w:tc>
          <w:tcPr>
            <w:tcW w:w="1700" w:type="dxa"/>
            <w:vAlign w:val="center"/>
          </w:tcPr>
          <w:p w14:paraId="3F3D8740"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Ictaluridae</w:t>
            </w:r>
          </w:p>
        </w:tc>
        <w:tc>
          <w:tcPr>
            <w:tcW w:w="2552" w:type="dxa"/>
            <w:shd w:val="clear" w:color="auto" w:fill="auto"/>
            <w:vAlign w:val="center"/>
          </w:tcPr>
          <w:p w14:paraId="367A672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Ictalurus nebulosus</w:t>
            </w:r>
          </w:p>
        </w:tc>
        <w:tc>
          <w:tcPr>
            <w:tcW w:w="2552" w:type="dxa"/>
            <w:vAlign w:val="center"/>
          </w:tcPr>
          <w:p w14:paraId="10D5541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Brown bullhead</w:t>
            </w:r>
          </w:p>
        </w:tc>
        <w:tc>
          <w:tcPr>
            <w:tcW w:w="1134" w:type="dxa"/>
            <w:vAlign w:val="center"/>
          </w:tcPr>
          <w:p w14:paraId="63088E7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6986C54B" w14:textId="77777777" w:rsidTr="00C7266C">
        <w:trPr>
          <w:jc w:val="center"/>
        </w:trPr>
        <w:tc>
          <w:tcPr>
            <w:tcW w:w="1700" w:type="dxa"/>
            <w:vMerge w:val="restart"/>
            <w:vAlign w:val="center"/>
          </w:tcPr>
          <w:p w14:paraId="5F562686"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Labridae</w:t>
            </w:r>
          </w:p>
        </w:tc>
        <w:tc>
          <w:tcPr>
            <w:tcW w:w="2552" w:type="dxa"/>
            <w:shd w:val="clear" w:color="auto" w:fill="auto"/>
            <w:vAlign w:val="center"/>
          </w:tcPr>
          <w:p w14:paraId="0710CF68"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Centrolabrus exoletus</w:t>
            </w:r>
          </w:p>
        </w:tc>
        <w:tc>
          <w:tcPr>
            <w:tcW w:w="2552" w:type="dxa"/>
            <w:vAlign w:val="center"/>
          </w:tcPr>
          <w:p w14:paraId="2AF16B6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Rock cook wrasse</w:t>
            </w:r>
          </w:p>
        </w:tc>
        <w:tc>
          <w:tcPr>
            <w:tcW w:w="1134" w:type="dxa"/>
            <w:vAlign w:val="center"/>
          </w:tcPr>
          <w:p w14:paraId="0AB1FEC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1F50C120" w14:textId="77777777" w:rsidTr="00C7266C">
        <w:trPr>
          <w:jc w:val="center"/>
        </w:trPr>
        <w:tc>
          <w:tcPr>
            <w:tcW w:w="1700" w:type="dxa"/>
            <w:vMerge/>
            <w:vAlign w:val="center"/>
          </w:tcPr>
          <w:p w14:paraId="724BBB44"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5E5C048E"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Ctenolabrus rupestris</w:t>
            </w:r>
          </w:p>
        </w:tc>
        <w:tc>
          <w:tcPr>
            <w:tcW w:w="2552" w:type="dxa"/>
            <w:vAlign w:val="center"/>
          </w:tcPr>
          <w:p w14:paraId="0B27A82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Goldsinny wrasse</w:t>
            </w:r>
          </w:p>
        </w:tc>
        <w:tc>
          <w:tcPr>
            <w:tcW w:w="1134" w:type="dxa"/>
            <w:vAlign w:val="center"/>
          </w:tcPr>
          <w:p w14:paraId="0B6AE7F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62615B03" w14:textId="77777777" w:rsidTr="00C7266C">
        <w:trPr>
          <w:jc w:val="center"/>
        </w:trPr>
        <w:tc>
          <w:tcPr>
            <w:tcW w:w="1700" w:type="dxa"/>
            <w:vMerge/>
            <w:vAlign w:val="center"/>
          </w:tcPr>
          <w:p w14:paraId="780DA16B"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DF679E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Labrus bergylta</w:t>
            </w:r>
          </w:p>
        </w:tc>
        <w:tc>
          <w:tcPr>
            <w:tcW w:w="2552" w:type="dxa"/>
            <w:vAlign w:val="center"/>
          </w:tcPr>
          <w:p w14:paraId="33B0AD9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Ballan wrasse</w:t>
            </w:r>
          </w:p>
        </w:tc>
        <w:tc>
          <w:tcPr>
            <w:tcW w:w="1134" w:type="dxa"/>
            <w:vAlign w:val="center"/>
          </w:tcPr>
          <w:p w14:paraId="1C00B66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3116600D" w14:textId="77777777" w:rsidTr="00C7266C">
        <w:trPr>
          <w:jc w:val="center"/>
        </w:trPr>
        <w:tc>
          <w:tcPr>
            <w:tcW w:w="1700" w:type="dxa"/>
            <w:vMerge/>
            <w:vAlign w:val="center"/>
          </w:tcPr>
          <w:p w14:paraId="4BED6FA2"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6EE0891E"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Labrus mixtus</w:t>
            </w:r>
          </w:p>
        </w:tc>
        <w:tc>
          <w:tcPr>
            <w:tcW w:w="2552" w:type="dxa"/>
            <w:vAlign w:val="center"/>
          </w:tcPr>
          <w:p w14:paraId="36F939FC"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Cuckoo wrasse</w:t>
            </w:r>
          </w:p>
        </w:tc>
        <w:tc>
          <w:tcPr>
            <w:tcW w:w="1134" w:type="dxa"/>
            <w:vAlign w:val="center"/>
          </w:tcPr>
          <w:p w14:paraId="12325C9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6A2298EB" w14:textId="77777777" w:rsidTr="00C7266C">
        <w:trPr>
          <w:jc w:val="center"/>
        </w:trPr>
        <w:tc>
          <w:tcPr>
            <w:tcW w:w="1700" w:type="dxa"/>
            <w:vMerge/>
            <w:vAlign w:val="center"/>
          </w:tcPr>
          <w:p w14:paraId="426F94BC"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DA9CB1C"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Symphodus melops</w:t>
            </w:r>
          </w:p>
        </w:tc>
        <w:tc>
          <w:tcPr>
            <w:tcW w:w="2552" w:type="dxa"/>
            <w:vAlign w:val="center"/>
          </w:tcPr>
          <w:p w14:paraId="05E1D0B6"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Corkwing wrasse</w:t>
            </w:r>
          </w:p>
        </w:tc>
        <w:tc>
          <w:tcPr>
            <w:tcW w:w="1134" w:type="dxa"/>
            <w:vAlign w:val="center"/>
          </w:tcPr>
          <w:p w14:paraId="431079E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484317CF" w14:textId="77777777" w:rsidTr="00C7266C">
        <w:trPr>
          <w:jc w:val="center"/>
        </w:trPr>
        <w:tc>
          <w:tcPr>
            <w:tcW w:w="1700" w:type="dxa"/>
            <w:vAlign w:val="center"/>
          </w:tcPr>
          <w:p w14:paraId="4C515A12"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Lotidae</w:t>
            </w:r>
          </w:p>
        </w:tc>
        <w:tc>
          <w:tcPr>
            <w:tcW w:w="2552" w:type="dxa"/>
            <w:shd w:val="clear" w:color="auto" w:fill="auto"/>
            <w:vAlign w:val="center"/>
          </w:tcPr>
          <w:p w14:paraId="67F93130"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Gaidropsarus vulgaris</w:t>
            </w:r>
          </w:p>
        </w:tc>
        <w:tc>
          <w:tcPr>
            <w:tcW w:w="2552" w:type="dxa"/>
            <w:vAlign w:val="center"/>
          </w:tcPr>
          <w:p w14:paraId="5DE0F7A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Three-bearded rockling </w:t>
            </w:r>
          </w:p>
        </w:tc>
        <w:tc>
          <w:tcPr>
            <w:tcW w:w="1134" w:type="dxa"/>
            <w:vAlign w:val="center"/>
          </w:tcPr>
          <w:p w14:paraId="1A8A574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4D47DB03" w14:textId="77777777" w:rsidTr="00C7266C">
        <w:trPr>
          <w:jc w:val="center"/>
        </w:trPr>
        <w:tc>
          <w:tcPr>
            <w:tcW w:w="1700" w:type="dxa"/>
            <w:vMerge w:val="restart"/>
            <w:vAlign w:val="center"/>
          </w:tcPr>
          <w:p w14:paraId="50F531F2"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Moronidae</w:t>
            </w:r>
          </w:p>
        </w:tc>
        <w:tc>
          <w:tcPr>
            <w:tcW w:w="2552" w:type="dxa"/>
            <w:shd w:val="clear" w:color="auto" w:fill="auto"/>
            <w:vAlign w:val="center"/>
          </w:tcPr>
          <w:p w14:paraId="6989F145"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Morone americana</w:t>
            </w:r>
          </w:p>
        </w:tc>
        <w:tc>
          <w:tcPr>
            <w:tcW w:w="2552" w:type="dxa"/>
            <w:vAlign w:val="center"/>
          </w:tcPr>
          <w:p w14:paraId="6BF9D48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White perch </w:t>
            </w:r>
          </w:p>
        </w:tc>
        <w:tc>
          <w:tcPr>
            <w:tcW w:w="1134" w:type="dxa"/>
            <w:vAlign w:val="center"/>
          </w:tcPr>
          <w:p w14:paraId="6A5B57E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6F855836" w14:textId="77777777" w:rsidTr="00C7266C">
        <w:trPr>
          <w:jc w:val="center"/>
        </w:trPr>
        <w:tc>
          <w:tcPr>
            <w:tcW w:w="1700" w:type="dxa"/>
            <w:vMerge/>
            <w:vAlign w:val="center"/>
          </w:tcPr>
          <w:p w14:paraId="58A9CE5E"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55EC28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Morone chrysops</w:t>
            </w:r>
          </w:p>
        </w:tc>
        <w:tc>
          <w:tcPr>
            <w:tcW w:w="2552" w:type="dxa"/>
            <w:vAlign w:val="center"/>
          </w:tcPr>
          <w:p w14:paraId="1F5A128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White bass </w:t>
            </w:r>
          </w:p>
        </w:tc>
        <w:tc>
          <w:tcPr>
            <w:tcW w:w="1134" w:type="dxa"/>
            <w:vAlign w:val="center"/>
          </w:tcPr>
          <w:p w14:paraId="5D85C28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6042C60A" w14:textId="77777777" w:rsidTr="00C7266C">
        <w:trPr>
          <w:jc w:val="center"/>
        </w:trPr>
        <w:tc>
          <w:tcPr>
            <w:tcW w:w="1700" w:type="dxa"/>
            <w:vMerge/>
            <w:vAlign w:val="center"/>
          </w:tcPr>
          <w:p w14:paraId="69960A46"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C15069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Morone saxatilis</w:t>
            </w:r>
          </w:p>
        </w:tc>
        <w:tc>
          <w:tcPr>
            <w:tcW w:w="2552" w:type="dxa"/>
            <w:vAlign w:val="center"/>
          </w:tcPr>
          <w:p w14:paraId="0DAB46B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Striped bass</w:t>
            </w:r>
          </w:p>
        </w:tc>
        <w:tc>
          <w:tcPr>
            <w:tcW w:w="1134" w:type="dxa"/>
            <w:vAlign w:val="center"/>
          </w:tcPr>
          <w:p w14:paraId="7EC4D59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 IVc</w:t>
            </w:r>
          </w:p>
        </w:tc>
      </w:tr>
      <w:tr w:rsidR="00C7266C" w:rsidRPr="00D403F5" w14:paraId="5E2288D5" w14:textId="77777777" w:rsidTr="00C7266C">
        <w:trPr>
          <w:jc w:val="center"/>
        </w:trPr>
        <w:tc>
          <w:tcPr>
            <w:tcW w:w="1700" w:type="dxa"/>
            <w:vAlign w:val="center"/>
          </w:tcPr>
          <w:p w14:paraId="7CB452B5"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Mullidae</w:t>
            </w:r>
          </w:p>
        </w:tc>
        <w:tc>
          <w:tcPr>
            <w:tcW w:w="2552" w:type="dxa"/>
            <w:shd w:val="clear" w:color="auto" w:fill="auto"/>
            <w:vAlign w:val="center"/>
          </w:tcPr>
          <w:p w14:paraId="2CD5EB3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Mullus barbatus</w:t>
            </w:r>
          </w:p>
        </w:tc>
        <w:tc>
          <w:tcPr>
            <w:tcW w:w="2552" w:type="dxa"/>
            <w:vAlign w:val="center"/>
          </w:tcPr>
          <w:p w14:paraId="25AE0B7B" w14:textId="77777777" w:rsidR="00C7266C" w:rsidRPr="00D403F5" w:rsidRDefault="00C7266C" w:rsidP="00D403F5">
            <w:pPr>
              <w:spacing w:after="0" w:line="240" w:lineRule="auto"/>
              <w:jc w:val="center"/>
              <w:rPr>
                <w:rFonts w:ascii="Arial" w:eastAsia="Times New Roman" w:hAnsi="Arial" w:cs="Arial"/>
                <w:bCs/>
                <w:iCs/>
                <w:color w:val="000000"/>
                <w:sz w:val="18"/>
                <w:szCs w:val="18"/>
                <w:lang w:val="en-IE" w:bidi="en-US"/>
              </w:rPr>
            </w:pPr>
            <w:r w:rsidRPr="00D403F5">
              <w:rPr>
                <w:rFonts w:ascii="Arial" w:eastAsia="Times New Roman" w:hAnsi="Arial" w:cs="Arial"/>
                <w:bCs/>
                <w:color w:val="000000"/>
                <w:sz w:val="18"/>
                <w:szCs w:val="18"/>
                <w:lang w:val="en-IE" w:bidi="en-US"/>
              </w:rPr>
              <w:t xml:space="preserve">Red mullet </w:t>
            </w:r>
          </w:p>
        </w:tc>
        <w:tc>
          <w:tcPr>
            <w:tcW w:w="1134" w:type="dxa"/>
            <w:vAlign w:val="center"/>
          </w:tcPr>
          <w:p w14:paraId="20FB276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color w:val="000000"/>
                <w:sz w:val="18"/>
                <w:szCs w:val="18"/>
                <w:lang w:val="en-IE" w:bidi="en-US"/>
              </w:rPr>
              <w:t>Ie</w:t>
            </w:r>
          </w:p>
        </w:tc>
      </w:tr>
      <w:tr w:rsidR="00C7266C" w:rsidRPr="00D403F5" w14:paraId="2B9B2BD5" w14:textId="77777777" w:rsidTr="00C7266C">
        <w:trPr>
          <w:jc w:val="center"/>
        </w:trPr>
        <w:tc>
          <w:tcPr>
            <w:tcW w:w="1700" w:type="dxa"/>
            <w:vAlign w:val="center"/>
          </w:tcPr>
          <w:p w14:paraId="6DE82FFD"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Osmeridae</w:t>
            </w:r>
          </w:p>
        </w:tc>
        <w:tc>
          <w:tcPr>
            <w:tcW w:w="2552" w:type="dxa"/>
            <w:shd w:val="clear" w:color="auto" w:fill="auto"/>
            <w:vAlign w:val="center"/>
          </w:tcPr>
          <w:p w14:paraId="7F85EA3A"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Thaleichthys pacificus</w:t>
            </w:r>
          </w:p>
        </w:tc>
        <w:tc>
          <w:tcPr>
            <w:tcW w:w="2552" w:type="dxa"/>
            <w:vAlign w:val="center"/>
          </w:tcPr>
          <w:p w14:paraId="4F77B3D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Eulachon</w:t>
            </w:r>
          </w:p>
        </w:tc>
        <w:tc>
          <w:tcPr>
            <w:tcW w:w="1134" w:type="dxa"/>
            <w:vAlign w:val="center"/>
          </w:tcPr>
          <w:p w14:paraId="3E3C552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7BA9838E" w14:textId="77777777" w:rsidTr="00C7266C">
        <w:trPr>
          <w:jc w:val="center"/>
        </w:trPr>
        <w:tc>
          <w:tcPr>
            <w:tcW w:w="1700" w:type="dxa"/>
            <w:vMerge w:val="restart"/>
            <w:vAlign w:val="center"/>
          </w:tcPr>
          <w:p w14:paraId="7AED577A"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Percidae</w:t>
            </w:r>
          </w:p>
        </w:tc>
        <w:tc>
          <w:tcPr>
            <w:tcW w:w="2552" w:type="dxa"/>
            <w:shd w:val="clear" w:color="auto" w:fill="auto"/>
            <w:vAlign w:val="center"/>
          </w:tcPr>
          <w:p w14:paraId="7E41DFF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Sander vitreus</w:t>
            </w:r>
          </w:p>
        </w:tc>
        <w:tc>
          <w:tcPr>
            <w:tcW w:w="2552" w:type="dxa"/>
            <w:vAlign w:val="center"/>
          </w:tcPr>
          <w:p w14:paraId="403B436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Walleye</w:t>
            </w:r>
          </w:p>
        </w:tc>
        <w:tc>
          <w:tcPr>
            <w:tcW w:w="1134" w:type="dxa"/>
            <w:vAlign w:val="center"/>
          </w:tcPr>
          <w:p w14:paraId="3C96AE4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465CCBA2" w14:textId="77777777" w:rsidTr="00C7266C">
        <w:trPr>
          <w:jc w:val="center"/>
        </w:trPr>
        <w:tc>
          <w:tcPr>
            <w:tcW w:w="1700" w:type="dxa"/>
            <w:vMerge/>
            <w:vAlign w:val="center"/>
          </w:tcPr>
          <w:p w14:paraId="3128D8A5"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70C07BD"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Perca flavescens</w:t>
            </w:r>
          </w:p>
        </w:tc>
        <w:tc>
          <w:tcPr>
            <w:tcW w:w="2552" w:type="dxa"/>
            <w:vAlign w:val="center"/>
          </w:tcPr>
          <w:p w14:paraId="7391904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Yellow perch</w:t>
            </w:r>
          </w:p>
        </w:tc>
        <w:tc>
          <w:tcPr>
            <w:tcW w:w="1134" w:type="dxa"/>
            <w:vAlign w:val="center"/>
          </w:tcPr>
          <w:p w14:paraId="325A1EC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bl>
    <w:p w14:paraId="0D80574B" w14:textId="77777777" w:rsidR="000B38E2" w:rsidRPr="00D403F5" w:rsidRDefault="000B38E2" w:rsidP="00A63C15">
      <w:pPr>
        <w:spacing w:after="480" w:line="240" w:lineRule="auto"/>
        <w:jc w:val="right"/>
        <w:rPr>
          <w:rFonts w:ascii="Times New Roman" w:eastAsia="Times New Roman" w:hAnsi="Times New Roman" w:cs="Times New Roman"/>
          <w:sz w:val="18"/>
          <w:szCs w:val="18"/>
        </w:rPr>
      </w:pPr>
      <w:r w:rsidRPr="00D403F5">
        <w:rPr>
          <w:sz w:val="18"/>
          <w:szCs w:val="18"/>
        </w:rPr>
        <w:br w:type="page"/>
      </w: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552"/>
        <w:gridCol w:w="1134"/>
      </w:tblGrid>
      <w:tr w:rsidR="000B38E2" w:rsidRPr="00D403F5" w14:paraId="7984CBAA" w14:textId="77777777" w:rsidTr="00D403F5">
        <w:trPr>
          <w:jc w:val="center"/>
        </w:trPr>
        <w:tc>
          <w:tcPr>
            <w:tcW w:w="1700" w:type="dxa"/>
            <w:vAlign w:val="center"/>
          </w:tcPr>
          <w:p w14:paraId="4B30C3F4" w14:textId="37FAE45A" w:rsidR="000B38E2" w:rsidRPr="00D403F5" w:rsidRDefault="000B38E2" w:rsidP="00D403F5">
            <w:pPr>
              <w:spacing w:after="0" w:line="240" w:lineRule="auto"/>
              <w:jc w:val="center"/>
              <w:rPr>
                <w:rFonts w:ascii="Arial" w:eastAsia="Times New Roman" w:hAnsi="Arial" w:cs="Arial"/>
                <w:color w:val="000000"/>
                <w:sz w:val="18"/>
                <w:szCs w:val="18"/>
              </w:rPr>
            </w:pPr>
            <w:r w:rsidRPr="00D403F5">
              <w:rPr>
                <w:rFonts w:ascii="Ottawa" w:eastAsia="Times New Roman" w:hAnsi="Ottawa" w:cs="Arial"/>
                <w:b/>
                <w:bCs/>
                <w:sz w:val="18"/>
                <w:szCs w:val="18"/>
                <w:lang w:bidi="en-US"/>
              </w:rPr>
              <w:t>Family</w:t>
            </w:r>
          </w:p>
        </w:tc>
        <w:tc>
          <w:tcPr>
            <w:tcW w:w="2552" w:type="dxa"/>
            <w:shd w:val="clear" w:color="auto" w:fill="auto"/>
            <w:vAlign w:val="center"/>
          </w:tcPr>
          <w:p w14:paraId="28DA5377" w14:textId="2F172F68"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Ottawa" w:eastAsia="Times New Roman" w:hAnsi="Ottawa" w:cs="Arial"/>
                <w:b/>
                <w:bCs/>
                <w:sz w:val="18"/>
                <w:szCs w:val="18"/>
                <w:lang w:bidi="en-US"/>
              </w:rPr>
              <w:t>Scientific name</w:t>
            </w:r>
          </w:p>
        </w:tc>
        <w:tc>
          <w:tcPr>
            <w:tcW w:w="2552" w:type="dxa"/>
            <w:vAlign w:val="center"/>
          </w:tcPr>
          <w:p w14:paraId="5AC0BE51" w14:textId="27827309"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Ottawa" w:eastAsia="Times New Roman" w:hAnsi="Ottawa" w:cs="Arial"/>
                <w:b/>
                <w:bCs/>
                <w:sz w:val="18"/>
                <w:szCs w:val="18"/>
                <w:lang w:bidi="en-US"/>
              </w:rPr>
              <w:t>Common name</w:t>
            </w:r>
          </w:p>
        </w:tc>
        <w:tc>
          <w:tcPr>
            <w:tcW w:w="1134" w:type="dxa"/>
          </w:tcPr>
          <w:p w14:paraId="2F520B35" w14:textId="5283FA55" w:rsidR="000B38E2" w:rsidRPr="00D403F5" w:rsidRDefault="000B38E2" w:rsidP="00D403F5">
            <w:pPr>
              <w:spacing w:after="0" w:line="240" w:lineRule="auto"/>
              <w:jc w:val="center"/>
              <w:rPr>
                <w:rFonts w:ascii="Arial" w:eastAsia="Times New Roman" w:hAnsi="Arial" w:cs="Arial"/>
                <w:bCs/>
                <w:iCs/>
                <w:sz w:val="18"/>
                <w:szCs w:val="18"/>
                <w:lang w:bidi="en-US"/>
              </w:rPr>
            </w:pPr>
            <w:r w:rsidRPr="00D403F5">
              <w:rPr>
                <w:rFonts w:ascii="Ottawa" w:eastAsia="Times New Roman" w:hAnsi="Ottawa" w:cs="Arial"/>
                <w:b/>
                <w:bCs/>
                <w:sz w:val="18"/>
                <w:szCs w:val="18"/>
                <w:lang w:bidi="en-US"/>
              </w:rPr>
              <w:t>Genotype</w:t>
            </w:r>
          </w:p>
        </w:tc>
      </w:tr>
      <w:tr w:rsidR="00C7266C" w:rsidRPr="00D403F5" w14:paraId="6A2B20EB" w14:textId="77777777" w:rsidTr="00C7266C">
        <w:trPr>
          <w:jc w:val="center"/>
        </w:trPr>
        <w:tc>
          <w:tcPr>
            <w:tcW w:w="1700" w:type="dxa"/>
            <w:vAlign w:val="center"/>
          </w:tcPr>
          <w:p w14:paraId="70FCD6EC" w14:textId="1F0197B4"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Petromyzontidae</w:t>
            </w:r>
          </w:p>
        </w:tc>
        <w:tc>
          <w:tcPr>
            <w:tcW w:w="2552" w:type="dxa"/>
            <w:shd w:val="clear" w:color="auto" w:fill="auto"/>
            <w:vAlign w:val="center"/>
          </w:tcPr>
          <w:p w14:paraId="2ECE0A1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Lampetra fluviatilis</w:t>
            </w:r>
          </w:p>
        </w:tc>
        <w:tc>
          <w:tcPr>
            <w:tcW w:w="2552" w:type="dxa"/>
            <w:vAlign w:val="center"/>
          </w:tcPr>
          <w:p w14:paraId="316676B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River lamprey</w:t>
            </w:r>
          </w:p>
        </w:tc>
        <w:tc>
          <w:tcPr>
            <w:tcW w:w="1134" w:type="dxa"/>
            <w:vAlign w:val="center"/>
          </w:tcPr>
          <w:p w14:paraId="42E51A3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w:t>
            </w:r>
          </w:p>
        </w:tc>
      </w:tr>
      <w:tr w:rsidR="00C7266C" w:rsidRPr="00D403F5" w14:paraId="305EDF67" w14:textId="77777777" w:rsidTr="00C7266C">
        <w:trPr>
          <w:jc w:val="center"/>
        </w:trPr>
        <w:tc>
          <w:tcPr>
            <w:tcW w:w="1700" w:type="dxa"/>
            <w:vMerge w:val="restart"/>
            <w:vAlign w:val="center"/>
          </w:tcPr>
          <w:p w14:paraId="139AC405"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Pleuronectidae</w:t>
            </w:r>
          </w:p>
        </w:tc>
        <w:tc>
          <w:tcPr>
            <w:tcW w:w="2552" w:type="dxa"/>
            <w:shd w:val="clear" w:color="auto" w:fill="auto"/>
            <w:vAlign w:val="center"/>
          </w:tcPr>
          <w:p w14:paraId="335EB5D4"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Limanda limanda</w:t>
            </w:r>
          </w:p>
        </w:tc>
        <w:tc>
          <w:tcPr>
            <w:tcW w:w="2552" w:type="dxa"/>
            <w:vAlign w:val="center"/>
          </w:tcPr>
          <w:p w14:paraId="537260D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Common dab</w:t>
            </w:r>
          </w:p>
        </w:tc>
        <w:tc>
          <w:tcPr>
            <w:tcW w:w="1134" w:type="dxa"/>
            <w:vAlign w:val="center"/>
          </w:tcPr>
          <w:p w14:paraId="65F9848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4E32675F" w14:textId="77777777" w:rsidTr="00C7266C">
        <w:trPr>
          <w:jc w:val="center"/>
        </w:trPr>
        <w:tc>
          <w:tcPr>
            <w:tcW w:w="1700" w:type="dxa"/>
            <w:vMerge/>
            <w:vAlign w:val="center"/>
          </w:tcPr>
          <w:p w14:paraId="42AD4583"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C509D4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Platichthys flesus</w:t>
            </w:r>
          </w:p>
        </w:tc>
        <w:tc>
          <w:tcPr>
            <w:tcW w:w="2552" w:type="dxa"/>
            <w:vAlign w:val="center"/>
          </w:tcPr>
          <w:p w14:paraId="0BAEEC8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flounder</w:t>
            </w:r>
          </w:p>
        </w:tc>
        <w:tc>
          <w:tcPr>
            <w:tcW w:w="1134" w:type="dxa"/>
            <w:vAlign w:val="center"/>
          </w:tcPr>
          <w:p w14:paraId="50B516A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1F5D27E1" w14:textId="77777777" w:rsidTr="00C7266C">
        <w:trPr>
          <w:jc w:val="center"/>
        </w:trPr>
        <w:tc>
          <w:tcPr>
            <w:tcW w:w="1700" w:type="dxa"/>
            <w:vMerge/>
            <w:vAlign w:val="center"/>
          </w:tcPr>
          <w:p w14:paraId="7EB48086"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6DB38CCA"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Pleuronectes platessus</w:t>
            </w:r>
          </w:p>
        </w:tc>
        <w:tc>
          <w:tcPr>
            <w:tcW w:w="2552" w:type="dxa"/>
            <w:vAlign w:val="center"/>
          </w:tcPr>
          <w:p w14:paraId="1C2D01D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plaice</w:t>
            </w:r>
          </w:p>
        </w:tc>
        <w:tc>
          <w:tcPr>
            <w:tcW w:w="1134" w:type="dxa"/>
            <w:vAlign w:val="center"/>
          </w:tcPr>
          <w:p w14:paraId="05AB801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111F9179" w14:textId="77777777" w:rsidTr="00C7266C">
        <w:trPr>
          <w:jc w:val="center"/>
        </w:trPr>
        <w:tc>
          <w:tcPr>
            <w:tcW w:w="1700" w:type="dxa"/>
            <w:vAlign w:val="center"/>
          </w:tcPr>
          <w:p w14:paraId="53CFA772"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Rajidae</w:t>
            </w:r>
          </w:p>
        </w:tc>
        <w:tc>
          <w:tcPr>
            <w:tcW w:w="2552" w:type="dxa"/>
            <w:shd w:val="clear" w:color="auto" w:fill="auto"/>
            <w:vAlign w:val="center"/>
          </w:tcPr>
          <w:p w14:paraId="6057AFE8"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Raja clavata</w:t>
            </w:r>
          </w:p>
        </w:tc>
        <w:tc>
          <w:tcPr>
            <w:tcW w:w="2552" w:type="dxa"/>
            <w:vAlign w:val="center"/>
          </w:tcPr>
          <w:p w14:paraId="1F043BE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Thornback ray </w:t>
            </w:r>
          </w:p>
        </w:tc>
        <w:tc>
          <w:tcPr>
            <w:tcW w:w="1134" w:type="dxa"/>
            <w:vAlign w:val="center"/>
          </w:tcPr>
          <w:p w14:paraId="007B315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2D752A5D" w14:textId="77777777" w:rsidTr="00C7266C">
        <w:trPr>
          <w:jc w:val="center"/>
        </w:trPr>
        <w:tc>
          <w:tcPr>
            <w:tcW w:w="1700" w:type="dxa"/>
            <w:vMerge w:val="restart"/>
            <w:vAlign w:val="center"/>
          </w:tcPr>
          <w:p w14:paraId="031C8669" w14:textId="79BB2AA2"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Salmonidae</w:t>
            </w:r>
          </w:p>
        </w:tc>
        <w:tc>
          <w:tcPr>
            <w:tcW w:w="2552" w:type="dxa"/>
            <w:shd w:val="clear" w:color="auto" w:fill="auto"/>
            <w:vAlign w:val="center"/>
          </w:tcPr>
          <w:p w14:paraId="785D12A4"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Coregonus artedii</w:t>
            </w:r>
          </w:p>
        </w:tc>
        <w:tc>
          <w:tcPr>
            <w:tcW w:w="2552" w:type="dxa"/>
            <w:vAlign w:val="center"/>
          </w:tcPr>
          <w:p w14:paraId="25A1116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Lake cisco</w:t>
            </w:r>
          </w:p>
        </w:tc>
        <w:tc>
          <w:tcPr>
            <w:tcW w:w="1134" w:type="dxa"/>
            <w:vAlign w:val="center"/>
          </w:tcPr>
          <w:p w14:paraId="2F24AFB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2D8093AE" w14:textId="77777777" w:rsidTr="00C7266C">
        <w:trPr>
          <w:jc w:val="center"/>
        </w:trPr>
        <w:tc>
          <w:tcPr>
            <w:tcW w:w="1700" w:type="dxa"/>
            <w:vMerge/>
            <w:vAlign w:val="center"/>
          </w:tcPr>
          <w:p w14:paraId="02E6FE71"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72BBE18E"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Coregonus clupeaformis</w:t>
            </w:r>
          </w:p>
        </w:tc>
        <w:tc>
          <w:tcPr>
            <w:tcW w:w="2552" w:type="dxa"/>
            <w:vAlign w:val="center"/>
          </w:tcPr>
          <w:p w14:paraId="2CC900B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Lake whitefish</w:t>
            </w:r>
          </w:p>
        </w:tc>
        <w:tc>
          <w:tcPr>
            <w:tcW w:w="1134" w:type="dxa"/>
            <w:vAlign w:val="center"/>
          </w:tcPr>
          <w:p w14:paraId="362E690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127BDD8D" w14:textId="77777777" w:rsidTr="00C7266C">
        <w:trPr>
          <w:jc w:val="center"/>
        </w:trPr>
        <w:tc>
          <w:tcPr>
            <w:tcW w:w="1700" w:type="dxa"/>
            <w:vMerge/>
            <w:vAlign w:val="center"/>
          </w:tcPr>
          <w:p w14:paraId="38AE3508"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0E353DF0"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Coregonus lavaretus</w:t>
            </w:r>
          </w:p>
        </w:tc>
        <w:tc>
          <w:tcPr>
            <w:tcW w:w="2552" w:type="dxa"/>
            <w:vAlign w:val="center"/>
          </w:tcPr>
          <w:p w14:paraId="2B95E55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Common whitefish</w:t>
            </w:r>
          </w:p>
        </w:tc>
        <w:tc>
          <w:tcPr>
            <w:tcW w:w="1134" w:type="dxa"/>
            <w:vAlign w:val="center"/>
          </w:tcPr>
          <w:p w14:paraId="308C53E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C7266C" w:rsidRPr="00D403F5" w14:paraId="6AFF6A34" w14:textId="77777777" w:rsidTr="00C7266C">
        <w:trPr>
          <w:jc w:val="center"/>
        </w:trPr>
        <w:tc>
          <w:tcPr>
            <w:tcW w:w="1700" w:type="dxa"/>
            <w:vMerge/>
            <w:vAlign w:val="center"/>
          </w:tcPr>
          <w:p w14:paraId="34EF1DC6"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54560D92"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kisutch</w:t>
            </w:r>
          </w:p>
        </w:tc>
        <w:tc>
          <w:tcPr>
            <w:tcW w:w="2552" w:type="dxa"/>
            <w:vAlign w:val="center"/>
          </w:tcPr>
          <w:p w14:paraId="04536F50"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Coho salmon</w:t>
            </w:r>
          </w:p>
        </w:tc>
        <w:tc>
          <w:tcPr>
            <w:tcW w:w="1134" w:type="dxa"/>
            <w:vAlign w:val="center"/>
          </w:tcPr>
          <w:p w14:paraId="0FE1F84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0F9B39C2" w14:textId="77777777" w:rsidTr="00C7266C">
        <w:trPr>
          <w:jc w:val="center"/>
        </w:trPr>
        <w:tc>
          <w:tcPr>
            <w:tcW w:w="1700" w:type="dxa"/>
            <w:vMerge/>
            <w:vAlign w:val="center"/>
          </w:tcPr>
          <w:p w14:paraId="639A2AA0"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2C621EF5"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mykiss</w:t>
            </w:r>
          </w:p>
        </w:tc>
        <w:tc>
          <w:tcPr>
            <w:tcW w:w="2552" w:type="dxa"/>
            <w:vAlign w:val="center"/>
          </w:tcPr>
          <w:p w14:paraId="4B4A66E2"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Rainbow trout</w:t>
            </w:r>
          </w:p>
        </w:tc>
        <w:tc>
          <w:tcPr>
            <w:tcW w:w="1134" w:type="dxa"/>
            <w:vAlign w:val="center"/>
          </w:tcPr>
          <w:p w14:paraId="0059C9B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Ia-e, III, IVb</w:t>
            </w:r>
          </w:p>
        </w:tc>
      </w:tr>
      <w:tr w:rsidR="00C7266C" w:rsidRPr="00D403F5" w14:paraId="27BEF463" w14:textId="77777777" w:rsidTr="00C7266C">
        <w:trPr>
          <w:jc w:val="center"/>
        </w:trPr>
        <w:tc>
          <w:tcPr>
            <w:tcW w:w="1700" w:type="dxa"/>
            <w:vMerge/>
            <w:vAlign w:val="center"/>
          </w:tcPr>
          <w:p w14:paraId="510392A1"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111D19D1"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mykiss</w:t>
            </w:r>
          </w:p>
          <w:p w14:paraId="24741F20"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kisutch</w:t>
            </w:r>
          </w:p>
        </w:tc>
        <w:tc>
          <w:tcPr>
            <w:tcW w:w="2552" w:type="dxa"/>
            <w:vAlign w:val="center"/>
          </w:tcPr>
          <w:p w14:paraId="15DACAF2"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Rainbow trout X coho salmon hybrids</w:t>
            </w:r>
          </w:p>
        </w:tc>
        <w:tc>
          <w:tcPr>
            <w:tcW w:w="1134" w:type="dxa"/>
            <w:vAlign w:val="center"/>
          </w:tcPr>
          <w:p w14:paraId="05A861D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C7266C" w:rsidRPr="00D403F5" w14:paraId="7701D476" w14:textId="77777777" w:rsidTr="00C7266C">
        <w:trPr>
          <w:jc w:val="center"/>
        </w:trPr>
        <w:tc>
          <w:tcPr>
            <w:tcW w:w="1700" w:type="dxa"/>
            <w:vMerge/>
            <w:vAlign w:val="center"/>
          </w:tcPr>
          <w:p w14:paraId="63B24E08"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A688177"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Oncorhynchus tshawytscha</w:t>
            </w:r>
          </w:p>
        </w:tc>
        <w:tc>
          <w:tcPr>
            <w:tcW w:w="2552" w:type="dxa"/>
            <w:vAlign w:val="center"/>
          </w:tcPr>
          <w:p w14:paraId="263B9609"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Chinook salmon</w:t>
            </w:r>
          </w:p>
        </w:tc>
        <w:tc>
          <w:tcPr>
            <w:tcW w:w="1134" w:type="dxa"/>
            <w:vAlign w:val="center"/>
          </w:tcPr>
          <w:p w14:paraId="56F7AF0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 IVb</w:t>
            </w:r>
          </w:p>
        </w:tc>
      </w:tr>
      <w:tr w:rsidR="00C7266C" w:rsidRPr="00D403F5" w14:paraId="4A7D5FDC" w14:textId="77777777" w:rsidTr="00C7266C">
        <w:trPr>
          <w:jc w:val="center"/>
        </w:trPr>
        <w:tc>
          <w:tcPr>
            <w:tcW w:w="1700" w:type="dxa"/>
            <w:vMerge/>
            <w:vAlign w:val="center"/>
          </w:tcPr>
          <w:p w14:paraId="1C40B2EC"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791CCB8B"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Salmo marmoratus</w:t>
            </w:r>
          </w:p>
        </w:tc>
        <w:tc>
          <w:tcPr>
            <w:tcW w:w="2552" w:type="dxa"/>
            <w:vAlign w:val="center"/>
          </w:tcPr>
          <w:p w14:paraId="60B97C18"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Marble trout</w:t>
            </w:r>
          </w:p>
        </w:tc>
        <w:tc>
          <w:tcPr>
            <w:tcW w:w="1134" w:type="dxa"/>
            <w:vAlign w:val="center"/>
          </w:tcPr>
          <w:p w14:paraId="46DA947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C7266C" w:rsidRPr="00D403F5" w14:paraId="35F3C150" w14:textId="77777777" w:rsidTr="00C7266C">
        <w:trPr>
          <w:jc w:val="center"/>
        </w:trPr>
        <w:tc>
          <w:tcPr>
            <w:tcW w:w="1700" w:type="dxa"/>
            <w:vMerge/>
            <w:vAlign w:val="center"/>
          </w:tcPr>
          <w:p w14:paraId="46D3463A"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3239E79A"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Salmo salar</w:t>
            </w:r>
          </w:p>
        </w:tc>
        <w:tc>
          <w:tcPr>
            <w:tcW w:w="2552" w:type="dxa"/>
            <w:vAlign w:val="center"/>
          </w:tcPr>
          <w:p w14:paraId="7276D230"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Atlantic salmon</w:t>
            </w:r>
          </w:p>
        </w:tc>
        <w:tc>
          <w:tcPr>
            <w:tcW w:w="1134" w:type="dxa"/>
            <w:vAlign w:val="center"/>
          </w:tcPr>
          <w:p w14:paraId="536A7412" w14:textId="77777777" w:rsidR="00C7266C" w:rsidRPr="00D403F5" w:rsidRDefault="00C7266C" w:rsidP="00D403F5">
            <w:pPr>
              <w:spacing w:after="0" w:line="240" w:lineRule="auto"/>
              <w:jc w:val="center"/>
              <w:rPr>
                <w:rFonts w:ascii="Arial" w:eastAsia="Times New Roman" w:hAnsi="Arial" w:cs="Arial"/>
                <w:bCs/>
                <w:iCs/>
                <w:sz w:val="18"/>
                <w:szCs w:val="18"/>
                <w:lang w:val="es-ES" w:bidi="en-US"/>
              </w:rPr>
            </w:pPr>
            <w:r w:rsidRPr="00D403F5">
              <w:rPr>
                <w:rFonts w:ascii="Arial" w:eastAsia="Times New Roman" w:hAnsi="Arial" w:cs="Arial"/>
                <w:bCs/>
                <w:iCs/>
                <w:sz w:val="18"/>
                <w:szCs w:val="18"/>
                <w:lang w:val="es-ES" w:bidi="en-US"/>
              </w:rPr>
              <w:t>Ia, Ib, II, III, IVa</w:t>
            </w:r>
          </w:p>
        </w:tc>
      </w:tr>
      <w:tr w:rsidR="00C7266C" w:rsidRPr="00D403F5" w14:paraId="32B28BAA" w14:textId="77777777" w:rsidTr="00C7266C">
        <w:trPr>
          <w:jc w:val="center"/>
        </w:trPr>
        <w:tc>
          <w:tcPr>
            <w:tcW w:w="1700" w:type="dxa"/>
            <w:vMerge/>
            <w:vAlign w:val="center"/>
          </w:tcPr>
          <w:p w14:paraId="634BEDAE" w14:textId="77777777" w:rsidR="00C7266C" w:rsidRPr="00D403F5" w:rsidRDefault="00C7266C" w:rsidP="00D403F5">
            <w:pPr>
              <w:spacing w:after="0" w:line="240" w:lineRule="auto"/>
              <w:jc w:val="center"/>
              <w:rPr>
                <w:rFonts w:ascii="Arial" w:eastAsia="Times New Roman" w:hAnsi="Arial" w:cs="Arial"/>
                <w:bCs/>
                <w:sz w:val="18"/>
                <w:szCs w:val="18"/>
                <w:lang w:val="es-ES" w:bidi="en-US"/>
              </w:rPr>
            </w:pPr>
          </w:p>
        </w:tc>
        <w:tc>
          <w:tcPr>
            <w:tcW w:w="2552" w:type="dxa"/>
            <w:shd w:val="clear" w:color="auto" w:fill="auto"/>
            <w:vAlign w:val="center"/>
          </w:tcPr>
          <w:p w14:paraId="72EA2152"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Salmo trutta</w:t>
            </w:r>
          </w:p>
        </w:tc>
        <w:tc>
          <w:tcPr>
            <w:tcW w:w="2552" w:type="dxa"/>
            <w:vAlign w:val="center"/>
          </w:tcPr>
          <w:p w14:paraId="1B0D435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Brown trout</w:t>
            </w:r>
          </w:p>
        </w:tc>
        <w:tc>
          <w:tcPr>
            <w:tcW w:w="1134" w:type="dxa"/>
            <w:vAlign w:val="center"/>
          </w:tcPr>
          <w:p w14:paraId="66DC764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 Ib</w:t>
            </w:r>
          </w:p>
        </w:tc>
      </w:tr>
      <w:tr w:rsidR="00C7266C" w:rsidRPr="00D403F5" w14:paraId="79F228E1" w14:textId="77777777" w:rsidTr="00C7266C">
        <w:trPr>
          <w:jc w:val="center"/>
        </w:trPr>
        <w:tc>
          <w:tcPr>
            <w:tcW w:w="1700" w:type="dxa"/>
            <w:vMerge/>
            <w:vAlign w:val="center"/>
          </w:tcPr>
          <w:p w14:paraId="06A4B4A1"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77B23CF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Salvelinus namaycush</w:t>
            </w:r>
          </w:p>
        </w:tc>
        <w:tc>
          <w:tcPr>
            <w:tcW w:w="2552" w:type="dxa"/>
            <w:vAlign w:val="center"/>
          </w:tcPr>
          <w:p w14:paraId="0BDA67B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Lake trout</w:t>
            </w:r>
          </w:p>
        </w:tc>
        <w:tc>
          <w:tcPr>
            <w:tcW w:w="1134" w:type="dxa"/>
            <w:vAlign w:val="center"/>
          </w:tcPr>
          <w:p w14:paraId="54CA8F8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 IVa, IVb</w:t>
            </w:r>
          </w:p>
        </w:tc>
      </w:tr>
      <w:tr w:rsidR="00C7266C" w:rsidRPr="00D403F5" w14:paraId="50E89393" w14:textId="77777777" w:rsidTr="00C7266C">
        <w:trPr>
          <w:jc w:val="center"/>
        </w:trPr>
        <w:tc>
          <w:tcPr>
            <w:tcW w:w="1700" w:type="dxa"/>
            <w:vMerge/>
            <w:vAlign w:val="center"/>
          </w:tcPr>
          <w:p w14:paraId="5A1727F6"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shd w:val="clear" w:color="auto" w:fill="auto"/>
            <w:vAlign w:val="center"/>
          </w:tcPr>
          <w:p w14:paraId="4564FBA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Thymallus thymallus</w:t>
            </w:r>
          </w:p>
        </w:tc>
        <w:tc>
          <w:tcPr>
            <w:tcW w:w="2552" w:type="dxa"/>
            <w:vAlign w:val="center"/>
          </w:tcPr>
          <w:p w14:paraId="4E1830F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Grayling</w:t>
            </w:r>
          </w:p>
        </w:tc>
        <w:tc>
          <w:tcPr>
            <w:tcW w:w="1134" w:type="dxa"/>
            <w:vAlign w:val="center"/>
          </w:tcPr>
          <w:p w14:paraId="111AEC5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w:t>
            </w:r>
          </w:p>
        </w:tc>
      </w:tr>
      <w:tr w:rsidR="00C7266C" w:rsidRPr="00D403F5" w14:paraId="1C27F305" w14:textId="77777777" w:rsidTr="00C7266C">
        <w:trPr>
          <w:jc w:val="center"/>
        </w:trPr>
        <w:tc>
          <w:tcPr>
            <w:tcW w:w="1700" w:type="dxa"/>
            <w:vAlign w:val="center"/>
          </w:tcPr>
          <w:p w14:paraId="0572586E"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Scophthalmidae</w:t>
            </w:r>
          </w:p>
        </w:tc>
        <w:tc>
          <w:tcPr>
            <w:tcW w:w="2552" w:type="dxa"/>
            <w:shd w:val="clear" w:color="auto" w:fill="auto"/>
            <w:vAlign w:val="center"/>
          </w:tcPr>
          <w:p w14:paraId="0EB72844"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Scophthalmus maxima</w:t>
            </w:r>
          </w:p>
        </w:tc>
        <w:tc>
          <w:tcPr>
            <w:tcW w:w="2552" w:type="dxa"/>
            <w:vAlign w:val="center"/>
          </w:tcPr>
          <w:p w14:paraId="239063F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Turbot</w:t>
            </w:r>
          </w:p>
        </w:tc>
        <w:tc>
          <w:tcPr>
            <w:tcW w:w="1134" w:type="dxa"/>
            <w:vAlign w:val="center"/>
          </w:tcPr>
          <w:p w14:paraId="7556C09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 III</w:t>
            </w:r>
          </w:p>
        </w:tc>
      </w:tr>
      <w:tr w:rsidR="00C7266C" w:rsidRPr="00D403F5" w14:paraId="110FC903" w14:textId="77777777" w:rsidTr="00C7266C">
        <w:trPr>
          <w:jc w:val="center"/>
        </w:trPr>
        <w:tc>
          <w:tcPr>
            <w:tcW w:w="1700" w:type="dxa"/>
            <w:vAlign w:val="center"/>
          </w:tcPr>
          <w:p w14:paraId="43A2D245"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Sciaenidae</w:t>
            </w:r>
          </w:p>
        </w:tc>
        <w:tc>
          <w:tcPr>
            <w:tcW w:w="2552" w:type="dxa"/>
            <w:shd w:val="clear" w:color="auto" w:fill="auto"/>
            <w:vAlign w:val="center"/>
          </w:tcPr>
          <w:p w14:paraId="58697788"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Aplodinotus grunniens</w:t>
            </w:r>
          </w:p>
        </w:tc>
        <w:tc>
          <w:tcPr>
            <w:tcW w:w="2552" w:type="dxa"/>
            <w:vAlign w:val="center"/>
          </w:tcPr>
          <w:p w14:paraId="611B8DC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Freshwater drum</w:t>
            </w:r>
          </w:p>
        </w:tc>
        <w:tc>
          <w:tcPr>
            <w:tcW w:w="1134" w:type="dxa"/>
            <w:vAlign w:val="center"/>
          </w:tcPr>
          <w:p w14:paraId="791AB7F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190942CD" w14:textId="77777777" w:rsidTr="00C7266C">
        <w:trPr>
          <w:jc w:val="center"/>
        </w:trPr>
        <w:tc>
          <w:tcPr>
            <w:tcW w:w="1700" w:type="dxa"/>
            <w:vAlign w:val="center"/>
          </w:tcPr>
          <w:p w14:paraId="259F2293"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Scombridae</w:t>
            </w:r>
          </w:p>
        </w:tc>
        <w:tc>
          <w:tcPr>
            <w:tcW w:w="2552" w:type="dxa"/>
            <w:shd w:val="clear" w:color="auto" w:fill="auto"/>
            <w:vAlign w:val="center"/>
          </w:tcPr>
          <w:p w14:paraId="64FE3ADD"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Scomber japonicus</w:t>
            </w:r>
          </w:p>
        </w:tc>
        <w:tc>
          <w:tcPr>
            <w:tcW w:w="2552" w:type="dxa"/>
            <w:vAlign w:val="center"/>
          </w:tcPr>
          <w:p w14:paraId="08252BD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Pacific chub mackerel </w:t>
            </w:r>
          </w:p>
        </w:tc>
        <w:tc>
          <w:tcPr>
            <w:tcW w:w="1134" w:type="dxa"/>
            <w:vAlign w:val="center"/>
          </w:tcPr>
          <w:p w14:paraId="150FC51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14A7D96E" w14:textId="77777777" w:rsidTr="00C7266C">
        <w:trPr>
          <w:jc w:val="center"/>
        </w:trPr>
        <w:tc>
          <w:tcPr>
            <w:tcW w:w="1700" w:type="dxa"/>
            <w:vAlign w:val="center"/>
          </w:tcPr>
          <w:p w14:paraId="13546979"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Soleidae</w:t>
            </w:r>
          </w:p>
        </w:tc>
        <w:tc>
          <w:tcPr>
            <w:tcW w:w="2552" w:type="dxa"/>
            <w:shd w:val="clear" w:color="auto" w:fill="auto"/>
            <w:vAlign w:val="center"/>
          </w:tcPr>
          <w:p w14:paraId="285F06D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Solea senegalensis</w:t>
            </w:r>
          </w:p>
        </w:tc>
        <w:tc>
          <w:tcPr>
            <w:tcW w:w="2552" w:type="dxa"/>
            <w:vAlign w:val="center"/>
          </w:tcPr>
          <w:p w14:paraId="6097708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Senegalese sole</w:t>
            </w:r>
          </w:p>
        </w:tc>
        <w:tc>
          <w:tcPr>
            <w:tcW w:w="1134" w:type="dxa"/>
            <w:vAlign w:val="center"/>
          </w:tcPr>
          <w:p w14:paraId="2CC4CAE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42E7EEAC" w14:textId="77777777" w:rsidTr="00C7266C">
        <w:trPr>
          <w:jc w:val="center"/>
        </w:trPr>
        <w:tc>
          <w:tcPr>
            <w:tcW w:w="1700" w:type="dxa"/>
            <w:vAlign w:val="center"/>
          </w:tcPr>
          <w:p w14:paraId="064D1393"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Uranoscopidae</w:t>
            </w:r>
          </w:p>
        </w:tc>
        <w:tc>
          <w:tcPr>
            <w:tcW w:w="2552" w:type="dxa"/>
            <w:shd w:val="clear" w:color="auto" w:fill="auto"/>
            <w:vAlign w:val="center"/>
          </w:tcPr>
          <w:p w14:paraId="55F4B43C"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Uranoscopus scaber</w:t>
            </w:r>
          </w:p>
        </w:tc>
        <w:tc>
          <w:tcPr>
            <w:tcW w:w="2552" w:type="dxa"/>
            <w:vAlign w:val="center"/>
          </w:tcPr>
          <w:p w14:paraId="27B346B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Atlantic stargazer </w:t>
            </w:r>
          </w:p>
        </w:tc>
        <w:tc>
          <w:tcPr>
            <w:tcW w:w="1134" w:type="dxa"/>
            <w:vAlign w:val="center"/>
          </w:tcPr>
          <w:p w14:paraId="23AD1AC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bl>
    <w:p w14:paraId="56BC1BCB" w14:textId="77777777" w:rsidR="00C7266C" w:rsidRPr="00D403F5" w:rsidRDefault="00C7266C" w:rsidP="00D403F5">
      <w:pPr>
        <w:spacing w:after="0"/>
        <w:ind w:firstLine="720"/>
        <w:jc w:val="center"/>
        <w:rPr>
          <w:rFonts w:ascii="Ottawa" w:eastAsia="Times New Roman" w:hAnsi="Ottawa" w:cs="Times New Roman"/>
          <w:b/>
          <w:bCs/>
          <w:sz w:val="18"/>
          <w:szCs w:val="18"/>
          <w:lang w:val="en-IE" w:eastAsia="fr-FR"/>
        </w:rPr>
      </w:pPr>
      <w:r w:rsidRPr="00D403F5">
        <w:rPr>
          <w:rFonts w:ascii="Arial" w:eastAsia="Times New Roman" w:hAnsi="Arial" w:cs="Arial"/>
          <w:b/>
          <w:sz w:val="18"/>
          <w:szCs w:val="18"/>
          <w:lang w:val="en-IE"/>
        </w:rPr>
        <w:t xml:space="preserve">ND: </w:t>
      </w:r>
      <w:r w:rsidRPr="00D403F5">
        <w:rPr>
          <w:rFonts w:ascii="Arial" w:eastAsia="Times New Roman" w:hAnsi="Arial" w:cs="Arial"/>
          <w:sz w:val="18"/>
          <w:szCs w:val="18"/>
          <w:lang w:val="en-IE"/>
        </w:rPr>
        <w:t>Not determined.</w:t>
      </w:r>
    </w:p>
    <w:p w14:paraId="09831663"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2.2.2.</w:t>
      </w:r>
      <w:r w:rsidRPr="00D403F5">
        <w:rPr>
          <w:rFonts w:ascii="Ottawa" w:eastAsia="Times New Roman" w:hAnsi="Ottawa" w:cs="Times New Roman"/>
          <w:b/>
          <w:bCs/>
          <w:sz w:val="18"/>
          <w:szCs w:val="18"/>
          <w:lang w:val="en-IE" w:eastAsia="fr-FR"/>
        </w:rPr>
        <w:tab/>
        <w:t>Species with incomplete evidence for susceptibility</w:t>
      </w:r>
    </w:p>
    <w:p w14:paraId="04FE8D10" w14:textId="77777777" w:rsidR="00C7266C" w:rsidRPr="00D403F5" w:rsidRDefault="00C7266C" w:rsidP="00D403F5">
      <w:pPr>
        <w:spacing w:after="0" w:line="240" w:lineRule="auto"/>
        <w:ind w:left="851"/>
        <w:jc w:val="both"/>
        <w:rPr>
          <w:rFonts w:ascii="Arial" w:eastAsia="Times New Roman" w:hAnsi="Arial" w:cs="Arial"/>
          <w:bCs/>
          <w:iCs/>
          <w:sz w:val="18"/>
          <w:szCs w:val="18"/>
        </w:rPr>
      </w:pPr>
      <w:r w:rsidRPr="00D403F5">
        <w:rPr>
          <w:rFonts w:ascii="Arial" w:eastAsia="Times New Roman" w:hAnsi="Arial" w:cs="Arial"/>
          <w:bCs/>
          <w:iCs/>
          <w:sz w:val="18"/>
          <w:szCs w:val="18"/>
        </w:rPr>
        <w:t xml:space="preserve">Species for which there is incomplete evidence to fulfil the criteria for listing as susceptible to infection </w:t>
      </w:r>
      <w:r w:rsidRPr="00D403F5">
        <w:rPr>
          <w:rFonts w:ascii="Arial" w:eastAsia="Times New Roman" w:hAnsi="Arial" w:cs="Arial"/>
          <w:bCs/>
          <w:sz w:val="18"/>
          <w:szCs w:val="18"/>
        </w:rPr>
        <w:t xml:space="preserve">with VHSV according to Chapter 1.5 of the </w:t>
      </w:r>
      <w:r w:rsidRPr="00D403F5">
        <w:rPr>
          <w:rFonts w:ascii="Arial" w:eastAsia="Times New Roman" w:hAnsi="Arial" w:cs="Arial"/>
          <w:bCs/>
          <w:i/>
          <w:iCs/>
          <w:sz w:val="18"/>
          <w:szCs w:val="18"/>
        </w:rPr>
        <w:t>Aquatic Code</w:t>
      </w:r>
      <w:r w:rsidRPr="00D403F5">
        <w:rPr>
          <w:rFonts w:ascii="Arial" w:eastAsia="Times New Roman" w:hAnsi="Arial" w:cs="Arial"/>
          <w:bCs/>
          <w:iCs/>
          <w:sz w:val="18"/>
          <w:szCs w:val="18"/>
        </w:rPr>
        <w:t xml:space="preserve"> include:</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552"/>
        <w:gridCol w:w="1134"/>
      </w:tblGrid>
      <w:tr w:rsidR="00C7266C" w:rsidRPr="00D403F5" w14:paraId="5E39EE99" w14:textId="77777777" w:rsidTr="00C7266C">
        <w:trPr>
          <w:tblHeader/>
          <w:jc w:val="center"/>
        </w:trPr>
        <w:tc>
          <w:tcPr>
            <w:tcW w:w="1700" w:type="dxa"/>
            <w:tcBorders>
              <w:top w:val="single" w:sz="4" w:space="0" w:color="auto"/>
              <w:bottom w:val="single" w:sz="4" w:space="0" w:color="auto"/>
            </w:tcBorders>
            <w:vAlign w:val="center"/>
          </w:tcPr>
          <w:p w14:paraId="34766206"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Family</w:t>
            </w:r>
          </w:p>
        </w:tc>
        <w:tc>
          <w:tcPr>
            <w:tcW w:w="2552" w:type="dxa"/>
            <w:tcBorders>
              <w:top w:val="single" w:sz="4" w:space="0" w:color="auto"/>
              <w:bottom w:val="single" w:sz="4" w:space="0" w:color="auto"/>
            </w:tcBorders>
            <w:shd w:val="clear" w:color="auto" w:fill="auto"/>
            <w:vAlign w:val="center"/>
          </w:tcPr>
          <w:p w14:paraId="3C9B5766"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Scientific name</w:t>
            </w:r>
          </w:p>
        </w:tc>
        <w:tc>
          <w:tcPr>
            <w:tcW w:w="2552" w:type="dxa"/>
            <w:tcBorders>
              <w:top w:val="single" w:sz="4" w:space="0" w:color="auto"/>
              <w:bottom w:val="single" w:sz="4" w:space="0" w:color="auto"/>
            </w:tcBorders>
            <w:vAlign w:val="center"/>
          </w:tcPr>
          <w:p w14:paraId="2E74A804"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Common name</w:t>
            </w:r>
          </w:p>
        </w:tc>
        <w:tc>
          <w:tcPr>
            <w:tcW w:w="1134" w:type="dxa"/>
            <w:tcBorders>
              <w:top w:val="single" w:sz="4" w:space="0" w:color="auto"/>
              <w:bottom w:val="single" w:sz="4" w:space="0" w:color="auto"/>
            </w:tcBorders>
          </w:tcPr>
          <w:p w14:paraId="4C5E71A0" w14:textId="77777777" w:rsidR="00C7266C" w:rsidRPr="00D403F5" w:rsidRDefault="00C7266C" w:rsidP="00D403F5">
            <w:pPr>
              <w:spacing w:after="0" w:line="240" w:lineRule="auto"/>
              <w:jc w:val="center"/>
              <w:rPr>
                <w:rFonts w:ascii="Ottawa" w:eastAsia="Times New Roman" w:hAnsi="Ottawa" w:cs="Arial"/>
                <w:b/>
                <w:bCs/>
                <w:sz w:val="18"/>
                <w:szCs w:val="18"/>
                <w:lang w:bidi="en-US"/>
              </w:rPr>
            </w:pPr>
            <w:r w:rsidRPr="00D403F5">
              <w:rPr>
                <w:rFonts w:ascii="Ottawa" w:eastAsia="Times New Roman" w:hAnsi="Ottawa" w:cs="Arial"/>
                <w:b/>
                <w:bCs/>
                <w:sz w:val="18"/>
                <w:szCs w:val="18"/>
                <w:lang w:bidi="en-US"/>
              </w:rPr>
              <w:t>Genotype</w:t>
            </w:r>
          </w:p>
        </w:tc>
      </w:tr>
      <w:tr w:rsidR="00C7266C" w:rsidRPr="00D403F5" w14:paraId="2002988A" w14:textId="77777777" w:rsidTr="00C7266C">
        <w:trPr>
          <w:jc w:val="center"/>
        </w:trPr>
        <w:tc>
          <w:tcPr>
            <w:tcW w:w="1700" w:type="dxa"/>
            <w:vMerge w:val="restart"/>
            <w:tcBorders>
              <w:top w:val="single" w:sz="4" w:space="0" w:color="auto"/>
            </w:tcBorders>
            <w:vAlign w:val="center"/>
          </w:tcPr>
          <w:p w14:paraId="6F835DDD" w14:textId="77777777" w:rsidR="00C7266C" w:rsidRPr="00D403F5" w:rsidRDefault="00C7266C" w:rsidP="00D403F5">
            <w:pPr>
              <w:spacing w:after="0" w:line="240" w:lineRule="auto"/>
              <w:jc w:val="center"/>
              <w:rPr>
                <w:rFonts w:ascii="Arial" w:eastAsia="Times New Roman" w:hAnsi="Arial" w:cs="Arial"/>
                <w:color w:val="000000"/>
                <w:sz w:val="18"/>
                <w:szCs w:val="18"/>
                <w:lang w:val="en-US"/>
              </w:rPr>
            </w:pPr>
            <w:r w:rsidRPr="00D403F5">
              <w:rPr>
                <w:rFonts w:ascii="Arial" w:eastAsia="Times New Roman" w:hAnsi="Arial" w:cs="Arial"/>
                <w:color w:val="000000"/>
                <w:sz w:val="18"/>
                <w:szCs w:val="18"/>
              </w:rPr>
              <w:t>Adrianichthydiae</w:t>
            </w:r>
          </w:p>
        </w:tc>
        <w:tc>
          <w:tcPr>
            <w:tcW w:w="2552" w:type="dxa"/>
            <w:tcBorders>
              <w:top w:val="single" w:sz="4" w:space="0" w:color="auto"/>
            </w:tcBorders>
            <w:shd w:val="clear" w:color="auto" w:fill="auto"/>
            <w:vAlign w:val="center"/>
          </w:tcPr>
          <w:p w14:paraId="1DB4D1E9"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Oryzias latipes</w:t>
            </w:r>
          </w:p>
        </w:tc>
        <w:tc>
          <w:tcPr>
            <w:tcW w:w="2552" w:type="dxa"/>
            <w:tcBorders>
              <w:top w:val="single" w:sz="4" w:space="0" w:color="auto"/>
            </w:tcBorders>
            <w:vAlign w:val="center"/>
          </w:tcPr>
          <w:p w14:paraId="3CE59D6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Japanese rice fish</w:t>
            </w:r>
          </w:p>
        </w:tc>
        <w:tc>
          <w:tcPr>
            <w:tcW w:w="1134" w:type="dxa"/>
            <w:tcBorders>
              <w:top w:val="single" w:sz="4" w:space="0" w:color="auto"/>
            </w:tcBorders>
            <w:vAlign w:val="center"/>
          </w:tcPr>
          <w:p w14:paraId="4FD4566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4023F930" w14:textId="77777777" w:rsidTr="00C7266C">
        <w:trPr>
          <w:jc w:val="center"/>
        </w:trPr>
        <w:tc>
          <w:tcPr>
            <w:tcW w:w="1700" w:type="dxa"/>
            <w:vMerge/>
            <w:vAlign w:val="center"/>
          </w:tcPr>
          <w:p w14:paraId="1EA29CAF"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tcBorders>
            <w:shd w:val="clear" w:color="auto" w:fill="auto"/>
            <w:vAlign w:val="center"/>
          </w:tcPr>
          <w:p w14:paraId="5F61A20A"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Oryzias dancena</w:t>
            </w:r>
          </w:p>
        </w:tc>
        <w:tc>
          <w:tcPr>
            <w:tcW w:w="2552" w:type="dxa"/>
            <w:tcBorders>
              <w:top w:val="single" w:sz="4" w:space="0" w:color="auto"/>
            </w:tcBorders>
            <w:vAlign w:val="center"/>
          </w:tcPr>
          <w:p w14:paraId="3F9249E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Marine medaka</w:t>
            </w:r>
          </w:p>
        </w:tc>
        <w:tc>
          <w:tcPr>
            <w:tcW w:w="1134" w:type="dxa"/>
            <w:tcBorders>
              <w:top w:val="single" w:sz="4" w:space="0" w:color="auto"/>
            </w:tcBorders>
            <w:vAlign w:val="center"/>
          </w:tcPr>
          <w:p w14:paraId="6A28F3F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779FB556" w14:textId="77777777" w:rsidTr="00C7266C">
        <w:trPr>
          <w:jc w:val="center"/>
        </w:trPr>
        <w:tc>
          <w:tcPr>
            <w:tcW w:w="1700" w:type="dxa"/>
            <w:tcBorders>
              <w:top w:val="single" w:sz="4" w:space="0" w:color="auto"/>
              <w:bottom w:val="single" w:sz="4" w:space="0" w:color="auto"/>
            </w:tcBorders>
            <w:vAlign w:val="center"/>
          </w:tcPr>
          <w:p w14:paraId="3F1B7197"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Ammodytidae</w:t>
            </w:r>
          </w:p>
        </w:tc>
        <w:tc>
          <w:tcPr>
            <w:tcW w:w="2552" w:type="dxa"/>
            <w:tcBorders>
              <w:top w:val="single" w:sz="4" w:space="0" w:color="auto"/>
              <w:bottom w:val="single" w:sz="4" w:space="0" w:color="auto"/>
            </w:tcBorders>
            <w:shd w:val="clear" w:color="auto" w:fill="auto"/>
            <w:vAlign w:val="center"/>
          </w:tcPr>
          <w:p w14:paraId="1AE18ED1"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Ammodytes personatus</w:t>
            </w:r>
          </w:p>
        </w:tc>
        <w:tc>
          <w:tcPr>
            <w:tcW w:w="2552" w:type="dxa"/>
            <w:tcBorders>
              <w:top w:val="single" w:sz="4" w:space="0" w:color="auto"/>
              <w:bottom w:val="single" w:sz="4" w:space="0" w:color="auto"/>
            </w:tcBorders>
            <w:vAlign w:val="center"/>
          </w:tcPr>
          <w:p w14:paraId="5A309D0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Sandeel</w:t>
            </w:r>
          </w:p>
        </w:tc>
        <w:tc>
          <w:tcPr>
            <w:tcW w:w="1134" w:type="dxa"/>
            <w:tcBorders>
              <w:top w:val="single" w:sz="4" w:space="0" w:color="auto"/>
              <w:bottom w:val="single" w:sz="4" w:space="0" w:color="auto"/>
            </w:tcBorders>
            <w:vAlign w:val="center"/>
          </w:tcPr>
          <w:p w14:paraId="1605CD3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65BA9229" w14:textId="77777777" w:rsidTr="00C7266C">
        <w:trPr>
          <w:jc w:val="center"/>
        </w:trPr>
        <w:tc>
          <w:tcPr>
            <w:tcW w:w="1700" w:type="dxa"/>
            <w:tcBorders>
              <w:top w:val="single" w:sz="4" w:space="0" w:color="auto"/>
              <w:bottom w:val="single" w:sz="4" w:space="0" w:color="auto"/>
            </w:tcBorders>
            <w:vAlign w:val="center"/>
          </w:tcPr>
          <w:p w14:paraId="44FCA113"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Anguillidae</w:t>
            </w:r>
          </w:p>
        </w:tc>
        <w:tc>
          <w:tcPr>
            <w:tcW w:w="2552" w:type="dxa"/>
            <w:tcBorders>
              <w:top w:val="single" w:sz="4" w:space="0" w:color="auto"/>
              <w:bottom w:val="single" w:sz="4" w:space="0" w:color="auto"/>
            </w:tcBorders>
            <w:shd w:val="clear" w:color="auto" w:fill="auto"/>
            <w:vAlign w:val="center"/>
          </w:tcPr>
          <w:p w14:paraId="2ABC20E8"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Anguilla anguilla</w:t>
            </w:r>
          </w:p>
        </w:tc>
        <w:tc>
          <w:tcPr>
            <w:tcW w:w="2552" w:type="dxa"/>
            <w:tcBorders>
              <w:top w:val="single" w:sz="4" w:space="0" w:color="auto"/>
              <w:bottom w:val="single" w:sz="4" w:space="0" w:color="auto"/>
            </w:tcBorders>
            <w:vAlign w:val="center"/>
          </w:tcPr>
          <w:p w14:paraId="0E47374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eel</w:t>
            </w:r>
          </w:p>
        </w:tc>
        <w:tc>
          <w:tcPr>
            <w:tcW w:w="1134" w:type="dxa"/>
            <w:tcBorders>
              <w:top w:val="single" w:sz="4" w:space="0" w:color="auto"/>
              <w:bottom w:val="single" w:sz="4" w:space="0" w:color="auto"/>
            </w:tcBorders>
            <w:vAlign w:val="center"/>
          </w:tcPr>
          <w:p w14:paraId="5D2168B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59E15EF2" w14:textId="77777777" w:rsidTr="00C7266C">
        <w:trPr>
          <w:jc w:val="center"/>
        </w:trPr>
        <w:tc>
          <w:tcPr>
            <w:tcW w:w="1700" w:type="dxa"/>
            <w:tcBorders>
              <w:top w:val="single" w:sz="4" w:space="0" w:color="auto"/>
              <w:bottom w:val="single" w:sz="4" w:space="0" w:color="auto"/>
            </w:tcBorders>
            <w:vAlign w:val="center"/>
          </w:tcPr>
          <w:p w14:paraId="418627C1"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Argentinidae</w:t>
            </w:r>
          </w:p>
        </w:tc>
        <w:tc>
          <w:tcPr>
            <w:tcW w:w="2552" w:type="dxa"/>
            <w:tcBorders>
              <w:top w:val="single" w:sz="4" w:space="0" w:color="auto"/>
              <w:bottom w:val="single" w:sz="4" w:space="0" w:color="auto"/>
            </w:tcBorders>
            <w:shd w:val="clear" w:color="auto" w:fill="auto"/>
            <w:vAlign w:val="center"/>
          </w:tcPr>
          <w:p w14:paraId="52AFF06D"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Argentina sphyraena</w:t>
            </w:r>
          </w:p>
        </w:tc>
        <w:tc>
          <w:tcPr>
            <w:tcW w:w="2552" w:type="dxa"/>
            <w:tcBorders>
              <w:top w:val="single" w:sz="4" w:space="0" w:color="auto"/>
              <w:bottom w:val="single" w:sz="4" w:space="0" w:color="auto"/>
            </w:tcBorders>
            <w:vAlign w:val="center"/>
          </w:tcPr>
          <w:p w14:paraId="42A7733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Lesser Argentine</w:t>
            </w:r>
          </w:p>
        </w:tc>
        <w:tc>
          <w:tcPr>
            <w:tcW w:w="1134" w:type="dxa"/>
            <w:tcBorders>
              <w:top w:val="single" w:sz="4" w:space="0" w:color="auto"/>
              <w:bottom w:val="single" w:sz="4" w:space="0" w:color="auto"/>
            </w:tcBorders>
            <w:vAlign w:val="center"/>
          </w:tcPr>
          <w:p w14:paraId="2CFBFB3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0848E55F" w14:textId="77777777" w:rsidTr="00C7266C">
        <w:trPr>
          <w:jc w:val="center"/>
        </w:trPr>
        <w:tc>
          <w:tcPr>
            <w:tcW w:w="1700" w:type="dxa"/>
            <w:tcBorders>
              <w:top w:val="single" w:sz="4" w:space="0" w:color="auto"/>
              <w:bottom w:val="single" w:sz="4" w:space="0" w:color="auto"/>
            </w:tcBorders>
            <w:vAlign w:val="center"/>
          </w:tcPr>
          <w:p w14:paraId="36044E52"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Belonidae</w:t>
            </w:r>
          </w:p>
        </w:tc>
        <w:tc>
          <w:tcPr>
            <w:tcW w:w="2552" w:type="dxa"/>
            <w:tcBorders>
              <w:top w:val="single" w:sz="4" w:space="0" w:color="auto"/>
              <w:bottom w:val="single" w:sz="4" w:space="0" w:color="auto"/>
            </w:tcBorders>
            <w:shd w:val="clear" w:color="auto" w:fill="auto"/>
            <w:vAlign w:val="center"/>
          </w:tcPr>
          <w:p w14:paraId="5E3D628C"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Belone belone</w:t>
            </w:r>
          </w:p>
        </w:tc>
        <w:tc>
          <w:tcPr>
            <w:tcW w:w="2552" w:type="dxa"/>
            <w:tcBorders>
              <w:top w:val="single" w:sz="4" w:space="0" w:color="auto"/>
              <w:bottom w:val="single" w:sz="4" w:space="0" w:color="auto"/>
            </w:tcBorders>
            <w:vAlign w:val="center"/>
          </w:tcPr>
          <w:p w14:paraId="73FA8EF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Garfish</w:t>
            </w:r>
          </w:p>
        </w:tc>
        <w:tc>
          <w:tcPr>
            <w:tcW w:w="1134" w:type="dxa"/>
            <w:tcBorders>
              <w:top w:val="single" w:sz="4" w:space="0" w:color="auto"/>
              <w:bottom w:val="single" w:sz="4" w:space="0" w:color="auto"/>
            </w:tcBorders>
            <w:vAlign w:val="center"/>
          </w:tcPr>
          <w:p w14:paraId="6E4C82F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588FBB39" w14:textId="77777777" w:rsidTr="00C7266C">
        <w:trPr>
          <w:jc w:val="center"/>
        </w:trPr>
        <w:tc>
          <w:tcPr>
            <w:tcW w:w="1700" w:type="dxa"/>
            <w:tcBorders>
              <w:top w:val="single" w:sz="4" w:space="0" w:color="auto"/>
              <w:bottom w:val="single" w:sz="4" w:space="0" w:color="auto"/>
            </w:tcBorders>
            <w:vAlign w:val="center"/>
          </w:tcPr>
          <w:p w14:paraId="6F94246E"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Carangidae</w:t>
            </w:r>
          </w:p>
        </w:tc>
        <w:tc>
          <w:tcPr>
            <w:tcW w:w="2552" w:type="dxa"/>
            <w:tcBorders>
              <w:top w:val="single" w:sz="4" w:space="0" w:color="auto"/>
              <w:bottom w:val="single" w:sz="4" w:space="0" w:color="auto"/>
            </w:tcBorders>
            <w:shd w:val="clear" w:color="auto" w:fill="auto"/>
            <w:vAlign w:val="center"/>
          </w:tcPr>
          <w:p w14:paraId="214695A3"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Seriola dumerili</w:t>
            </w:r>
          </w:p>
        </w:tc>
        <w:tc>
          <w:tcPr>
            <w:tcW w:w="2552" w:type="dxa"/>
            <w:tcBorders>
              <w:top w:val="single" w:sz="4" w:space="0" w:color="auto"/>
              <w:bottom w:val="single" w:sz="4" w:space="0" w:color="auto"/>
            </w:tcBorders>
            <w:vAlign w:val="center"/>
          </w:tcPr>
          <w:p w14:paraId="2BE7437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Greater amberjack</w:t>
            </w:r>
          </w:p>
        </w:tc>
        <w:tc>
          <w:tcPr>
            <w:tcW w:w="1134" w:type="dxa"/>
            <w:tcBorders>
              <w:top w:val="single" w:sz="4" w:space="0" w:color="auto"/>
              <w:bottom w:val="single" w:sz="4" w:space="0" w:color="auto"/>
            </w:tcBorders>
            <w:vAlign w:val="center"/>
          </w:tcPr>
          <w:p w14:paraId="6214F1D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0C266615" w14:textId="77777777" w:rsidTr="00C7266C">
        <w:trPr>
          <w:jc w:val="center"/>
        </w:trPr>
        <w:tc>
          <w:tcPr>
            <w:tcW w:w="1700" w:type="dxa"/>
            <w:vMerge w:val="restart"/>
            <w:tcBorders>
              <w:top w:val="single" w:sz="4" w:space="0" w:color="auto"/>
            </w:tcBorders>
            <w:vAlign w:val="center"/>
          </w:tcPr>
          <w:p w14:paraId="1D0E50ED"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Catostomidae</w:t>
            </w:r>
          </w:p>
        </w:tc>
        <w:tc>
          <w:tcPr>
            <w:tcW w:w="2552" w:type="dxa"/>
            <w:tcBorders>
              <w:top w:val="single" w:sz="4" w:space="0" w:color="auto"/>
              <w:bottom w:val="single" w:sz="4" w:space="0" w:color="auto"/>
            </w:tcBorders>
            <w:shd w:val="clear" w:color="auto" w:fill="auto"/>
            <w:vAlign w:val="center"/>
          </w:tcPr>
          <w:p w14:paraId="4943580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Catostomus commersonii</w:t>
            </w:r>
          </w:p>
        </w:tc>
        <w:tc>
          <w:tcPr>
            <w:tcW w:w="2552" w:type="dxa"/>
            <w:tcBorders>
              <w:top w:val="single" w:sz="4" w:space="0" w:color="auto"/>
              <w:bottom w:val="single" w:sz="4" w:space="0" w:color="auto"/>
            </w:tcBorders>
            <w:vAlign w:val="center"/>
          </w:tcPr>
          <w:p w14:paraId="379607A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White sucker</w:t>
            </w:r>
          </w:p>
        </w:tc>
        <w:tc>
          <w:tcPr>
            <w:tcW w:w="1134" w:type="dxa"/>
            <w:tcBorders>
              <w:top w:val="single" w:sz="4" w:space="0" w:color="auto"/>
              <w:bottom w:val="single" w:sz="4" w:space="0" w:color="auto"/>
            </w:tcBorders>
            <w:vAlign w:val="center"/>
          </w:tcPr>
          <w:p w14:paraId="11AF463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64AF4B65" w14:textId="77777777" w:rsidTr="00C7266C">
        <w:trPr>
          <w:jc w:val="center"/>
        </w:trPr>
        <w:tc>
          <w:tcPr>
            <w:tcW w:w="1700" w:type="dxa"/>
            <w:vMerge/>
            <w:vAlign w:val="center"/>
          </w:tcPr>
          <w:p w14:paraId="3826F7E4"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4A00AB83"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Moxostoma anisurum</w:t>
            </w:r>
          </w:p>
        </w:tc>
        <w:tc>
          <w:tcPr>
            <w:tcW w:w="2552" w:type="dxa"/>
            <w:tcBorders>
              <w:top w:val="single" w:sz="4" w:space="0" w:color="auto"/>
              <w:bottom w:val="single" w:sz="4" w:space="0" w:color="auto"/>
            </w:tcBorders>
            <w:vAlign w:val="center"/>
          </w:tcPr>
          <w:p w14:paraId="16C0979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Silver redhorse </w:t>
            </w:r>
          </w:p>
        </w:tc>
        <w:tc>
          <w:tcPr>
            <w:tcW w:w="1134" w:type="dxa"/>
            <w:tcBorders>
              <w:top w:val="single" w:sz="4" w:space="0" w:color="auto"/>
              <w:bottom w:val="single" w:sz="4" w:space="0" w:color="auto"/>
            </w:tcBorders>
            <w:vAlign w:val="center"/>
          </w:tcPr>
          <w:p w14:paraId="7584048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5EB1F6B8" w14:textId="77777777" w:rsidTr="00C7266C">
        <w:trPr>
          <w:jc w:val="center"/>
        </w:trPr>
        <w:tc>
          <w:tcPr>
            <w:tcW w:w="1700" w:type="dxa"/>
            <w:vMerge/>
            <w:tcBorders>
              <w:bottom w:val="single" w:sz="4" w:space="0" w:color="auto"/>
            </w:tcBorders>
            <w:vAlign w:val="center"/>
          </w:tcPr>
          <w:p w14:paraId="33EC481F"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0A978C5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Moxostoma macrolepidotum</w:t>
            </w:r>
          </w:p>
        </w:tc>
        <w:tc>
          <w:tcPr>
            <w:tcW w:w="2552" w:type="dxa"/>
            <w:tcBorders>
              <w:top w:val="single" w:sz="4" w:space="0" w:color="auto"/>
              <w:bottom w:val="single" w:sz="4" w:space="0" w:color="auto"/>
            </w:tcBorders>
            <w:vAlign w:val="center"/>
          </w:tcPr>
          <w:p w14:paraId="72F0304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Shorthead redhorse </w:t>
            </w:r>
          </w:p>
        </w:tc>
        <w:tc>
          <w:tcPr>
            <w:tcW w:w="1134" w:type="dxa"/>
            <w:tcBorders>
              <w:top w:val="single" w:sz="4" w:space="0" w:color="auto"/>
              <w:bottom w:val="single" w:sz="4" w:space="0" w:color="auto"/>
            </w:tcBorders>
            <w:vAlign w:val="center"/>
          </w:tcPr>
          <w:p w14:paraId="0379475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bl>
    <w:p w14:paraId="2970B198" w14:textId="77777777" w:rsidR="000B38E2" w:rsidRPr="00D403F5" w:rsidRDefault="000B38E2" w:rsidP="00A63C15">
      <w:pPr>
        <w:spacing w:after="480" w:line="240" w:lineRule="auto"/>
        <w:rPr>
          <w:rFonts w:ascii="Times New Roman" w:eastAsia="Times New Roman" w:hAnsi="Times New Roman" w:cs="Times New Roman"/>
          <w:sz w:val="18"/>
          <w:szCs w:val="18"/>
        </w:rPr>
      </w:pPr>
      <w:r w:rsidRPr="00D403F5">
        <w:rPr>
          <w:sz w:val="18"/>
          <w:szCs w:val="18"/>
        </w:rPr>
        <w:br w:type="page"/>
      </w: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552"/>
        <w:gridCol w:w="2552"/>
        <w:gridCol w:w="1134"/>
      </w:tblGrid>
      <w:tr w:rsidR="000B38E2" w:rsidRPr="00D403F5" w14:paraId="3579762C" w14:textId="77777777" w:rsidTr="00D403F5">
        <w:trPr>
          <w:jc w:val="center"/>
        </w:trPr>
        <w:tc>
          <w:tcPr>
            <w:tcW w:w="1700" w:type="dxa"/>
            <w:tcBorders>
              <w:top w:val="single" w:sz="4" w:space="0" w:color="auto"/>
              <w:bottom w:val="single" w:sz="4" w:space="0" w:color="auto"/>
            </w:tcBorders>
            <w:vAlign w:val="center"/>
          </w:tcPr>
          <w:p w14:paraId="336C2983" w14:textId="5FEA5AF8"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Ottawa" w:eastAsia="Times New Roman" w:hAnsi="Ottawa" w:cs="Arial"/>
                <w:b/>
                <w:bCs/>
                <w:sz w:val="18"/>
                <w:szCs w:val="18"/>
                <w:lang w:bidi="en-US"/>
              </w:rPr>
              <w:t>Family</w:t>
            </w:r>
          </w:p>
        </w:tc>
        <w:tc>
          <w:tcPr>
            <w:tcW w:w="2552" w:type="dxa"/>
            <w:tcBorders>
              <w:top w:val="single" w:sz="4" w:space="0" w:color="auto"/>
              <w:bottom w:val="single" w:sz="4" w:space="0" w:color="auto"/>
            </w:tcBorders>
            <w:shd w:val="clear" w:color="auto" w:fill="auto"/>
            <w:vAlign w:val="center"/>
          </w:tcPr>
          <w:p w14:paraId="578145FA" w14:textId="3CB0C691" w:rsidR="000B38E2" w:rsidRPr="00D403F5" w:rsidRDefault="000B38E2" w:rsidP="00D403F5">
            <w:pPr>
              <w:spacing w:after="0" w:line="240" w:lineRule="auto"/>
              <w:jc w:val="center"/>
              <w:rPr>
                <w:rFonts w:ascii="Arial" w:eastAsia="Times New Roman" w:hAnsi="Arial" w:cs="Arial"/>
                <w:bCs/>
                <w:i/>
                <w:iCs/>
                <w:color w:val="000000"/>
                <w:sz w:val="18"/>
                <w:szCs w:val="18"/>
                <w:lang w:val="en-IE" w:bidi="en-US"/>
              </w:rPr>
            </w:pPr>
            <w:r w:rsidRPr="00D403F5">
              <w:rPr>
                <w:rFonts w:ascii="Ottawa" w:eastAsia="Times New Roman" w:hAnsi="Ottawa" w:cs="Arial"/>
                <w:b/>
                <w:bCs/>
                <w:sz w:val="18"/>
                <w:szCs w:val="18"/>
                <w:lang w:bidi="en-US"/>
              </w:rPr>
              <w:t>Scientific name</w:t>
            </w:r>
          </w:p>
        </w:tc>
        <w:tc>
          <w:tcPr>
            <w:tcW w:w="2552" w:type="dxa"/>
            <w:tcBorders>
              <w:top w:val="single" w:sz="4" w:space="0" w:color="auto"/>
              <w:bottom w:val="single" w:sz="4" w:space="0" w:color="auto"/>
            </w:tcBorders>
            <w:vAlign w:val="center"/>
          </w:tcPr>
          <w:p w14:paraId="15667B4A" w14:textId="64BE86C9" w:rsidR="000B38E2" w:rsidRPr="00D403F5" w:rsidRDefault="000B38E2" w:rsidP="00D403F5">
            <w:pPr>
              <w:spacing w:after="0" w:line="240" w:lineRule="auto"/>
              <w:jc w:val="center"/>
              <w:rPr>
                <w:rFonts w:ascii="Arial" w:eastAsia="Times New Roman" w:hAnsi="Arial" w:cs="Arial"/>
                <w:bCs/>
                <w:color w:val="000000"/>
                <w:sz w:val="18"/>
                <w:szCs w:val="18"/>
                <w:lang w:val="en-IE" w:bidi="en-US"/>
              </w:rPr>
            </w:pPr>
            <w:r w:rsidRPr="00D403F5">
              <w:rPr>
                <w:rFonts w:ascii="Ottawa" w:eastAsia="Times New Roman" w:hAnsi="Ottawa" w:cs="Arial"/>
                <w:b/>
                <w:bCs/>
                <w:sz w:val="18"/>
                <w:szCs w:val="18"/>
                <w:lang w:bidi="en-US"/>
              </w:rPr>
              <w:t>Common name</w:t>
            </w:r>
          </w:p>
        </w:tc>
        <w:tc>
          <w:tcPr>
            <w:tcW w:w="1134" w:type="dxa"/>
            <w:tcBorders>
              <w:top w:val="single" w:sz="4" w:space="0" w:color="auto"/>
              <w:bottom w:val="single" w:sz="4" w:space="0" w:color="auto"/>
            </w:tcBorders>
          </w:tcPr>
          <w:p w14:paraId="179475D7" w14:textId="7C45AC40" w:rsidR="000B38E2" w:rsidRPr="00D403F5" w:rsidRDefault="000B38E2" w:rsidP="00D403F5">
            <w:pPr>
              <w:spacing w:after="0" w:line="240" w:lineRule="auto"/>
              <w:jc w:val="center"/>
              <w:rPr>
                <w:rFonts w:ascii="Arial" w:eastAsia="Times New Roman" w:hAnsi="Arial" w:cs="Arial"/>
                <w:bCs/>
                <w:iCs/>
                <w:sz w:val="18"/>
                <w:szCs w:val="18"/>
                <w:lang w:bidi="en-US"/>
              </w:rPr>
            </w:pPr>
            <w:r w:rsidRPr="00D403F5">
              <w:rPr>
                <w:rFonts w:ascii="Ottawa" w:eastAsia="Times New Roman" w:hAnsi="Ottawa" w:cs="Arial"/>
                <w:b/>
                <w:bCs/>
                <w:sz w:val="18"/>
                <w:szCs w:val="18"/>
                <w:lang w:bidi="en-US"/>
              </w:rPr>
              <w:t>Genotype</w:t>
            </w:r>
          </w:p>
        </w:tc>
      </w:tr>
      <w:tr w:rsidR="00C7266C" w:rsidRPr="00D403F5" w14:paraId="3F2CBFD8" w14:textId="77777777" w:rsidTr="00C7266C">
        <w:trPr>
          <w:jc w:val="center"/>
        </w:trPr>
        <w:tc>
          <w:tcPr>
            <w:tcW w:w="1700" w:type="dxa"/>
            <w:tcBorders>
              <w:top w:val="single" w:sz="4" w:space="0" w:color="auto"/>
              <w:bottom w:val="single" w:sz="4" w:space="0" w:color="auto"/>
            </w:tcBorders>
            <w:vAlign w:val="center"/>
          </w:tcPr>
          <w:p w14:paraId="6C52DA31" w14:textId="1D1749AB"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Centrarchidae</w:t>
            </w:r>
          </w:p>
        </w:tc>
        <w:tc>
          <w:tcPr>
            <w:tcW w:w="2552" w:type="dxa"/>
            <w:tcBorders>
              <w:top w:val="single" w:sz="4" w:space="0" w:color="auto"/>
              <w:bottom w:val="single" w:sz="4" w:space="0" w:color="auto"/>
            </w:tcBorders>
            <w:shd w:val="clear" w:color="auto" w:fill="auto"/>
            <w:vAlign w:val="center"/>
          </w:tcPr>
          <w:p w14:paraId="4189727A"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Pomoxi annuluris</w:t>
            </w:r>
          </w:p>
        </w:tc>
        <w:tc>
          <w:tcPr>
            <w:tcW w:w="2552" w:type="dxa"/>
            <w:tcBorders>
              <w:top w:val="single" w:sz="4" w:space="0" w:color="auto"/>
              <w:bottom w:val="single" w:sz="4" w:space="0" w:color="auto"/>
            </w:tcBorders>
            <w:vAlign w:val="center"/>
          </w:tcPr>
          <w:p w14:paraId="50F982B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White crappie </w:t>
            </w:r>
          </w:p>
        </w:tc>
        <w:tc>
          <w:tcPr>
            <w:tcW w:w="1134" w:type="dxa"/>
            <w:tcBorders>
              <w:top w:val="single" w:sz="4" w:space="0" w:color="auto"/>
              <w:bottom w:val="single" w:sz="4" w:space="0" w:color="auto"/>
            </w:tcBorders>
            <w:vAlign w:val="center"/>
          </w:tcPr>
          <w:p w14:paraId="0F18A2D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34723776" w14:textId="77777777" w:rsidTr="00C7266C">
        <w:trPr>
          <w:jc w:val="center"/>
        </w:trPr>
        <w:tc>
          <w:tcPr>
            <w:tcW w:w="1700" w:type="dxa"/>
            <w:tcBorders>
              <w:top w:val="single" w:sz="4" w:space="0" w:color="auto"/>
              <w:bottom w:val="single" w:sz="4" w:space="0" w:color="auto"/>
            </w:tcBorders>
            <w:vAlign w:val="center"/>
          </w:tcPr>
          <w:p w14:paraId="32C886DA"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Clupeidae</w:t>
            </w:r>
          </w:p>
        </w:tc>
        <w:tc>
          <w:tcPr>
            <w:tcW w:w="2552" w:type="dxa"/>
            <w:tcBorders>
              <w:top w:val="single" w:sz="4" w:space="0" w:color="auto"/>
              <w:bottom w:val="single" w:sz="4" w:space="0" w:color="auto"/>
            </w:tcBorders>
            <w:shd w:val="clear" w:color="auto" w:fill="auto"/>
            <w:vAlign w:val="center"/>
          </w:tcPr>
          <w:p w14:paraId="51EA3AAD"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Alosa pseudoharengus</w:t>
            </w:r>
          </w:p>
        </w:tc>
        <w:tc>
          <w:tcPr>
            <w:tcW w:w="2552" w:type="dxa"/>
            <w:tcBorders>
              <w:top w:val="single" w:sz="4" w:space="0" w:color="auto"/>
              <w:bottom w:val="single" w:sz="4" w:space="0" w:color="auto"/>
            </w:tcBorders>
            <w:vAlign w:val="center"/>
          </w:tcPr>
          <w:p w14:paraId="21D9E4C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Alewife</w:t>
            </w:r>
          </w:p>
        </w:tc>
        <w:tc>
          <w:tcPr>
            <w:tcW w:w="1134" w:type="dxa"/>
            <w:tcBorders>
              <w:top w:val="single" w:sz="4" w:space="0" w:color="auto"/>
              <w:bottom w:val="single" w:sz="4" w:space="0" w:color="auto"/>
            </w:tcBorders>
            <w:vAlign w:val="center"/>
          </w:tcPr>
          <w:p w14:paraId="3F2974C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17891B78" w14:textId="77777777" w:rsidTr="00C7266C">
        <w:trPr>
          <w:jc w:val="center"/>
        </w:trPr>
        <w:tc>
          <w:tcPr>
            <w:tcW w:w="1700" w:type="dxa"/>
            <w:tcBorders>
              <w:top w:val="single" w:sz="4" w:space="0" w:color="auto"/>
              <w:bottom w:val="single" w:sz="4" w:space="0" w:color="auto"/>
            </w:tcBorders>
            <w:vAlign w:val="center"/>
          </w:tcPr>
          <w:p w14:paraId="1CC667AF"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Cottidae</w:t>
            </w:r>
          </w:p>
        </w:tc>
        <w:tc>
          <w:tcPr>
            <w:tcW w:w="2552" w:type="dxa"/>
            <w:tcBorders>
              <w:top w:val="single" w:sz="4" w:space="0" w:color="auto"/>
              <w:bottom w:val="single" w:sz="4" w:space="0" w:color="auto"/>
            </w:tcBorders>
            <w:shd w:val="clear" w:color="auto" w:fill="auto"/>
            <w:vAlign w:val="center"/>
          </w:tcPr>
          <w:p w14:paraId="028478CC"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Cottus pollux</w:t>
            </w:r>
          </w:p>
        </w:tc>
        <w:tc>
          <w:tcPr>
            <w:tcW w:w="2552" w:type="dxa"/>
            <w:tcBorders>
              <w:top w:val="single" w:sz="4" w:space="0" w:color="auto"/>
              <w:bottom w:val="single" w:sz="4" w:space="0" w:color="auto"/>
            </w:tcBorders>
            <w:vAlign w:val="center"/>
          </w:tcPr>
          <w:p w14:paraId="2F1AE3E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Japanese fluvial sculpin </w:t>
            </w:r>
          </w:p>
        </w:tc>
        <w:tc>
          <w:tcPr>
            <w:tcW w:w="1134" w:type="dxa"/>
            <w:tcBorders>
              <w:top w:val="single" w:sz="4" w:space="0" w:color="auto"/>
              <w:bottom w:val="single" w:sz="4" w:space="0" w:color="auto"/>
            </w:tcBorders>
            <w:vAlign w:val="center"/>
          </w:tcPr>
          <w:p w14:paraId="35A50A4E"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49BF16D3" w14:textId="77777777" w:rsidTr="00C7266C">
        <w:trPr>
          <w:jc w:val="center"/>
        </w:trPr>
        <w:tc>
          <w:tcPr>
            <w:tcW w:w="1700" w:type="dxa"/>
            <w:vMerge w:val="restart"/>
            <w:tcBorders>
              <w:top w:val="single" w:sz="4" w:space="0" w:color="auto"/>
            </w:tcBorders>
            <w:vAlign w:val="center"/>
          </w:tcPr>
          <w:p w14:paraId="01EF88DD"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Cyprinidae</w:t>
            </w:r>
          </w:p>
        </w:tc>
        <w:tc>
          <w:tcPr>
            <w:tcW w:w="2552" w:type="dxa"/>
            <w:tcBorders>
              <w:top w:val="single" w:sz="4" w:space="0" w:color="auto"/>
              <w:bottom w:val="single" w:sz="4" w:space="0" w:color="auto"/>
            </w:tcBorders>
            <w:shd w:val="clear" w:color="auto" w:fill="auto"/>
            <w:vAlign w:val="center"/>
          </w:tcPr>
          <w:p w14:paraId="5D623796"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Semotilus corporalis</w:t>
            </w:r>
          </w:p>
        </w:tc>
        <w:tc>
          <w:tcPr>
            <w:tcW w:w="2552" w:type="dxa"/>
            <w:tcBorders>
              <w:top w:val="single" w:sz="4" w:space="0" w:color="auto"/>
              <w:bottom w:val="single" w:sz="4" w:space="0" w:color="auto"/>
            </w:tcBorders>
            <w:vAlign w:val="center"/>
          </w:tcPr>
          <w:p w14:paraId="1BFB634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Fallfish</w:t>
            </w:r>
          </w:p>
        </w:tc>
        <w:tc>
          <w:tcPr>
            <w:tcW w:w="1134" w:type="dxa"/>
            <w:tcBorders>
              <w:top w:val="single" w:sz="4" w:space="0" w:color="auto"/>
              <w:bottom w:val="single" w:sz="4" w:space="0" w:color="auto"/>
            </w:tcBorders>
            <w:vAlign w:val="center"/>
          </w:tcPr>
          <w:p w14:paraId="161BF62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12B7E738" w14:textId="77777777" w:rsidTr="00C7266C">
        <w:trPr>
          <w:jc w:val="center"/>
        </w:trPr>
        <w:tc>
          <w:tcPr>
            <w:tcW w:w="1700" w:type="dxa"/>
            <w:vMerge/>
            <w:tcBorders>
              <w:bottom w:val="single" w:sz="4" w:space="0" w:color="auto"/>
            </w:tcBorders>
            <w:vAlign w:val="center"/>
          </w:tcPr>
          <w:p w14:paraId="42DB82A1"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7A2F3C7E"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Notemigonus crysoleucas</w:t>
            </w:r>
          </w:p>
        </w:tc>
        <w:tc>
          <w:tcPr>
            <w:tcW w:w="2552" w:type="dxa"/>
            <w:tcBorders>
              <w:top w:val="single" w:sz="4" w:space="0" w:color="auto"/>
              <w:bottom w:val="single" w:sz="4" w:space="0" w:color="auto"/>
            </w:tcBorders>
            <w:vAlign w:val="center"/>
          </w:tcPr>
          <w:p w14:paraId="01309E1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Golden shiner</w:t>
            </w:r>
          </w:p>
        </w:tc>
        <w:tc>
          <w:tcPr>
            <w:tcW w:w="1134" w:type="dxa"/>
            <w:tcBorders>
              <w:top w:val="single" w:sz="4" w:space="0" w:color="auto"/>
              <w:bottom w:val="single" w:sz="4" w:space="0" w:color="auto"/>
            </w:tcBorders>
            <w:vAlign w:val="center"/>
          </w:tcPr>
          <w:p w14:paraId="412DBCF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47D8DCE7" w14:textId="77777777" w:rsidTr="00C7266C">
        <w:trPr>
          <w:jc w:val="center"/>
        </w:trPr>
        <w:tc>
          <w:tcPr>
            <w:tcW w:w="1700" w:type="dxa"/>
            <w:tcBorders>
              <w:top w:val="single" w:sz="4" w:space="0" w:color="auto"/>
              <w:bottom w:val="single" w:sz="4" w:space="0" w:color="auto"/>
            </w:tcBorders>
            <w:vAlign w:val="center"/>
          </w:tcPr>
          <w:p w14:paraId="342DFBDA"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Esocidae</w:t>
            </w:r>
          </w:p>
        </w:tc>
        <w:tc>
          <w:tcPr>
            <w:tcW w:w="2552" w:type="dxa"/>
            <w:tcBorders>
              <w:top w:val="single" w:sz="4" w:space="0" w:color="auto"/>
              <w:bottom w:val="single" w:sz="4" w:space="0" w:color="auto"/>
            </w:tcBorders>
            <w:shd w:val="clear" w:color="auto" w:fill="auto"/>
            <w:vAlign w:val="center"/>
          </w:tcPr>
          <w:p w14:paraId="6323AFFD"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i/>
                <w:iCs/>
                <w:color w:val="000000"/>
                <w:sz w:val="18"/>
                <w:szCs w:val="18"/>
                <w:lang w:bidi="en-US"/>
              </w:rPr>
              <w:t xml:space="preserve">Esox lucius </w:t>
            </w:r>
            <w:r w:rsidRPr="00D403F5">
              <w:rPr>
                <w:rFonts w:ascii="Arial" w:eastAsia="Times New Roman" w:hAnsi="Arial" w:cs="Arial"/>
                <w:bCs/>
                <w:color w:val="000000"/>
                <w:sz w:val="18"/>
                <w:szCs w:val="18"/>
                <w:lang w:bidi="en-US"/>
              </w:rPr>
              <w:t>X</w:t>
            </w:r>
            <w:r w:rsidRPr="00D403F5">
              <w:rPr>
                <w:rFonts w:ascii="Arial" w:eastAsia="Times New Roman" w:hAnsi="Arial" w:cs="Arial"/>
                <w:bCs/>
                <w:color w:val="000000"/>
                <w:sz w:val="18"/>
                <w:szCs w:val="18"/>
                <w:lang w:bidi="en-US"/>
              </w:rPr>
              <w:br/>
            </w:r>
            <w:r w:rsidRPr="00D403F5">
              <w:rPr>
                <w:rFonts w:ascii="Arial" w:eastAsia="Times New Roman" w:hAnsi="Arial" w:cs="Arial"/>
                <w:bCs/>
                <w:i/>
                <w:iCs/>
                <w:color w:val="000000"/>
                <w:sz w:val="18"/>
                <w:szCs w:val="18"/>
                <w:lang w:bidi="en-US"/>
              </w:rPr>
              <w:t xml:space="preserve">E. masquinongy </w:t>
            </w:r>
            <w:r w:rsidRPr="00D403F5">
              <w:rPr>
                <w:rFonts w:ascii="Arial" w:eastAsia="Times New Roman" w:hAnsi="Arial" w:cs="Arial"/>
                <w:bCs/>
                <w:iCs/>
                <w:color w:val="000000"/>
                <w:sz w:val="18"/>
                <w:szCs w:val="18"/>
                <w:lang w:bidi="en-US"/>
              </w:rPr>
              <w:t>hybrids</w:t>
            </w:r>
          </w:p>
        </w:tc>
        <w:tc>
          <w:tcPr>
            <w:tcW w:w="2552" w:type="dxa"/>
            <w:tcBorders>
              <w:top w:val="single" w:sz="4" w:space="0" w:color="auto"/>
              <w:bottom w:val="single" w:sz="4" w:space="0" w:color="auto"/>
            </w:tcBorders>
            <w:vAlign w:val="center"/>
          </w:tcPr>
          <w:p w14:paraId="6B2355EC" w14:textId="77777777" w:rsidR="00C7266C" w:rsidRPr="00D403F5" w:rsidRDefault="00C7266C" w:rsidP="00D403F5">
            <w:pPr>
              <w:spacing w:after="0" w:line="240" w:lineRule="auto"/>
              <w:jc w:val="center"/>
              <w:rPr>
                <w:rFonts w:ascii="Arial" w:eastAsia="Times New Roman" w:hAnsi="Arial" w:cs="Arial"/>
                <w:bCs/>
                <w:iCs/>
                <w:sz w:val="18"/>
                <w:szCs w:val="18"/>
                <w:lang w:val="fr-FR" w:bidi="en-US"/>
              </w:rPr>
            </w:pPr>
            <w:r w:rsidRPr="00D403F5">
              <w:rPr>
                <w:rFonts w:ascii="Arial" w:eastAsia="Times New Roman" w:hAnsi="Arial" w:cs="Arial"/>
                <w:bCs/>
                <w:color w:val="000000"/>
                <w:sz w:val="18"/>
                <w:szCs w:val="18"/>
                <w:lang w:val="fr-FR" w:bidi="en-US"/>
              </w:rPr>
              <w:t>Tiger muskellunge (</w:t>
            </w:r>
            <w:r w:rsidRPr="00D403F5">
              <w:rPr>
                <w:rFonts w:ascii="Arial" w:eastAsia="Times New Roman" w:hAnsi="Arial" w:cs="Arial"/>
                <w:bCs/>
                <w:i/>
                <w:color w:val="000000"/>
                <w:sz w:val="18"/>
                <w:szCs w:val="18"/>
                <w:lang w:val="fr-FR" w:bidi="en-US"/>
              </w:rPr>
              <w:t>Esox masquinongy</w:t>
            </w:r>
            <w:r w:rsidRPr="00D403F5">
              <w:rPr>
                <w:rFonts w:ascii="Arial" w:eastAsia="Times New Roman" w:hAnsi="Arial" w:cs="Arial"/>
                <w:bCs/>
                <w:color w:val="000000"/>
                <w:sz w:val="18"/>
                <w:szCs w:val="18"/>
                <w:lang w:val="fr-FR" w:bidi="en-US"/>
              </w:rPr>
              <w:t xml:space="preserve"> X </w:t>
            </w:r>
            <w:r w:rsidRPr="00D403F5">
              <w:rPr>
                <w:rFonts w:ascii="Arial" w:eastAsia="Times New Roman" w:hAnsi="Arial" w:cs="Arial"/>
                <w:bCs/>
                <w:i/>
                <w:color w:val="000000"/>
                <w:sz w:val="18"/>
                <w:szCs w:val="18"/>
                <w:lang w:val="fr-FR" w:bidi="en-US"/>
              </w:rPr>
              <w:t>E.</w:t>
            </w:r>
            <w:r w:rsidRPr="00D403F5">
              <w:rPr>
                <w:rFonts w:ascii="Arial" w:eastAsia="Times New Roman" w:hAnsi="Arial" w:cs="Arial"/>
                <w:bCs/>
                <w:color w:val="000000"/>
                <w:sz w:val="18"/>
                <w:szCs w:val="18"/>
                <w:lang w:val="fr-FR" w:bidi="en-US"/>
              </w:rPr>
              <w:t xml:space="preserve"> </w:t>
            </w:r>
            <w:r w:rsidRPr="00D403F5">
              <w:rPr>
                <w:rFonts w:ascii="Arial" w:eastAsia="Times New Roman" w:hAnsi="Arial" w:cs="Arial"/>
                <w:bCs/>
                <w:i/>
                <w:color w:val="000000"/>
                <w:sz w:val="18"/>
                <w:szCs w:val="18"/>
                <w:lang w:val="fr-FR" w:bidi="en-US"/>
              </w:rPr>
              <w:t>lucius</w:t>
            </w:r>
            <w:r w:rsidRPr="00D403F5">
              <w:rPr>
                <w:rFonts w:ascii="Arial" w:eastAsia="Times New Roman" w:hAnsi="Arial" w:cs="Arial"/>
                <w:bCs/>
                <w:color w:val="000000"/>
                <w:sz w:val="18"/>
                <w:szCs w:val="18"/>
                <w:lang w:val="fr-FR" w:bidi="en-US"/>
              </w:rPr>
              <w:t xml:space="preserve"> or </w:t>
            </w:r>
            <w:r w:rsidRPr="00D403F5">
              <w:rPr>
                <w:rFonts w:ascii="Arial" w:eastAsia="Times New Roman" w:hAnsi="Arial" w:cs="Arial"/>
                <w:bCs/>
                <w:color w:val="000000"/>
                <w:sz w:val="18"/>
                <w:szCs w:val="18"/>
                <w:lang w:val="fr-FR" w:bidi="en-US"/>
              </w:rPr>
              <w:br/>
            </w:r>
            <w:r w:rsidRPr="00D403F5">
              <w:rPr>
                <w:rFonts w:ascii="Arial" w:eastAsia="Times New Roman" w:hAnsi="Arial" w:cs="Arial"/>
                <w:bCs/>
                <w:i/>
                <w:color w:val="000000"/>
                <w:sz w:val="18"/>
                <w:szCs w:val="18"/>
                <w:lang w:val="fr-FR" w:bidi="en-US"/>
              </w:rPr>
              <w:t>E. lucius</w:t>
            </w:r>
            <w:r w:rsidRPr="00D403F5">
              <w:rPr>
                <w:rFonts w:ascii="Arial" w:eastAsia="Times New Roman" w:hAnsi="Arial" w:cs="Arial"/>
                <w:bCs/>
                <w:color w:val="000000"/>
                <w:sz w:val="18"/>
                <w:szCs w:val="18"/>
                <w:lang w:val="fr-FR" w:bidi="en-US"/>
              </w:rPr>
              <w:t xml:space="preserve"> X </w:t>
            </w:r>
            <w:r w:rsidRPr="00D403F5">
              <w:rPr>
                <w:rFonts w:ascii="Arial" w:eastAsia="Times New Roman" w:hAnsi="Arial" w:cs="Arial"/>
                <w:bCs/>
                <w:i/>
                <w:color w:val="000000"/>
                <w:sz w:val="18"/>
                <w:szCs w:val="18"/>
                <w:lang w:val="fr-FR" w:bidi="en-US"/>
              </w:rPr>
              <w:t>E.</w:t>
            </w:r>
            <w:r w:rsidRPr="00D403F5">
              <w:rPr>
                <w:rFonts w:ascii="Arial" w:eastAsia="Times New Roman" w:hAnsi="Arial" w:cs="Arial"/>
                <w:bCs/>
                <w:color w:val="000000"/>
                <w:sz w:val="18"/>
                <w:szCs w:val="18"/>
                <w:lang w:val="fr-FR" w:bidi="en-US"/>
              </w:rPr>
              <w:t xml:space="preserve"> </w:t>
            </w:r>
            <w:r w:rsidRPr="00D403F5">
              <w:rPr>
                <w:rFonts w:ascii="Arial" w:eastAsia="Times New Roman" w:hAnsi="Arial" w:cs="Arial"/>
                <w:bCs/>
                <w:i/>
                <w:color w:val="000000"/>
                <w:sz w:val="18"/>
                <w:szCs w:val="18"/>
                <w:lang w:val="fr-FR" w:bidi="en-US"/>
              </w:rPr>
              <w:t>masquinongy</w:t>
            </w:r>
            <w:r w:rsidRPr="00D403F5">
              <w:rPr>
                <w:rFonts w:ascii="Arial" w:eastAsia="Times New Roman" w:hAnsi="Arial" w:cs="Arial"/>
                <w:bCs/>
                <w:color w:val="000000"/>
                <w:sz w:val="18"/>
                <w:szCs w:val="18"/>
                <w:lang w:val="fr-FR" w:bidi="en-US"/>
              </w:rPr>
              <w:t>)</w:t>
            </w:r>
          </w:p>
        </w:tc>
        <w:tc>
          <w:tcPr>
            <w:tcW w:w="1134" w:type="dxa"/>
            <w:tcBorders>
              <w:top w:val="single" w:sz="4" w:space="0" w:color="auto"/>
              <w:bottom w:val="single" w:sz="4" w:space="0" w:color="auto"/>
            </w:tcBorders>
            <w:vAlign w:val="center"/>
          </w:tcPr>
          <w:p w14:paraId="45A436D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3A555FE9" w14:textId="77777777" w:rsidTr="00C7266C">
        <w:trPr>
          <w:trHeight w:val="283"/>
          <w:jc w:val="center"/>
        </w:trPr>
        <w:tc>
          <w:tcPr>
            <w:tcW w:w="1700" w:type="dxa"/>
            <w:tcBorders>
              <w:top w:val="single" w:sz="4" w:space="0" w:color="auto"/>
            </w:tcBorders>
            <w:vAlign w:val="center"/>
          </w:tcPr>
          <w:p w14:paraId="659F5AFD" w14:textId="5438C783"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Fundulidae</w:t>
            </w:r>
          </w:p>
        </w:tc>
        <w:tc>
          <w:tcPr>
            <w:tcW w:w="2552" w:type="dxa"/>
            <w:tcBorders>
              <w:top w:val="single" w:sz="4" w:space="0" w:color="auto"/>
            </w:tcBorders>
            <w:shd w:val="clear" w:color="auto" w:fill="auto"/>
            <w:vAlign w:val="center"/>
          </w:tcPr>
          <w:p w14:paraId="2D728A48"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Fundulus diaphanus</w:t>
            </w:r>
          </w:p>
        </w:tc>
        <w:tc>
          <w:tcPr>
            <w:tcW w:w="2552" w:type="dxa"/>
            <w:tcBorders>
              <w:top w:val="single" w:sz="4" w:space="0" w:color="auto"/>
            </w:tcBorders>
            <w:vAlign w:val="center"/>
          </w:tcPr>
          <w:p w14:paraId="1E2FB4F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Banded killifish </w:t>
            </w:r>
          </w:p>
        </w:tc>
        <w:tc>
          <w:tcPr>
            <w:tcW w:w="1134" w:type="dxa"/>
            <w:tcBorders>
              <w:top w:val="single" w:sz="4" w:space="0" w:color="auto"/>
            </w:tcBorders>
            <w:vAlign w:val="center"/>
          </w:tcPr>
          <w:p w14:paraId="273F16A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598EC6C7" w14:textId="77777777" w:rsidTr="00C7266C">
        <w:trPr>
          <w:jc w:val="center"/>
        </w:trPr>
        <w:tc>
          <w:tcPr>
            <w:tcW w:w="1700" w:type="dxa"/>
            <w:vMerge w:val="restart"/>
            <w:tcBorders>
              <w:top w:val="single" w:sz="4" w:space="0" w:color="auto"/>
            </w:tcBorders>
            <w:vAlign w:val="center"/>
          </w:tcPr>
          <w:p w14:paraId="784D338D"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Gadidae</w:t>
            </w:r>
          </w:p>
        </w:tc>
        <w:tc>
          <w:tcPr>
            <w:tcW w:w="2552" w:type="dxa"/>
            <w:tcBorders>
              <w:top w:val="single" w:sz="4" w:space="0" w:color="auto"/>
              <w:bottom w:val="single" w:sz="4" w:space="0" w:color="auto"/>
            </w:tcBorders>
            <w:shd w:val="clear" w:color="auto" w:fill="auto"/>
            <w:vAlign w:val="center"/>
          </w:tcPr>
          <w:p w14:paraId="44BF941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Gadiculus argenteus</w:t>
            </w:r>
          </w:p>
        </w:tc>
        <w:tc>
          <w:tcPr>
            <w:tcW w:w="2552" w:type="dxa"/>
            <w:tcBorders>
              <w:top w:val="single" w:sz="4" w:space="0" w:color="auto"/>
              <w:bottom w:val="single" w:sz="4" w:space="0" w:color="auto"/>
            </w:tcBorders>
            <w:vAlign w:val="center"/>
          </w:tcPr>
          <w:p w14:paraId="04A2325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Silvery pout </w:t>
            </w:r>
          </w:p>
        </w:tc>
        <w:tc>
          <w:tcPr>
            <w:tcW w:w="1134" w:type="dxa"/>
            <w:tcBorders>
              <w:top w:val="single" w:sz="4" w:space="0" w:color="auto"/>
              <w:bottom w:val="single" w:sz="4" w:space="0" w:color="auto"/>
            </w:tcBorders>
            <w:vAlign w:val="center"/>
          </w:tcPr>
          <w:p w14:paraId="5D712B1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573D65C3" w14:textId="77777777" w:rsidTr="00C7266C">
        <w:trPr>
          <w:jc w:val="center"/>
        </w:trPr>
        <w:tc>
          <w:tcPr>
            <w:tcW w:w="1700" w:type="dxa"/>
            <w:vMerge/>
            <w:vAlign w:val="center"/>
          </w:tcPr>
          <w:p w14:paraId="556CADB0"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45501A45"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Melanogrammus aeglefinus</w:t>
            </w:r>
          </w:p>
        </w:tc>
        <w:tc>
          <w:tcPr>
            <w:tcW w:w="2552" w:type="dxa"/>
            <w:tcBorders>
              <w:top w:val="single" w:sz="4" w:space="0" w:color="auto"/>
              <w:bottom w:val="single" w:sz="4" w:space="0" w:color="auto"/>
            </w:tcBorders>
            <w:vAlign w:val="center"/>
          </w:tcPr>
          <w:p w14:paraId="2D0CA109"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Haddock</w:t>
            </w:r>
          </w:p>
        </w:tc>
        <w:tc>
          <w:tcPr>
            <w:tcW w:w="1134" w:type="dxa"/>
            <w:tcBorders>
              <w:top w:val="single" w:sz="4" w:space="0" w:color="auto"/>
              <w:bottom w:val="single" w:sz="4" w:space="0" w:color="auto"/>
            </w:tcBorders>
            <w:vAlign w:val="center"/>
          </w:tcPr>
          <w:p w14:paraId="588A932F"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39B73F5C" w14:textId="77777777" w:rsidTr="00C7266C">
        <w:trPr>
          <w:jc w:val="center"/>
        </w:trPr>
        <w:tc>
          <w:tcPr>
            <w:tcW w:w="1700" w:type="dxa"/>
            <w:vMerge/>
            <w:vAlign w:val="center"/>
          </w:tcPr>
          <w:p w14:paraId="6975D50F"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687B9DE1"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Theragra chalcogramma</w:t>
            </w:r>
          </w:p>
        </w:tc>
        <w:tc>
          <w:tcPr>
            <w:tcW w:w="2552" w:type="dxa"/>
            <w:tcBorders>
              <w:top w:val="single" w:sz="4" w:space="0" w:color="auto"/>
              <w:bottom w:val="single" w:sz="4" w:space="0" w:color="auto"/>
            </w:tcBorders>
            <w:vAlign w:val="center"/>
          </w:tcPr>
          <w:p w14:paraId="69649D1F"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Alaska pollock</w:t>
            </w:r>
          </w:p>
        </w:tc>
        <w:tc>
          <w:tcPr>
            <w:tcW w:w="1134" w:type="dxa"/>
            <w:tcBorders>
              <w:top w:val="single" w:sz="4" w:space="0" w:color="auto"/>
              <w:bottom w:val="single" w:sz="4" w:space="0" w:color="auto"/>
            </w:tcBorders>
            <w:vAlign w:val="center"/>
          </w:tcPr>
          <w:p w14:paraId="53ECAD0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00F97EF0" w14:textId="77777777" w:rsidTr="00C7266C">
        <w:trPr>
          <w:jc w:val="center"/>
        </w:trPr>
        <w:tc>
          <w:tcPr>
            <w:tcW w:w="1700" w:type="dxa"/>
            <w:vMerge/>
            <w:vAlign w:val="center"/>
          </w:tcPr>
          <w:p w14:paraId="46068763"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0384A813"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Trisopterus minutus</w:t>
            </w:r>
          </w:p>
        </w:tc>
        <w:tc>
          <w:tcPr>
            <w:tcW w:w="2552" w:type="dxa"/>
            <w:tcBorders>
              <w:top w:val="single" w:sz="4" w:space="0" w:color="auto"/>
              <w:bottom w:val="single" w:sz="4" w:space="0" w:color="auto"/>
            </w:tcBorders>
            <w:vAlign w:val="center"/>
          </w:tcPr>
          <w:p w14:paraId="1330A2D8"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Poor cod </w:t>
            </w:r>
          </w:p>
        </w:tc>
        <w:tc>
          <w:tcPr>
            <w:tcW w:w="1134" w:type="dxa"/>
            <w:tcBorders>
              <w:top w:val="single" w:sz="4" w:space="0" w:color="auto"/>
              <w:bottom w:val="single" w:sz="4" w:space="0" w:color="auto"/>
            </w:tcBorders>
            <w:vAlign w:val="center"/>
          </w:tcPr>
          <w:p w14:paraId="4BE3E5F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116359B0" w14:textId="77777777" w:rsidTr="00C7266C">
        <w:trPr>
          <w:jc w:val="center"/>
        </w:trPr>
        <w:tc>
          <w:tcPr>
            <w:tcW w:w="1700" w:type="dxa"/>
            <w:tcBorders>
              <w:top w:val="single" w:sz="4" w:space="0" w:color="auto"/>
              <w:bottom w:val="single" w:sz="4" w:space="0" w:color="auto"/>
            </w:tcBorders>
            <w:vAlign w:val="center"/>
          </w:tcPr>
          <w:p w14:paraId="7E8760A0"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Ictaluridae</w:t>
            </w:r>
          </w:p>
        </w:tc>
        <w:tc>
          <w:tcPr>
            <w:tcW w:w="2552" w:type="dxa"/>
            <w:tcBorders>
              <w:top w:val="single" w:sz="4" w:space="0" w:color="auto"/>
              <w:bottom w:val="single" w:sz="4" w:space="0" w:color="auto"/>
            </w:tcBorders>
            <w:shd w:val="clear" w:color="auto" w:fill="auto"/>
            <w:vAlign w:val="center"/>
          </w:tcPr>
          <w:p w14:paraId="2A92D71C"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Ictalurus punctatus</w:t>
            </w:r>
          </w:p>
        </w:tc>
        <w:tc>
          <w:tcPr>
            <w:tcW w:w="2552" w:type="dxa"/>
            <w:tcBorders>
              <w:top w:val="single" w:sz="4" w:space="0" w:color="auto"/>
              <w:bottom w:val="single" w:sz="4" w:space="0" w:color="auto"/>
            </w:tcBorders>
            <w:vAlign w:val="center"/>
          </w:tcPr>
          <w:p w14:paraId="5E530B4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Channel catfish</w:t>
            </w:r>
          </w:p>
        </w:tc>
        <w:tc>
          <w:tcPr>
            <w:tcW w:w="1134" w:type="dxa"/>
            <w:tcBorders>
              <w:top w:val="single" w:sz="4" w:space="0" w:color="auto"/>
              <w:bottom w:val="single" w:sz="4" w:space="0" w:color="auto"/>
            </w:tcBorders>
            <w:vAlign w:val="center"/>
          </w:tcPr>
          <w:p w14:paraId="32E4DF9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3FA4601B" w14:textId="77777777" w:rsidTr="00C7266C">
        <w:trPr>
          <w:jc w:val="center"/>
        </w:trPr>
        <w:tc>
          <w:tcPr>
            <w:tcW w:w="1700" w:type="dxa"/>
            <w:tcBorders>
              <w:top w:val="single" w:sz="4" w:space="0" w:color="auto"/>
              <w:bottom w:val="single" w:sz="4" w:space="0" w:color="auto"/>
            </w:tcBorders>
            <w:vAlign w:val="center"/>
          </w:tcPr>
          <w:p w14:paraId="2B746BA3"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Liparidae</w:t>
            </w:r>
          </w:p>
        </w:tc>
        <w:tc>
          <w:tcPr>
            <w:tcW w:w="2552" w:type="dxa"/>
            <w:tcBorders>
              <w:top w:val="single" w:sz="4" w:space="0" w:color="auto"/>
              <w:bottom w:val="single" w:sz="4" w:space="0" w:color="auto"/>
            </w:tcBorders>
            <w:shd w:val="clear" w:color="auto" w:fill="auto"/>
            <w:vAlign w:val="center"/>
          </w:tcPr>
          <w:p w14:paraId="2C52169F"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Liparis tessellatus</w:t>
            </w:r>
          </w:p>
        </w:tc>
        <w:tc>
          <w:tcPr>
            <w:tcW w:w="2552" w:type="dxa"/>
            <w:tcBorders>
              <w:top w:val="single" w:sz="4" w:space="0" w:color="auto"/>
              <w:bottom w:val="single" w:sz="4" w:space="0" w:color="auto"/>
            </w:tcBorders>
            <w:vAlign w:val="center"/>
          </w:tcPr>
          <w:p w14:paraId="643A936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Cubed snailfish</w:t>
            </w:r>
          </w:p>
        </w:tc>
        <w:tc>
          <w:tcPr>
            <w:tcW w:w="1134" w:type="dxa"/>
            <w:tcBorders>
              <w:top w:val="single" w:sz="4" w:space="0" w:color="auto"/>
              <w:bottom w:val="single" w:sz="4" w:space="0" w:color="auto"/>
            </w:tcBorders>
            <w:vAlign w:val="center"/>
          </w:tcPr>
          <w:p w14:paraId="36358E6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6FED98E0" w14:textId="77777777" w:rsidTr="00C7266C">
        <w:trPr>
          <w:trHeight w:val="57"/>
          <w:jc w:val="center"/>
        </w:trPr>
        <w:tc>
          <w:tcPr>
            <w:tcW w:w="1700" w:type="dxa"/>
            <w:vMerge w:val="restart"/>
            <w:tcBorders>
              <w:top w:val="single" w:sz="4" w:space="0" w:color="auto"/>
            </w:tcBorders>
            <w:vAlign w:val="center"/>
          </w:tcPr>
          <w:p w14:paraId="2007B41E"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Lotidae</w:t>
            </w:r>
          </w:p>
        </w:tc>
        <w:tc>
          <w:tcPr>
            <w:tcW w:w="2552" w:type="dxa"/>
            <w:tcBorders>
              <w:top w:val="single" w:sz="4" w:space="0" w:color="auto"/>
              <w:bottom w:val="single" w:sz="4" w:space="0" w:color="auto"/>
            </w:tcBorders>
            <w:shd w:val="clear" w:color="auto" w:fill="auto"/>
            <w:vAlign w:val="center"/>
          </w:tcPr>
          <w:p w14:paraId="6295A13D"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Lota lota</w:t>
            </w:r>
          </w:p>
        </w:tc>
        <w:tc>
          <w:tcPr>
            <w:tcW w:w="2552" w:type="dxa"/>
            <w:tcBorders>
              <w:top w:val="single" w:sz="4" w:space="0" w:color="auto"/>
              <w:bottom w:val="single" w:sz="4" w:space="0" w:color="auto"/>
            </w:tcBorders>
            <w:vAlign w:val="center"/>
          </w:tcPr>
          <w:p w14:paraId="21577FC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Burbot</w:t>
            </w:r>
          </w:p>
        </w:tc>
        <w:tc>
          <w:tcPr>
            <w:tcW w:w="1134" w:type="dxa"/>
            <w:tcBorders>
              <w:top w:val="single" w:sz="4" w:space="0" w:color="auto"/>
              <w:bottom w:val="single" w:sz="4" w:space="0" w:color="auto"/>
            </w:tcBorders>
            <w:vAlign w:val="center"/>
          </w:tcPr>
          <w:p w14:paraId="34CE786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58FD7F7C" w14:textId="77777777" w:rsidTr="00C7266C">
        <w:trPr>
          <w:jc w:val="center"/>
        </w:trPr>
        <w:tc>
          <w:tcPr>
            <w:tcW w:w="1700" w:type="dxa"/>
            <w:vMerge/>
            <w:tcBorders>
              <w:bottom w:val="single" w:sz="4" w:space="0" w:color="auto"/>
            </w:tcBorders>
            <w:vAlign w:val="center"/>
          </w:tcPr>
          <w:p w14:paraId="090EAF95"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13729151"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Enchelyopus cimbrius</w:t>
            </w:r>
          </w:p>
        </w:tc>
        <w:tc>
          <w:tcPr>
            <w:tcW w:w="2552" w:type="dxa"/>
            <w:tcBorders>
              <w:top w:val="single" w:sz="4" w:space="0" w:color="auto"/>
              <w:bottom w:val="single" w:sz="4" w:space="0" w:color="auto"/>
            </w:tcBorders>
            <w:vAlign w:val="center"/>
          </w:tcPr>
          <w:p w14:paraId="2D3D8E0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Fourbeard rockling </w:t>
            </w:r>
          </w:p>
        </w:tc>
        <w:tc>
          <w:tcPr>
            <w:tcW w:w="1134" w:type="dxa"/>
            <w:tcBorders>
              <w:top w:val="single" w:sz="4" w:space="0" w:color="auto"/>
              <w:bottom w:val="single" w:sz="4" w:space="0" w:color="auto"/>
            </w:tcBorders>
            <w:vAlign w:val="center"/>
          </w:tcPr>
          <w:p w14:paraId="2D7E152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Ib</w:t>
            </w:r>
          </w:p>
        </w:tc>
      </w:tr>
      <w:tr w:rsidR="00C7266C" w:rsidRPr="00D403F5" w14:paraId="137478FA" w14:textId="77777777" w:rsidTr="00C7266C">
        <w:trPr>
          <w:jc w:val="center"/>
        </w:trPr>
        <w:tc>
          <w:tcPr>
            <w:tcW w:w="1700" w:type="dxa"/>
            <w:tcBorders>
              <w:top w:val="single" w:sz="4" w:space="0" w:color="auto"/>
              <w:bottom w:val="single" w:sz="4" w:space="0" w:color="auto"/>
            </w:tcBorders>
            <w:vAlign w:val="center"/>
          </w:tcPr>
          <w:p w14:paraId="1010927D"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Merlucciidae</w:t>
            </w:r>
          </w:p>
        </w:tc>
        <w:tc>
          <w:tcPr>
            <w:tcW w:w="2552" w:type="dxa"/>
            <w:tcBorders>
              <w:top w:val="single" w:sz="4" w:space="0" w:color="auto"/>
              <w:bottom w:val="single" w:sz="4" w:space="0" w:color="auto"/>
            </w:tcBorders>
            <w:shd w:val="clear" w:color="auto" w:fill="auto"/>
            <w:vAlign w:val="center"/>
          </w:tcPr>
          <w:p w14:paraId="66D0821A"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Merluccius productus</w:t>
            </w:r>
          </w:p>
        </w:tc>
        <w:tc>
          <w:tcPr>
            <w:tcW w:w="2552" w:type="dxa"/>
            <w:tcBorders>
              <w:top w:val="single" w:sz="4" w:space="0" w:color="auto"/>
              <w:bottom w:val="single" w:sz="4" w:space="0" w:color="auto"/>
            </w:tcBorders>
            <w:vAlign w:val="center"/>
          </w:tcPr>
          <w:p w14:paraId="681BFE3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North Pacific hake</w:t>
            </w:r>
          </w:p>
        </w:tc>
        <w:tc>
          <w:tcPr>
            <w:tcW w:w="1134" w:type="dxa"/>
            <w:tcBorders>
              <w:top w:val="single" w:sz="4" w:space="0" w:color="auto"/>
              <w:bottom w:val="single" w:sz="4" w:space="0" w:color="auto"/>
            </w:tcBorders>
            <w:vAlign w:val="center"/>
          </w:tcPr>
          <w:p w14:paraId="14F4EEA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23FA2636" w14:textId="77777777" w:rsidTr="00C7266C">
        <w:trPr>
          <w:jc w:val="center"/>
        </w:trPr>
        <w:tc>
          <w:tcPr>
            <w:tcW w:w="1700" w:type="dxa"/>
            <w:tcBorders>
              <w:top w:val="single" w:sz="4" w:space="0" w:color="auto"/>
              <w:bottom w:val="single" w:sz="4" w:space="0" w:color="auto"/>
            </w:tcBorders>
            <w:vAlign w:val="center"/>
          </w:tcPr>
          <w:p w14:paraId="7651CF68"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Moronidae</w:t>
            </w:r>
          </w:p>
        </w:tc>
        <w:tc>
          <w:tcPr>
            <w:tcW w:w="2552" w:type="dxa"/>
            <w:tcBorders>
              <w:top w:val="single" w:sz="4" w:space="0" w:color="auto"/>
              <w:bottom w:val="single" w:sz="4" w:space="0" w:color="auto"/>
            </w:tcBorders>
            <w:shd w:val="clear" w:color="auto" w:fill="auto"/>
            <w:vAlign w:val="center"/>
          </w:tcPr>
          <w:p w14:paraId="3B8EB8A6"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Dicentrarchus labrax</w:t>
            </w:r>
          </w:p>
        </w:tc>
        <w:tc>
          <w:tcPr>
            <w:tcW w:w="2552" w:type="dxa"/>
            <w:tcBorders>
              <w:top w:val="single" w:sz="4" w:space="0" w:color="auto"/>
              <w:bottom w:val="single" w:sz="4" w:space="0" w:color="auto"/>
            </w:tcBorders>
            <w:vAlign w:val="center"/>
          </w:tcPr>
          <w:p w14:paraId="6D4E997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European sea bass</w:t>
            </w:r>
          </w:p>
        </w:tc>
        <w:tc>
          <w:tcPr>
            <w:tcW w:w="1134" w:type="dxa"/>
            <w:tcBorders>
              <w:top w:val="single" w:sz="4" w:space="0" w:color="auto"/>
              <w:bottom w:val="single" w:sz="4" w:space="0" w:color="auto"/>
            </w:tcBorders>
            <w:vAlign w:val="center"/>
          </w:tcPr>
          <w:p w14:paraId="7B631A70"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C7266C" w:rsidRPr="00D403F5" w14:paraId="529C9F46" w14:textId="77777777" w:rsidTr="00C7266C">
        <w:trPr>
          <w:jc w:val="center"/>
        </w:trPr>
        <w:tc>
          <w:tcPr>
            <w:tcW w:w="1700" w:type="dxa"/>
            <w:tcBorders>
              <w:top w:val="single" w:sz="4" w:space="0" w:color="auto"/>
              <w:bottom w:val="single" w:sz="4" w:space="0" w:color="auto"/>
            </w:tcBorders>
            <w:vAlign w:val="center"/>
          </w:tcPr>
          <w:p w14:paraId="4E98B245"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Mugilidae</w:t>
            </w:r>
          </w:p>
        </w:tc>
        <w:tc>
          <w:tcPr>
            <w:tcW w:w="2552" w:type="dxa"/>
            <w:tcBorders>
              <w:top w:val="single" w:sz="4" w:space="0" w:color="auto"/>
              <w:bottom w:val="single" w:sz="4" w:space="0" w:color="auto"/>
            </w:tcBorders>
            <w:shd w:val="clear" w:color="auto" w:fill="auto"/>
            <w:vAlign w:val="center"/>
          </w:tcPr>
          <w:p w14:paraId="52FBD3F0" w14:textId="77777777" w:rsidR="00C7266C" w:rsidRPr="00D403F5" w:rsidRDefault="00C7266C" w:rsidP="00D403F5">
            <w:pPr>
              <w:spacing w:after="0" w:line="240" w:lineRule="auto"/>
              <w:jc w:val="center"/>
              <w:rPr>
                <w:rFonts w:ascii="Arial" w:eastAsia="Times New Roman" w:hAnsi="Arial" w:cs="Arial"/>
                <w:bCs/>
                <w:i/>
                <w:sz w:val="18"/>
                <w:szCs w:val="18"/>
                <w:highlight w:val="yellow"/>
                <w:lang w:bidi="en-US"/>
              </w:rPr>
            </w:pPr>
            <w:r w:rsidRPr="00D403F5">
              <w:rPr>
                <w:rFonts w:ascii="Arial" w:eastAsia="Times New Roman" w:hAnsi="Arial" w:cs="Arial"/>
                <w:bCs/>
                <w:i/>
                <w:iCs/>
                <w:color w:val="000000"/>
                <w:sz w:val="18"/>
                <w:szCs w:val="18"/>
                <w:lang w:val="en-IE" w:bidi="en-US"/>
              </w:rPr>
              <w:t>Mugil cephalus</w:t>
            </w:r>
          </w:p>
        </w:tc>
        <w:tc>
          <w:tcPr>
            <w:tcW w:w="2552" w:type="dxa"/>
            <w:tcBorders>
              <w:top w:val="single" w:sz="4" w:space="0" w:color="auto"/>
              <w:bottom w:val="single" w:sz="4" w:space="0" w:color="auto"/>
            </w:tcBorders>
            <w:vAlign w:val="center"/>
          </w:tcPr>
          <w:p w14:paraId="21FE73F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Flathead grey mullet</w:t>
            </w:r>
          </w:p>
        </w:tc>
        <w:tc>
          <w:tcPr>
            <w:tcW w:w="1134" w:type="dxa"/>
            <w:tcBorders>
              <w:top w:val="single" w:sz="4" w:space="0" w:color="auto"/>
              <w:bottom w:val="single" w:sz="4" w:space="0" w:color="auto"/>
            </w:tcBorders>
            <w:vAlign w:val="center"/>
          </w:tcPr>
          <w:p w14:paraId="39B43D3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780BB521" w14:textId="77777777" w:rsidTr="00C7266C">
        <w:trPr>
          <w:jc w:val="center"/>
        </w:trPr>
        <w:tc>
          <w:tcPr>
            <w:tcW w:w="1700" w:type="dxa"/>
            <w:tcBorders>
              <w:top w:val="single" w:sz="4" w:space="0" w:color="auto"/>
              <w:bottom w:val="single" w:sz="4" w:space="0" w:color="auto"/>
            </w:tcBorders>
            <w:vAlign w:val="center"/>
          </w:tcPr>
          <w:p w14:paraId="5D9720C9"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Ophidiidae</w:t>
            </w:r>
          </w:p>
        </w:tc>
        <w:tc>
          <w:tcPr>
            <w:tcW w:w="2552" w:type="dxa"/>
            <w:tcBorders>
              <w:top w:val="single" w:sz="4" w:space="0" w:color="auto"/>
              <w:bottom w:val="single" w:sz="4" w:space="0" w:color="auto"/>
            </w:tcBorders>
            <w:shd w:val="clear" w:color="auto" w:fill="auto"/>
            <w:vAlign w:val="center"/>
          </w:tcPr>
          <w:p w14:paraId="09D1AF7E"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Hoplobrotula armata</w:t>
            </w:r>
          </w:p>
        </w:tc>
        <w:tc>
          <w:tcPr>
            <w:tcW w:w="2552" w:type="dxa"/>
            <w:tcBorders>
              <w:top w:val="single" w:sz="4" w:space="0" w:color="auto"/>
              <w:bottom w:val="single" w:sz="4" w:space="0" w:color="auto"/>
            </w:tcBorders>
            <w:vAlign w:val="center"/>
          </w:tcPr>
          <w:p w14:paraId="4C461A8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Armoured cusk</w:t>
            </w:r>
          </w:p>
        </w:tc>
        <w:tc>
          <w:tcPr>
            <w:tcW w:w="1134" w:type="dxa"/>
            <w:tcBorders>
              <w:top w:val="single" w:sz="4" w:space="0" w:color="auto"/>
              <w:bottom w:val="single" w:sz="4" w:space="0" w:color="auto"/>
            </w:tcBorders>
            <w:vAlign w:val="center"/>
          </w:tcPr>
          <w:p w14:paraId="3874E89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6B7B57D2" w14:textId="77777777" w:rsidTr="00C7266C">
        <w:trPr>
          <w:jc w:val="center"/>
        </w:trPr>
        <w:tc>
          <w:tcPr>
            <w:tcW w:w="1700" w:type="dxa"/>
            <w:tcBorders>
              <w:top w:val="single" w:sz="4" w:space="0" w:color="auto"/>
              <w:bottom w:val="single" w:sz="4" w:space="0" w:color="auto"/>
            </w:tcBorders>
            <w:vAlign w:val="center"/>
          </w:tcPr>
          <w:p w14:paraId="7430AFBE"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Osmeridae</w:t>
            </w:r>
          </w:p>
        </w:tc>
        <w:tc>
          <w:tcPr>
            <w:tcW w:w="2552" w:type="dxa"/>
            <w:tcBorders>
              <w:top w:val="single" w:sz="4" w:space="0" w:color="auto"/>
              <w:bottom w:val="single" w:sz="4" w:space="0" w:color="auto"/>
            </w:tcBorders>
            <w:shd w:val="clear" w:color="auto" w:fill="auto"/>
            <w:vAlign w:val="center"/>
          </w:tcPr>
          <w:p w14:paraId="0AD2F680"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Hypomesus pretiosus</w:t>
            </w:r>
          </w:p>
        </w:tc>
        <w:tc>
          <w:tcPr>
            <w:tcW w:w="2552" w:type="dxa"/>
            <w:tcBorders>
              <w:top w:val="single" w:sz="4" w:space="0" w:color="auto"/>
              <w:bottom w:val="single" w:sz="4" w:space="0" w:color="auto"/>
            </w:tcBorders>
            <w:vAlign w:val="center"/>
          </w:tcPr>
          <w:p w14:paraId="5A47445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Surf smelt</w:t>
            </w:r>
          </w:p>
        </w:tc>
        <w:tc>
          <w:tcPr>
            <w:tcW w:w="1134" w:type="dxa"/>
            <w:tcBorders>
              <w:top w:val="single" w:sz="4" w:space="0" w:color="auto"/>
              <w:bottom w:val="single" w:sz="4" w:space="0" w:color="auto"/>
            </w:tcBorders>
            <w:vAlign w:val="center"/>
          </w:tcPr>
          <w:p w14:paraId="7B14E3F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ND</w:t>
            </w:r>
          </w:p>
        </w:tc>
      </w:tr>
      <w:tr w:rsidR="00C7266C" w:rsidRPr="00D403F5" w14:paraId="3F4A31C9" w14:textId="77777777" w:rsidTr="00C7266C">
        <w:trPr>
          <w:jc w:val="center"/>
        </w:trPr>
        <w:tc>
          <w:tcPr>
            <w:tcW w:w="1700" w:type="dxa"/>
            <w:tcBorders>
              <w:top w:val="single" w:sz="4" w:space="0" w:color="auto"/>
              <w:bottom w:val="single" w:sz="4" w:space="0" w:color="auto"/>
            </w:tcBorders>
            <w:vAlign w:val="center"/>
          </w:tcPr>
          <w:p w14:paraId="75E4F751"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Oxudercidae</w:t>
            </w:r>
          </w:p>
        </w:tc>
        <w:tc>
          <w:tcPr>
            <w:tcW w:w="2552" w:type="dxa"/>
            <w:tcBorders>
              <w:top w:val="single" w:sz="4" w:space="0" w:color="auto"/>
              <w:bottom w:val="single" w:sz="4" w:space="0" w:color="auto"/>
            </w:tcBorders>
            <w:shd w:val="clear" w:color="auto" w:fill="auto"/>
            <w:vAlign w:val="center"/>
          </w:tcPr>
          <w:p w14:paraId="6BF0CB25"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 xml:space="preserve">Rhinogobius </w:t>
            </w:r>
            <w:r w:rsidRPr="00D403F5">
              <w:rPr>
                <w:rFonts w:ascii="Arial" w:eastAsia="Times New Roman" w:hAnsi="Arial" w:cs="Arial"/>
                <w:bCs/>
                <w:iCs/>
                <w:color w:val="000000"/>
                <w:sz w:val="18"/>
                <w:szCs w:val="18"/>
                <w:lang w:val="en-IE" w:bidi="en-US"/>
              </w:rPr>
              <w:t>sp</w:t>
            </w:r>
            <w:r w:rsidRPr="00D403F5">
              <w:rPr>
                <w:rFonts w:ascii="Arial" w:eastAsia="Times New Roman" w:hAnsi="Arial" w:cs="Arial"/>
                <w:bCs/>
                <w:i/>
                <w:iCs/>
                <w:color w:val="000000"/>
                <w:sz w:val="18"/>
                <w:szCs w:val="18"/>
                <w:lang w:val="en-IE" w:bidi="en-US"/>
              </w:rPr>
              <w:t xml:space="preserve">. </w:t>
            </w:r>
            <w:r w:rsidRPr="00D403F5">
              <w:rPr>
                <w:rFonts w:ascii="Arial" w:eastAsia="Times New Roman" w:hAnsi="Arial" w:cs="Arial"/>
                <w:bCs/>
                <w:i/>
                <w:iCs/>
                <w:color w:val="000000"/>
                <w:sz w:val="18"/>
                <w:szCs w:val="18"/>
                <w:lang w:val="en-IE" w:bidi="en-US"/>
              </w:rPr>
              <w:br/>
            </w:r>
            <w:r w:rsidRPr="00D403F5">
              <w:rPr>
                <w:rFonts w:ascii="Arial" w:eastAsia="Times New Roman" w:hAnsi="Arial" w:cs="Arial"/>
                <w:bCs/>
                <w:color w:val="000000"/>
                <w:sz w:val="18"/>
                <w:szCs w:val="18"/>
                <w:lang w:val="en-IE" w:bidi="en-US"/>
              </w:rPr>
              <w:t>(undescribed species)</w:t>
            </w:r>
          </w:p>
        </w:tc>
        <w:tc>
          <w:tcPr>
            <w:tcW w:w="2552" w:type="dxa"/>
            <w:tcBorders>
              <w:top w:val="single" w:sz="4" w:space="0" w:color="auto"/>
              <w:bottom w:val="single" w:sz="4" w:space="0" w:color="auto"/>
            </w:tcBorders>
            <w:vAlign w:val="center"/>
          </w:tcPr>
          <w:p w14:paraId="0FAE39D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Yoshinobori </w:t>
            </w:r>
          </w:p>
        </w:tc>
        <w:tc>
          <w:tcPr>
            <w:tcW w:w="1134" w:type="dxa"/>
            <w:tcBorders>
              <w:top w:val="single" w:sz="4" w:space="0" w:color="auto"/>
              <w:bottom w:val="single" w:sz="4" w:space="0" w:color="auto"/>
            </w:tcBorders>
            <w:vAlign w:val="center"/>
          </w:tcPr>
          <w:p w14:paraId="29EE8AA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7922A951" w14:textId="77777777" w:rsidTr="00C7266C">
        <w:trPr>
          <w:jc w:val="center"/>
        </w:trPr>
        <w:tc>
          <w:tcPr>
            <w:tcW w:w="1700" w:type="dxa"/>
            <w:tcBorders>
              <w:top w:val="single" w:sz="4" w:space="0" w:color="auto"/>
              <w:bottom w:val="single" w:sz="4" w:space="0" w:color="auto"/>
            </w:tcBorders>
            <w:vAlign w:val="center"/>
          </w:tcPr>
          <w:p w14:paraId="1C64D54C"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Percopsidae</w:t>
            </w:r>
          </w:p>
        </w:tc>
        <w:tc>
          <w:tcPr>
            <w:tcW w:w="2552" w:type="dxa"/>
            <w:tcBorders>
              <w:top w:val="single" w:sz="4" w:space="0" w:color="auto"/>
              <w:bottom w:val="single" w:sz="4" w:space="0" w:color="auto"/>
            </w:tcBorders>
            <w:shd w:val="clear" w:color="auto" w:fill="auto"/>
            <w:vAlign w:val="center"/>
          </w:tcPr>
          <w:p w14:paraId="63577FF3"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Percopsis omiscomaycus</w:t>
            </w:r>
          </w:p>
        </w:tc>
        <w:tc>
          <w:tcPr>
            <w:tcW w:w="2552" w:type="dxa"/>
            <w:tcBorders>
              <w:top w:val="single" w:sz="4" w:space="0" w:color="auto"/>
              <w:bottom w:val="single" w:sz="4" w:space="0" w:color="auto"/>
            </w:tcBorders>
            <w:vAlign w:val="center"/>
          </w:tcPr>
          <w:p w14:paraId="2ED4881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Trout perch</w:t>
            </w:r>
          </w:p>
        </w:tc>
        <w:tc>
          <w:tcPr>
            <w:tcW w:w="1134" w:type="dxa"/>
            <w:tcBorders>
              <w:top w:val="single" w:sz="4" w:space="0" w:color="auto"/>
              <w:bottom w:val="single" w:sz="4" w:space="0" w:color="auto"/>
            </w:tcBorders>
            <w:vAlign w:val="center"/>
          </w:tcPr>
          <w:p w14:paraId="2A7582A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IVb</w:t>
            </w:r>
          </w:p>
        </w:tc>
      </w:tr>
      <w:tr w:rsidR="00C7266C" w:rsidRPr="00D403F5" w14:paraId="1D201B09" w14:textId="77777777" w:rsidTr="00C7266C">
        <w:trPr>
          <w:jc w:val="center"/>
        </w:trPr>
        <w:tc>
          <w:tcPr>
            <w:tcW w:w="1700" w:type="dxa"/>
            <w:vMerge w:val="restart"/>
            <w:tcBorders>
              <w:top w:val="single" w:sz="4" w:space="0" w:color="auto"/>
            </w:tcBorders>
            <w:vAlign w:val="center"/>
          </w:tcPr>
          <w:p w14:paraId="41C68867"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Pleuronectidae</w:t>
            </w:r>
          </w:p>
        </w:tc>
        <w:tc>
          <w:tcPr>
            <w:tcW w:w="2552" w:type="dxa"/>
            <w:tcBorders>
              <w:top w:val="single" w:sz="4" w:space="0" w:color="auto"/>
              <w:bottom w:val="single" w:sz="4" w:space="0" w:color="auto"/>
            </w:tcBorders>
            <w:shd w:val="clear" w:color="auto" w:fill="auto"/>
            <w:vAlign w:val="center"/>
          </w:tcPr>
          <w:p w14:paraId="786BBA8C"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Glyptocephalus stelleri</w:t>
            </w:r>
          </w:p>
        </w:tc>
        <w:tc>
          <w:tcPr>
            <w:tcW w:w="2552" w:type="dxa"/>
            <w:tcBorders>
              <w:top w:val="single" w:sz="4" w:space="0" w:color="auto"/>
              <w:bottom w:val="single" w:sz="4" w:space="0" w:color="auto"/>
            </w:tcBorders>
            <w:vAlign w:val="center"/>
          </w:tcPr>
          <w:p w14:paraId="57E0729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Blackfin flounder</w:t>
            </w:r>
          </w:p>
        </w:tc>
        <w:tc>
          <w:tcPr>
            <w:tcW w:w="1134" w:type="dxa"/>
            <w:tcBorders>
              <w:top w:val="single" w:sz="4" w:space="0" w:color="auto"/>
              <w:bottom w:val="single" w:sz="4" w:space="0" w:color="auto"/>
            </w:tcBorders>
            <w:vAlign w:val="center"/>
          </w:tcPr>
          <w:p w14:paraId="5899BE23"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IVa</w:t>
            </w:r>
          </w:p>
        </w:tc>
      </w:tr>
      <w:tr w:rsidR="00C7266C" w:rsidRPr="00D403F5" w14:paraId="72463DDC" w14:textId="77777777" w:rsidTr="00C7266C">
        <w:trPr>
          <w:jc w:val="center"/>
        </w:trPr>
        <w:tc>
          <w:tcPr>
            <w:tcW w:w="1700" w:type="dxa"/>
            <w:vMerge/>
            <w:vAlign w:val="center"/>
          </w:tcPr>
          <w:p w14:paraId="73B9E555"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3D9FEF81"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Hippoglossus hippoglossus</w:t>
            </w:r>
          </w:p>
        </w:tc>
        <w:tc>
          <w:tcPr>
            <w:tcW w:w="2552" w:type="dxa"/>
            <w:tcBorders>
              <w:top w:val="single" w:sz="4" w:space="0" w:color="auto"/>
              <w:bottom w:val="single" w:sz="4" w:space="0" w:color="auto"/>
            </w:tcBorders>
            <w:vAlign w:val="center"/>
          </w:tcPr>
          <w:p w14:paraId="3BB40AD8"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Atlantic halibut</w:t>
            </w:r>
          </w:p>
        </w:tc>
        <w:tc>
          <w:tcPr>
            <w:tcW w:w="1134" w:type="dxa"/>
            <w:tcBorders>
              <w:top w:val="single" w:sz="4" w:space="0" w:color="auto"/>
              <w:bottom w:val="single" w:sz="4" w:space="0" w:color="auto"/>
            </w:tcBorders>
            <w:vAlign w:val="center"/>
          </w:tcPr>
          <w:p w14:paraId="0510D84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3FB345CA" w14:textId="77777777" w:rsidTr="00C7266C">
        <w:trPr>
          <w:jc w:val="center"/>
        </w:trPr>
        <w:tc>
          <w:tcPr>
            <w:tcW w:w="1700" w:type="dxa"/>
            <w:vMerge/>
            <w:tcBorders>
              <w:bottom w:val="single" w:sz="4" w:space="0" w:color="auto"/>
            </w:tcBorders>
            <w:vAlign w:val="center"/>
          </w:tcPr>
          <w:p w14:paraId="0BC01CDB"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641FC1AB"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Reinhardtius hippoglossoides</w:t>
            </w:r>
          </w:p>
        </w:tc>
        <w:tc>
          <w:tcPr>
            <w:tcW w:w="2552" w:type="dxa"/>
            <w:tcBorders>
              <w:top w:val="single" w:sz="4" w:space="0" w:color="auto"/>
              <w:bottom w:val="single" w:sz="4" w:space="0" w:color="auto"/>
            </w:tcBorders>
            <w:vAlign w:val="center"/>
          </w:tcPr>
          <w:p w14:paraId="31559B3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Greenland halibut</w:t>
            </w:r>
          </w:p>
        </w:tc>
        <w:tc>
          <w:tcPr>
            <w:tcW w:w="1134" w:type="dxa"/>
            <w:tcBorders>
              <w:top w:val="single" w:sz="4" w:space="0" w:color="auto"/>
              <w:bottom w:val="single" w:sz="4" w:space="0" w:color="auto"/>
            </w:tcBorders>
            <w:vAlign w:val="center"/>
          </w:tcPr>
          <w:p w14:paraId="3C3105A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r w:rsidR="00C7266C" w:rsidRPr="00D403F5" w14:paraId="6708FA33" w14:textId="77777777" w:rsidTr="00C7266C">
        <w:trPr>
          <w:jc w:val="center"/>
        </w:trPr>
        <w:tc>
          <w:tcPr>
            <w:tcW w:w="1700" w:type="dxa"/>
            <w:vMerge w:val="restart"/>
            <w:tcBorders>
              <w:top w:val="single" w:sz="4" w:space="0" w:color="auto"/>
            </w:tcBorders>
            <w:vAlign w:val="center"/>
          </w:tcPr>
          <w:p w14:paraId="5B8939F6" w14:textId="77777777" w:rsidR="00C7266C" w:rsidRPr="00D403F5" w:rsidRDefault="00C7266C" w:rsidP="00D403F5">
            <w:pPr>
              <w:spacing w:after="0" w:line="240" w:lineRule="auto"/>
              <w:jc w:val="center"/>
              <w:rPr>
                <w:rFonts w:ascii="Arial" w:eastAsia="Times New Roman" w:hAnsi="Arial" w:cs="Arial"/>
                <w:bCs/>
                <w:sz w:val="18"/>
                <w:szCs w:val="18"/>
                <w:lang w:bidi="en-US"/>
              </w:rPr>
            </w:pPr>
            <w:r w:rsidRPr="00D403F5">
              <w:rPr>
                <w:rFonts w:ascii="Arial" w:eastAsia="Times New Roman" w:hAnsi="Arial" w:cs="Arial"/>
                <w:bCs/>
                <w:color w:val="000000"/>
                <w:sz w:val="18"/>
                <w:szCs w:val="18"/>
                <w:lang w:val="en-IE" w:bidi="en-US"/>
              </w:rPr>
              <w:t>Salmonidae</w:t>
            </w:r>
          </w:p>
        </w:tc>
        <w:tc>
          <w:tcPr>
            <w:tcW w:w="2552" w:type="dxa"/>
            <w:tcBorders>
              <w:top w:val="single" w:sz="4" w:space="0" w:color="auto"/>
              <w:bottom w:val="single" w:sz="4" w:space="0" w:color="auto"/>
            </w:tcBorders>
            <w:shd w:val="clear" w:color="auto" w:fill="auto"/>
            <w:vAlign w:val="center"/>
          </w:tcPr>
          <w:p w14:paraId="3A817B91"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 xml:space="preserve">Oncorhynchus mykiss </w:t>
            </w:r>
            <w:r w:rsidRPr="00D403F5">
              <w:rPr>
                <w:rFonts w:ascii="Arial" w:eastAsia="Times New Roman" w:hAnsi="Arial" w:cs="Arial"/>
                <w:bCs/>
                <w:iCs/>
                <w:color w:val="000000"/>
                <w:sz w:val="18"/>
                <w:szCs w:val="18"/>
                <w:lang w:val="en-IE" w:bidi="en-US"/>
              </w:rPr>
              <w:t xml:space="preserve">X </w:t>
            </w:r>
            <w:r w:rsidRPr="00D403F5">
              <w:rPr>
                <w:rFonts w:ascii="Arial" w:eastAsia="Times New Roman" w:hAnsi="Arial" w:cs="Arial"/>
                <w:bCs/>
                <w:i/>
                <w:iCs/>
                <w:color w:val="000000"/>
                <w:sz w:val="18"/>
                <w:szCs w:val="18"/>
                <w:lang w:val="en-IE" w:bidi="en-US"/>
              </w:rPr>
              <w:t xml:space="preserve">Salvelinus alpinus </w:t>
            </w:r>
            <w:r w:rsidRPr="00D403F5">
              <w:rPr>
                <w:rFonts w:ascii="Arial" w:eastAsia="Times New Roman" w:hAnsi="Arial" w:cs="Arial"/>
                <w:bCs/>
                <w:iCs/>
                <w:color w:val="000000"/>
                <w:sz w:val="18"/>
                <w:szCs w:val="18"/>
                <w:lang w:val="en-IE" w:bidi="en-US"/>
              </w:rPr>
              <w:t>hybrids</w:t>
            </w:r>
          </w:p>
        </w:tc>
        <w:tc>
          <w:tcPr>
            <w:tcW w:w="2552" w:type="dxa"/>
            <w:tcBorders>
              <w:top w:val="single" w:sz="4" w:space="0" w:color="auto"/>
              <w:bottom w:val="single" w:sz="4" w:space="0" w:color="auto"/>
            </w:tcBorders>
            <w:vAlign w:val="center"/>
          </w:tcPr>
          <w:p w14:paraId="146E446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Rainbow trout X </w:t>
            </w:r>
            <w:r w:rsidRPr="00D403F5">
              <w:rPr>
                <w:rFonts w:ascii="Arial" w:eastAsia="Times New Roman" w:hAnsi="Arial" w:cs="Arial"/>
                <w:bCs/>
                <w:color w:val="000000"/>
                <w:sz w:val="18"/>
                <w:szCs w:val="18"/>
                <w:lang w:val="en-IE" w:bidi="en-US"/>
              </w:rPr>
              <w:br/>
              <w:t xml:space="preserve">Arctic charr hybrids </w:t>
            </w:r>
          </w:p>
        </w:tc>
        <w:tc>
          <w:tcPr>
            <w:tcW w:w="1134" w:type="dxa"/>
            <w:tcBorders>
              <w:top w:val="single" w:sz="4" w:space="0" w:color="auto"/>
              <w:bottom w:val="single" w:sz="4" w:space="0" w:color="auto"/>
            </w:tcBorders>
            <w:vAlign w:val="center"/>
          </w:tcPr>
          <w:p w14:paraId="65436F12"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C7266C" w:rsidRPr="00D403F5" w14:paraId="788D8E4F" w14:textId="77777777" w:rsidTr="00C7266C">
        <w:trPr>
          <w:jc w:val="center"/>
        </w:trPr>
        <w:tc>
          <w:tcPr>
            <w:tcW w:w="1700" w:type="dxa"/>
            <w:vMerge/>
            <w:vAlign w:val="center"/>
          </w:tcPr>
          <w:p w14:paraId="5E736F9C"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0D8DA1E5"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 xml:space="preserve">Oncorhynchus mykiss </w:t>
            </w:r>
            <w:r w:rsidRPr="00D403F5">
              <w:rPr>
                <w:rFonts w:ascii="Arial" w:eastAsia="Times New Roman" w:hAnsi="Arial" w:cs="Arial"/>
                <w:bCs/>
                <w:iCs/>
                <w:color w:val="000000"/>
                <w:sz w:val="18"/>
                <w:szCs w:val="18"/>
                <w:lang w:val="en-IE" w:bidi="en-US"/>
              </w:rPr>
              <w:t>X</w:t>
            </w:r>
            <w:r w:rsidRPr="00D403F5">
              <w:rPr>
                <w:rFonts w:ascii="Arial" w:eastAsia="Times New Roman" w:hAnsi="Arial" w:cs="Arial"/>
                <w:bCs/>
                <w:i/>
                <w:iCs/>
                <w:color w:val="000000"/>
                <w:sz w:val="18"/>
                <w:szCs w:val="18"/>
                <w:lang w:val="en-IE" w:bidi="en-US"/>
              </w:rPr>
              <w:t xml:space="preserve"> Salvelinus </w:t>
            </w:r>
            <w:r w:rsidRPr="00D403F5">
              <w:rPr>
                <w:rFonts w:ascii="Arial" w:eastAsia="Times New Roman" w:hAnsi="Arial" w:cs="Arial"/>
                <w:bCs/>
                <w:i/>
                <w:iCs/>
                <w:sz w:val="18"/>
                <w:szCs w:val="18"/>
                <w:lang w:val="en-IE" w:bidi="en-US"/>
              </w:rPr>
              <w:t xml:space="preserve">namaycush </w:t>
            </w:r>
            <w:r w:rsidRPr="00D403F5">
              <w:rPr>
                <w:rFonts w:ascii="Arial" w:eastAsia="Times New Roman" w:hAnsi="Arial" w:cs="Arial"/>
                <w:bCs/>
                <w:iCs/>
                <w:sz w:val="18"/>
                <w:szCs w:val="18"/>
                <w:lang w:val="en-IE" w:bidi="en-US"/>
              </w:rPr>
              <w:t>hybrids</w:t>
            </w:r>
          </w:p>
        </w:tc>
        <w:tc>
          <w:tcPr>
            <w:tcW w:w="2552" w:type="dxa"/>
            <w:tcBorders>
              <w:top w:val="single" w:sz="4" w:space="0" w:color="auto"/>
              <w:bottom w:val="single" w:sz="4" w:space="0" w:color="auto"/>
            </w:tcBorders>
            <w:vAlign w:val="center"/>
          </w:tcPr>
          <w:p w14:paraId="0D888917"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Rainbow trout X lake trout hybrids </w:t>
            </w:r>
          </w:p>
        </w:tc>
        <w:tc>
          <w:tcPr>
            <w:tcW w:w="1134" w:type="dxa"/>
            <w:tcBorders>
              <w:top w:val="single" w:sz="4" w:space="0" w:color="auto"/>
              <w:bottom w:val="single" w:sz="4" w:space="0" w:color="auto"/>
            </w:tcBorders>
            <w:vAlign w:val="center"/>
          </w:tcPr>
          <w:p w14:paraId="49FFE1FD"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u w:val="double"/>
                <w:lang w:bidi="en-US"/>
              </w:rPr>
              <w:t>Ia</w:t>
            </w:r>
          </w:p>
        </w:tc>
      </w:tr>
      <w:tr w:rsidR="00C7266C" w:rsidRPr="00D403F5" w14:paraId="5902C506" w14:textId="77777777" w:rsidTr="00C7266C">
        <w:trPr>
          <w:jc w:val="center"/>
        </w:trPr>
        <w:tc>
          <w:tcPr>
            <w:tcW w:w="1700" w:type="dxa"/>
            <w:vMerge/>
            <w:vAlign w:val="center"/>
          </w:tcPr>
          <w:p w14:paraId="69996003"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3C0541E9"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 xml:space="preserve">Oncorhynchus mykiss </w:t>
            </w:r>
            <w:r w:rsidRPr="00D403F5">
              <w:rPr>
                <w:rFonts w:ascii="Arial" w:eastAsia="Times New Roman" w:hAnsi="Arial" w:cs="Arial"/>
                <w:bCs/>
                <w:iCs/>
                <w:color w:val="000000"/>
                <w:sz w:val="18"/>
                <w:szCs w:val="18"/>
                <w:lang w:val="en-IE" w:bidi="en-US"/>
              </w:rPr>
              <w:t xml:space="preserve">X </w:t>
            </w:r>
            <w:r w:rsidRPr="00D403F5">
              <w:rPr>
                <w:rFonts w:ascii="Arial" w:eastAsia="Times New Roman" w:hAnsi="Arial" w:cs="Arial"/>
                <w:bCs/>
                <w:i/>
                <w:iCs/>
                <w:color w:val="000000"/>
                <w:sz w:val="18"/>
                <w:szCs w:val="18"/>
                <w:lang w:val="en-IE" w:bidi="en-US"/>
              </w:rPr>
              <w:t>Salmo trutta hybrids</w:t>
            </w:r>
          </w:p>
        </w:tc>
        <w:tc>
          <w:tcPr>
            <w:tcW w:w="2552" w:type="dxa"/>
            <w:tcBorders>
              <w:top w:val="single" w:sz="4" w:space="0" w:color="auto"/>
              <w:bottom w:val="single" w:sz="4" w:space="0" w:color="auto"/>
            </w:tcBorders>
            <w:vAlign w:val="center"/>
          </w:tcPr>
          <w:p w14:paraId="30BE53EC"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 xml:space="preserve">Rainbow trout X </w:t>
            </w:r>
            <w:r w:rsidRPr="00D403F5">
              <w:rPr>
                <w:rFonts w:ascii="Arial" w:eastAsia="Times New Roman" w:hAnsi="Arial" w:cs="Arial"/>
                <w:bCs/>
                <w:color w:val="000000"/>
                <w:sz w:val="18"/>
                <w:szCs w:val="18"/>
                <w:lang w:val="en-IE" w:bidi="en-US"/>
              </w:rPr>
              <w:br/>
              <w:t xml:space="preserve">brown trout hybrids </w:t>
            </w:r>
          </w:p>
        </w:tc>
        <w:tc>
          <w:tcPr>
            <w:tcW w:w="1134" w:type="dxa"/>
            <w:tcBorders>
              <w:top w:val="single" w:sz="4" w:space="0" w:color="auto"/>
              <w:bottom w:val="single" w:sz="4" w:space="0" w:color="auto"/>
            </w:tcBorders>
            <w:vAlign w:val="center"/>
          </w:tcPr>
          <w:p w14:paraId="10A65B2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C7266C" w:rsidRPr="00D403F5" w14:paraId="218E2D80" w14:textId="77777777" w:rsidTr="00C7266C">
        <w:trPr>
          <w:jc w:val="center"/>
        </w:trPr>
        <w:tc>
          <w:tcPr>
            <w:tcW w:w="1700" w:type="dxa"/>
            <w:vMerge/>
            <w:vAlign w:val="center"/>
          </w:tcPr>
          <w:p w14:paraId="5A4D4E52"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62C28324"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Salvelinus alpinus</w:t>
            </w:r>
          </w:p>
        </w:tc>
        <w:tc>
          <w:tcPr>
            <w:tcW w:w="2552" w:type="dxa"/>
            <w:tcBorders>
              <w:top w:val="single" w:sz="4" w:space="0" w:color="auto"/>
              <w:bottom w:val="single" w:sz="4" w:space="0" w:color="auto"/>
            </w:tcBorders>
            <w:vAlign w:val="center"/>
          </w:tcPr>
          <w:p w14:paraId="5B2DF6BC" w14:textId="77777777" w:rsidR="00C7266C" w:rsidRPr="00D403F5" w:rsidRDefault="00C7266C" w:rsidP="00D403F5">
            <w:pPr>
              <w:spacing w:after="0" w:line="240" w:lineRule="auto"/>
              <w:jc w:val="center"/>
              <w:rPr>
                <w:rFonts w:ascii="Arial" w:eastAsia="Times New Roman" w:hAnsi="Arial" w:cs="Arial"/>
                <w:bCs/>
                <w:color w:val="000000"/>
                <w:sz w:val="18"/>
                <w:szCs w:val="18"/>
                <w:lang w:val="en-IE" w:bidi="en-US"/>
              </w:rPr>
            </w:pPr>
            <w:r w:rsidRPr="00D403F5">
              <w:rPr>
                <w:rFonts w:ascii="Arial" w:eastAsia="Times New Roman" w:hAnsi="Arial" w:cs="Arial"/>
                <w:bCs/>
                <w:color w:val="000000"/>
                <w:sz w:val="18"/>
                <w:szCs w:val="18"/>
                <w:lang w:val="en-IE" w:bidi="en-US"/>
              </w:rPr>
              <w:t>Arctic charr</w:t>
            </w:r>
          </w:p>
        </w:tc>
        <w:tc>
          <w:tcPr>
            <w:tcW w:w="1134" w:type="dxa"/>
            <w:tcBorders>
              <w:top w:val="single" w:sz="4" w:space="0" w:color="auto"/>
              <w:bottom w:val="single" w:sz="4" w:space="0" w:color="auto"/>
            </w:tcBorders>
            <w:vAlign w:val="center"/>
          </w:tcPr>
          <w:p w14:paraId="0D5F716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Ia</w:t>
            </w:r>
          </w:p>
        </w:tc>
      </w:tr>
      <w:tr w:rsidR="00C7266C" w:rsidRPr="00D403F5" w14:paraId="7F081B00" w14:textId="77777777" w:rsidTr="00C7266C">
        <w:trPr>
          <w:jc w:val="center"/>
        </w:trPr>
        <w:tc>
          <w:tcPr>
            <w:tcW w:w="1700" w:type="dxa"/>
            <w:vMerge/>
            <w:vAlign w:val="center"/>
          </w:tcPr>
          <w:p w14:paraId="66743A00" w14:textId="77777777" w:rsidR="00C7266C" w:rsidRPr="00D403F5" w:rsidRDefault="00C7266C" w:rsidP="00D403F5">
            <w:pPr>
              <w:spacing w:after="0" w:line="240" w:lineRule="auto"/>
              <w:jc w:val="center"/>
              <w:rPr>
                <w:rFonts w:ascii="Arial" w:eastAsia="Times New Roman" w:hAnsi="Arial" w:cs="Arial"/>
                <w:bCs/>
                <w:sz w:val="18"/>
                <w:szCs w:val="18"/>
                <w:lang w:bidi="en-US"/>
              </w:rPr>
            </w:pPr>
          </w:p>
        </w:tc>
        <w:tc>
          <w:tcPr>
            <w:tcW w:w="2552" w:type="dxa"/>
            <w:tcBorders>
              <w:top w:val="single" w:sz="4" w:space="0" w:color="auto"/>
              <w:bottom w:val="single" w:sz="4" w:space="0" w:color="auto"/>
            </w:tcBorders>
            <w:shd w:val="clear" w:color="auto" w:fill="auto"/>
            <w:vAlign w:val="center"/>
          </w:tcPr>
          <w:p w14:paraId="13E1FC2D" w14:textId="77777777" w:rsidR="00C7266C" w:rsidRPr="00D403F5" w:rsidRDefault="00C7266C" w:rsidP="00D403F5">
            <w:pPr>
              <w:spacing w:after="0" w:line="240" w:lineRule="auto"/>
              <w:jc w:val="center"/>
              <w:rPr>
                <w:rFonts w:ascii="Arial" w:eastAsia="Times New Roman" w:hAnsi="Arial" w:cs="Arial"/>
                <w:bCs/>
                <w:i/>
                <w:sz w:val="18"/>
                <w:szCs w:val="18"/>
                <w:lang w:bidi="en-US"/>
              </w:rPr>
            </w:pPr>
            <w:r w:rsidRPr="00D403F5">
              <w:rPr>
                <w:rFonts w:ascii="Arial" w:eastAsia="Times New Roman" w:hAnsi="Arial" w:cs="Arial"/>
                <w:bCs/>
                <w:i/>
                <w:iCs/>
                <w:color w:val="000000"/>
                <w:sz w:val="18"/>
                <w:szCs w:val="18"/>
                <w:lang w:val="en-IE" w:bidi="en-US"/>
              </w:rPr>
              <w:t>Salvelinus fontinalis</w:t>
            </w:r>
          </w:p>
        </w:tc>
        <w:tc>
          <w:tcPr>
            <w:tcW w:w="2552" w:type="dxa"/>
            <w:tcBorders>
              <w:top w:val="single" w:sz="4" w:space="0" w:color="auto"/>
              <w:bottom w:val="single" w:sz="4" w:space="0" w:color="auto"/>
            </w:tcBorders>
            <w:vAlign w:val="center"/>
          </w:tcPr>
          <w:p w14:paraId="5F940C9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Brook trout</w:t>
            </w:r>
          </w:p>
        </w:tc>
        <w:tc>
          <w:tcPr>
            <w:tcW w:w="1134" w:type="dxa"/>
            <w:tcBorders>
              <w:top w:val="single" w:sz="4" w:space="0" w:color="auto"/>
              <w:bottom w:val="single" w:sz="4" w:space="0" w:color="auto"/>
            </w:tcBorders>
            <w:vAlign w:val="center"/>
          </w:tcPr>
          <w:p w14:paraId="4DB39FD9"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458AE8A9" w14:textId="77777777" w:rsidTr="00C7266C">
        <w:trPr>
          <w:jc w:val="center"/>
        </w:trPr>
        <w:tc>
          <w:tcPr>
            <w:tcW w:w="1700" w:type="dxa"/>
            <w:tcBorders>
              <w:top w:val="single" w:sz="4" w:space="0" w:color="auto"/>
              <w:bottom w:val="single" w:sz="4" w:space="0" w:color="auto"/>
            </w:tcBorders>
            <w:vAlign w:val="center"/>
          </w:tcPr>
          <w:p w14:paraId="7500C0AA" w14:textId="77777777" w:rsidR="00C7266C" w:rsidRPr="00D403F5" w:rsidRDefault="00C7266C" w:rsidP="00D403F5">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Sciaenidae</w:t>
            </w:r>
          </w:p>
        </w:tc>
        <w:tc>
          <w:tcPr>
            <w:tcW w:w="2552" w:type="dxa"/>
            <w:tcBorders>
              <w:top w:val="single" w:sz="4" w:space="0" w:color="auto"/>
              <w:bottom w:val="single" w:sz="4" w:space="0" w:color="auto"/>
            </w:tcBorders>
            <w:shd w:val="clear" w:color="auto" w:fill="auto"/>
            <w:vAlign w:val="center"/>
          </w:tcPr>
          <w:p w14:paraId="38EC28BA" w14:textId="77777777" w:rsidR="00C7266C" w:rsidRPr="00D403F5" w:rsidRDefault="00C7266C" w:rsidP="00D403F5">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Larimichthys polyactis</w:t>
            </w:r>
          </w:p>
        </w:tc>
        <w:tc>
          <w:tcPr>
            <w:tcW w:w="2552" w:type="dxa"/>
            <w:tcBorders>
              <w:top w:val="single" w:sz="4" w:space="0" w:color="auto"/>
              <w:bottom w:val="single" w:sz="4" w:space="0" w:color="auto"/>
            </w:tcBorders>
            <w:vAlign w:val="center"/>
          </w:tcPr>
          <w:p w14:paraId="56E341D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Yellow croaker</w:t>
            </w:r>
          </w:p>
        </w:tc>
        <w:tc>
          <w:tcPr>
            <w:tcW w:w="1134" w:type="dxa"/>
            <w:tcBorders>
              <w:top w:val="single" w:sz="4" w:space="0" w:color="auto"/>
              <w:bottom w:val="single" w:sz="4" w:space="0" w:color="auto"/>
            </w:tcBorders>
            <w:vAlign w:val="center"/>
          </w:tcPr>
          <w:p w14:paraId="67626A0A"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51E86973" w14:textId="77777777" w:rsidTr="00C7266C">
        <w:trPr>
          <w:jc w:val="center"/>
        </w:trPr>
        <w:tc>
          <w:tcPr>
            <w:tcW w:w="1700" w:type="dxa"/>
            <w:vMerge w:val="restart"/>
            <w:tcBorders>
              <w:top w:val="single" w:sz="4" w:space="0" w:color="auto"/>
            </w:tcBorders>
            <w:vAlign w:val="center"/>
          </w:tcPr>
          <w:p w14:paraId="7D0C6BDD" w14:textId="77777777" w:rsidR="00C7266C" w:rsidRPr="00D403F5" w:rsidRDefault="00C7266C" w:rsidP="00D403F5">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Scorpaenidae</w:t>
            </w:r>
          </w:p>
        </w:tc>
        <w:tc>
          <w:tcPr>
            <w:tcW w:w="2552" w:type="dxa"/>
            <w:tcBorders>
              <w:top w:val="single" w:sz="4" w:space="0" w:color="auto"/>
              <w:bottom w:val="single" w:sz="4" w:space="0" w:color="auto"/>
            </w:tcBorders>
            <w:shd w:val="clear" w:color="auto" w:fill="auto"/>
            <w:vAlign w:val="center"/>
          </w:tcPr>
          <w:p w14:paraId="609300A2" w14:textId="77777777" w:rsidR="00C7266C" w:rsidRPr="00D403F5" w:rsidRDefault="00C7266C" w:rsidP="00D403F5">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Scorpaena porcus</w:t>
            </w:r>
          </w:p>
        </w:tc>
        <w:tc>
          <w:tcPr>
            <w:tcW w:w="2552" w:type="dxa"/>
            <w:tcBorders>
              <w:top w:val="single" w:sz="4" w:space="0" w:color="auto"/>
              <w:bottom w:val="single" w:sz="4" w:space="0" w:color="auto"/>
            </w:tcBorders>
            <w:vAlign w:val="center"/>
          </w:tcPr>
          <w:p w14:paraId="028C30BB"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 xml:space="preserve">Black scorpionfish </w:t>
            </w:r>
          </w:p>
        </w:tc>
        <w:tc>
          <w:tcPr>
            <w:tcW w:w="1134" w:type="dxa"/>
            <w:tcBorders>
              <w:top w:val="single" w:sz="4" w:space="0" w:color="auto"/>
              <w:bottom w:val="single" w:sz="4" w:space="0" w:color="auto"/>
            </w:tcBorders>
            <w:vAlign w:val="center"/>
          </w:tcPr>
          <w:p w14:paraId="57361C4C"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Ie</w:t>
            </w:r>
          </w:p>
        </w:tc>
      </w:tr>
      <w:tr w:rsidR="00C7266C" w:rsidRPr="00D403F5" w14:paraId="31024EC1" w14:textId="77777777" w:rsidTr="00C7266C">
        <w:trPr>
          <w:jc w:val="center"/>
        </w:trPr>
        <w:tc>
          <w:tcPr>
            <w:tcW w:w="1700" w:type="dxa"/>
            <w:vMerge/>
            <w:tcBorders>
              <w:bottom w:val="single" w:sz="4" w:space="0" w:color="auto"/>
            </w:tcBorders>
            <w:vAlign w:val="center"/>
          </w:tcPr>
          <w:p w14:paraId="5C224973" w14:textId="77777777" w:rsidR="00C7266C" w:rsidRPr="00D403F5" w:rsidRDefault="00C7266C" w:rsidP="00D403F5">
            <w:pPr>
              <w:spacing w:after="0" w:line="240" w:lineRule="auto"/>
              <w:jc w:val="center"/>
              <w:rPr>
                <w:rFonts w:ascii="Arial" w:eastAsia="Times New Roman" w:hAnsi="Arial" w:cs="Arial"/>
                <w:bCs/>
                <w:sz w:val="18"/>
                <w:szCs w:val="18"/>
                <w:u w:val="double"/>
                <w:lang w:bidi="en-US"/>
              </w:rPr>
            </w:pPr>
          </w:p>
        </w:tc>
        <w:tc>
          <w:tcPr>
            <w:tcW w:w="2552" w:type="dxa"/>
            <w:tcBorders>
              <w:top w:val="single" w:sz="4" w:space="0" w:color="auto"/>
              <w:bottom w:val="single" w:sz="4" w:space="0" w:color="auto"/>
            </w:tcBorders>
            <w:shd w:val="clear" w:color="auto" w:fill="auto"/>
            <w:vAlign w:val="center"/>
          </w:tcPr>
          <w:p w14:paraId="2A68B777" w14:textId="77777777" w:rsidR="00C7266C" w:rsidRPr="00D403F5" w:rsidRDefault="00C7266C" w:rsidP="00D403F5">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Scorpaena izensis</w:t>
            </w:r>
          </w:p>
        </w:tc>
        <w:tc>
          <w:tcPr>
            <w:tcW w:w="2552" w:type="dxa"/>
            <w:tcBorders>
              <w:top w:val="single" w:sz="4" w:space="0" w:color="auto"/>
              <w:bottom w:val="single" w:sz="4" w:space="0" w:color="auto"/>
            </w:tcBorders>
            <w:vAlign w:val="center"/>
          </w:tcPr>
          <w:p w14:paraId="0E531F48"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Izu scorpionfish</w:t>
            </w:r>
          </w:p>
        </w:tc>
        <w:tc>
          <w:tcPr>
            <w:tcW w:w="1134" w:type="dxa"/>
            <w:tcBorders>
              <w:top w:val="single" w:sz="4" w:space="0" w:color="auto"/>
              <w:bottom w:val="single" w:sz="4" w:space="0" w:color="auto"/>
            </w:tcBorders>
            <w:vAlign w:val="center"/>
          </w:tcPr>
          <w:p w14:paraId="25E3D8D6"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62ECE9F4" w14:textId="77777777" w:rsidTr="00C7266C">
        <w:trPr>
          <w:jc w:val="center"/>
        </w:trPr>
        <w:tc>
          <w:tcPr>
            <w:tcW w:w="1700" w:type="dxa"/>
            <w:tcBorders>
              <w:top w:val="single" w:sz="4" w:space="0" w:color="auto"/>
              <w:bottom w:val="single" w:sz="4" w:space="0" w:color="auto"/>
            </w:tcBorders>
            <w:vAlign w:val="center"/>
          </w:tcPr>
          <w:p w14:paraId="409400C1" w14:textId="77777777" w:rsidR="00C7266C" w:rsidRPr="00D403F5" w:rsidRDefault="00C7266C" w:rsidP="00D403F5">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Scyliorhinidae</w:t>
            </w:r>
          </w:p>
        </w:tc>
        <w:tc>
          <w:tcPr>
            <w:tcW w:w="2552" w:type="dxa"/>
            <w:tcBorders>
              <w:top w:val="single" w:sz="4" w:space="0" w:color="auto"/>
              <w:bottom w:val="single" w:sz="4" w:space="0" w:color="auto"/>
            </w:tcBorders>
            <w:shd w:val="clear" w:color="auto" w:fill="auto"/>
            <w:vAlign w:val="center"/>
          </w:tcPr>
          <w:p w14:paraId="08EDC043" w14:textId="77777777" w:rsidR="00C7266C" w:rsidRPr="00D403F5" w:rsidRDefault="00C7266C" w:rsidP="00D403F5">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Scyliorhinus torazame</w:t>
            </w:r>
          </w:p>
        </w:tc>
        <w:tc>
          <w:tcPr>
            <w:tcW w:w="2552" w:type="dxa"/>
            <w:tcBorders>
              <w:top w:val="single" w:sz="4" w:space="0" w:color="auto"/>
              <w:bottom w:val="single" w:sz="4" w:space="0" w:color="auto"/>
            </w:tcBorders>
            <w:vAlign w:val="center"/>
          </w:tcPr>
          <w:p w14:paraId="23F57D2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Claudy catshark</w:t>
            </w:r>
          </w:p>
        </w:tc>
        <w:tc>
          <w:tcPr>
            <w:tcW w:w="1134" w:type="dxa"/>
            <w:tcBorders>
              <w:top w:val="single" w:sz="4" w:space="0" w:color="auto"/>
              <w:bottom w:val="single" w:sz="4" w:space="0" w:color="auto"/>
            </w:tcBorders>
            <w:vAlign w:val="center"/>
          </w:tcPr>
          <w:p w14:paraId="1BCEADC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4CD9EA3E" w14:textId="77777777" w:rsidTr="00C7266C">
        <w:trPr>
          <w:jc w:val="center"/>
        </w:trPr>
        <w:tc>
          <w:tcPr>
            <w:tcW w:w="1700" w:type="dxa"/>
            <w:tcBorders>
              <w:top w:val="single" w:sz="4" w:space="0" w:color="auto"/>
              <w:bottom w:val="single" w:sz="4" w:space="0" w:color="auto"/>
            </w:tcBorders>
            <w:vAlign w:val="center"/>
          </w:tcPr>
          <w:p w14:paraId="35D826DC" w14:textId="77777777" w:rsidR="00C7266C" w:rsidRPr="00D403F5" w:rsidRDefault="00C7266C" w:rsidP="00D403F5">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Stromateidae</w:t>
            </w:r>
          </w:p>
        </w:tc>
        <w:tc>
          <w:tcPr>
            <w:tcW w:w="2552" w:type="dxa"/>
            <w:tcBorders>
              <w:top w:val="single" w:sz="4" w:space="0" w:color="auto"/>
              <w:bottom w:val="single" w:sz="4" w:space="0" w:color="auto"/>
            </w:tcBorders>
            <w:shd w:val="clear" w:color="auto" w:fill="auto"/>
            <w:vAlign w:val="center"/>
          </w:tcPr>
          <w:p w14:paraId="40578B02" w14:textId="77777777" w:rsidR="00C7266C" w:rsidRPr="00D403F5" w:rsidRDefault="00C7266C" w:rsidP="00D403F5">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Pampus argenteus</w:t>
            </w:r>
          </w:p>
        </w:tc>
        <w:tc>
          <w:tcPr>
            <w:tcW w:w="2552" w:type="dxa"/>
            <w:tcBorders>
              <w:top w:val="single" w:sz="4" w:space="0" w:color="auto"/>
              <w:bottom w:val="single" w:sz="4" w:space="0" w:color="auto"/>
            </w:tcBorders>
            <w:vAlign w:val="center"/>
          </w:tcPr>
          <w:p w14:paraId="797C915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Silver pomfret</w:t>
            </w:r>
          </w:p>
        </w:tc>
        <w:tc>
          <w:tcPr>
            <w:tcW w:w="1134" w:type="dxa"/>
            <w:tcBorders>
              <w:top w:val="single" w:sz="4" w:space="0" w:color="auto"/>
              <w:bottom w:val="single" w:sz="4" w:space="0" w:color="auto"/>
            </w:tcBorders>
            <w:vAlign w:val="center"/>
          </w:tcPr>
          <w:p w14:paraId="3AE0604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1F392011" w14:textId="77777777" w:rsidTr="00C7266C">
        <w:trPr>
          <w:jc w:val="center"/>
        </w:trPr>
        <w:tc>
          <w:tcPr>
            <w:tcW w:w="1700" w:type="dxa"/>
            <w:tcBorders>
              <w:top w:val="single" w:sz="4" w:space="0" w:color="auto"/>
              <w:bottom w:val="single" w:sz="4" w:space="0" w:color="auto"/>
            </w:tcBorders>
            <w:vAlign w:val="center"/>
          </w:tcPr>
          <w:p w14:paraId="5EFC28AF" w14:textId="77777777" w:rsidR="00C7266C" w:rsidRPr="00D403F5" w:rsidRDefault="00C7266C" w:rsidP="00D403F5">
            <w:pPr>
              <w:spacing w:after="0" w:line="240" w:lineRule="auto"/>
              <w:jc w:val="center"/>
              <w:rPr>
                <w:rFonts w:ascii="Arial" w:eastAsia="Times New Roman" w:hAnsi="Arial" w:cs="Arial"/>
                <w:bCs/>
                <w:sz w:val="18"/>
                <w:szCs w:val="18"/>
                <w:u w:val="double"/>
                <w:lang w:bidi="en-US"/>
              </w:rPr>
            </w:pPr>
            <w:r w:rsidRPr="00D403F5">
              <w:rPr>
                <w:rFonts w:ascii="Arial" w:eastAsia="Times New Roman" w:hAnsi="Arial" w:cs="Arial"/>
                <w:bCs/>
                <w:color w:val="000000"/>
                <w:sz w:val="18"/>
                <w:szCs w:val="18"/>
                <w:lang w:val="en-IE" w:bidi="en-US"/>
              </w:rPr>
              <w:t>Trichiuridae</w:t>
            </w:r>
          </w:p>
        </w:tc>
        <w:tc>
          <w:tcPr>
            <w:tcW w:w="2552" w:type="dxa"/>
            <w:tcBorders>
              <w:top w:val="single" w:sz="4" w:space="0" w:color="auto"/>
              <w:bottom w:val="single" w:sz="4" w:space="0" w:color="auto"/>
            </w:tcBorders>
            <w:shd w:val="clear" w:color="auto" w:fill="auto"/>
            <w:vAlign w:val="center"/>
          </w:tcPr>
          <w:p w14:paraId="0AB1AB74" w14:textId="77777777" w:rsidR="00C7266C" w:rsidRPr="00D403F5" w:rsidRDefault="00C7266C" w:rsidP="00D403F5">
            <w:pPr>
              <w:spacing w:after="0" w:line="240" w:lineRule="auto"/>
              <w:jc w:val="center"/>
              <w:rPr>
                <w:rFonts w:ascii="Arial" w:eastAsia="Times New Roman" w:hAnsi="Arial" w:cs="Arial"/>
                <w:bCs/>
                <w:i/>
                <w:sz w:val="18"/>
                <w:szCs w:val="18"/>
                <w:u w:val="double"/>
                <w:lang w:bidi="en-US"/>
              </w:rPr>
            </w:pPr>
            <w:r w:rsidRPr="00D403F5">
              <w:rPr>
                <w:rFonts w:ascii="Arial" w:eastAsia="Times New Roman" w:hAnsi="Arial" w:cs="Arial"/>
                <w:bCs/>
                <w:i/>
                <w:iCs/>
                <w:color w:val="000000"/>
                <w:sz w:val="18"/>
                <w:szCs w:val="18"/>
                <w:lang w:val="en-IE" w:bidi="en-US"/>
              </w:rPr>
              <w:t>Trichiums lepturus</w:t>
            </w:r>
          </w:p>
        </w:tc>
        <w:tc>
          <w:tcPr>
            <w:tcW w:w="2552" w:type="dxa"/>
            <w:tcBorders>
              <w:top w:val="single" w:sz="4" w:space="0" w:color="auto"/>
              <w:bottom w:val="single" w:sz="4" w:space="0" w:color="auto"/>
            </w:tcBorders>
            <w:vAlign w:val="center"/>
          </w:tcPr>
          <w:p w14:paraId="5D0B2781"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Largehead hairtail</w:t>
            </w:r>
          </w:p>
        </w:tc>
        <w:tc>
          <w:tcPr>
            <w:tcW w:w="1134" w:type="dxa"/>
            <w:tcBorders>
              <w:top w:val="single" w:sz="4" w:space="0" w:color="auto"/>
              <w:bottom w:val="single" w:sz="4" w:space="0" w:color="auto"/>
            </w:tcBorders>
            <w:vAlign w:val="center"/>
          </w:tcPr>
          <w:p w14:paraId="0FF759B5"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IV</w:t>
            </w:r>
          </w:p>
        </w:tc>
      </w:tr>
      <w:tr w:rsidR="00C7266C" w:rsidRPr="00D403F5" w14:paraId="3E610AD3" w14:textId="77777777" w:rsidTr="00C7266C">
        <w:trPr>
          <w:jc w:val="center"/>
        </w:trPr>
        <w:tc>
          <w:tcPr>
            <w:tcW w:w="1700" w:type="dxa"/>
            <w:tcBorders>
              <w:top w:val="single" w:sz="4" w:space="0" w:color="auto"/>
              <w:bottom w:val="single" w:sz="4" w:space="0" w:color="auto"/>
            </w:tcBorders>
            <w:vAlign w:val="center"/>
          </w:tcPr>
          <w:p w14:paraId="6D8FDF33" w14:textId="77777777" w:rsidR="00C7266C" w:rsidRPr="00D403F5" w:rsidRDefault="00C7266C" w:rsidP="00D403F5">
            <w:pPr>
              <w:spacing w:after="0" w:line="240" w:lineRule="auto"/>
              <w:jc w:val="center"/>
              <w:rPr>
                <w:rFonts w:ascii="Arial" w:eastAsia="Times New Roman" w:hAnsi="Arial" w:cs="Arial"/>
                <w:color w:val="000000"/>
                <w:sz w:val="18"/>
                <w:szCs w:val="18"/>
              </w:rPr>
            </w:pPr>
            <w:r w:rsidRPr="00D403F5">
              <w:rPr>
                <w:rFonts w:ascii="Arial" w:eastAsia="Times New Roman" w:hAnsi="Arial" w:cs="Arial"/>
                <w:color w:val="000000"/>
                <w:sz w:val="18"/>
                <w:szCs w:val="18"/>
              </w:rPr>
              <w:t>Triglidae</w:t>
            </w:r>
          </w:p>
        </w:tc>
        <w:tc>
          <w:tcPr>
            <w:tcW w:w="2552" w:type="dxa"/>
            <w:tcBorders>
              <w:top w:val="single" w:sz="4" w:space="0" w:color="auto"/>
              <w:bottom w:val="single" w:sz="4" w:space="0" w:color="auto"/>
            </w:tcBorders>
            <w:shd w:val="clear" w:color="auto" w:fill="auto"/>
            <w:vAlign w:val="center"/>
          </w:tcPr>
          <w:p w14:paraId="43729C1E" w14:textId="77777777" w:rsidR="00C7266C" w:rsidRPr="00D403F5" w:rsidRDefault="00C7266C" w:rsidP="00D403F5">
            <w:pPr>
              <w:spacing w:after="0" w:line="240" w:lineRule="auto"/>
              <w:jc w:val="center"/>
              <w:rPr>
                <w:rFonts w:ascii="Arial" w:eastAsia="Times New Roman" w:hAnsi="Arial" w:cs="Arial"/>
                <w:bCs/>
                <w:i/>
                <w:iCs/>
                <w:color w:val="000000"/>
                <w:sz w:val="18"/>
                <w:szCs w:val="18"/>
                <w:lang w:val="en-IE" w:bidi="en-US"/>
              </w:rPr>
            </w:pPr>
            <w:r w:rsidRPr="00D403F5">
              <w:rPr>
                <w:rFonts w:ascii="Arial" w:eastAsia="Times New Roman" w:hAnsi="Arial" w:cs="Arial"/>
                <w:bCs/>
                <w:i/>
                <w:iCs/>
                <w:color w:val="000000"/>
                <w:sz w:val="18"/>
                <w:szCs w:val="18"/>
                <w:lang w:val="en-IE" w:bidi="en-US"/>
              </w:rPr>
              <w:t>Eutrigla gurnardus</w:t>
            </w:r>
          </w:p>
        </w:tc>
        <w:tc>
          <w:tcPr>
            <w:tcW w:w="2552" w:type="dxa"/>
            <w:tcBorders>
              <w:top w:val="single" w:sz="4" w:space="0" w:color="auto"/>
              <w:bottom w:val="single" w:sz="4" w:space="0" w:color="auto"/>
            </w:tcBorders>
            <w:vAlign w:val="center"/>
          </w:tcPr>
          <w:p w14:paraId="1EDBF6A7"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color w:val="000000"/>
                <w:sz w:val="18"/>
                <w:szCs w:val="18"/>
                <w:lang w:val="en-IE" w:bidi="en-US"/>
              </w:rPr>
              <w:t>Gray gurnard</w:t>
            </w:r>
          </w:p>
        </w:tc>
        <w:tc>
          <w:tcPr>
            <w:tcW w:w="1134" w:type="dxa"/>
            <w:tcBorders>
              <w:top w:val="single" w:sz="4" w:space="0" w:color="auto"/>
              <w:bottom w:val="single" w:sz="4" w:space="0" w:color="auto"/>
            </w:tcBorders>
            <w:vAlign w:val="center"/>
          </w:tcPr>
          <w:p w14:paraId="779230A4" w14:textId="77777777" w:rsidR="00C7266C" w:rsidRPr="00D403F5" w:rsidRDefault="00C7266C" w:rsidP="00D403F5">
            <w:pPr>
              <w:spacing w:after="0" w:line="240" w:lineRule="auto"/>
              <w:jc w:val="center"/>
              <w:rPr>
                <w:rFonts w:ascii="Arial" w:eastAsia="Times New Roman" w:hAnsi="Arial" w:cs="Arial"/>
                <w:bCs/>
                <w:iCs/>
                <w:sz w:val="18"/>
                <w:szCs w:val="18"/>
                <w:lang w:bidi="en-US"/>
              </w:rPr>
            </w:pPr>
            <w:r w:rsidRPr="00D403F5">
              <w:rPr>
                <w:rFonts w:ascii="Arial" w:eastAsia="Times New Roman" w:hAnsi="Arial" w:cs="Arial"/>
                <w:bCs/>
                <w:iCs/>
                <w:sz w:val="18"/>
                <w:szCs w:val="18"/>
                <w:lang w:bidi="en-US"/>
              </w:rPr>
              <w:t>III</w:t>
            </w:r>
          </w:p>
        </w:tc>
      </w:tr>
    </w:tbl>
    <w:p w14:paraId="2BE9153F" w14:textId="77777777" w:rsidR="00C7266C" w:rsidRPr="00D403F5" w:rsidRDefault="00C7266C" w:rsidP="00D403F5">
      <w:pPr>
        <w:spacing w:after="0" w:line="240" w:lineRule="auto"/>
        <w:ind w:left="851" w:hanging="319"/>
        <w:jc w:val="center"/>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ND: Not determined.</w:t>
      </w:r>
    </w:p>
    <w:p w14:paraId="7BA149DE" w14:textId="77777777" w:rsidR="00A63C15" w:rsidRDefault="00A63C15" w:rsidP="00D403F5">
      <w:pPr>
        <w:spacing w:after="0" w:line="240" w:lineRule="auto"/>
        <w:jc w:val="right"/>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22A6C3BD" w14:textId="3867A7E8" w:rsidR="000B38E2" w:rsidRPr="00D403F5" w:rsidRDefault="000B38E2"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27E0EE80" w14:textId="77777777" w:rsidR="00C7266C" w:rsidRPr="00D403F5" w:rsidRDefault="00C7266C" w:rsidP="00D403F5">
      <w:pPr>
        <w:spacing w:after="0" w:line="240" w:lineRule="auto"/>
        <w:ind w:left="284"/>
        <w:jc w:val="both"/>
        <w:rPr>
          <w:rFonts w:ascii="Arial" w:eastAsia="Times New Roman" w:hAnsi="Arial" w:cs="Arial"/>
          <w:color w:val="000000"/>
          <w:sz w:val="18"/>
          <w:szCs w:val="18"/>
          <w:lang w:eastAsia="fr-FR"/>
        </w:rPr>
      </w:pPr>
      <w:r w:rsidRPr="00D403F5">
        <w:rPr>
          <w:rFonts w:ascii="Arial" w:eastAsia="Times New Roman" w:hAnsi="Arial" w:cs="Arial"/>
          <w:sz w:val="18"/>
          <w:szCs w:val="18"/>
          <w:lang w:val="en-IE" w:eastAsia="fr-FR"/>
        </w:rPr>
        <w:t>In addition, pathogen-specific positive polymerase chain reaction (PCR) results have been reported in the following organisms, but an active infection has not been demonstrated:</w:t>
      </w:r>
      <w:r w:rsidRPr="00D403F5">
        <w:rPr>
          <w:rFonts w:ascii="Calibri" w:eastAsia="Times New Roman" w:hAnsi="Calibri" w:cs="Calibri"/>
          <w:bCs/>
          <w:color w:val="000000"/>
          <w:sz w:val="18"/>
          <w:szCs w:val="18"/>
          <w:lang w:eastAsia="fr-FR"/>
        </w:rPr>
        <w:t xml:space="preserve"> </w:t>
      </w:r>
      <w:r w:rsidRPr="00D403F5">
        <w:rPr>
          <w:rFonts w:ascii="Arial" w:eastAsia="Times New Roman" w:hAnsi="Arial" w:cs="Arial"/>
          <w:color w:val="000000"/>
          <w:sz w:val="18"/>
          <w:szCs w:val="18"/>
          <w:lang w:eastAsia="fr-FR"/>
        </w:rPr>
        <w:t>Sablefish (</w:t>
      </w:r>
      <w:r w:rsidRPr="00D403F5">
        <w:rPr>
          <w:rFonts w:ascii="Arial" w:eastAsia="Times New Roman" w:hAnsi="Arial" w:cs="Arial"/>
          <w:i/>
          <w:iCs/>
          <w:color w:val="000000"/>
          <w:sz w:val="18"/>
          <w:szCs w:val="18"/>
          <w:lang w:eastAsia="fr-FR"/>
        </w:rPr>
        <w:t>Anoplopoma fimbria</w:t>
      </w:r>
      <w:r w:rsidRPr="00D403F5">
        <w:rPr>
          <w:rFonts w:ascii="Arial" w:eastAsia="Times New Roman" w:hAnsi="Arial" w:cs="Arial"/>
          <w:color w:val="000000"/>
          <w:sz w:val="18"/>
          <w:szCs w:val="18"/>
          <w:lang w:eastAsia="fr-FR"/>
        </w:rPr>
        <w:t>).</w:t>
      </w:r>
    </w:p>
    <w:p w14:paraId="7B2A6B74"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2.2.3.</w:t>
      </w:r>
      <w:r w:rsidRPr="00D403F5">
        <w:rPr>
          <w:rFonts w:ascii="Ottawa" w:eastAsia="Times New Roman" w:hAnsi="Ottawa" w:cs="Times New Roman"/>
          <w:b/>
          <w:bCs/>
          <w:sz w:val="18"/>
          <w:szCs w:val="18"/>
          <w:lang w:val="en-IE" w:eastAsia="fr-FR"/>
        </w:rPr>
        <w:tab/>
        <w:t>Non-susceptible species</w:t>
      </w:r>
    </w:p>
    <w:p w14:paraId="256941DF" w14:textId="77777777" w:rsidR="00C7266C" w:rsidRPr="00D403F5" w:rsidRDefault="00C7266C" w:rsidP="00D403F5">
      <w:pPr>
        <w:spacing w:after="0" w:line="240" w:lineRule="auto"/>
        <w:ind w:left="851"/>
        <w:jc w:val="both"/>
        <w:rPr>
          <w:rFonts w:ascii="Arial" w:eastAsia="Times New Roman" w:hAnsi="Arial" w:cs="Arial"/>
          <w:bCs/>
          <w:iCs/>
          <w:sz w:val="18"/>
          <w:szCs w:val="18"/>
        </w:rPr>
      </w:pPr>
      <w:r w:rsidRPr="00D403F5">
        <w:rPr>
          <w:rFonts w:ascii="Arial" w:eastAsia="Times New Roman" w:hAnsi="Arial" w:cs="Arial"/>
          <w:bCs/>
          <w:iCs/>
          <w:sz w:val="18"/>
          <w:szCs w:val="18"/>
        </w:rPr>
        <w:t>None known.</w:t>
      </w:r>
    </w:p>
    <w:p w14:paraId="5210BDBC"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2.2.4.</w:t>
      </w:r>
      <w:r w:rsidRPr="00D403F5">
        <w:rPr>
          <w:rFonts w:ascii="Ottawa" w:eastAsia="Times New Roman" w:hAnsi="Ottawa" w:cs="Times New Roman"/>
          <w:b/>
          <w:bCs/>
          <w:sz w:val="18"/>
          <w:szCs w:val="18"/>
          <w:lang w:val="en-IE" w:eastAsia="fr-FR"/>
        </w:rPr>
        <w:tab/>
        <w:t>Likelihood of infection by species, host life stage, population or sub-populations</w:t>
      </w:r>
    </w:p>
    <w:p w14:paraId="674BB833" w14:textId="77777777" w:rsidR="00C7266C" w:rsidRPr="00D403F5" w:rsidRDefault="00C7266C" w:rsidP="00D403F5">
      <w:pPr>
        <w:spacing w:after="0" w:line="240" w:lineRule="auto"/>
        <w:ind w:left="851"/>
        <w:jc w:val="both"/>
        <w:rPr>
          <w:rFonts w:ascii="Arial" w:eastAsia="Times New Roman" w:hAnsi="Arial" w:cs="Arial"/>
          <w:bCs/>
          <w:sz w:val="18"/>
          <w:szCs w:val="18"/>
          <w:u w:val="double"/>
        </w:rPr>
      </w:pPr>
      <w:r w:rsidRPr="00D403F5">
        <w:rPr>
          <w:rFonts w:ascii="Arial" w:eastAsia="Times New Roman" w:hAnsi="Arial" w:cs="Arial"/>
          <w:bCs/>
          <w:sz w:val="18"/>
          <w:szCs w:val="18"/>
        </w:rPr>
        <w:t>Rainbow trout is the most susceptible species to VHSV infection with genotype Ia. For VHSV genotypes Ib, II and III, shoaling wild-living species such as Atlantic herring and European sprat (</w:t>
      </w:r>
      <w:r w:rsidRPr="00D403F5">
        <w:rPr>
          <w:rFonts w:ascii="Arial" w:eastAsia="Times New Roman" w:hAnsi="Arial" w:cs="Times New Roman"/>
          <w:bCs/>
          <w:i/>
          <w:iCs/>
          <w:color w:val="000000"/>
          <w:sz w:val="18"/>
          <w:szCs w:val="18"/>
          <w:lang w:val="en-IE"/>
        </w:rPr>
        <w:t>Sprattus sprattus</w:t>
      </w:r>
      <w:r w:rsidRPr="00D403F5">
        <w:rPr>
          <w:rFonts w:ascii="Arial" w:eastAsia="Times New Roman" w:hAnsi="Arial" w:cs="Arial"/>
          <w:bCs/>
          <w:sz w:val="18"/>
          <w:szCs w:val="18"/>
        </w:rPr>
        <w:t>) are likely to be the natural hosts, while for genotype IV, Pacific herring is the natural host. VHSV genotype III has caused disease in farmed turbot and wrasse and genotype IVa in farmed Atlantic salmon, turbot, and olive flounder.</w:t>
      </w:r>
    </w:p>
    <w:p w14:paraId="5EE673BD"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Arial"/>
          <w:bCs/>
          <w:sz w:val="18"/>
          <w:szCs w:val="18"/>
        </w:rPr>
        <w:t>Infection with VHSV may cause disease and mortality in all life stages of susceptible fish. VHSV does not infect fish eggs (Munro &amp; Gregory, 2010).</w:t>
      </w:r>
      <w:r w:rsidRPr="00D403F5">
        <w:rPr>
          <w:rFonts w:ascii="Arial" w:eastAsia="Times New Roman" w:hAnsi="Arial" w:cs="Times New Roman"/>
          <w:bCs/>
          <w:sz w:val="18"/>
          <w:szCs w:val="18"/>
          <w:lang w:val="en-IE"/>
        </w:rPr>
        <w:t xml:space="preserve"> </w:t>
      </w:r>
    </w:p>
    <w:p w14:paraId="487B2AEC"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en-IE"/>
        </w:rPr>
      </w:pPr>
      <w:r w:rsidRPr="00D403F5">
        <w:rPr>
          <w:rFonts w:ascii="Arial" w:eastAsia="Times New Roman" w:hAnsi="Arial" w:cs="Arial"/>
          <w:bCs/>
          <w:sz w:val="18"/>
          <w:szCs w:val="18"/>
        </w:rPr>
        <w:t>In surveys of wild marine fish, VHSV has been isolated from most year classes. Few fry have been tested however, as they are usually not caught during the surveys. The highest prevalence of virus was found in shoaling fish, such as Atlantic herring, European sprat and Norway pout (</w:t>
      </w:r>
      <w:r w:rsidRPr="00D403F5">
        <w:rPr>
          <w:rFonts w:ascii="Arial" w:eastAsia="Times New Roman" w:hAnsi="Arial" w:cs="Times New Roman"/>
          <w:bCs/>
          <w:i/>
          <w:iCs/>
          <w:color w:val="000000"/>
          <w:sz w:val="18"/>
          <w:szCs w:val="18"/>
          <w:lang w:val="en-IE"/>
        </w:rPr>
        <w:t>Sprattus sprattus</w:t>
      </w:r>
      <w:r w:rsidRPr="00D403F5">
        <w:rPr>
          <w:rFonts w:ascii="Arial" w:eastAsia="Times New Roman" w:hAnsi="Arial" w:cs="Arial"/>
          <w:bCs/>
          <w:sz w:val="18"/>
          <w:szCs w:val="18"/>
        </w:rPr>
        <w:t xml:space="preserve">) (Skall </w:t>
      </w:r>
      <w:r w:rsidRPr="00D403F5">
        <w:rPr>
          <w:rFonts w:ascii="Arial" w:eastAsia="Times New Roman" w:hAnsi="Arial" w:cs="Arial"/>
          <w:bCs/>
          <w:i/>
          <w:sz w:val="18"/>
          <w:szCs w:val="18"/>
        </w:rPr>
        <w:t>et al</w:t>
      </w:r>
      <w:r w:rsidRPr="00D403F5">
        <w:rPr>
          <w:rFonts w:ascii="Arial" w:eastAsia="Times New Roman" w:hAnsi="Arial" w:cs="Arial"/>
          <w:bCs/>
          <w:sz w:val="18"/>
          <w:szCs w:val="18"/>
        </w:rPr>
        <w:t>., 2005).</w:t>
      </w:r>
    </w:p>
    <w:p w14:paraId="382A6C16"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2.2.5.</w:t>
      </w:r>
      <w:r w:rsidRPr="00D403F5">
        <w:rPr>
          <w:rFonts w:ascii="Ottawa" w:eastAsia="Times New Roman" w:hAnsi="Ottawa" w:cs="Times New Roman"/>
          <w:b/>
          <w:bCs/>
          <w:sz w:val="18"/>
          <w:szCs w:val="18"/>
          <w:lang w:val="en-IE" w:eastAsia="fr-FR"/>
        </w:rPr>
        <w:tab/>
        <w:t>Distribution of the pathogen in the host</w:t>
      </w:r>
    </w:p>
    <w:p w14:paraId="4E81655A"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bCs/>
          <w:sz w:val="18"/>
          <w:szCs w:val="18"/>
        </w:rPr>
        <w:t xml:space="preserve">In fish showing clinical signs, the virus is abundant in all tissues including gill, skin and muscles (Sandlund </w:t>
      </w:r>
      <w:r w:rsidRPr="00D403F5">
        <w:rPr>
          <w:rFonts w:ascii="Arial" w:eastAsia="Times New Roman" w:hAnsi="Arial" w:cs="Times New Roman"/>
          <w:bCs/>
          <w:i/>
          <w:sz w:val="18"/>
          <w:szCs w:val="18"/>
          <w:lang w:val="en-IE"/>
        </w:rPr>
        <w:t>et al.,</w:t>
      </w:r>
      <w:r w:rsidRPr="00D403F5">
        <w:rPr>
          <w:rFonts w:ascii="Arial" w:eastAsia="Times New Roman" w:hAnsi="Arial" w:cs="Arial"/>
          <w:bCs/>
          <w:sz w:val="18"/>
          <w:szCs w:val="18"/>
        </w:rPr>
        <w:t xml:space="preserve"> 2014). Target organs are anterior kidney, heart and spleen, as these are the sites in which virus is most abundant. In chronic stages, virus titres can become high in the brain (Smail &amp; Snow, 2011; Wolf, 1988).</w:t>
      </w:r>
    </w:p>
    <w:p w14:paraId="551A13F9"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2.2.6.</w:t>
      </w:r>
      <w:r w:rsidRPr="00D403F5">
        <w:rPr>
          <w:rFonts w:ascii="Ottawa" w:eastAsia="Times New Roman" w:hAnsi="Ottawa" w:cs="Times New Roman"/>
          <w:b/>
          <w:bCs/>
          <w:sz w:val="18"/>
          <w:szCs w:val="18"/>
          <w:lang w:val="en-IE" w:eastAsia="fr-FR"/>
        </w:rPr>
        <w:tab/>
        <w:t xml:space="preserve">Aquatic animal reservoirs of infection </w:t>
      </w:r>
    </w:p>
    <w:p w14:paraId="647D0EF9"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Arial"/>
          <w:bCs/>
          <w:sz w:val="18"/>
          <w:szCs w:val="18"/>
        </w:rPr>
        <w:t xml:space="preserve">Some survivors of epizootics will become long-term carriers of the virus. Pacific herring surviving infection with VHSV genotype IVa have transmitted disease to naïve cohabitants (Gross </w:t>
      </w:r>
      <w:r w:rsidRPr="00D403F5">
        <w:rPr>
          <w:rFonts w:ascii="Arial" w:eastAsia="Times New Roman" w:hAnsi="Arial" w:cs="Arial"/>
          <w:bCs/>
          <w:i/>
          <w:iCs/>
          <w:sz w:val="18"/>
          <w:szCs w:val="18"/>
        </w:rPr>
        <w:t>et al</w:t>
      </w:r>
      <w:r w:rsidRPr="00D403F5">
        <w:rPr>
          <w:rFonts w:ascii="Arial" w:eastAsia="Times New Roman" w:hAnsi="Arial" w:cs="Arial"/>
          <w:bCs/>
          <w:sz w:val="18"/>
          <w:szCs w:val="18"/>
        </w:rPr>
        <w:t xml:space="preserve">., 2019). Almost all isolations of VHSV genotype Ib, II and III from free-living fish species are from individuals with no clinical signs of infection with VHSV and with low virus titres (Skall </w:t>
      </w:r>
      <w:r w:rsidRPr="00D403F5">
        <w:rPr>
          <w:rFonts w:ascii="Arial" w:eastAsia="Times New Roman" w:hAnsi="Arial" w:cs="Times New Roman"/>
          <w:bCs/>
          <w:i/>
          <w:sz w:val="18"/>
          <w:szCs w:val="18"/>
          <w:lang w:val="en-IE"/>
        </w:rPr>
        <w:t>et al.,</w:t>
      </w:r>
      <w:r w:rsidRPr="00D403F5">
        <w:rPr>
          <w:rFonts w:ascii="Arial" w:eastAsia="Times New Roman" w:hAnsi="Arial" w:cs="Times New Roman"/>
          <w:bCs/>
          <w:sz w:val="18"/>
          <w:szCs w:val="18"/>
          <w:lang w:val="en-IE"/>
        </w:rPr>
        <w:t xml:space="preserve"> </w:t>
      </w:r>
      <w:r w:rsidRPr="00D403F5">
        <w:rPr>
          <w:rFonts w:ascii="Arial" w:eastAsia="Times New Roman" w:hAnsi="Arial" w:cs="Arial"/>
          <w:bCs/>
          <w:sz w:val="18"/>
          <w:szCs w:val="18"/>
        </w:rPr>
        <w:t>2005).</w:t>
      </w:r>
    </w:p>
    <w:p w14:paraId="2CB4464B"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2.2.7.</w:t>
      </w:r>
      <w:r w:rsidRPr="00D403F5">
        <w:rPr>
          <w:rFonts w:ascii="Ottawa" w:eastAsia="Times New Roman" w:hAnsi="Ottawa" w:cs="Times New Roman"/>
          <w:b/>
          <w:bCs/>
          <w:sz w:val="18"/>
          <w:szCs w:val="18"/>
          <w:lang w:val="en-IE" w:eastAsia="fr-FR"/>
        </w:rPr>
        <w:tab/>
        <w:t>Vectors</w:t>
      </w:r>
    </w:p>
    <w:p w14:paraId="1AF96AF0" w14:textId="77777777" w:rsidR="00C7266C" w:rsidRPr="00D403F5" w:rsidRDefault="00C7266C" w:rsidP="00D403F5">
      <w:pPr>
        <w:spacing w:after="0" w:line="240" w:lineRule="auto"/>
        <w:ind w:left="851"/>
        <w:jc w:val="both"/>
        <w:rPr>
          <w:rFonts w:ascii="Arial" w:eastAsia="Times New Roman" w:hAnsi="Arial" w:cs="Arial"/>
          <w:bCs/>
          <w:sz w:val="18"/>
          <w:szCs w:val="18"/>
        </w:rPr>
      </w:pPr>
      <w:r w:rsidRPr="00D403F5">
        <w:rPr>
          <w:rFonts w:ascii="Arial" w:eastAsia="Times New Roman" w:hAnsi="Arial" w:cs="Arial"/>
          <w:bCs/>
          <w:sz w:val="18"/>
          <w:szCs w:val="18"/>
        </w:rPr>
        <w:t>VHSV has been isolated from common snapping turtle (</w:t>
      </w:r>
      <w:r w:rsidRPr="00D403F5">
        <w:rPr>
          <w:rFonts w:ascii="Arial" w:eastAsia="Times New Roman" w:hAnsi="Arial" w:cs="Arial"/>
          <w:bCs/>
          <w:i/>
          <w:iCs/>
          <w:sz w:val="18"/>
          <w:szCs w:val="18"/>
        </w:rPr>
        <w:t>Chelra serpentina</w:t>
      </w:r>
      <w:r w:rsidRPr="00D403F5">
        <w:rPr>
          <w:rFonts w:ascii="Arial" w:eastAsia="Times New Roman" w:hAnsi="Arial" w:cs="Arial"/>
          <w:bCs/>
          <w:sz w:val="18"/>
          <w:szCs w:val="18"/>
        </w:rPr>
        <w:t>), leech (</w:t>
      </w:r>
      <w:r w:rsidRPr="00D403F5">
        <w:rPr>
          <w:rFonts w:ascii="Arial" w:eastAsia="Times New Roman" w:hAnsi="Arial" w:cs="Arial"/>
          <w:bCs/>
          <w:i/>
          <w:iCs/>
          <w:sz w:val="18"/>
          <w:szCs w:val="18"/>
        </w:rPr>
        <w:t>Myzobdella lugubris</w:t>
      </w:r>
      <w:r w:rsidRPr="00D403F5">
        <w:rPr>
          <w:rFonts w:ascii="Arial" w:eastAsia="Times New Roman" w:hAnsi="Arial" w:cs="Arial"/>
          <w:bCs/>
          <w:sz w:val="18"/>
          <w:szCs w:val="18"/>
        </w:rPr>
        <w:t>), northern map turtle (</w:t>
      </w:r>
      <w:r w:rsidRPr="00D403F5">
        <w:rPr>
          <w:rFonts w:ascii="Arial" w:eastAsia="Times New Roman" w:hAnsi="Arial" w:cs="Arial"/>
          <w:bCs/>
          <w:i/>
          <w:iCs/>
          <w:sz w:val="18"/>
          <w:szCs w:val="18"/>
        </w:rPr>
        <w:t>Grapetemys geographicas</w:t>
      </w:r>
      <w:r w:rsidRPr="00D403F5">
        <w:rPr>
          <w:rFonts w:ascii="Arial" w:eastAsia="Times New Roman" w:hAnsi="Arial" w:cs="Arial"/>
          <w:bCs/>
          <w:sz w:val="18"/>
          <w:szCs w:val="18"/>
        </w:rPr>
        <w:t>) and water flea (</w:t>
      </w:r>
      <w:r w:rsidRPr="00D403F5">
        <w:rPr>
          <w:rFonts w:ascii="Arial" w:eastAsia="Times New Roman" w:hAnsi="Arial" w:cs="Arial"/>
          <w:bCs/>
          <w:i/>
          <w:iCs/>
          <w:sz w:val="18"/>
          <w:szCs w:val="18"/>
        </w:rPr>
        <w:t>Moina macrocopa</w:t>
      </w:r>
      <w:r w:rsidRPr="00D403F5">
        <w:rPr>
          <w:rFonts w:ascii="Arial" w:eastAsia="Times New Roman" w:hAnsi="Arial" w:cs="Arial"/>
          <w:bCs/>
          <w:sz w:val="18"/>
          <w:szCs w:val="18"/>
        </w:rPr>
        <w:t xml:space="preserve">) and these species are </w:t>
      </w:r>
      <w:r w:rsidRPr="00D403F5">
        <w:rPr>
          <w:rFonts w:ascii="Arial" w:eastAsia="Times New Roman" w:hAnsi="Arial" w:cs="Times New Roman"/>
          <w:bCs/>
          <w:sz w:val="18"/>
          <w:szCs w:val="18"/>
          <w:lang w:val="en-US"/>
        </w:rPr>
        <w:t xml:space="preserve">considered to be vectors for transmission of VHSV rather than true susceptible species (Faisal &amp; Schultz, 2009; Goodwin &amp; Merry, 2011; Ito &amp; Olesen, 2017). </w:t>
      </w:r>
      <w:r w:rsidRPr="00D403F5">
        <w:rPr>
          <w:rFonts w:ascii="Arial" w:eastAsia="Times New Roman" w:hAnsi="Arial" w:cs="Arial"/>
          <w:bCs/>
          <w:sz w:val="18"/>
          <w:szCs w:val="18"/>
        </w:rPr>
        <w:t xml:space="preserve">VHSV has also been isolated from the amphipods </w:t>
      </w:r>
      <w:r w:rsidRPr="00D403F5">
        <w:rPr>
          <w:rFonts w:ascii="Arial" w:eastAsia="Times New Roman" w:hAnsi="Arial" w:cs="Arial"/>
          <w:bCs/>
          <w:i/>
          <w:sz w:val="18"/>
          <w:szCs w:val="18"/>
        </w:rPr>
        <w:t xml:space="preserve">Hyalellea </w:t>
      </w:r>
      <w:r w:rsidRPr="00D403F5">
        <w:rPr>
          <w:rFonts w:ascii="Arial" w:eastAsia="Times New Roman" w:hAnsi="Arial" w:cs="Arial"/>
          <w:bCs/>
          <w:sz w:val="18"/>
          <w:szCs w:val="18"/>
        </w:rPr>
        <w:t>spp</w:t>
      </w:r>
      <w:r w:rsidRPr="00D403F5">
        <w:rPr>
          <w:rFonts w:ascii="Arial" w:eastAsia="Times New Roman" w:hAnsi="Arial" w:cs="Arial"/>
          <w:bCs/>
          <w:i/>
          <w:sz w:val="18"/>
          <w:szCs w:val="18"/>
        </w:rPr>
        <w:t xml:space="preserve">. </w:t>
      </w:r>
      <w:r w:rsidRPr="00D403F5">
        <w:rPr>
          <w:rFonts w:ascii="Arial" w:eastAsia="Times New Roman" w:hAnsi="Arial" w:cs="Arial"/>
          <w:bCs/>
          <w:sz w:val="18"/>
          <w:szCs w:val="18"/>
        </w:rPr>
        <w:t xml:space="preserve">and </w:t>
      </w:r>
      <w:r w:rsidRPr="00D403F5">
        <w:rPr>
          <w:rFonts w:ascii="Arial" w:eastAsia="Times New Roman" w:hAnsi="Arial" w:cs="Arial"/>
          <w:bCs/>
          <w:i/>
          <w:sz w:val="18"/>
          <w:szCs w:val="18"/>
        </w:rPr>
        <w:t>Diporeia spp</w:t>
      </w:r>
      <w:r w:rsidRPr="00D403F5">
        <w:rPr>
          <w:rFonts w:ascii="Arial" w:eastAsia="Times New Roman" w:hAnsi="Arial" w:cs="Arial"/>
          <w:bCs/>
          <w:sz w:val="18"/>
          <w:szCs w:val="18"/>
        </w:rPr>
        <w:t>.,</w:t>
      </w:r>
      <w:r w:rsidRPr="00D403F5">
        <w:rPr>
          <w:rFonts w:ascii="Arial" w:eastAsia="Times New Roman" w:hAnsi="Arial" w:cs="Times New Roman"/>
          <w:bCs/>
          <w:sz w:val="18"/>
          <w:szCs w:val="18"/>
          <w:lang w:val="en-IE"/>
        </w:rPr>
        <w:t xml:space="preserve"> </w:t>
      </w:r>
      <w:r w:rsidRPr="00D403F5">
        <w:rPr>
          <w:rFonts w:ascii="Arial" w:eastAsia="Times New Roman" w:hAnsi="Arial" w:cs="Arial"/>
          <w:bCs/>
          <w:sz w:val="18"/>
          <w:szCs w:val="18"/>
        </w:rPr>
        <w:t xml:space="preserve">suggesting that benthic macroinvertebrates may be vectors for VHSV IVb in endemically affected systems. In contrast VHSV was not detected in mussels or sediments in the same water environment (Faisal &amp; Winters 2011; Throckmorton </w:t>
      </w:r>
      <w:r w:rsidRPr="00D403F5">
        <w:rPr>
          <w:rFonts w:ascii="Arial" w:eastAsia="Times New Roman" w:hAnsi="Arial" w:cs="Arial"/>
          <w:bCs/>
          <w:i/>
          <w:sz w:val="18"/>
          <w:szCs w:val="18"/>
        </w:rPr>
        <w:t>et al</w:t>
      </w:r>
      <w:r w:rsidRPr="00D403F5">
        <w:rPr>
          <w:rFonts w:ascii="Arial" w:eastAsia="Times New Roman" w:hAnsi="Arial" w:cs="Arial"/>
          <w:bCs/>
          <w:sz w:val="18"/>
          <w:szCs w:val="18"/>
        </w:rPr>
        <w:t xml:space="preserve">., 2017). VHSV has also been isolated from leech, </w:t>
      </w:r>
      <w:r w:rsidRPr="00D403F5">
        <w:rPr>
          <w:rFonts w:ascii="Arial" w:eastAsia="Times New Roman" w:hAnsi="Arial" w:cs="Arial"/>
          <w:bCs/>
          <w:i/>
          <w:sz w:val="18"/>
          <w:szCs w:val="18"/>
        </w:rPr>
        <w:t>Myzobdella lugubris,</w:t>
      </w:r>
      <w:r w:rsidRPr="00D403F5">
        <w:rPr>
          <w:rFonts w:ascii="Arial" w:eastAsia="Times New Roman" w:hAnsi="Arial" w:cs="Arial"/>
          <w:bCs/>
          <w:sz w:val="18"/>
          <w:szCs w:val="18"/>
        </w:rPr>
        <w:t xml:space="preserve"> in the Great Lakes but whether the leech or amphipods</w:t>
      </w:r>
      <w:r w:rsidRPr="00D403F5">
        <w:rPr>
          <w:rFonts w:ascii="Arial" w:eastAsia="Times New Roman" w:hAnsi="Arial" w:cs="Times New Roman"/>
          <w:bCs/>
          <w:sz w:val="18"/>
          <w:szCs w:val="18"/>
        </w:rPr>
        <w:t xml:space="preserve"> </w:t>
      </w:r>
      <w:r w:rsidRPr="00D403F5">
        <w:rPr>
          <w:rFonts w:ascii="Arial" w:eastAsia="Times New Roman" w:hAnsi="Arial" w:cs="Arial"/>
          <w:bCs/>
          <w:sz w:val="18"/>
          <w:szCs w:val="18"/>
        </w:rPr>
        <w:t>can transmit VHSV from one fish to another is unknown (Faisal &amp; Schulz, 2009; Faisal &amp; Winters, 2011).</w:t>
      </w:r>
    </w:p>
    <w:p w14:paraId="6D883BCC" w14:textId="77777777" w:rsidR="00C7266C" w:rsidRPr="00D403F5" w:rsidRDefault="00C7266C" w:rsidP="00D403F5">
      <w:pPr>
        <w:spacing w:after="0" w:line="240" w:lineRule="auto"/>
        <w:ind w:left="851"/>
        <w:jc w:val="both"/>
        <w:rPr>
          <w:rFonts w:ascii="Arial" w:eastAsia="Times New Roman" w:hAnsi="Arial" w:cs="Arial"/>
          <w:bCs/>
          <w:sz w:val="18"/>
          <w:szCs w:val="18"/>
        </w:rPr>
      </w:pPr>
      <w:r w:rsidRPr="00D403F5">
        <w:rPr>
          <w:rFonts w:ascii="Arial" w:eastAsia="Times New Roman" w:hAnsi="Arial" w:cs="Arial"/>
          <w:bCs/>
          <w:sz w:val="18"/>
          <w:szCs w:val="18"/>
        </w:rPr>
        <w:t>Piscivorous birds may act as VHSV vectors by carrying the virus, for example, on their feet (Olesen &amp; Jorgensen, 1982), or through regurgitation of infected fish (Peters &amp; Neukirch, 1986).</w:t>
      </w:r>
    </w:p>
    <w:p w14:paraId="1E6AED4F"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2.3.</w:t>
      </w:r>
      <w:r w:rsidRPr="00D403F5">
        <w:rPr>
          <w:rFonts w:ascii="Ottawa" w:eastAsia="MS Mincho" w:hAnsi="Ottawa" w:cs="Times New Roman"/>
          <w:b/>
          <w:sz w:val="18"/>
          <w:szCs w:val="18"/>
          <w:lang w:val="da-DK" w:eastAsia="da-DK"/>
        </w:rPr>
        <w:tab/>
        <w:t>Disease pattern</w:t>
      </w:r>
    </w:p>
    <w:p w14:paraId="071EAE45"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2.3.1.</w:t>
      </w:r>
      <w:r w:rsidRPr="00D403F5">
        <w:rPr>
          <w:rFonts w:ascii="Ottawa" w:eastAsia="Times New Roman" w:hAnsi="Ottawa" w:cs="Times New Roman"/>
          <w:b/>
          <w:bCs/>
          <w:sz w:val="18"/>
          <w:szCs w:val="18"/>
          <w:lang w:val="en-IE" w:eastAsia="fr-FR"/>
        </w:rPr>
        <w:tab/>
        <w:t>Mortality, morbidity and prevalence</w:t>
      </w:r>
    </w:p>
    <w:p w14:paraId="3F1033E1"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bCs/>
          <w:sz w:val="18"/>
          <w:szCs w:val="18"/>
        </w:rPr>
        <w:t xml:space="preserve">Mortality varies, depending on many environmental and physiological conditions, most of which have not been fully determined. The disease is, in general, a cool or cold water disease with highest mortality at temperatures around 9–12°C. Small rainbow trout fry (0.3–3 g) are most susceptible to genotype Ia with mortalities close to 100%, but all sizes of rainbow trout can be affected with mortalities ranging from 5 to 90% (Skall </w:t>
      </w:r>
      <w:r w:rsidRPr="00D403F5">
        <w:rPr>
          <w:rFonts w:ascii="Arial" w:eastAsia="Times New Roman" w:hAnsi="Arial" w:cs="Arial"/>
          <w:bCs/>
          <w:i/>
          <w:sz w:val="18"/>
          <w:szCs w:val="18"/>
        </w:rPr>
        <w:t>et al.</w:t>
      </w:r>
      <w:r w:rsidRPr="00D403F5">
        <w:rPr>
          <w:rFonts w:ascii="Arial" w:eastAsia="Times New Roman" w:hAnsi="Arial" w:cs="Arial"/>
          <w:bCs/>
          <w:sz w:val="18"/>
          <w:szCs w:val="18"/>
        </w:rPr>
        <w:t>, 2004). Immersion infection trials also induced up to 100% mortality in Pacific herring when challenged with genotype IVa (</w:t>
      </w:r>
      <w:r w:rsidRPr="00D403F5">
        <w:rPr>
          <w:rFonts w:ascii="Arial" w:eastAsia="Times New Roman" w:hAnsi="Arial" w:cs="Times New Roman"/>
          <w:bCs/>
          <w:sz w:val="18"/>
          <w:szCs w:val="18"/>
          <w:lang w:val="en-IE"/>
        </w:rPr>
        <w:t xml:space="preserve">Hershberger </w:t>
      </w:r>
      <w:r w:rsidRPr="00D403F5">
        <w:rPr>
          <w:rFonts w:ascii="Arial" w:eastAsia="Times New Roman" w:hAnsi="Arial" w:cs="Times New Roman"/>
          <w:bCs/>
          <w:i/>
          <w:sz w:val="18"/>
          <w:szCs w:val="18"/>
          <w:lang w:val="en-IE"/>
        </w:rPr>
        <w:t>et al.,</w:t>
      </w:r>
      <w:r w:rsidRPr="00D403F5">
        <w:rPr>
          <w:rFonts w:ascii="Arial" w:eastAsia="Times New Roman" w:hAnsi="Arial" w:cs="Times New Roman"/>
          <w:bCs/>
          <w:sz w:val="18"/>
          <w:szCs w:val="18"/>
          <w:lang w:val="en-IE"/>
        </w:rPr>
        <w:t xml:space="preserve"> 2010</w:t>
      </w:r>
      <w:r w:rsidRPr="00D403F5">
        <w:rPr>
          <w:rFonts w:ascii="Arial" w:eastAsia="Times New Roman" w:hAnsi="Arial" w:cs="Arial"/>
          <w:bCs/>
          <w:sz w:val="18"/>
          <w:szCs w:val="18"/>
        </w:rPr>
        <w:t>)</w:t>
      </w:r>
      <w:r w:rsidRPr="00D403F5">
        <w:rPr>
          <w:rFonts w:ascii="Arial" w:eastAsia="Times New Roman" w:hAnsi="Arial" w:cs="Times New Roman"/>
          <w:bCs/>
          <w:sz w:val="18"/>
          <w:szCs w:val="18"/>
          <w:lang w:val="en-IE"/>
        </w:rPr>
        <w:t xml:space="preserve">. Mortality in free living fish also varies from no observable deaths to severe die-offs. The prevalence of VHSV genotype Ib, II and III varies from 0 to 16.7% in Northern European waters </w:t>
      </w:r>
      <w:r w:rsidRPr="00D403F5">
        <w:rPr>
          <w:rFonts w:ascii="Arial" w:eastAsia="Times New Roman" w:hAnsi="Arial" w:cs="Arial"/>
          <w:bCs/>
          <w:sz w:val="18"/>
          <w:szCs w:val="18"/>
        </w:rPr>
        <w:t xml:space="preserve">(Skall </w:t>
      </w:r>
      <w:r w:rsidRPr="00D403F5">
        <w:rPr>
          <w:rFonts w:ascii="Arial" w:eastAsia="Times New Roman" w:hAnsi="Arial" w:cs="Arial"/>
          <w:bCs/>
          <w:i/>
          <w:sz w:val="18"/>
          <w:szCs w:val="18"/>
        </w:rPr>
        <w:t>et al.</w:t>
      </w:r>
      <w:r w:rsidRPr="00D403F5">
        <w:rPr>
          <w:rFonts w:ascii="Arial" w:eastAsia="Times New Roman" w:hAnsi="Arial" w:cs="Arial"/>
          <w:bCs/>
          <w:sz w:val="18"/>
          <w:szCs w:val="18"/>
        </w:rPr>
        <w:t>, 2005b).</w:t>
      </w:r>
    </w:p>
    <w:p w14:paraId="411D8126" w14:textId="77777777" w:rsidR="000B38E2" w:rsidRPr="00D403F5" w:rsidRDefault="000B38E2"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br w:type="page"/>
      </w:r>
    </w:p>
    <w:p w14:paraId="581C5CEC" w14:textId="77777777" w:rsidR="000B38E2" w:rsidRPr="00D403F5" w:rsidRDefault="000B38E2"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6BA31C06" w14:textId="0CDE2426"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2.3.2.</w:t>
      </w:r>
      <w:r w:rsidRPr="00D403F5">
        <w:rPr>
          <w:rFonts w:ascii="Ottawa" w:eastAsia="Times New Roman" w:hAnsi="Ottawa" w:cs="Times New Roman"/>
          <w:b/>
          <w:bCs/>
          <w:sz w:val="18"/>
          <w:szCs w:val="18"/>
          <w:lang w:eastAsia="fr-FR"/>
        </w:rPr>
        <w:tab/>
        <w:t>Clinical signs, including behavioural changes</w:t>
      </w:r>
    </w:p>
    <w:p w14:paraId="6B76F17C"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The occurrence of the following clinical signs is characteristic of infection with VHSV: rapid onset of mortality, lethargy, darkening of the skin, exophthalmia, anaemia (pale gills), haemorrhages at the base of the fins or in the gills, eyes or skin, abnormal swimming such as flashing and spiralling, and a distended abdomen due to oedema in the peritoneal cavity. In rainbow trout, the clinical appearance is typically lethargic dark fish with exophthalmia at the pond shores and the outlet. Characteristically, diseased fish will not attempt to escape when netted.</w:t>
      </w:r>
    </w:p>
    <w:p w14:paraId="0CC87E60"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2.3.3</w:t>
      </w:r>
      <w:r w:rsidRPr="00D403F5">
        <w:rPr>
          <w:rFonts w:ascii="Ottawa" w:eastAsia="Times New Roman" w:hAnsi="Ottawa" w:cs="Times New Roman"/>
          <w:b/>
          <w:bCs/>
          <w:sz w:val="18"/>
          <w:szCs w:val="18"/>
          <w:lang w:eastAsia="fr-FR"/>
        </w:rPr>
        <w:tab/>
        <w:t>Gross pathology</w:t>
      </w:r>
    </w:p>
    <w:p w14:paraId="02A4D59C"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eastAsia="fr-FR"/>
        </w:rPr>
        <w:t xml:space="preserve">Gross pathology includes generalised petechial haemorrhaging in the skin, muscle tissue (especially in dorsal muscles) and internal organs. It is important to examine the dorsal musculature for the presence of petechial bleeding, which is a very common sign of </w:t>
      </w:r>
      <w:r w:rsidRPr="00D403F5">
        <w:rPr>
          <w:rFonts w:ascii="Arial" w:eastAsia="Times New Roman" w:hAnsi="Arial" w:cs="Arial"/>
          <w:bCs/>
          <w:sz w:val="18"/>
          <w:szCs w:val="18"/>
          <w:lang w:val="en-IE" w:eastAsia="fr-FR"/>
        </w:rPr>
        <w:t>infection with VHSV</w:t>
      </w:r>
      <w:r w:rsidRPr="00D403F5">
        <w:rPr>
          <w:rFonts w:ascii="Arial" w:eastAsia="Times New Roman" w:hAnsi="Arial" w:cs="Arial"/>
          <w:bCs/>
          <w:sz w:val="18"/>
          <w:szCs w:val="18"/>
          <w:lang w:eastAsia="fr-FR"/>
        </w:rPr>
        <w:t>. The kidney is dark red in the acute phase and can demonstrate severe necrosis in moribund fish. The spleen is moderately swollen. The liver is often pale and mottled. The gastrointestinal tract, especially the hind gut, is pale and devoid of food.</w:t>
      </w:r>
    </w:p>
    <w:p w14:paraId="08A38603"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2.3.4.</w:t>
      </w:r>
      <w:r w:rsidRPr="00D403F5">
        <w:rPr>
          <w:rFonts w:ascii="Ottawa" w:eastAsia="Times New Roman" w:hAnsi="Ottawa" w:cs="Times New Roman"/>
          <w:b/>
          <w:bCs/>
          <w:sz w:val="18"/>
          <w:szCs w:val="18"/>
          <w:lang w:val="en-IE" w:eastAsia="fr-FR"/>
        </w:rPr>
        <w:tab/>
        <w:t>Modes of transmission and life cycle</w:t>
      </w:r>
    </w:p>
    <w:p w14:paraId="0458C762"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Transmission primarily occurs horizontally through water, with excretion of virus in the urine, and directly from the skin (Smail &amp; Snow, 2011). Oral transmission was also demonstrated indicating that preying on infected fish and vectors may transfer the disease (Schonherz </w:t>
      </w:r>
      <w:r w:rsidRPr="00D403F5">
        <w:rPr>
          <w:rFonts w:ascii="Arial" w:eastAsia="Times New Roman" w:hAnsi="Arial" w:cs="Arial"/>
          <w:bCs/>
          <w:i/>
          <w:sz w:val="18"/>
          <w:szCs w:val="18"/>
          <w:lang w:val="en-IE"/>
        </w:rPr>
        <w:t>et al.</w:t>
      </w:r>
      <w:r w:rsidRPr="00D403F5">
        <w:rPr>
          <w:rFonts w:ascii="Arial" w:eastAsia="Times New Roman" w:hAnsi="Arial" w:cs="Arial"/>
          <w:bCs/>
          <w:sz w:val="18"/>
          <w:szCs w:val="18"/>
          <w:lang w:val="en-IE"/>
        </w:rPr>
        <w:t xml:space="preserve"> 2012).</w:t>
      </w:r>
    </w:p>
    <w:p w14:paraId="5CE5BE1A" w14:textId="77777777" w:rsidR="00C7266C" w:rsidRPr="00D403F5" w:rsidRDefault="00C7266C" w:rsidP="00D403F5">
      <w:pPr>
        <w:spacing w:after="0" w:line="240" w:lineRule="auto"/>
        <w:ind w:left="851"/>
        <w:jc w:val="both"/>
        <w:rPr>
          <w:rFonts w:ascii="Arial" w:eastAsia="Times New Roman" w:hAnsi="Arial" w:cs="Arial"/>
          <w:bCs/>
          <w:sz w:val="18"/>
          <w:szCs w:val="18"/>
          <w:lang w:val="en-US"/>
        </w:rPr>
      </w:pPr>
      <w:r w:rsidRPr="00D403F5">
        <w:rPr>
          <w:rFonts w:ascii="Arial" w:eastAsia="Times New Roman" w:hAnsi="Arial" w:cs="Times New Roman"/>
          <w:bCs/>
          <w:sz w:val="18"/>
          <w:szCs w:val="18"/>
          <w:lang w:val="en-IE"/>
        </w:rPr>
        <w:t xml:space="preserve">Experimentally it has been demonstrated that feeding fresh (unfrozen) muscle tissue from VHSV-infected rainbow trout can transmit VHSV to naïve fish (Oidtmann </w:t>
      </w:r>
      <w:r w:rsidRPr="00D403F5">
        <w:rPr>
          <w:rFonts w:ascii="Arial" w:eastAsia="Times New Roman" w:hAnsi="Arial" w:cs="Times New Roman"/>
          <w:bCs/>
          <w:i/>
          <w:sz w:val="18"/>
          <w:szCs w:val="18"/>
          <w:lang w:val="en-IE"/>
        </w:rPr>
        <w:t>et al.,</w:t>
      </w:r>
      <w:r w:rsidRPr="00D403F5">
        <w:rPr>
          <w:rFonts w:ascii="Arial" w:eastAsia="Times New Roman" w:hAnsi="Arial" w:cs="Times New Roman"/>
          <w:bCs/>
          <w:sz w:val="18"/>
          <w:szCs w:val="18"/>
          <w:lang w:val="en-IE"/>
        </w:rPr>
        <w:t xml:space="preserve"> 2011).</w:t>
      </w:r>
    </w:p>
    <w:p w14:paraId="74BACF46"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There are no indications or evidence of true vertical transmission of VHSV (Bovo </w:t>
      </w:r>
      <w:r w:rsidRPr="00D403F5">
        <w:rPr>
          <w:rFonts w:ascii="Arial" w:eastAsia="Times New Roman" w:hAnsi="Arial" w:cs="Arial"/>
          <w:bCs/>
          <w:i/>
          <w:sz w:val="18"/>
          <w:szCs w:val="18"/>
          <w:lang w:val="en-IE"/>
        </w:rPr>
        <w:t>et al</w:t>
      </w:r>
      <w:r w:rsidRPr="00D403F5">
        <w:rPr>
          <w:rFonts w:ascii="Arial" w:eastAsia="Times New Roman" w:hAnsi="Arial" w:cs="Arial"/>
          <w:bCs/>
          <w:sz w:val="18"/>
          <w:szCs w:val="18"/>
          <w:lang w:val="en-IE"/>
        </w:rPr>
        <w:t xml:space="preserve">., 2005a; </w:t>
      </w:r>
      <w:r w:rsidRPr="00D403F5">
        <w:rPr>
          <w:rFonts w:ascii="Arial" w:eastAsia="Times New Roman" w:hAnsi="Arial" w:cs="Arial"/>
          <w:bCs/>
          <w:sz w:val="18"/>
          <w:szCs w:val="18"/>
        </w:rPr>
        <w:t>Munro &amp; Gregory, 2010</w:t>
      </w:r>
      <w:r w:rsidRPr="00D403F5">
        <w:rPr>
          <w:rFonts w:ascii="Arial" w:eastAsia="Times New Roman" w:hAnsi="Arial" w:cs="Arial"/>
          <w:bCs/>
          <w:sz w:val="18"/>
          <w:szCs w:val="18"/>
          <w:lang w:val="en-IE"/>
        </w:rPr>
        <w:t>).</w:t>
      </w:r>
    </w:p>
    <w:p w14:paraId="3DAEB5F4"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2.3.5.</w:t>
      </w:r>
      <w:r w:rsidRPr="00D403F5">
        <w:rPr>
          <w:rFonts w:ascii="Ottawa" w:eastAsia="Times New Roman" w:hAnsi="Ottawa" w:cs="Times New Roman"/>
          <w:b/>
          <w:bCs/>
          <w:sz w:val="18"/>
          <w:szCs w:val="18"/>
          <w:lang w:val="en-IE" w:eastAsia="fr-FR"/>
        </w:rPr>
        <w:tab/>
        <w:t xml:space="preserve">Environmental and management factors </w:t>
      </w:r>
    </w:p>
    <w:p w14:paraId="72871F57"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Disease generally occurs at temperatures between 4°C and 14°C. At water temperatures between 15°C and 18°C, the disease generally takes a short course with low levels of mortality.</w:t>
      </w:r>
    </w:p>
    <w:p w14:paraId="44CA344E"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Low water temperatures (1–5°C) generally result in an extended disease course with low daily mortality but high accumulated mortality. VHS outbreaks occur during all seasons but are most common in spring when water temperatures are rising or fluctuating. For more detailed reviews, see Wolf (1988) and Smail &amp; Snow (2011).</w:t>
      </w:r>
    </w:p>
    <w:p w14:paraId="1C457D2A"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2.3.6.</w:t>
      </w:r>
      <w:r w:rsidRPr="00D403F5">
        <w:rPr>
          <w:rFonts w:ascii="Ottawa" w:eastAsia="Times New Roman" w:hAnsi="Ottawa" w:cs="Times New Roman"/>
          <w:b/>
          <w:bCs/>
          <w:sz w:val="18"/>
          <w:szCs w:val="18"/>
          <w:lang w:val="en-IE" w:eastAsia="fr-FR"/>
        </w:rPr>
        <w:tab/>
        <w:t>Geographical distribution</w:t>
      </w:r>
    </w:p>
    <w:p w14:paraId="30DF6C28"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 xml:space="preserve">Until the late 1980s, VHSV was considered to be restricted to farmed rainbow trout in continental Europe, with the occasional isolation from a restricted number of other freshwater fish species (e.g. brown trout, pike [Meier &amp; Jorgensen, 1980; Schlotfeldt &amp; Ahne, 1988]). With the detection and isolation of VHSV from Pacific salmon off the Pacific North American coast in the late 1980s, subsequent studies have demonstrated that infection with VHSV occurs in numerous farmed and wild fish species along the Pacific and Atlantic North American coast (Skall </w:t>
      </w:r>
      <w:r w:rsidRPr="00D403F5">
        <w:rPr>
          <w:rFonts w:ascii="Arial" w:eastAsia="Times New Roman" w:hAnsi="Arial" w:cs="Arial"/>
          <w:bCs/>
          <w:i/>
          <w:sz w:val="18"/>
          <w:szCs w:val="18"/>
          <w:lang w:val="en-IE" w:eastAsia="fr-FR"/>
        </w:rPr>
        <w:t>et al</w:t>
      </w:r>
      <w:r w:rsidRPr="00D403F5">
        <w:rPr>
          <w:rFonts w:ascii="Arial" w:eastAsia="Times New Roman" w:hAnsi="Arial" w:cs="Arial"/>
          <w:bCs/>
          <w:sz w:val="18"/>
          <w:szCs w:val="18"/>
          <w:lang w:val="en-IE" w:eastAsia="fr-FR"/>
        </w:rPr>
        <w:t xml:space="preserve">., 2005), in the Great Lakes area of North America (Thompson </w:t>
      </w:r>
      <w:r w:rsidRPr="00D403F5">
        <w:rPr>
          <w:rFonts w:ascii="Arial" w:eastAsia="Times New Roman" w:hAnsi="Arial" w:cs="Arial"/>
          <w:bCs/>
          <w:i/>
          <w:sz w:val="18"/>
          <w:szCs w:val="18"/>
          <w:lang w:val="en-IE" w:eastAsia="fr-FR"/>
        </w:rPr>
        <w:t>et al</w:t>
      </w:r>
      <w:r w:rsidRPr="00D403F5">
        <w:rPr>
          <w:rFonts w:ascii="Arial" w:eastAsia="Times New Roman" w:hAnsi="Arial" w:cs="Arial"/>
          <w:bCs/>
          <w:sz w:val="18"/>
          <w:szCs w:val="18"/>
          <w:lang w:val="en-IE" w:eastAsia="fr-FR"/>
        </w:rPr>
        <w:t xml:space="preserve">., 2011), the seas around the UK (Skall </w:t>
      </w:r>
      <w:r w:rsidRPr="00D403F5">
        <w:rPr>
          <w:rFonts w:ascii="Arial" w:eastAsia="Times New Roman" w:hAnsi="Arial" w:cs="Arial"/>
          <w:bCs/>
          <w:i/>
          <w:sz w:val="18"/>
          <w:szCs w:val="18"/>
          <w:lang w:val="en-IE" w:eastAsia="fr-FR"/>
        </w:rPr>
        <w:t>et al</w:t>
      </w:r>
      <w:r w:rsidRPr="00D403F5">
        <w:rPr>
          <w:rFonts w:ascii="Arial" w:eastAsia="Times New Roman" w:hAnsi="Arial" w:cs="Arial"/>
          <w:bCs/>
          <w:sz w:val="18"/>
          <w:szCs w:val="18"/>
          <w:lang w:val="en-IE" w:eastAsia="fr-FR"/>
        </w:rPr>
        <w:t xml:space="preserve">., 2005), the Baltic Sea, Skagerrak and Kattegat (Skall </w:t>
      </w:r>
      <w:r w:rsidRPr="00D403F5">
        <w:rPr>
          <w:rFonts w:ascii="Arial" w:eastAsia="Times New Roman" w:hAnsi="Arial" w:cs="Arial"/>
          <w:bCs/>
          <w:i/>
          <w:sz w:val="18"/>
          <w:szCs w:val="18"/>
          <w:lang w:val="en-IE" w:eastAsia="fr-FR"/>
        </w:rPr>
        <w:t>et al</w:t>
      </w:r>
      <w:r w:rsidRPr="00D403F5">
        <w:rPr>
          <w:rFonts w:ascii="Arial" w:eastAsia="Times New Roman" w:hAnsi="Arial" w:cs="Arial"/>
          <w:bCs/>
          <w:sz w:val="18"/>
          <w:szCs w:val="18"/>
          <w:lang w:val="en-IE" w:eastAsia="fr-FR"/>
        </w:rPr>
        <w:t xml:space="preserve">., 2005), in the waters around Japan (Skall </w:t>
      </w:r>
      <w:r w:rsidRPr="00D403F5">
        <w:rPr>
          <w:rFonts w:ascii="Arial" w:eastAsia="Times New Roman" w:hAnsi="Arial" w:cs="Arial"/>
          <w:bCs/>
          <w:i/>
          <w:sz w:val="18"/>
          <w:szCs w:val="18"/>
          <w:lang w:val="en-IE" w:eastAsia="fr-FR"/>
        </w:rPr>
        <w:t>et al</w:t>
      </w:r>
      <w:r w:rsidRPr="00D403F5">
        <w:rPr>
          <w:rFonts w:ascii="Arial" w:eastAsia="Times New Roman" w:hAnsi="Arial" w:cs="Arial"/>
          <w:bCs/>
          <w:sz w:val="18"/>
          <w:szCs w:val="18"/>
          <w:lang w:val="en-IE" w:eastAsia="fr-FR"/>
        </w:rPr>
        <w:t xml:space="preserve">., 2005), and in the Black Sea area, with the distinct genotype Ie (Nishizawa </w:t>
      </w:r>
      <w:r w:rsidRPr="00D403F5">
        <w:rPr>
          <w:rFonts w:ascii="Arial" w:eastAsia="Times New Roman" w:hAnsi="Arial" w:cs="Arial"/>
          <w:bCs/>
          <w:i/>
          <w:sz w:val="18"/>
          <w:szCs w:val="18"/>
          <w:lang w:val="en-IE" w:eastAsia="fr-FR"/>
        </w:rPr>
        <w:t>et al</w:t>
      </w:r>
      <w:r w:rsidRPr="00D403F5">
        <w:rPr>
          <w:rFonts w:ascii="Arial" w:eastAsia="Times New Roman" w:hAnsi="Arial" w:cs="Arial"/>
          <w:bCs/>
          <w:sz w:val="18"/>
          <w:szCs w:val="18"/>
          <w:lang w:val="en-IE" w:eastAsia="fr-FR"/>
        </w:rPr>
        <w:t>., 2006).</w:t>
      </w:r>
    </w:p>
    <w:p w14:paraId="06450158"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Infection with VHSV in farmed rainbow trout has been reported from almost all European and Middle East countries and from China (People’s Rep. of) and Russia. However, a number of countries in Europe, such as Denmark, Ireland, Norway, Sweden and UK, are officially declared free of infection with VHSV. Infection with VHSV has never been reported from the Southern Hemisphere.</w:t>
      </w:r>
    </w:p>
    <w:p w14:paraId="20513309"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bCs/>
          <w:sz w:val="18"/>
          <w:szCs w:val="18"/>
          <w:lang w:val="en-IE" w:eastAsia="fr-FR"/>
        </w:rPr>
        <w:t xml:space="preserve">For recent information on distribution at the country level consult the WAHIS interface. </w:t>
      </w:r>
    </w:p>
    <w:p w14:paraId="3F36453D" w14:textId="77777777" w:rsidR="000B38E2" w:rsidRPr="00D403F5" w:rsidRDefault="000B38E2"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br w:type="page"/>
      </w:r>
    </w:p>
    <w:p w14:paraId="200B0B7B" w14:textId="77777777" w:rsidR="000B38E2" w:rsidRPr="00D403F5" w:rsidRDefault="000B38E2"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661F9E3C" w14:textId="5829307E"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2.4.</w:t>
      </w:r>
      <w:r w:rsidRPr="00D403F5">
        <w:rPr>
          <w:rFonts w:ascii="Ottawa" w:eastAsia="MS Mincho" w:hAnsi="Ottawa" w:cs="Times New Roman"/>
          <w:b/>
          <w:sz w:val="18"/>
          <w:szCs w:val="18"/>
          <w:lang w:val="da-DK" w:eastAsia="da-DK"/>
        </w:rPr>
        <w:tab/>
        <w:t xml:space="preserve">Biosecurity and disease control strategies </w:t>
      </w:r>
    </w:p>
    <w:p w14:paraId="660645F3"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2.4.1.</w:t>
      </w:r>
      <w:r w:rsidRPr="00D403F5">
        <w:rPr>
          <w:rFonts w:ascii="Ottawa" w:eastAsia="Times New Roman" w:hAnsi="Ottawa" w:cs="Times New Roman"/>
          <w:b/>
          <w:bCs/>
          <w:sz w:val="18"/>
          <w:szCs w:val="18"/>
          <w:lang w:val="en-IE" w:eastAsia="fr-FR"/>
        </w:rPr>
        <w:tab/>
        <w:t>Vaccination</w:t>
      </w:r>
    </w:p>
    <w:p w14:paraId="19B67989"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sz w:val="18"/>
          <w:szCs w:val="18"/>
          <w:lang w:val="en-IE"/>
        </w:rPr>
        <w:t>Although research on vaccine development for VHSV has been ongoing for more than four decades, a commercial vaccine is not yet available. Candidate vaccines have included killed vaccines, attenuated live vaccines, a recombinant vaccine in prokaryotic and eukaryotic expression systems, and DNA-based vaccines. For a review see Lorenzen &amp; LaPatra (2005). No vaccines currently affect the sensitivity and specificity of infection with VHSV diagnostics.</w:t>
      </w:r>
    </w:p>
    <w:p w14:paraId="086132B9"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2.4.2.</w:t>
      </w:r>
      <w:r w:rsidRPr="00D403F5">
        <w:rPr>
          <w:rFonts w:ascii="Ottawa" w:eastAsia="Times New Roman" w:hAnsi="Ottawa" w:cs="Times New Roman"/>
          <w:b/>
          <w:bCs/>
          <w:sz w:val="18"/>
          <w:szCs w:val="18"/>
          <w:lang w:val="en-IE" w:eastAsia="fr-FR"/>
        </w:rPr>
        <w:tab/>
        <w:t>Chemotherapy including blocking agents</w:t>
      </w:r>
    </w:p>
    <w:p w14:paraId="13E38E4B"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sz w:val="18"/>
          <w:szCs w:val="18"/>
          <w:lang w:val="en-IE"/>
        </w:rPr>
        <w:t>No therapies are currently available.</w:t>
      </w:r>
    </w:p>
    <w:p w14:paraId="1287BB86"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2.4.3.</w:t>
      </w:r>
      <w:r w:rsidRPr="00D403F5">
        <w:rPr>
          <w:rFonts w:ascii="Ottawa" w:eastAsia="Times New Roman" w:hAnsi="Ottawa" w:cs="Times New Roman"/>
          <w:b/>
          <w:bCs/>
          <w:sz w:val="18"/>
          <w:szCs w:val="18"/>
          <w:lang w:val="en-IE" w:eastAsia="fr-FR"/>
        </w:rPr>
        <w:tab/>
        <w:t>Immunostimulation</w:t>
      </w:r>
    </w:p>
    <w:p w14:paraId="7C31CE4E" w14:textId="77777777" w:rsidR="00C7266C" w:rsidRPr="00D403F5" w:rsidRDefault="00C7266C" w:rsidP="00D403F5">
      <w:pPr>
        <w:spacing w:after="0" w:line="240" w:lineRule="auto"/>
        <w:ind w:left="851"/>
        <w:jc w:val="both"/>
        <w:rPr>
          <w:rFonts w:ascii="Arial" w:eastAsia="Times New Roman" w:hAnsi="Arial" w:cs="Arial"/>
          <w:bCs/>
          <w:sz w:val="18"/>
          <w:szCs w:val="18"/>
          <w:lang w:val="en-IE" w:eastAsia="fr-FR"/>
        </w:rPr>
      </w:pPr>
      <w:r w:rsidRPr="00D403F5">
        <w:rPr>
          <w:rFonts w:ascii="Arial" w:eastAsia="Times New Roman" w:hAnsi="Arial" w:cs="Arial"/>
          <w:sz w:val="18"/>
          <w:szCs w:val="18"/>
          <w:lang w:val="en-IE"/>
        </w:rPr>
        <w:t xml:space="preserve">Several immunostimulants, such as yeast-derived beta-glucans, IL-1β-derived peptides, and probiotics have been assessed for enhancing protection against infection with VHSV (Peddie </w:t>
      </w:r>
      <w:r w:rsidRPr="00D403F5">
        <w:rPr>
          <w:rFonts w:ascii="Arial" w:eastAsia="Times New Roman" w:hAnsi="Arial" w:cs="Arial"/>
          <w:i/>
          <w:sz w:val="18"/>
          <w:szCs w:val="18"/>
          <w:lang w:val="en-IE"/>
        </w:rPr>
        <w:t>et al</w:t>
      </w:r>
      <w:r w:rsidRPr="00D403F5">
        <w:rPr>
          <w:rFonts w:ascii="Arial" w:eastAsia="Times New Roman" w:hAnsi="Arial" w:cs="Arial"/>
          <w:sz w:val="18"/>
          <w:szCs w:val="18"/>
          <w:lang w:val="en-IE"/>
        </w:rPr>
        <w:t>., 2003). Several researchers report positive effects, but no immunostimulant directed specifically at enhanced resistance to infection with VHSV is available. Furthermore, it remains unknown as to whether their use can affect sensitivity and specificity of infection with VHSV diagnostics.</w:t>
      </w:r>
    </w:p>
    <w:p w14:paraId="1DC4833E"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2.4.4.</w:t>
      </w:r>
      <w:r w:rsidRPr="00D403F5">
        <w:rPr>
          <w:rFonts w:ascii="Ottawa" w:eastAsia="Times New Roman" w:hAnsi="Ottawa" w:cs="Times New Roman"/>
          <w:b/>
          <w:bCs/>
          <w:sz w:val="18"/>
          <w:szCs w:val="18"/>
          <w:lang w:val="en-IE" w:eastAsia="fr-FR"/>
        </w:rPr>
        <w:tab/>
        <w:t xml:space="preserve">Breeding resistant strains </w:t>
      </w:r>
    </w:p>
    <w:p w14:paraId="16EBB393" w14:textId="77777777" w:rsidR="00C7266C" w:rsidRPr="00D403F5" w:rsidRDefault="00C7266C" w:rsidP="00D403F5">
      <w:pPr>
        <w:spacing w:after="0" w:line="240" w:lineRule="auto"/>
        <w:ind w:left="851"/>
        <w:jc w:val="both"/>
        <w:rPr>
          <w:rFonts w:ascii="Arial" w:eastAsia="Times New Roman" w:hAnsi="Arial" w:cs="Arial"/>
          <w:bCs/>
          <w:sz w:val="18"/>
          <w:szCs w:val="18"/>
          <w:lang w:eastAsia="fr-FR"/>
        </w:rPr>
      </w:pPr>
      <w:r w:rsidRPr="00D403F5">
        <w:rPr>
          <w:rFonts w:ascii="Arial" w:eastAsia="Times New Roman" w:hAnsi="Arial" w:cs="Arial"/>
          <w:bCs/>
          <w:sz w:val="18"/>
          <w:szCs w:val="18"/>
          <w:lang w:eastAsia="fr-FR"/>
        </w:rPr>
        <w:t xml:space="preserve">Additive genetic variation in rainbow trout has been detected for resistance to VHSV (Dorson </w:t>
      </w:r>
      <w:r w:rsidRPr="00D403F5">
        <w:rPr>
          <w:rFonts w:ascii="Arial" w:eastAsia="Times New Roman" w:hAnsi="Arial" w:cs="Arial"/>
          <w:bCs/>
          <w:i/>
          <w:sz w:val="18"/>
          <w:szCs w:val="18"/>
          <w:lang w:eastAsia="fr-FR"/>
        </w:rPr>
        <w:t>et al</w:t>
      </w:r>
      <w:r w:rsidRPr="00D403F5">
        <w:rPr>
          <w:rFonts w:ascii="Arial" w:eastAsia="Times New Roman" w:hAnsi="Arial" w:cs="Arial"/>
          <w:bCs/>
          <w:sz w:val="18"/>
          <w:szCs w:val="18"/>
          <w:lang w:eastAsia="fr-FR"/>
        </w:rPr>
        <w:t xml:space="preserve">., 1995; Henryon </w:t>
      </w:r>
      <w:r w:rsidRPr="00D403F5">
        <w:rPr>
          <w:rFonts w:ascii="Arial" w:eastAsia="Times New Roman" w:hAnsi="Arial" w:cs="Arial"/>
          <w:bCs/>
          <w:i/>
          <w:sz w:val="18"/>
          <w:szCs w:val="18"/>
          <w:lang w:eastAsia="fr-FR"/>
        </w:rPr>
        <w:t>et al</w:t>
      </w:r>
      <w:r w:rsidRPr="00D403F5">
        <w:rPr>
          <w:rFonts w:ascii="Arial" w:eastAsia="Times New Roman" w:hAnsi="Arial" w:cs="Arial"/>
          <w:bCs/>
          <w:sz w:val="18"/>
          <w:szCs w:val="18"/>
          <w:lang w:eastAsia="fr-FR"/>
        </w:rPr>
        <w:t xml:space="preserve">., 2002a; 2002b). In a study by Henryon </w:t>
      </w:r>
      <w:r w:rsidRPr="00D403F5">
        <w:rPr>
          <w:rFonts w:ascii="Arial" w:eastAsia="Times New Roman" w:hAnsi="Arial" w:cs="Arial"/>
          <w:bCs/>
          <w:i/>
          <w:sz w:val="18"/>
          <w:szCs w:val="18"/>
          <w:lang w:eastAsia="fr-FR"/>
        </w:rPr>
        <w:t>et al</w:t>
      </w:r>
      <w:r w:rsidRPr="00D403F5">
        <w:rPr>
          <w:rFonts w:ascii="Arial" w:eastAsia="Times New Roman" w:hAnsi="Arial" w:cs="Arial"/>
          <w:bCs/>
          <w:sz w:val="18"/>
          <w:szCs w:val="18"/>
          <w:lang w:eastAsia="fr-FR"/>
        </w:rPr>
        <w:t xml:space="preserve">. (2005), the heritability of resistance to VHS was 0.11 for time to death on a logarithmic timescale. Identification of a major </w:t>
      </w:r>
      <w:r w:rsidRPr="00D403F5">
        <w:rPr>
          <w:rFonts w:ascii="Arial" w:eastAsia="Times New Roman" w:hAnsi="Arial" w:cs="Arial"/>
          <w:bCs/>
          <w:color w:val="202020"/>
          <w:sz w:val="18"/>
          <w:szCs w:val="18"/>
          <w:shd w:val="clear" w:color="auto" w:fill="FFFFFF"/>
          <w:lang w:val="en-IE"/>
        </w:rPr>
        <w:t>quantitative trait loci (QTL)</w:t>
      </w:r>
      <w:r w:rsidRPr="00D403F5">
        <w:rPr>
          <w:rFonts w:ascii="Arial" w:eastAsia="Times New Roman" w:hAnsi="Arial" w:cs="Arial"/>
          <w:bCs/>
          <w:sz w:val="18"/>
          <w:szCs w:val="18"/>
          <w:lang w:eastAsia="fr-FR"/>
        </w:rPr>
        <w:t xml:space="preserve"> for VHSV resistance in rainbow trout may pave the way for genetic selection for VHSV resistant fish (Verrier </w:t>
      </w:r>
      <w:r w:rsidRPr="00D403F5">
        <w:rPr>
          <w:rFonts w:ascii="Arial" w:eastAsia="Times New Roman" w:hAnsi="Arial" w:cs="Arial"/>
          <w:bCs/>
          <w:i/>
          <w:sz w:val="18"/>
          <w:szCs w:val="18"/>
          <w:lang w:val="en-IE"/>
        </w:rPr>
        <w:t>et al.,</w:t>
      </w:r>
      <w:r w:rsidRPr="00D403F5">
        <w:rPr>
          <w:rFonts w:ascii="Arial" w:eastAsia="Times New Roman" w:hAnsi="Arial" w:cs="Arial"/>
          <w:bCs/>
          <w:sz w:val="18"/>
          <w:szCs w:val="18"/>
          <w:lang w:val="en-IE"/>
        </w:rPr>
        <w:t xml:space="preserve"> </w:t>
      </w:r>
      <w:r w:rsidRPr="00D403F5">
        <w:rPr>
          <w:rFonts w:ascii="Arial" w:eastAsia="Times New Roman" w:hAnsi="Arial" w:cs="Arial"/>
          <w:bCs/>
          <w:sz w:val="18"/>
          <w:szCs w:val="18"/>
          <w:lang w:eastAsia="fr-FR"/>
        </w:rPr>
        <w:t>2013), however, no resistant rainbow trout strains are yet commercially available.</w:t>
      </w:r>
    </w:p>
    <w:p w14:paraId="6B54BDE8"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2.4.5.</w:t>
      </w:r>
      <w:r w:rsidRPr="00D403F5">
        <w:rPr>
          <w:rFonts w:ascii="Ottawa" w:eastAsia="Times New Roman" w:hAnsi="Ottawa" w:cs="Times New Roman"/>
          <w:b/>
          <w:bCs/>
          <w:sz w:val="18"/>
          <w:szCs w:val="18"/>
          <w:lang w:val="en-IE" w:eastAsia="fr-FR"/>
        </w:rPr>
        <w:tab/>
        <w:t>Inactivation methods</w:t>
      </w:r>
    </w:p>
    <w:p w14:paraId="2D064D44"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sz w:val="18"/>
          <w:szCs w:val="18"/>
          <w:lang w:val="en-IE"/>
        </w:rPr>
        <w:t xml:space="preserve">VHSV is sensitive to a number of common disinfectants (e.g. UV, chlorine, iodophore, sodium hypochlorite), to temperatures above 30°C, to bacterial degradation in sediments and enzymatic activity in decomposing fish. For a review see Bovo </w:t>
      </w:r>
      <w:r w:rsidRPr="00D403F5">
        <w:rPr>
          <w:rFonts w:ascii="Arial" w:eastAsia="Times New Roman" w:hAnsi="Arial" w:cs="Arial"/>
          <w:i/>
          <w:sz w:val="18"/>
          <w:szCs w:val="18"/>
          <w:lang w:val="en-IE"/>
        </w:rPr>
        <w:t>et al</w:t>
      </w:r>
      <w:r w:rsidRPr="00D403F5">
        <w:rPr>
          <w:rFonts w:ascii="Arial" w:eastAsia="Times New Roman" w:hAnsi="Arial" w:cs="Arial"/>
          <w:sz w:val="18"/>
          <w:szCs w:val="18"/>
          <w:lang w:val="en-IE"/>
        </w:rPr>
        <w:t>., 2005b.</w:t>
      </w:r>
    </w:p>
    <w:p w14:paraId="65CEF767"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2.4.6.</w:t>
      </w:r>
      <w:r w:rsidRPr="00D403F5">
        <w:rPr>
          <w:rFonts w:ascii="Ottawa" w:eastAsia="Times New Roman" w:hAnsi="Ottawa" w:cs="Times New Roman"/>
          <w:b/>
          <w:bCs/>
          <w:sz w:val="18"/>
          <w:szCs w:val="18"/>
          <w:lang w:val="en-IE" w:eastAsia="fr-FR"/>
        </w:rPr>
        <w:tab/>
        <w:t>Disinfection of eggs and larvae</w:t>
      </w:r>
    </w:p>
    <w:p w14:paraId="4FF6121E"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Disinfection of eyed and green eggs is an efficient and cost-effective preventative measure for stopping the spread of the disease in salmonids (for the recommended protocol see Chapter 4.4. of the </w:t>
      </w:r>
      <w:r w:rsidRPr="00D403F5">
        <w:rPr>
          <w:rFonts w:ascii="Arial" w:eastAsia="Times New Roman" w:hAnsi="Arial" w:cs="Arial"/>
          <w:bCs/>
          <w:i/>
          <w:sz w:val="18"/>
          <w:szCs w:val="18"/>
          <w:lang w:val="en-IE"/>
        </w:rPr>
        <w:t>Aquatic Code</w:t>
      </w:r>
      <w:r w:rsidRPr="00D403F5">
        <w:rPr>
          <w:rFonts w:ascii="Arial" w:eastAsia="Times New Roman" w:hAnsi="Arial" w:cs="Arial"/>
          <w:bCs/>
          <w:sz w:val="18"/>
          <w:szCs w:val="18"/>
          <w:lang w:val="en-IE"/>
        </w:rPr>
        <w:t xml:space="preserve">). </w:t>
      </w:r>
    </w:p>
    <w:p w14:paraId="2E21F1B9"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2.4.7.</w:t>
      </w:r>
      <w:r w:rsidRPr="00D403F5">
        <w:rPr>
          <w:rFonts w:ascii="Ottawa" w:eastAsia="Times New Roman" w:hAnsi="Ottawa" w:cs="Times New Roman"/>
          <w:b/>
          <w:bCs/>
          <w:sz w:val="18"/>
          <w:szCs w:val="18"/>
          <w:lang w:eastAsia="fr-FR"/>
        </w:rPr>
        <w:tab/>
        <w:t xml:space="preserve">General husbandry </w:t>
      </w:r>
    </w:p>
    <w:p w14:paraId="67432477"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Poor water quality, high fish density, high feeding rate, other diseases such as proliferative kidney disease, ichthyophthiriasis, bacterial kidney disease, etc. can influence the course and severity of infection with VHSV. In general, an increase in temperature, restricted feeding, reduced fish density and restricted handling may reduce mortality. In endemically infected farms, stocking with naïve fry is usually done at as high water temperatures as possible.</w:t>
      </w:r>
    </w:p>
    <w:p w14:paraId="15DAD667" w14:textId="77777777" w:rsidR="00C7266C" w:rsidRPr="00D403F5" w:rsidRDefault="00C7266C" w:rsidP="00D403F5">
      <w:pPr>
        <w:spacing w:after="0" w:line="240" w:lineRule="auto"/>
        <w:ind w:left="284" w:hanging="284"/>
        <w:outlineLvl w:val="0"/>
        <w:rPr>
          <w:rFonts w:ascii="Ottawa" w:eastAsia="Times New Roman" w:hAnsi="Ottawa" w:cs="Times New Roman"/>
          <w:b/>
          <w:bCs/>
          <w:sz w:val="18"/>
          <w:szCs w:val="18"/>
          <w:lang w:val="en-IE" w:bidi="en-US"/>
        </w:rPr>
      </w:pPr>
      <w:r w:rsidRPr="00D403F5">
        <w:rPr>
          <w:rFonts w:ascii="Ottawa" w:eastAsia="Times New Roman" w:hAnsi="Ottawa" w:cs="Times New Roman"/>
          <w:b/>
          <w:bCs/>
          <w:sz w:val="18"/>
          <w:szCs w:val="18"/>
          <w:lang w:val="en-IE" w:bidi="en-US"/>
        </w:rPr>
        <w:t>3.</w:t>
      </w:r>
      <w:r w:rsidRPr="00D403F5">
        <w:rPr>
          <w:rFonts w:ascii="Ottawa" w:eastAsia="Times New Roman" w:hAnsi="Ottawa" w:cs="Times New Roman"/>
          <w:b/>
          <w:bCs/>
          <w:sz w:val="18"/>
          <w:szCs w:val="18"/>
          <w:lang w:val="en-IE" w:bidi="en-US"/>
        </w:rPr>
        <w:tab/>
        <w:t xml:space="preserve">Specimen selection, sample collection, transportation and handling </w:t>
      </w:r>
    </w:p>
    <w:p w14:paraId="075FF9D9"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3.1.</w:t>
      </w:r>
      <w:r w:rsidRPr="00D403F5">
        <w:rPr>
          <w:rFonts w:ascii="Ottawa" w:eastAsia="MS Mincho" w:hAnsi="Ottawa" w:cs="Times New Roman"/>
          <w:b/>
          <w:sz w:val="18"/>
          <w:szCs w:val="18"/>
          <w:lang w:val="da-DK" w:eastAsia="da-DK"/>
        </w:rPr>
        <w:tab/>
        <w:t xml:space="preserve">Selection of populations and individual specimens </w:t>
      </w:r>
    </w:p>
    <w:p w14:paraId="0800B7CD" w14:textId="77777777" w:rsidR="00C7266C" w:rsidRPr="00D403F5" w:rsidRDefault="00C7266C" w:rsidP="00D403F5">
      <w:pPr>
        <w:spacing w:after="0" w:line="240" w:lineRule="auto"/>
        <w:ind w:left="425"/>
        <w:jc w:val="both"/>
        <w:rPr>
          <w:rFonts w:ascii="Arial" w:eastAsia="Times New Roman" w:hAnsi="Arial" w:cs="Arial"/>
          <w:spacing w:val="-2"/>
          <w:sz w:val="18"/>
          <w:szCs w:val="18"/>
        </w:rPr>
      </w:pPr>
      <w:r w:rsidRPr="00D403F5">
        <w:rPr>
          <w:rFonts w:ascii="Arial" w:eastAsia="Times New Roman" w:hAnsi="Arial" w:cs="Arial"/>
          <w:spacing w:val="-2"/>
          <w:sz w:val="18"/>
          <w:szCs w:val="18"/>
        </w:rPr>
        <w:t>Clinical inspections should be carried out during a period when the water temperature is below 14°C or whenever the water temperature is likely to reach its lowest annual point. All production units (ponds, tanks, net-cages, etc.) should be inspected for the presence of dead, weak or abnormally behaving fish. Particular attention should be paid to the water outlet area where weak fish tend to accumulate due to the water current.</w:t>
      </w:r>
    </w:p>
    <w:p w14:paraId="0DD68F68" w14:textId="77777777" w:rsidR="000B38E2" w:rsidRPr="00D403F5" w:rsidRDefault="000B38E2" w:rsidP="00D403F5">
      <w:pPr>
        <w:spacing w:after="0" w:line="240" w:lineRule="auto"/>
        <w:ind w:left="425"/>
        <w:jc w:val="both"/>
        <w:rPr>
          <w:rFonts w:ascii="Arial" w:eastAsia="Times New Roman" w:hAnsi="Arial" w:cs="Arial"/>
          <w:sz w:val="18"/>
          <w:szCs w:val="18"/>
        </w:rPr>
      </w:pPr>
      <w:r w:rsidRPr="00D403F5">
        <w:rPr>
          <w:rFonts w:ascii="Arial" w:eastAsia="Times New Roman" w:hAnsi="Arial" w:cs="Arial"/>
          <w:sz w:val="18"/>
          <w:szCs w:val="18"/>
        </w:rPr>
        <w:br w:type="page"/>
      </w:r>
    </w:p>
    <w:p w14:paraId="7B4837FC" w14:textId="77777777" w:rsidR="000B38E2" w:rsidRPr="00D403F5" w:rsidRDefault="000B38E2"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1E97EF45" w14:textId="64DD035A" w:rsidR="00C7266C" w:rsidRPr="00D403F5" w:rsidRDefault="00C7266C" w:rsidP="00D403F5">
      <w:pPr>
        <w:spacing w:after="0" w:line="240" w:lineRule="auto"/>
        <w:ind w:left="425"/>
        <w:jc w:val="both"/>
        <w:rPr>
          <w:rFonts w:ascii="Arial" w:eastAsia="Times New Roman" w:hAnsi="Arial" w:cs="Arial"/>
          <w:sz w:val="18"/>
          <w:szCs w:val="18"/>
        </w:rPr>
      </w:pPr>
      <w:r w:rsidRPr="00D403F5">
        <w:rPr>
          <w:rFonts w:ascii="Arial" w:eastAsia="Times New Roman" w:hAnsi="Arial" w:cs="Arial"/>
          <w:sz w:val="18"/>
          <w:szCs w:val="18"/>
        </w:rPr>
        <w:t>Fish to be sampled are selected as follows:</w:t>
      </w:r>
    </w:p>
    <w:p w14:paraId="45C2DB98" w14:textId="77777777" w:rsidR="00C7266C" w:rsidRPr="00D403F5" w:rsidRDefault="00C7266C" w:rsidP="00D403F5">
      <w:pPr>
        <w:spacing w:after="0" w:line="240" w:lineRule="auto"/>
        <w:ind w:left="850" w:hanging="425"/>
        <w:jc w:val="both"/>
        <w:rPr>
          <w:rFonts w:ascii="Arial" w:eastAsia="Times New Roman" w:hAnsi="Arial" w:cs="Arial"/>
          <w:sz w:val="18"/>
          <w:szCs w:val="18"/>
        </w:rPr>
      </w:pPr>
      <w:r w:rsidRPr="00D403F5">
        <w:rPr>
          <w:rFonts w:ascii="Arial" w:eastAsia="Times New Roman" w:hAnsi="Arial" w:cs="Arial"/>
          <w:sz w:val="18"/>
          <w:szCs w:val="18"/>
        </w:rPr>
        <w:t>i)</w:t>
      </w:r>
      <w:r w:rsidRPr="00D403F5">
        <w:rPr>
          <w:rFonts w:ascii="Arial" w:eastAsia="Times New Roman" w:hAnsi="Arial" w:cs="Arial"/>
          <w:sz w:val="18"/>
          <w:szCs w:val="18"/>
        </w:rPr>
        <w:tab/>
        <w:t xml:space="preserve">For genotype I, in farms where rainbow trout are present, only fish of that species should be selected for sampling. If rainbow trout are not present, the sample should be obtained from fish of all other VHSV-susceptible species present, as listed in Tables 2.1. and 2.2. However, the species should be proportionally represented in the sample. For other genotypes (II, III, and IV), species of known susceptibility to the genotype in question should be sampled. </w:t>
      </w:r>
    </w:p>
    <w:p w14:paraId="5F6F3287" w14:textId="77777777" w:rsidR="00C7266C" w:rsidRPr="00D403F5" w:rsidRDefault="00C7266C" w:rsidP="00D403F5">
      <w:pPr>
        <w:spacing w:after="0" w:line="240" w:lineRule="auto"/>
        <w:ind w:left="850" w:hanging="425"/>
        <w:jc w:val="both"/>
        <w:rPr>
          <w:rFonts w:ascii="Arial" w:eastAsia="Times New Roman" w:hAnsi="Arial" w:cs="Arial"/>
          <w:sz w:val="18"/>
          <w:szCs w:val="18"/>
        </w:rPr>
      </w:pPr>
      <w:r w:rsidRPr="00D403F5">
        <w:rPr>
          <w:rFonts w:ascii="Arial" w:eastAsia="Times New Roman" w:hAnsi="Arial" w:cs="Arial"/>
          <w:sz w:val="18"/>
          <w:szCs w:val="18"/>
        </w:rPr>
        <w:t>ii)</w:t>
      </w:r>
      <w:r w:rsidRPr="00D403F5">
        <w:rPr>
          <w:rFonts w:ascii="Arial" w:eastAsia="Times New Roman" w:hAnsi="Arial" w:cs="Arial"/>
          <w:sz w:val="18"/>
          <w:szCs w:val="18"/>
        </w:rPr>
        <w:tab/>
        <w:t>Susceptible species should be sampled following risk-based criteria for targeted selection of populations with a history of abnormal mortality or potential exposure events (e.g. via untreated surface water, wild harvest or introduction of stocks of unknown risk status).</w:t>
      </w:r>
    </w:p>
    <w:p w14:paraId="47F25CDA" w14:textId="77777777" w:rsidR="00C7266C" w:rsidRPr="00D403F5" w:rsidRDefault="00C7266C" w:rsidP="00D403F5">
      <w:pPr>
        <w:spacing w:after="0" w:line="240" w:lineRule="auto"/>
        <w:ind w:left="850" w:hanging="425"/>
        <w:jc w:val="both"/>
        <w:rPr>
          <w:rFonts w:ascii="Arial" w:eastAsia="Times New Roman" w:hAnsi="Arial" w:cs="Arial"/>
          <w:sz w:val="18"/>
          <w:szCs w:val="18"/>
        </w:rPr>
      </w:pPr>
      <w:r w:rsidRPr="00D403F5">
        <w:rPr>
          <w:rFonts w:ascii="Arial" w:eastAsia="Times New Roman" w:hAnsi="Arial" w:cs="Arial"/>
          <w:sz w:val="18"/>
          <w:szCs w:val="18"/>
        </w:rPr>
        <w:t>iii)</w:t>
      </w:r>
      <w:r w:rsidRPr="00D403F5">
        <w:rPr>
          <w:rFonts w:ascii="Arial" w:eastAsia="Times New Roman" w:hAnsi="Arial" w:cs="Arial"/>
          <w:sz w:val="18"/>
          <w:szCs w:val="18"/>
        </w:rPr>
        <w:tab/>
        <w:t>If more than one water source is used for fish production, fish from all water sources should be included in the sample.</w:t>
      </w:r>
    </w:p>
    <w:p w14:paraId="128C5720"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3.2.</w:t>
      </w:r>
      <w:r w:rsidRPr="00D403F5">
        <w:rPr>
          <w:rFonts w:ascii="Ottawa" w:eastAsia="MS Mincho" w:hAnsi="Ottawa" w:cs="Times New Roman"/>
          <w:b/>
          <w:sz w:val="18"/>
          <w:szCs w:val="18"/>
          <w:lang w:val="da-DK" w:eastAsia="da-DK"/>
        </w:rPr>
        <w:tab/>
        <w:t>Selection of organs or tissues</w:t>
      </w:r>
    </w:p>
    <w:p w14:paraId="2CF716CE" w14:textId="77777777" w:rsidR="00C7266C" w:rsidRPr="00D403F5" w:rsidRDefault="00C7266C" w:rsidP="00D403F5">
      <w:pPr>
        <w:spacing w:after="0" w:line="240" w:lineRule="auto"/>
        <w:ind w:left="425"/>
        <w:jc w:val="both"/>
        <w:rPr>
          <w:rFonts w:ascii="Arial" w:eastAsia="Times New Roman" w:hAnsi="Arial" w:cs="Arial"/>
          <w:sz w:val="18"/>
          <w:szCs w:val="18"/>
          <w:lang w:val="en-IE" w:eastAsia="fr-FR"/>
        </w:rPr>
      </w:pPr>
      <w:r w:rsidRPr="00D403F5">
        <w:rPr>
          <w:rFonts w:ascii="Arial" w:eastAsia="Times New Roman" w:hAnsi="Arial" w:cs="Arial"/>
          <w:sz w:val="18"/>
          <w:szCs w:val="18"/>
          <w:lang w:val="en-IE" w:eastAsia="fr-FR"/>
        </w:rPr>
        <w:t>The optimal tissue material to be examined is spleen, anterior kidney, heart and encephalon. In some cases, ovarian fluid and milt must be examined.</w:t>
      </w:r>
    </w:p>
    <w:p w14:paraId="1E32AECF" w14:textId="77777777" w:rsidR="00C7266C" w:rsidRPr="00D403F5" w:rsidRDefault="00C7266C" w:rsidP="00D403F5">
      <w:pPr>
        <w:spacing w:after="0" w:line="240" w:lineRule="auto"/>
        <w:ind w:left="425"/>
        <w:jc w:val="both"/>
        <w:rPr>
          <w:rFonts w:ascii="Arial" w:eastAsia="Times New Roman" w:hAnsi="Arial" w:cs="Arial"/>
          <w:sz w:val="18"/>
          <w:szCs w:val="18"/>
          <w:lang w:val="en-IE" w:eastAsia="fr-FR"/>
        </w:rPr>
      </w:pPr>
      <w:r w:rsidRPr="00D403F5">
        <w:rPr>
          <w:rFonts w:ascii="Arial" w:eastAsia="Times New Roman" w:hAnsi="Arial" w:cs="Arial"/>
          <w:sz w:val="18"/>
          <w:szCs w:val="18"/>
          <w:lang w:val="en-IE" w:eastAsia="fr-FR"/>
        </w:rPr>
        <w:t>In case of small fry, whole fish less than 4 cm long can be minced with sterile scissors or a scalpel after removal of the body behind the gut opening. If a sample consists of whole fish with a body length between 4 cm and 6 cm, the viscera including kidney should be collected. F</w:t>
      </w:r>
      <w:r w:rsidRPr="00D403F5">
        <w:rPr>
          <w:rFonts w:ascii="Arial" w:eastAsia="Times New Roman" w:hAnsi="Arial" w:cs="Times New Roman"/>
          <w:sz w:val="18"/>
          <w:szCs w:val="18"/>
          <w:lang w:val="en-IE" w:eastAsia="fr-FR"/>
        </w:rPr>
        <w:t>or larger size fish, kidney, spleen, heart and encephalon, and ovarian fluid from brood fish at the time of spawning should be the tissues to be sampled.</w:t>
      </w:r>
    </w:p>
    <w:p w14:paraId="19690A1A"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3.3.</w:t>
      </w:r>
      <w:r w:rsidRPr="00D403F5">
        <w:rPr>
          <w:rFonts w:ascii="Ottawa" w:eastAsia="MS Mincho" w:hAnsi="Ottawa" w:cs="Times New Roman"/>
          <w:b/>
          <w:sz w:val="18"/>
          <w:szCs w:val="18"/>
          <w:lang w:val="da-DK" w:eastAsia="da-DK"/>
        </w:rPr>
        <w:tab/>
        <w:t>Samples or tissues not suitable for pathogen detection</w:t>
      </w:r>
    </w:p>
    <w:p w14:paraId="6DB5452F" w14:textId="77777777" w:rsidR="00C7266C" w:rsidRPr="00D403F5" w:rsidRDefault="00C7266C" w:rsidP="00D403F5">
      <w:pPr>
        <w:spacing w:after="0" w:line="240" w:lineRule="auto"/>
        <w:ind w:left="425"/>
        <w:jc w:val="both"/>
        <w:rPr>
          <w:rFonts w:ascii="Arial" w:eastAsia="Times New Roman" w:hAnsi="Arial" w:cs="Arial"/>
          <w:sz w:val="18"/>
          <w:szCs w:val="18"/>
          <w:lang w:val="en-IE"/>
        </w:rPr>
      </w:pPr>
      <w:r w:rsidRPr="00D403F5">
        <w:rPr>
          <w:rFonts w:ascii="Arial" w:eastAsia="Times New Roman" w:hAnsi="Arial" w:cs="Arial"/>
          <w:sz w:val="18"/>
          <w:szCs w:val="18"/>
          <w:lang w:eastAsia="fr-FR"/>
        </w:rPr>
        <w:t xml:space="preserve">VHSV is very sensitive to enzymatic degradation, therefore sampling tissues with high enzymatic activities, such as viscera and liver, </w:t>
      </w:r>
      <w:r w:rsidRPr="00D403F5">
        <w:rPr>
          <w:rFonts w:ascii="Arial" w:eastAsia="Times New Roman" w:hAnsi="Arial" w:cs="Arial"/>
          <w:sz w:val="18"/>
          <w:szCs w:val="18"/>
          <w:lang w:val="en-IE"/>
        </w:rPr>
        <w:t>or large numbers of contaminating bacteria,</w:t>
      </w:r>
      <w:r w:rsidRPr="00D403F5">
        <w:rPr>
          <w:rFonts w:ascii="Arial" w:eastAsia="Times New Roman" w:hAnsi="Arial" w:cs="Times New Roman"/>
          <w:sz w:val="18"/>
          <w:szCs w:val="18"/>
          <w:lang w:val="en-IE"/>
        </w:rPr>
        <w:t xml:space="preserve"> such as </w:t>
      </w:r>
      <w:r w:rsidRPr="00D403F5">
        <w:rPr>
          <w:rFonts w:ascii="Arial" w:eastAsia="Times New Roman" w:hAnsi="Arial" w:cs="Arial"/>
          <w:sz w:val="18"/>
          <w:szCs w:val="18"/>
          <w:lang w:val="en-IE"/>
        </w:rPr>
        <w:t>the intestine or skin,</w:t>
      </w:r>
      <w:r w:rsidRPr="00D403F5">
        <w:rPr>
          <w:rFonts w:ascii="Arial" w:eastAsia="Times New Roman" w:hAnsi="Arial" w:cs="Arial"/>
          <w:sz w:val="18"/>
          <w:szCs w:val="18"/>
          <w:lang w:eastAsia="fr-FR"/>
        </w:rPr>
        <w:t xml:space="preserve"> should be avoided.</w:t>
      </w:r>
      <w:r w:rsidRPr="00D403F5">
        <w:rPr>
          <w:rFonts w:ascii="Arial" w:eastAsia="Times New Roman" w:hAnsi="Arial" w:cs="Arial"/>
          <w:sz w:val="18"/>
          <w:szCs w:val="18"/>
          <w:lang w:val="en-IE"/>
        </w:rPr>
        <w:t xml:space="preserve"> Preservatives and fixatives, such as RNAlater and formaldehyde can be toxic to tissue</w:t>
      </w:r>
      <w:r w:rsidRPr="00D403F5">
        <w:rPr>
          <w:rFonts w:ascii="Arial" w:eastAsia="Times New Roman" w:hAnsi="Arial" w:cs="Arial"/>
          <w:sz w:val="18"/>
          <w:szCs w:val="18"/>
          <w:lang w:val="en-IE" w:eastAsia="zh-CN"/>
        </w:rPr>
        <w:t xml:space="preserve"> </w:t>
      </w:r>
      <w:r w:rsidRPr="00D403F5">
        <w:rPr>
          <w:rFonts w:ascii="Arial" w:eastAsia="Times New Roman" w:hAnsi="Arial" w:cs="Arial"/>
          <w:sz w:val="18"/>
          <w:szCs w:val="18"/>
          <w:lang w:val="en-IE"/>
        </w:rPr>
        <w:t>culture cells</w:t>
      </w:r>
      <w:r w:rsidRPr="00D403F5">
        <w:rPr>
          <w:rFonts w:ascii="Arial" w:eastAsia="Times New Roman" w:hAnsi="Arial" w:cs="Arial"/>
          <w:sz w:val="18"/>
          <w:szCs w:val="18"/>
          <w:lang w:val="en-IE" w:eastAsia="zh-CN"/>
        </w:rPr>
        <w:t xml:space="preserve"> </w:t>
      </w:r>
      <w:r w:rsidRPr="00D403F5">
        <w:rPr>
          <w:rFonts w:ascii="Arial" w:eastAsia="Times New Roman" w:hAnsi="Arial" w:cs="Arial"/>
          <w:sz w:val="18"/>
          <w:szCs w:val="18"/>
          <w:lang w:val="en-IE"/>
        </w:rPr>
        <w:t xml:space="preserve">such as epithelioma papulosum cyprini (EPC) and fathead minnow (FHM), and can impact molecular detection methods </w:t>
      </w:r>
      <w:r w:rsidRPr="00D403F5">
        <w:rPr>
          <w:rFonts w:ascii="Arial" w:eastAsia="Times New Roman" w:hAnsi="Arial" w:cs="Arial"/>
          <w:noProof/>
          <w:sz w:val="18"/>
          <w:szCs w:val="18"/>
          <w:lang w:val="en-IE"/>
        </w:rPr>
        <w:t>(</w:t>
      </w:r>
      <w:r w:rsidRPr="00D403F5">
        <w:rPr>
          <w:rFonts w:ascii="Arial" w:eastAsia="Times New Roman" w:hAnsi="Arial" w:cs="Arial"/>
          <w:sz w:val="18"/>
          <w:szCs w:val="18"/>
          <w:lang w:val="en-IE"/>
        </w:rPr>
        <w:t xml:space="preserve">Auinger </w:t>
      </w:r>
      <w:r w:rsidRPr="00D403F5">
        <w:rPr>
          <w:rFonts w:ascii="Arial" w:eastAsia="Times New Roman" w:hAnsi="Arial" w:cs="Arial"/>
          <w:i/>
          <w:sz w:val="18"/>
          <w:szCs w:val="18"/>
          <w:lang w:val="en-IE"/>
        </w:rPr>
        <w:t xml:space="preserve">et al., </w:t>
      </w:r>
      <w:r w:rsidRPr="00D403F5">
        <w:rPr>
          <w:rFonts w:ascii="Arial" w:eastAsia="Times New Roman" w:hAnsi="Arial" w:cs="Arial"/>
          <w:sz w:val="18"/>
          <w:szCs w:val="18"/>
          <w:lang w:val="en-IE"/>
        </w:rPr>
        <w:t>2008</w:t>
      </w:r>
      <w:r w:rsidRPr="00D403F5">
        <w:rPr>
          <w:rFonts w:ascii="Arial" w:eastAsia="Times New Roman" w:hAnsi="Arial" w:cs="Arial"/>
          <w:noProof/>
          <w:sz w:val="18"/>
          <w:szCs w:val="18"/>
          <w:lang w:val="en-IE"/>
        </w:rPr>
        <w:t xml:space="preserve">; Pham </w:t>
      </w:r>
      <w:r w:rsidRPr="00D403F5">
        <w:rPr>
          <w:rFonts w:ascii="Arial" w:eastAsia="Times New Roman" w:hAnsi="Arial" w:cs="Arial"/>
          <w:i/>
          <w:noProof/>
          <w:sz w:val="18"/>
          <w:szCs w:val="18"/>
          <w:lang w:val="en-IE"/>
        </w:rPr>
        <w:t>et al.,</w:t>
      </w:r>
      <w:r w:rsidRPr="00D403F5">
        <w:rPr>
          <w:rFonts w:ascii="Arial" w:eastAsia="Times New Roman" w:hAnsi="Arial" w:cs="Arial"/>
          <w:noProof/>
          <w:sz w:val="18"/>
          <w:szCs w:val="18"/>
          <w:lang w:val="en-IE"/>
        </w:rPr>
        <w:t xml:space="preserve"> 2018)</w:t>
      </w:r>
      <w:r w:rsidRPr="00D403F5">
        <w:rPr>
          <w:rFonts w:ascii="Arial" w:eastAsia="Times New Roman" w:hAnsi="Arial" w:cs="Arial"/>
          <w:sz w:val="18"/>
          <w:szCs w:val="18"/>
          <w:lang w:eastAsia="fr-FR"/>
        </w:rPr>
        <w:t>.</w:t>
      </w:r>
    </w:p>
    <w:p w14:paraId="5E2C0FB0"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3.4.</w:t>
      </w:r>
      <w:r w:rsidRPr="00D403F5">
        <w:rPr>
          <w:rFonts w:ascii="Ottawa" w:eastAsia="MS Mincho" w:hAnsi="Ottawa" w:cs="Times New Roman"/>
          <w:b/>
          <w:sz w:val="18"/>
          <w:szCs w:val="18"/>
          <w:lang w:val="da-DK" w:eastAsia="da-DK"/>
        </w:rPr>
        <w:tab/>
        <w:t>Non-lethal sampling</w:t>
      </w:r>
    </w:p>
    <w:p w14:paraId="5B62B744" w14:textId="77777777" w:rsidR="00C7266C" w:rsidRPr="00D403F5" w:rsidRDefault="00C7266C" w:rsidP="00D403F5">
      <w:pPr>
        <w:spacing w:after="0" w:line="240" w:lineRule="auto"/>
        <w:ind w:left="425"/>
        <w:jc w:val="both"/>
        <w:rPr>
          <w:rFonts w:ascii="Arial" w:eastAsia="Times New Roman" w:hAnsi="Arial" w:cs="Arial"/>
          <w:sz w:val="18"/>
          <w:szCs w:val="18"/>
          <w:lang w:val="en-IE" w:eastAsia="fr-FR"/>
        </w:rPr>
      </w:pPr>
      <w:r w:rsidRPr="00D403F5">
        <w:rPr>
          <w:rFonts w:ascii="Arial" w:eastAsia="Times New Roman" w:hAnsi="Arial" w:cs="Arial"/>
          <w:sz w:val="18"/>
          <w:szCs w:val="18"/>
          <w:lang w:val="en-IE" w:eastAsia="fr-FR"/>
        </w:rPr>
        <w:t xml:space="preserve">Fin and gill biopsies were shown to be effective nonlethal samples for detection of VHSV genotype IVb (Cornwell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w:t>
      </w:r>
      <w:r w:rsidRPr="00D403F5">
        <w:rPr>
          <w:rFonts w:ascii="Arial" w:eastAsia="Times New Roman" w:hAnsi="Arial" w:cs="Arial"/>
          <w:sz w:val="18"/>
          <w:szCs w:val="18"/>
          <w:lang w:val="en-IE" w:eastAsia="fr-FR"/>
        </w:rPr>
        <w:t>2013) and nested reverse</w:t>
      </w:r>
      <w:r w:rsidRPr="00D403F5">
        <w:rPr>
          <w:rFonts w:ascii="Arial" w:eastAsia="Times New Roman" w:hAnsi="Arial" w:cs="Arial"/>
          <w:sz w:val="18"/>
          <w:szCs w:val="18"/>
        </w:rPr>
        <w:t xml:space="preserve">-transcription polymerase chain reaction (RT-PCR) </w:t>
      </w:r>
      <w:r w:rsidRPr="00D403F5">
        <w:rPr>
          <w:rFonts w:ascii="Arial" w:eastAsia="Times New Roman" w:hAnsi="Arial" w:cs="Arial"/>
          <w:sz w:val="18"/>
          <w:szCs w:val="18"/>
          <w:lang w:val="en-IE" w:eastAsia="fr-FR"/>
        </w:rPr>
        <w:t xml:space="preserve">on blood samples from infected fish was shown to be efficient for VHSV detection (Lopez-Vazquez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w:t>
      </w:r>
      <w:r w:rsidRPr="00D403F5">
        <w:rPr>
          <w:rFonts w:ascii="Arial" w:eastAsia="Times New Roman" w:hAnsi="Arial" w:cs="Arial"/>
          <w:sz w:val="18"/>
          <w:szCs w:val="18"/>
          <w:lang w:val="en-IE" w:eastAsia="fr-FR"/>
        </w:rPr>
        <w:t>2006a). In the case of brood fish, ovarian fluid and milt can be used for testing as alternative to lethal testing. However, no non-lethal samplings have been fully validated for detection of all VHSV genotypes and are therefore not prescribed in this chapter.</w:t>
      </w:r>
    </w:p>
    <w:p w14:paraId="751D8DDB"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3.5.</w:t>
      </w:r>
      <w:r w:rsidRPr="00D403F5">
        <w:rPr>
          <w:rFonts w:ascii="Ottawa" w:eastAsia="MS Mincho" w:hAnsi="Ottawa" w:cs="Times New Roman"/>
          <w:b/>
          <w:sz w:val="18"/>
          <w:szCs w:val="18"/>
          <w:lang w:val="da-DK" w:eastAsia="da-DK"/>
        </w:rPr>
        <w:tab/>
        <w:t>Preservation of samples for submission</w:t>
      </w:r>
    </w:p>
    <w:p w14:paraId="09D808D1" w14:textId="77777777" w:rsidR="00C7266C" w:rsidRPr="00D403F5" w:rsidRDefault="00C7266C" w:rsidP="00D403F5">
      <w:pPr>
        <w:spacing w:after="0"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For guidance on sample preservation methods for the intended test methods, see Chapter 2.3.0.</w:t>
      </w:r>
    </w:p>
    <w:p w14:paraId="3FD6EFF3"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3.5.1.</w:t>
      </w:r>
      <w:r w:rsidRPr="00D403F5">
        <w:rPr>
          <w:rFonts w:ascii="Ottawa" w:eastAsia="Times New Roman" w:hAnsi="Ottawa" w:cs="Times New Roman"/>
          <w:b/>
          <w:bCs/>
          <w:sz w:val="18"/>
          <w:szCs w:val="18"/>
          <w:lang w:val="en-IE" w:eastAsia="fr-FR"/>
        </w:rPr>
        <w:tab/>
        <w:t xml:space="preserve">Samples for pathogen isolation </w:t>
      </w:r>
    </w:p>
    <w:p w14:paraId="33C015B2"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The success of pathogen isolation and results of bioassay depend strongly on the quality of samples (time since collection and time in storage). Fresh specimens should be kept on ice and preferably sent to the laboratory within 24 hours of collection. Alternate storage methods should be used only after consultation with the receiving laboratory.</w:t>
      </w:r>
    </w:p>
    <w:p w14:paraId="6B0D0E06"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Before transfer to the laboratory, pieces</w:t>
      </w:r>
      <w:r w:rsidRPr="00D403F5">
        <w:rPr>
          <w:rFonts w:ascii="Arial" w:eastAsia="Times New Roman" w:hAnsi="Arial" w:cs="Times New Roman"/>
          <w:bCs/>
          <w:sz w:val="18"/>
          <w:szCs w:val="18"/>
          <w:lang w:val="en-IE"/>
        </w:rPr>
        <w:t xml:space="preserve"> of the organs to be examined </w:t>
      </w:r>
      <w:r w:rsidRPr="00D403F5">
        <w:rPr>
          <w:rFonts w:ascii="Arial" w:eastAsia="Times New Roman" w:hAnsi="Arial" w:cs="Times New Roman"/>
          <w:bCs/>
          <w:sz w:val="18"/>
          <w:szCs w:val="18"/>
          <w:lang w:val="en-IE" w:eastAsia="fr-FR"/>
        </w:rPr>
        <w:t>should</w:t>
      </w:r>
      <w:r w:rsidRPr="00D403F5">
        <w:rPr>
          <w:rFonts w:ascii="Arial" w:eastAsia="Times New Roman" w:hAnsi="Arial" w:cs="Times New Roman"/>
          <w:bCs/>
          <w:sz w:val="18"/>
          <w:szCs w:val="18"/>
          <w:lang w:val="en-IE"/>
        </w:rPr>
        <w:t xml:space="preserve"> be removed from the fish with sterile dissection </w:t>
      </w:r>
      <w:r w:rsidRPr="00D403F5">
        <w:rPr>
          <w:rFonts w:ascii="Arial" w:eastAsia="Times New Roman" w:hAnsi="Arial" w:cs="Times New Roman"/>
          <w:bCs/>
          <w:sz w:val="18"/>
          <w:szCs w:val="18"/>
          <w:lang w:val="en-IE" w:eastAsia="fr-FR"/>
        </w:rPr>
        <w:t>tools and transferred to sterile plastic tubes containing at least 4 ml transport medium,</w:t>
      </w:r>
      <w:r w:rsidRPr="00D403F5">
        <w:rPr>
          <w:rFonts w:ascii="Arial" w:eastAsia="Times New Roman" w:hAnsi="Arial" w:cs="Arial"/>
          <w:bCs/>
          <w:sz w:val="18"/>
          <w:szCs w:val="18"/>
        </w:rPr>
        <w:t xml:space="preserve"> i.e. cell culture medium with 10% fetal calf serum (FCS) and antibiotics. The combination of 200 International Units (IU) penicillin, 200 µg streptomycin, and 200 µg kanamycin per ml are recommended, although other antibiotics of proven efficiency may also be used.</w:t>
      </w:r>
      <w:r w:rsidRPr="00D403F5">
        <w:rPr>
          <w:rFonts w:ascii="Arial" w:eastAsia="Times New Roman" w:hAnsi="Arial" w:cs="Times New Roman"/>
          <w:bCs/>
          <w:sz w:val="18"/>
          <w:szCs w:val="18"/>
          <w:lang w:val="en-IE" w:eastAsia="fr-FR"/>
        </w:rPr>
        <w:t xml:space="preserve"> The tissue in each sample should </w:t>
      </w:r>
      <w:r w:rsidRPr="00D403F5">
        <w:rPr>
          <w:rFonts w:ascii="Arial" w:eastAsia="Times New Roman" w:hAnsi="Arial" w:cs="Times New Roman"/>
          <w:bCs/>
          <w:sz w:val="18"/>
          <w:szCs w:val="18"/>
          <w:lang w:val="en-IE"/>
        </w:rPr>
        <w:t>be larger than the analytical unit size required for initial laboratory testing (e.g. between 0.5 and 2 g) and taken in duplicate if retesting may be required</w:t>
      </w:r>
      <w:r w:rsidRPr="00D403F5">
        <w:rPr>
          <w:rFonts w:ascii="Arial" w:eastAsia="Times New Roman" w:hAnsi="Arial" w:cs="Times New Roman"/>
          <w:bCs/>
          <w:sz w:val="18"/>
          <w:szCs w:val="18"/>
          <w:lang w:val="en-IE" w:eastAsia="fr-FR"/>
        </w:rPr>
        <w:t>.</w:t>
      </w:r>
    </w:p>
    <w:p w14:paraId="6EDFFD81" w14:textId="77777777" w:rsidR="00C7266C" w:rsidRPr="00D403F5" w:rsidRDefault="00C7266C" w:rsidP="00D403F5">
      <w:pPr>
        <w:spacing w:after="0" w:line="240" w:lineRule="auto"/>
        <w:ind w:left="851"/>
        <w:jc w:val="both"/>
        <w:rPr>
          <w:rFonts w:ascii="Arial" w:eastAsia="Times New Roman" w:hAnsi="Arial" w:cs="Arial"/>
          <w:bCs/>
          <w:sz w:val="18"/>
          <w:szCs w:val="18"/>
        </w:rPr>
      </w:pPr>
      <w:r w:rsidRPr="00D403F5">
        <w:rPr>
          <w:rFonts w:ascii="Arial" w:eastAsia="Times New Roman" w:hAnsi="Arial" w:cs="Arial"/>
          <w:bCs/>
          <w:sz w:val="18"/>
          <w:szCs w:val="18"/>
        </w:rPr>
        <w:t xml:space="preserve">Tubes containing fish tissues in transport medium for cell cultivation should be placed in insulated containers, such as thick-walled polystyrene boxes, together with sufficient ice or an alternative cooling medium with the similar cooling effect to ensure chilling of the samples during transportation to the laboratory. However, freezing of the samples should be avoided. The temperature of a sample during transit must never exceed 10°C and ice must still be present in the transport box at receipt or one or more freeze blocks must still be partly or completely frozen. </w:t>
      </w:r>
    </w:p>
    <w:p w14:paraId="220D2B56" w14:textId="77777777" w:rsidR="00C7266C" w:rsidRPr="00D403F5" w:rsidRDefault="00C7266C" w:rsidP="00D403F5">
      <w:pPr>
        <w:spacing w:after="0" w:line="240" w:lineRule="auto"/>
        <w:ind w:left="851"/>
        <w:jc w:val="both"/>
        <w:rPr>
          <w:rFonts w:ascii="Arial" w:eastAsia="Times New Roman" w:hAnsi="Arial" w:cs="Arial"/>
          <w:bCs/>
          <w:sz w:val="18"/>
          <w:szCs w:val="18"/>
        </w:rPr>
      </w:pPr>
      <w:r w:rsidRPr="00D403F5">
        <w:rPr>
          <w:rFonts w:ascii="Arial" w:eastAsia="Times New Roman" w:hAnsi="Arial" w:cs="Arial"/>
          <w:bCs/>
          <w:sz w:val="18"/>
          <w:szCs w:val="18"/>
        </w:rPr>
        <w:t xml:space="preserve">Whole fish may be sent to the laboratory if the temperature requirements referred to in the first paragraph during transportation can be fulfilled. Whole fish should be wrapped up in paper with absorptive capacity and enclosed in a plastic bag. Live fish may also be transported to the laboratory. All </w:t>
      </w:r>
      <w:r w:rsidRPr="00D403F5">
        <w:rPr>
          <w:rFonts w:ascii="Arial" w:eastAsia="Times New Roman" w:hAnsi="Arial" w:cs="Arial"/>
          <w:bCs/>
          <w:sz w:val="18"/>
          <w:szCs w:val="18"/>
          <w:lang w:val="en-IE"/>
        </w:rPr>
        <w:t>packaging and labelling must be performed in accordance with present national and international transport regulations, as appropriate.</w:t>
      </w:r>
    </w:p>
    <w:p w14:paraId="11C0C153" w14:textId="77777777" w:rsidR="00A63C15" w:rsidRDefault="00A63C15" w:rsidP="00D403F5">
      <w:pPr>
        <w:spacing w:after="0" w:line="240" w:lineRule="auto"/>
        <w:jc w:val="right"/>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79F48C13" w14:textId="3B7BA6F4" w:rsidR="000B38E2" w:rsidRPr="00D403F5" w:rsidRDefault="000B38E2" w:rsidP="00D403F5">
      <w:pPr>
        <w:spacing w:after="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02AFD123"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The virological examination for isolation in cell culture should be started as soon as possible and no later than 48 hours after the collection of the samples. In exceptional cases, the virological examination may be started at the latest within 72 hours after the collection of the material, provided that the material to be examined is protected by a transport medium and that the temperature requirements during transportation can be fulfilled.</w:t>
      </w:r>
    </w:p>
    <w:p w14:paraId="2DF6CF88"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3.5.2.</w:t>
      </w:r>
      <w:r w:rsidRPr="00D403F5">
        <w:rPr>
          <w:rFonts w:ascii="Ottawa" w:eastAsia="Times New Roman" w:hAnsi="Ottawa" w:cs="Times New Roman"/>
          <w:b/>
          <w:bCs/>
          <w:sz w:val="18"/>
          <w:szCs w:val="18"/>
          <w:lang w:val="en-IE" w:eastAsia="fr-FR"/>
        </w:rPr>
        <w:tab/>
        <w:t>Preservation of samples for molecular detection</w:t>
      </w:r>
    </w:p>
    <w:p w14:paraId="70846780"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Samples can be taken from the fish in accordance with the procedure described in Section 3.5.1., using a sterile instrument, and transferred to a sterile plastic tube containing transport medium.</w:t>
      </w:r>
    </w:p>
    <w:p w14:paraId="22839B34"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Alternatively, samples may be placed in at least five volumes of RNA stabilisation reagents according to the recommendation from the manufacturers. Samples in RNA stabilising reagents can be shipped on ice or at room temperature if transport time does not exceed 24 hours.</w:t>
      </w:r>
    </w:p>
    <w:p w14:paraId="2DE5DD8D"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Whole fish may also be sent to the laboratory (see Section 3.5.1.).</w:t>
      </w:r>
    </w:p>
    <w:p w14:paraId="667144E2"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Arial"/>
          <w:bCs/>
          <w:sz w:val="18"/>
          <w:szCs w:val="18"/>
          <w:lang w:val="en-IE" w:eastAsia="fr-FR"/>
        </w:rPr>
        <w:t>Samples may also be frozen and kept frozen until assayed.</w:t>
      </w:r>
    </w:p>
    <w:p w14:paraId="226C8A10"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3.5.3.</w:t>
      </w:r>
      <w:r w:rsidRPr="00D403F5">
        <w:rPr>
          <w:rFonts w:ascii="Ottawa" w:eastAsia="Times New Roman" w:hAnsi="Ottawa" w:cs="Times New Roman"/>
          <w:b/>
          <w:bCs/>
          <w:sz w:val="18"/>
          <w:szCs w:val="18"/>
          <w:lang w:val="en-IE" w:eastAsia="fr-FR"/>
        </w:rPr>
        <w:tab/>
        <w:t xml:space="preserve">Samples for histopathology, immunohistochemistry or </w:t>
      </w:r>
      <w:r w:rsidRPr="00D403F5">
        <w:rPr>
          <w:rFonts w:ascii="Ottawa" w:eastAsia="Times New Roman" w:hAnsi="Ottawa" w:cs="Times New Roman"/>
          <w:b/>
          <w:bCs/>
          <w:i/>
          <w:sz w:val="18"/>
          <w:szCs w:val="18"/>
          <w:lang w:val="en-IE" w:eastAsia="fr-FR"/>
        </w:rPr>
        <w:t>in-situ</w:t>
      </w:r>
      <w:r w:rsidRPr="00D403F5">
        <w:rPr>
          <w:rFonts w:ascii="Ottawa" w:eastAsia="Times New Roman" w:hAnsi="Ottawa" w:cs="Times New Roman"/>
          <w:b/>
          <w:bCs/>
          <w:sz w:val="18"/>
          <w:szCs w:val="18"/>
          <w:lang w:val="en-IE" w:eastAsia="fr-FR"/>
        </w:rPr>
        <w:t xml:space="preserve"> hybridisation</w:t>
      </w:r>
    </w:p>
    <w:p w14:paraId="38F95A3C"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 xml:space="preserve">Tissue samples for histopathology should be fixed in 10% neutral buffered formalin immediately after collection. The recommended ratio of fixative to tissue is 10:1. To avoid excessive cross-linking, tissue should be transferred to ethanol after 24 hours if methods other than histopathology are used e.g. </w:t>
      </w:r>
      <w:r w:rsidRPr="00D403F5">
        <w:rPr>
          <w:rFonts w:ascii="Arial" w:eastAsia="Times New Roman" w:hAnsi="Arial" w:cs="Times New Roman"/>
          <w:bCs/>
          <w:i/>
          <w:sz w:val="18"/>
          <w:szCs w:val="18"/>
          <w:lang w:val="en-IE" w:eastAsia="fr-FR"/>
        </w:rPr>
        <w:t>in-situ</w:t>
      </w:r>
      <w:r w:rsidRPr="00D403F5">
        <w:rPr>
          <w:rFonts w:ascii="Arial" w:eastAsia="Times New Roman" w:hAnsi="Arial" w:cs="Times New Roman"/>
          <w:bCs/>
          <w:sz w:val="18"/>
          <w:szCs w:val="18"/>
          <w:lang w:val="en-IE" w:eastAsia="fr-FR"/>
        </w:rPr>
        <w:t xml:space="preserve"> hybridisation.</w:t>
      </w:r>
    </w:p>
    <w:p w14:paraId="51078224"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3.5.4.</w:t>
      </w:r>
      <w:r w:rsidRPr="00D403F5">
        <w:rPr>
          <w:rFonts w:ascii="Ottawa" w:eastAsia="Times New Roman" w:hAnsi="Ottawa" w:cs="Times New Roman"/>
          <w:b/>
          <w:bCs/>
          <w:sz w:val="18"/>
          <w:szCs w:val="18"/>
          <w:lang w:val="en-IE" w:eastAsia="fr-FR"/>
        </w:rPr>
        <w:tab/>
        <w:t>Fixed samples for electron microscopy</w:t>
      </w:r>
    </w:p>
    <w:p w14:paraId="281890D2"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 xml:space="preserve">Sampling for electron microscopy should be done according to standard procedures (for an example, see Chapter 2.2.9 </w:t>
      </w:r>
      <w:r w:rsidRPr="00D403F5">
        <w:rPr>
          <w:rFonts w:ascii="Arial" w:eastAsia="Times New Roman" w:hAnsi="Arial" w:cs="Times New Roman"/>
          <w:bCs/>
          <w:i/>
          <w:sz w:val="18"/>
          <w:szCs w:val="18"/>
          <w:lang w:val="en-IE" w:eastAsia="fr-FR"/>
        </w:rPr>
        <w:t>Infection with yellow head virus genotype 1</w:t>
      </w:r>
      <w:r w:rsidRPr="00D403F5">
        <w:rPr>
          <w:rFonts w:ascii="Arial" w:eastAsia="Times New Roman" w:hAnsi="Arial" w:cs="Times New Roman"/>
          <w:bCs/>
          <w:sz w:val="18"/>
          <w:szCs w:val="18"/>
          <w:lang w:val="en-IE" w:eastAsia="fr-FR"/>
        </w:rPr>
        <w:t xml:space="preserve">). Sampling for electron microscopy is not relevant for diagnostic purposes. </w:t>
      </w:r>
    </w:p>
    <w:p w14:paraId="517897CA"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3.5.5.</w:t>
      </w:r>
      <w:r w:rsidRPr="00D403F5">
        <w:rPr>
          <w:rFonts w:ascii="Ottawa" w:eastAsia="Times New Roman" w:hAnsi="Ottawa" w:cs="Times New Roman"/>
          <w:b/>
          <w:bCs/>
          <w:sz w:val="18"/>
          <w:szCs w:val="18"/>
          <w:lang w:val="en-IE" w:eastAsia="fr-FR"/>
        </w:rPr>
        <w:tab/>
        <w:t>Samples for other tests</w:t>
      </w:r>
    </w:p>
    <w:p w14:paraId="1A63EF82"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If samples are processed for ELISA or other immunochemical assays, the procedures described in Section 3.5.1. for pathogen isolation should be followed.</w:t>
      </w:r>
    </w:p>
    <w:p w14:paraId="06E820E0"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3.6.</w:t>
      </w:r>
      <w:r w:rsidRPr="00D403F5">
        <w:rPr>
          <w:rFonts w:ascii="Ottawa" w:eastAsia="MS Mincho" w:hAnsi="Ottawa" w:cs="Times New Roman"/>
          <w:b/>
          <w:sz w:val="18"/>
          <w:szCs w:val="18"/>
          <w:lang w:val="da-DK" w:eastAsia="da-DK"/>
        </w:rPr>
        <w:tab/>
        <w:t>Pooling of samples</w:t>
      </w:r>
    </w:p>
    <w:p w14:paraId="1241F244" w14:textId="77777777" w:rsidR="00C7266C" w:rsidRPr="00D403F5" w:rsidRDefault="00C7266C" w:rsidP="00D403F5">
      <w:pPr>
        <w:spacing w:after="0" w:line="240" w:lineRule="auto"/>
        <w:ind w:left="425"/>
        <w:jc w:val="both"/>
        <w:rPr>
          <w:rFonts w:ascii="Arial" w:eastAsia="Times New Roman" w:hAnsi="Arial" w:cs="Arial"/>
          <w:sz w:val="18"/>
          <w:szCs w:val="18"/>
          <w:lang w:val="en-IE"/>
        </w:rPr>
      </w:pPr>
      <w:r w:rsidRPr="00D403F5">
        <w:rPr>
          <w:rFonts w:ascii="Arial" w:eastAsia="Times New Roman" w:hAnsi="Arial" w:cs="Times New Roman"/>
          <w:sz w:val="18"/>
          <w:szCs w:val="18"/>
          <w:lang w:val="en-IE"/>
        </w:rPr>
        <w:t>The effect of pooling on diagnostic sensitivity has not been evaluated, therefore larger fish should be processed and tested individually. However, samples, especially fry or specimens up to 0.5 g, can be pooled to obtain enough material for virus isolation or molecular detection</w:t>
      </w:r>
      <w:r w:rsidRPr="00D403F5">
        <w:rPr>
          <w:rFonts w:ascii="Arial" w:eastAsia="Times New Roman" w:hAnsi="Arial" w:cs="Arial"/>
          <w:sz w:val="18"/>
          <w:szCs w:val="18"/>
          <w:lang w:val="en-IE" w:eastAsia="fr-FR"/>
        </w:rPr>
        <w:t xml:space="preserve">. </w:t>
      </w:r>
    </w:p>
    <w:p w14:paraId="06F7D9B9" w14:textId="77777777" w:rsidR="00C7266C" w:rsidRPr="00D403F5" w:rsidRDefault="00C7266C" w:rsidP="00D403F5">
      <w:pPr>
        <w:spacing w:after="0" w:line="240" w:lineRule="auto"/>
        <w:ind w:left="284" w:hanging="284"/>
        <w:outlineLvl w:val="0"/>
        <w:rPr>
          <w:rFonts w:ascii="Ottawa" w:eastAsia="Times New Roman" w:hAnsi="Ottawa" w:cs="Times New Roman"/>
          <w:b/>
          <w:bCs/>
          <w:sz w:val="18"/>
          <w:szCs w:val="18"/>
          <w:lang w:val="en-IE" w:bidi="en-US"/>
        </w:rPr>
      </w:pPr>
      <w:r w:rsidRPr="00D403F5">
        <w:rPr>
          <w:rFonts w:ascii="Ottawa" w:eastAsia="Times New Roman" w:hAnsi="Ottawa" w:cs="Times New Roman"/>
          <w:b/>
          <w:bCs/>
          <w:sz w:val="18"/>
          <w:szCs w:val="18"/>
          <w:lang w:val="en-IE" w:bidi="en-US"/>
        </w:rPr>
        <w:t>4.</w:t>
      </w:r>
      <w:r w:rsidRPr="00D403F5">
        <w:rPr>
          <w:rFonts w:ascii="Ottawa" w:eastAsia="Times New Roman" w:hAnsi="Ottawa" w:cs="Times New Roman"/>
          <w:b/>
          <w:bCs/>
          <w:sz w:val="18"/>
          <w:szCs w:val="18"/>
          <w:lang w:val="en-IE" w:bidi="en-US"/>
        </w:rPr>
        <w:tab/>
        <w:t>Diagnostic methods</w:t>
      </w:r>
    </w:p>
    <w:p w14:paraId="6D683877" w14:textId="77777777" w:rsidR="00C7266C" w:rsidRPr="00D403F5" w:rsidRDefault="00C7266C" w:rsidP="00D403F5">
      <w:pPr>
        <w:spacing w:after="0" w:line="240" w:lineRule="auto"/>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14:paraId="524B1827" w14:textId="017F601A" w:rsidR="00C7266C" w:rsidRPr="00D403F5" w:rsidRDefault="00C7266C" w:rsidP="00D403F5">
      <w:pPr>
        <w:spacing w:after="0" w:line="240" w:lineRule="auto"/>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Key: </w:t>
      </w:r>
    </w:p>
    <w:p w14:paraId="25EA71CD" w14:textId="77777777" w:rsidR="00C7266C" w:rsidRPr="00D403F5" w:rsidRDefault="00C7266C" w:rsidP="00D403F5">
      <w:pPr>
        <w:spacing w:after="0" w:line="240" w:lineRule="auto"/>
        <w:ind w:left="1701" w:hanging="1701"/>
        <w:rPr>
          <w:rFonts w:ascii="Arial" w:eastAsia="Calibri" w:hAnsi="Arial" w:cs="Arial"/>
          <w:color w:val="000000"/>
          <w:sz w:val="18"/>
          <w:szCs w:val="18"/>
          <w:lang w:val="en-IE"/>
        </w:rPr>
      </w:pPr>
      <w:r w:rsidRPr="00D403F5">
        <w:rPr>
          <w:rFonts w:ascii="Arial" w:eastAsia="Calibri" w:hAnsi="Arial" w:cs="Arial"/>
          <w:color w:val="000000"/>
          <w:sz w:val="18"/>
          <w:szCs w:val="18"/>
          <w:lang w:val="en-IE"/>
        </w:rPr>
        <w:t>+++ =</w:t>
      </w:r>
      <w:r w:rsidRPr="00D403F5">
        <w:rPr>
          <w:rFonts w:ascii="Arial" w:eastAsia="Calibri" w:hAnsi="Arial" w:cs="Arial"/>
          <w:color w:val="000000"/>
          <w:sz w:val="18"/>
          <w:szCs w:val="18"/>
          <w:lang w:val="en-IE"/>
        </w:rPr>
        <w:tab/>
        <w:t>Recommended method(s) validated for the purpose shown and usually to stage 3 of the OIE Validation Pathway;</w:t>
      </w:r>
    </w:p>
    <w:p w14:paraId="2E1C92F3" w14:textId="77777777" w:rsidR="00C7266C" w:rsidRPr="00D403F5" w:rsidRDefault="00C7266C" w:rsidP="00D403F5">
      <w:pPr>
        <w:spacing w:after="0" w:line="240" w:lineRule="auto"/>
        <w:ind w:left="1701" w:hanging="1701"/>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 = </w:t>
      </w:r>
      <w:r w:rsidRPr="00D403F5">
        <w:rPr>
          <w:rFonts w:ascii="Arial" w:eastAsia="Calibri" w:hAnsi="Arial" w:cs="Arial"/>
          <w:color w:val="000000"/>
          <w:sz w:val="18"/>
          <w:szCs w:val="18"/>
          <w:lang w:val="en-IE"/>
        </w:rPr>
        <w:tab/>
        <w:t xml:space="preserve">Suitable method(s) but may need further validation; </w:t>
      </w:r>
    </w:p>
    <w:p w14:paraId="193E4713" w14:textId="77777777" w:rsidR="00C7266C" w:rsidRPr="00D403F5" w:rsidRDefault="00C7266C" w:rsidP="00D403F5">
      <w:pPr>
        <w:spacing w:after="0" w:line="240" w:lineRule="auto"/>
        <w:ind w:left="1701" w:hanging="1701"/>
        <w:rPr>
          <w:rFonts w:ascii="Arial" w:eastAsia="Calibri" w:hAnsi="Arial" w:cs="Arial"/>
          <w:sz w:val="18"/>
          <w:szCs w:val="18"/>
          <w:lang w:val="en-IE"/>
        </w:rPr>
      </w:pPr>
      <w:r w:rsidRPr="00D403F5">
        <w:rPr>
          <w:rFonts w:ascii="Arial" w:eastAsia="Calibri" w:hAnsi="Arial" w:cs="Arial"/>
          <w:color w:val="000000"/>
          <w:sz w:val="18"/>
          <w:szCs w:val="18"/>
          <w:lang w:val="en-IE"/>
        </w:rPr>
        <w:t xml:space="preserve">+ = </w:t>
      </w:r>
      <w:r w:rsidRPr="00D403F5">
        <w:rPr>
          <w:rFonts w:ascii="Arial" w:eastAsia="Calibri" w:hAnsi="Arial" w:cs="Arial"/>
          <w:color w:val="000000"/>
          <w:sz w:val="18"/>
          <w:szCs w:val="18"/>
          <w:lang w:val="en-IE"/>
        </w:rPr>
        <w:tab/>
        <w:t xml:space="preserve">May be used </w:t>
      </w:r>
      <w:r w:rsidRPr="00D403F5">
        <w:rPr>
          <w:rFonts w:ascii="Arial" w:eastAsia="Calibri" w:hAnsi="Arial" w:cs="Arial"/>
          <w:sz w:val="18"/>
          <w:szCs w:val="18"/>
          <w:lang w:val="en-IE"/>
        </w:rPr>
        <w:t xml:space="preserve">in some situations, but cost, reliability, lack of validation or other factors severely limits its application; </w:t>
      </w:r>
    </w:p>
    <w:p w14:paraId="053972BB" w14:textId="77777777" w:rsidR="00C7266C" w:rsidRPr="00D403F5" w:rsidRDefault="00C7266C" w:rsidP="00D403F5">
      <w:pPr>
        <w:spacing w:after="0" w:line="240" w:lineRule="auto"/>
        <w:ind w:left="1701" w:hanging="1701"/>
        <w:rPr>
          <w:rFonts w:ascii="Arial" w:eastAsia="Calibri" w:hAnsi="Arial" w:cs="Arial"/>
          <w:color w:val="000000"/>
          <w:sz w:val="18"/>
          <w:szCs w:val="18"/>
          <w:lang w:val="en-IE"/>
        </w:rPr>
      </w:pPr>
      <w:r w:rsidRPr="00D403F5">
        <w:rPr>
          <w:rFonts w:ascii="Arial" w:eastAsia="Calibri" w:hAnsi="Arial" w:cs="Arial"/>
          <w:color w:val="000000"/>
          <w:sz w:val="18"/>
          <w:szCs w:val="18"/>
          <w:lang w:val="en-IE"/>
        </w:rPr>
        <w:t xml:space="preserve">Shaded boxes = </w:t>
      </w:r>
      <w:r w:rsidRPr="00D403F5">
        <w:rPr>
          <w:rFonts w:ascii="Arial" w:eastAsia="Calibri" w:hAnsi="Arial" w:cs="Arial"/>
          <w:color w:val="000000"/>
          <w:sz w:val="18"/>
          <w:szCs w:val="18"/>
          <w:lang w:val="en-IE"/>
        </w:rPr>
        <w:tab/>
        <w:t>Not appropriate for this purpose.</w:t>
      </w:r>
    </w:p>
    <w:p w14:paraId="07F326B6" w14:textId="77777777" w:rsidR="00C7266C" w:rsidRPr="00D403F5" w:rsidRDefault="00C7266C" w:rsidP="00D403F5">
      <w:pPr>
        <w:spacing w:after="0" w:line="240" w:lineRule="auto"/>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The selection of a test for a given purpose depends on the analytical and diagnostic sensitivities and specificities, and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14:paraId="1620BF21" w14:textId="77777777" w:rsidR="00C7266C" w:rsidRPr="00D403F5" w:rsidRDefault="00C7266C" w:rsidP="00D403F5">
      <w:pPr>
        <w:spacing w:after="0" w:line="240" w:lineRule="auto"/>
        <w:jc w:val="both"/>
        <w:rPr>
          <w:rFonts w:ascii="Arial" w:eastAsia="Times New Roman" w:hAnsi="Arial" w:cs="Arial"/>
          <w:sz w:val="18"/>
          <w:szCs w:val="18"/>
          <w:lang w:val="en-IE" w:bidi="en-US"/>
        </w:rPr>
      </w:pPr>
    </w:p>
    <w:p w14:paraId="01511282" w14:textId="77777777" w:rsidR="00C7266C" w:rsidRPr="00D403F5" w:rsidRDefault="00C7266C" w:rsidP="00D403F5">
      <w:pPr>
        <w:spacing w:after="0" w:line="240" w:lineRule="auto"/>
        <w:jc w:val="center"/>
        <w:rPr>
          <w:rFonts w:ascii="Ottawa" w:eastAsia="Times New Roman" w:hAnsi="Ottawa" w:cs="Times New Roman"/>
          <w:b/>
          <w:bCs/>
          <w:i/>
          <w:sz w:val="18"/>
          <w:szCs w:val="18"/>
          <w:lang w:val="en-IE" w:bidi="en-US"/>
        </w:rPr>
        <w:sectPr w:rsidR="00C7266C" w:rsidRPr="00D403F5" w:rsidSect="00A63C15">
          <w:headerReference w:type="even" r:id="rId137"/>
          <w:headerReference w:type="default" r:id="rId138"/>
          <w:footerReference w:type="even" r:id="rId139"/>
          <w:footerReference w:type="default" r:id="rId140"/>
          <w:headerReference w:type="first" r:id="rId141"/>
          <w:footerReference w:type="first" r:id="rId142"/>
          <w:type w:val="oddPage"/>
          <w:pgSz w:w="11906" w:h="16838" w:code="9"/>
          <w:pgMar w:top="1418" w:right="1418" w:bottom="1418" w:left="1418" w:header="709" w:footer="709" w:gutter="0"/>
          <w:cols w:space="708"/>
          <w:vAlign w:val="both"/>
          <w:titlePg/>
          <w:docGrid w:linePitch="360"/>
        </w:sectPr>
      </w:pPr>
    </w:p>
    <w:p w14:paraId="1E3FBD93" w14:textId="77777777" w:rsidR="00C7266C" w:rsidRPr="00D403F5" w:rsidRDefault="00C7266C" w:rsidP="00A63C15">
      <w:pPr>
        <w:spacing w:after="24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0E587AA9" w14:textId="77777777" w:rsidR="00C7266C" w:rsidRPr="00D403F5" w:rsidRDefault="00C7266C" w:rsidP="00A63C15">
      <w:pPr>
        <w:spacing w:after="240" w:line="240" w:lineRule="auto"/>
        <w:jc w:val="center"/>
        <w:rPr>
          <w:rFonts w:ascii="Ottawa" w:eastAsia="Times New Roman" w:hAnsi="Ottawa" w:cs="Times New Roman"/>
          <w:b/>
          <w:bCs/>
          <w:i/>
          <w:sz w:val="18"/>
          <w:szCs w:val="18"/>
          <w:lang w:val="en-IE" w:bidi="en-US"/>
        </w:rPr>
      </w:pPr>
      <w:r w:rsidRPr="00D403F5">
        <w:rPr>
          <w:rFonts w:ascii="Ottawa" w:eastAsia="Times New Roman" w:hAnsi="Ottawa" w:cs="Times New Roman"/>
          <w:b/>
          <w:bCs/>
          <w:i/>
          <w:sz w:val="18"/>
          <w:szCs w:val="18"/>
          <w:lang w:val="en-IE" w:bidi="en-US"/>
        </w:rPr>
        <w:t>Table 4.</w:t>
      </w:r>
      <w:r w:rsidRPr="00D403F5">
        <w:rPr>
          <w:rFonts w:ascii="Ottawa" w:eastAsia="Times New Roman" w:hAnsi="Ottawa" w:cs="Times New Roman"/>
          <w:b/>
          <w:bCs/>
          <w:i/>
          <w:noProof/>
          <w:sz w:val="18"/>
          <w:szCs w:val="18"/>
          <w:lang w:val="en-IE" w:bidi="en-US"/>
        </w:rPr>
        <w:t>1</w:t>
      </w:r>
      <w:r w:rsidRPr="00D403F5">
        <w:rPr>
          <w:rFonts w:ascii="Ottawa" w:eastAsia="Times New Roman" w:hAnsi="Ottawa" w:cs="Times New Roman"/>
          <w:b/>
          <w:bCs/>
          <w:i/>
          <w:sz w:val="18"/>
          <w:szCs w:val="18"/>
          <w:lang w:val="en-IE" w:bidi="en-US"/>
        </w:rPr>
        <w:t xml:space="preserve">. </w:t>
      </w:r>
      <w:r w:rsidRPr="00D403F5">
        <w:rPr>
          <w:rFonts w:ascii="Ottawa" w:eastAsia="Times New Roman" w:hAnsi="Ottawa" w:cs="Times New Roman"/>
          <w:bCs/>
          <w:i/>
          <w:sz w:val="18"/>
          <w:szCs w:val="18"/>
          <w:lang w:val="en-IE" w:bidi="en-US"/>
        </w:rPr>
        <w:t>OIE recommended</w:t>
      </w:r>
      <w:r w:rsidRPr="00D403F5">
        <w:rPr>
          <w:rFonts w:ascii="Ottawa" w:eastAsia="Times New Roman" w:hAnsi="Ottawa" w:cs="Times New Roman"/>
          <w:b/>
          <w:bCs/>
          <w:i/>
          <w:sz w:val="18"/>
          <w:szCs w:val="18"/>
          <w:lang w:val="en-IE" w:bidi="en-US"/>
        </w:rPr>
        <w:t xml:space="preserve"> </w:t>
      </w:r>
      <w:r w:rsidRPr="00D403F5">
        <w:rPr>
          <w:rFonts w:ascii="Ottawa" w:eastAsia="Times New Roman" w:hAnsi="Ottawa" w:cs="Times New Roman"/>
          <w:bCs/>
          <w:i/>
          <w:sz w:val="18"/>
          <w:szCs w:val="18"/>
          <w:lang w:val="en-IE" w:bidi="en-US"/>
        </w:rPr>
        <w:t xml:space="preserve">diagnostic methods and their level of validation for surveillance of healthy animals and investigation of clinically affected animals </w:t>
      </w:r>
    </w:p>
    <w:tbl>
      <w:tblPr>
        <w:tblW w:w="12892" w:type="dxa"/>
        <w:jc w:val="center"/>
        <w:tblLayout w:type="fixed"/>
        <w:tblCellMar>
          <w:left w:w="96" w:type="dxa"/>
          <w:right w:w="96" w:type="dxa"/>
        </w:tblCellMar>
        <w:tblLook w:val="0000" w:firstRow="0" w:lastRow="0" w:firstColumn="0" w:lastColumn="0" w:noHBand="0" w:noVBand="0"/>
      </w:tblPr>
      <w:tblGrid>
        <w:gridCol w:w="2399"/>
        <w:gridCol w:w="995"/>
        <w:gridCol w:w="993"/>
        <w:gridCol w:w="850"/>
        <w:gridCol w:w="709"/>
        <w:gridCol w:w="850"/>
        <w:gridCol w:w="993"/>
        <w:gridCol w:w="708"/>
        <w:gridCol w:w="634"/>
        <w:gridCol w:w="960"/>
        <w:gridCol w:w="958"/>
        <w:gridCol w:w="1134"/>
        <w:gridCol w:w="709"/>
      </w:tblGrid>
      <w:tr w:rsidR="00C7266C" w:rsidRPr="00D403F5" w14:paraId="4E350A0F" w14:textId="77777777" w:rsidTr="00C7266C">
        <w:trPr>
          <w:trHeight w:val="402"/>
          <w:tblHeader/>
          <w:jc w:val="center"/>
        </w:trPr>
        <w:tc>
          <w:tcPr>
            <w:tcW w:w="2399" w:type="dxa"/>
            <w:vMerge w:val="restart"/>
            <w:tcBorders>
              <w:top w:val="single" w:sz="6" w:space="0" w:color="auto"/>
              <w:left w:val="single" w:sz="6" w:space="0" w:color="auto"/>
            </w:tcBorders>
            <w:vAlign w:val="center"/>
          </w:tcPr>
          <w:p w14:paraId="73666498"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Method</w:t>
            </w:r>
          </w:p>
        </w:tc>
        <w:tc>
          <w:tcPr>
            <w:tcW w:w="3547" w:type="dxa"/>
            <w:gridSpan w:val="4"/>
            <w:tcBorders>
              <w:top w:val="single" w:sz="6" w:space="0" w:color="auto"/>
              <w:left w:val="single" w:sz="6" w:space="0" w:color="auto"/>
              <w:bottom w:val="single" w:sz="4" w:space="0" w:color="auto"/>
              <w:right w:val="single" w:sz="6" w:space="0" w:color="auto"/>
            </w:tcBorders>
          </w:tcPr>
          <w:p w14:paraId="3A2E1072" w14:textId="77777777" w:rsidR="00C7266C" w:rsidRPr="00D403F5" w:rsidRDefault="00C7266C" w:rsidP="00D403F5">
            <w:pPr>
              <w:numPr>
                <w:ilvl w:val="0"/>
                <w:numId w:val="25"/>
              </w:numPr>
              <w:spacing w:after="0" w:line="240" w:lineRule="auto"/>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Surveillance of apparently healthy animals</w:t>
            </w:r>
          </w:p>
        </w:tc>
        <w:tc>
          <w:tcPr>
            <w:tcW w:w="3185" w:type="dxa"/>
            <w:gridSpan w:val="4"/>
            <w:tcBorders>
              <w:top w:val="single" w:sz="6" w:space="0" w:color="auto"/>
              <w:left w:val="single" w:sz="6" w:space="0" w:color="auto"/>
            </w:tcBorders>
          </w:tcPr>
          <w:p w14:paraId="1439B2D1" w14:textId="77777777" w:rsidR="00C7266C" w:rsidRPr="00D403F5" w:rsidRDefault="00C7266C" w:rsidP="00D403F5">
            <w:pPr>
              <w:numPr>
                <w:ilvl w:val="0"/>
                <w:numId w:val="25"/>
              </w:num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Presumptive diagnosis of clinically affected animals</w:t>
            </w:r>
          </w:p>
        </w:tc>
        <w:tc>
          <w:tcPr>
            <w:tcW w:w="3761" w:type="dxa"/>
            <w:gridSpan w:val="4"/>
            <w:tcBorders>
              <w:top w:val="single" w:sz="6" w:space="0" w:color="auto"/>
              <w:left w:val="single" w:sz="6" w:space="0" w:color="auto"/>
              <w:right w:val="single" w:sz="6" w:space="0" w:color="auto"/>
            </w:tcBorders>
          </w:tcPr>
          <w:p w14:paraId="048DC7C2" w14:textId="77777777" w:rsidR="00C7266C" w:rsidRPr="00D403F5" w:rsidRDefault="00C7266C" w:rsidP="00D403F5">
            <w:pPr>
              <w:numPr>
                <w:ilvl w:val="0"/>
                <w:numId w:val="25"/>
              </w:num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Confirmatory diagnosis</w:t>
            </w:r>
            <w:r w:rsidRPr="00D403F5">
              <w:rPr>
                <w:rFonts w:ascii="Arial" w:eastAsia="Times New Roman" w:hAnsi="Arial" w:cs="Arial"/>
                <w:b/>
                <w:bCs/>
                <w:sz w:val="18"/>
                <w:szCs w:val="18"/>
                <w:vertAlign w:val="superscript"/>
                <w:lang w:val="en-IE" w:bidi="en-US"/>
              </w:rPr>
              <w:t>1</w:t>
            </w:r>
            <w:r w:rsidRPr="00D403F5">
              <w:rPr>
                <w:rFonts w:ascii="Arial" w:eastAsia="Times New Roman" w:hAnsi="Arial" w:cs="Arial"/>
                <w:b/>
                <w:bCs/>
                <w:sz w:val="18"/>
                <w:szCs w:val="18"/>
                <w:lang w:val="en-IE" w:bidi="en-US"/>
              </w:rPr>
              <w:t xml:space="preserve"> of a suspect result </w:t>
            </w:r>
            <w:r w:rsidRPr="00D403F5">
              <w:rPr>
                <w:rFonts w:ascii="Arial" w:eastAsia="Times New Roman" w:hAnsi="Arial" w:cs="Times New Roman"/>
                <w:b/>
                <w:bCs/>
                <w:sz w:val="18"/>
                <w:szCs w:val="18"/>
                <w:lang w:val="en-IE" w:bidi="en-US"/>
              </w:rPr>
              <w:t>from surveillance or presumptive diagnosis</w:t>
            </w:r>
          </w:p>
        </w:tc>
      </w:tr>
      <w:tr w:rsidR="00C7266C" w:rsidRPr="00D403F5" w14:paraId="2B444E92" w14:textId="77777777" w:rsidTr="00C7266C">
        <w:trPr>
          <w:trHeight w:val="402"/>
          <w:tblHeader/>
          <w:jc w:val="center"/>
        </w:trPr>
        <w:tc>
          <w:tcPr>
            <w:tcW w:w="2399" w:type="dxa"/>
            <w:vMerge/>
            <w:tcBorders>
              <w:left w:val="single" w:sz="6" w:space="0" w:color="auto"/>
            </w:tcBorders>
            <w:vAlign w:val="center"/>
          </w:tcPr>
          <w:p w14:paraId="63CFBE35"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p>
        </w:tc>
        <w:tc>
          <w:tcPr>
            <w:tcW w:w="995" w:type="dxa"/>
            <w:tcBorders>
              <w:top w:val="single" w:sz="4" w:space="0" w:color="auto"/>
              <w:left w:val="single" w:sz="6" w:space="0" w:color="auto"/>
              <w:bottom w:val="single" w:sz="6" w:space="0" w:color="auto"/>
            </w:tcBorders>
            <w:vAlign w:val="center"/>
          </w:tcPr>
          <w:p w14:paraId="33C0F283"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Early life stages</w:t>
            </w:r>
            <w:r w:rsidRPr="00D403F5">
              <w:rPr>
                <w:rFonts w:ascii="Arial" w:eastAsia="Times New Roman" w:hAnsi="Arial" w:cs="Arial"/>
                <w:b/>
                <w:bCs/>
                <w:sz w:val="18"/>
                <w:szCs w:val="18"/>
                <w:vertAlign w:val="superscript"/>
                <w:lang w:val="en-IE" w:bidi="en-US"/>
              </w:rPr>
              <w:t>2</w:t>
            </w:r>
          </w:p>
        </w:tc>
        <w:tc>
          <w:tcPr>
            <w:tcW w:w="993" w:type="dxa"/>
            <w:tcBorders>
              <w:top w:val="single" w:sz="4" w:space="0" w:color="auto"/>
              <w:left w:val="single" w:sz="6" w:space="0" w:color="auto"/>
              <w:bottom w:val="single" w:sz="6" w:space="0" w:color="auto"/>
            </w:tcBorders>
            <w:vAlign w:val="center"/>
          </w:tcPr>
          <w:p w14:paraId="0C245DB7"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Juveniles</w:t>
            </w:r>
            <w:r w:rsidRPr="00D403F5">
              <w:rPr>
                <w:rFonts w:ascii="Arial" w:eastAsia="Times New Roman" w:hAnsi="Arial" w:cs="Arial"/>
                <w:b/>
                <w:bCs/>
                <w:sz w:val="18"/>
                <w:szCs w:val="18"/>
                <w:vertAlign w:val="superscript"/>
                <w:lang w:val="en-IE" w:bidi="en-US"/>
              </w:rPr>
              <w:t>2</w:t>
            </w:r>
          </w:p>
        </w:tc>
        <w:tc>
          <w:tcPr>
            <w:tcW w:w="850" w:type="dxa"/>
            <w:tcBorders>
              <w:top w:val="single" w:sz="4" w:space="0" w:color="auto"/>
              <w:left w:val="single" w:sz="6" w:space="0" w:color="auto"/>
              <w:bottom w:val="single" w:sz="6" w:space="0" w:color="auto"/>
            </w:tcBorders>
            <w:vAlign w:val="center"/>
          </w:tcPr>
          <w:p w14:paraId="6A2BEBF3"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3207CB81"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LV</w:t>
            </w:r>
          </w:p>
        </w:tc>
        <w:tc>
          <w:tcPr>
            <w:tcW w:w="850" w:type="dxa"/>
            <w:tcBorders>
              <w:top w:val="single" w:sz="6" w:space="0" w:color="auto"/>
              <w:left w:val="single" w:sz="6" w:space="0" w:color="auto"/>
              <w:bottom w:val="single" w:sz="6" w:space="0" w:color="auto"/>
            </w:tcBorders>
            <w:vAlign w:val="center"/>
          </w:tcPr>
          <w:p w14:paraId="7016E1DC"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US" w:bidi="en-US"/>
              </w:rPr>
              <w:t>Early life stages</w:t>
            </w:r>
            <w:r w:rsidRPr="00D403F5">
              <w:rPr>
                <w:rFonts w:ascii="Arial" w:eastAsia="Times New Roman" w:hAnsi="Arial" w:cs="Arial"/>
                <w:b/>
                <w:bCs/>
                <w:sz w:val="18"/>
                <w:szCs w:val="18"/>
                <w:vertAlign w:val="superscript"/>
                <w:lang w:val="en-US" w:bidi="en-US"/>
              </w:rPr>
              <w:t>2</w:t>
            </w:r>
          </w:p>
        </w:tc>
        <w:tc>
          <w:tcPr>
            <w:tcW w:w="993" w:type="dxa"/>
            <w:tcBorders>
              <w:top w:val="single" w:sz="6" w:space="0" w:color="auto"/>
              <w:left w:val="single" w:sz="6" w:space="0" w:color="auto"/>
              <w:bottom w:val="single" w:sz="6" w:space="0" w:color="auto"/>
            </w:tcBorders>
            <w:vAlign w:val="center"/>
          </w:tcPr>
          <w:p w14:paraId="38E3B87F"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Juveniles</w:t>
            </w:r>
            <w:r w:rsidRPr="00D403F5">
              <w:rPr>
                <w:rFonts w:ascii="Arial" w:eastAsia="Times New Roman" w:hAnsi="Arial" w:cs="Arial"/>
                <w:b/>
                <w:bCs/>
                <w:sz w:val="18"/>
                <w:szCs w:val="18"/>
                <w:vertAlign w:val="superscript"/>
                <w:lang w:val="en-US" w:bidi="en-US"/>
              </w:rPr>
              <w:t>2</w:t>
            </w:r>
          </w:p>
        </w:tc>
        <w:tc>
          <w:tcPr>
            <w:tcW w:w="708" w:type="dxa"/>
            <w:tcBorders>
              <w:top w:val="single" w:sz="6" w:space="0" w:color="auto"/>
              <w:left w:val="single" w:sz="6" w:space="0" w:color="auto"/>
              <w:bottom w:val="single" w:sz="6" w:space="0" w:color="auto"/>
            </w:tcBorders>
            <w:vAlign w:val="center"/>
          </w:tcPr>
          <w:p w14:paraId="1329B87B"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Adults</w:t>
            </w:r>
          </w:p>
        </w:tc>
        <w:tc>
          <w:tcPr>
            <w:tcW w:w="634" w:type="dxa"/>
            <w:tcBorders>
              <w:top w:val="single" w:sz="4" w:space="0" w:color="auto"/>
              <w:left w:val="single" w:sz="6" w:space="0" w:color="auto"/>
              <w:bottom w:val="single" w:sz="6" w:space="0" w:color="auto"/>
              <w:right w:val="single" w:sz="6" w:space="0" w:color="auto"/>
            </w:tcBorders>
            <w:vAlign w:val="center"/>
          </w:tcPr>
          <w:p w14:paraId="42970014"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LV</w:t>
            </w:r>
          </w:p>
        </w:tc>
        <w:tc>
          <w:tcPr>
            <w:tcW w:w="960" w:type="dxa"/>
            <w:tcBorders>
              <w:top w:val="single" w:sz="4" w:space="0" w:color="auto"/>
              <w:left w:val="single" w:sz="6" w:space="0" w:color="auto"/>
              <w:bottom w:val="single" w:sz="6" w:space="0" w:color="auto"/>
              <w:right w:val="single" w:sz="6" w:space="0" w:color="auto"/>
            </w:tcBorders>
            <w:vAlign w:val="center"/>
          </w:tcPr>
          <w:p w14:paraId="35EADE5A"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US" w:bidi="en-US"/>
              </w:rPr>
              <w:t>Early life stages</w:t>
            </w:r>
            <w:r w:rsidRPr="00D403F5">
              <w:rPr>
                <w:rFonts w:ascii="Arial" w:eastAsia="Times New Roman" w:hAnsi="Arial" w:cs="Arial"/>
                <w:b/>
                <w:bCs/>
                <w:sz w:val="18"/>
                <w:szCs w:val="18"/>
                <w:vertAlign w:val="superscript"/>
                <w:lang w:val="en-US" w:bidi="en-US"/>
              </w:rPr>
              <w:t>2</w:t>
            </w:r>
          </w:p>
        </w:tc>
        <w:tc>
          <w:tcPr>
            <w:tcW w:w="958" w:type="dxa"/>
            <w:tcBorders>
              <w:top w:val="single" w:sz="4" w:space="0" w:color="auto"/>
              <w:left w:val="single" w:sz="6" w:space="0" w:color="auto"/>
              <w:bottom w:val="single" w:sz="6" w:space="0" w:color="auto"/>
              <w:right w:val="single" w:sz="6" w:space="0" w:color="auto"/>
            </w:tcBorders>
            <w:vAlign w:val="center"/>
          </w:tcPr>
          <w:p w14:paraId="0E60E96E"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Juveniles</w:t>
            </w:r>
            <w:r w:rsidRPr="00D403F5">
              <w:rPr>
                <w:rFonts w:ascii="Arial" w:eastAsia="Times New Roman" w:hAnsi="Arial" w:cs="Arial"/>
                <w:b/>
                <w:bCs/>
                <w:sz w:val="18"/>
                <w:szCs w:val="18"/>
                <w:vertAlign w:val="superscript"/>
                <w:lang w:val="en-US" w:bidi="en-US"/>
              </w:rPr>
              <w:t>2</w:t>
            </w:r>
          </w:p>
        </w:tc>
        <w:tc>
          <w:tcPr>
            <w:tcW w:w="1134" w:type="dxa"/>
            <w:tcBorders>
              <w:top w:val="single" w:sz="4" w:space="0" w:color="auto"/>
              <w:left w:val="single" w:sz="6" w:space="0" w:color="auto"/>
              <w:bottom w:val="single" w:sz="6" w:space="0" w:color="auto"/>
            </w:tcBorders>
            <w:vAlign w:val="center"/>
          </w:tcPr>
          <w:p w14:paraId="36E7E66C"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Adults</w:t>
            </w:r>
          </w:p>
        </w:tc>
        <w:tc>
          <w:tcPr>
            <w:tcW w:w="709" w:type="dxa"/>
            <w:tcBorders>
              <w:top w:val="single" w:sz="4" w:space="0" w:color="auto"/>
              <w:left w:val="single" w:sz="6" w:space="0" w:color="auto"/>
              <w:bottom w:val="single" w:sz="6" w:space="0" w:color="auto"/>
              <w:right w:val="single" w:sz="6" w:space="0" w:color="auto"/>
            </w:tcBorders>
            <w:vAlign w:val="center"/>
          </w:tcPr>
          <w:p w14:paraId="797F7F51"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LV</w:t>
            </w:r>
          </w:p>
        </w:tc>
      </w:tr>
      <w:tr w:rsidR="00C7266C" w:rsidRPr="00D403F5" w14:paraId="07FF0F84" w14:textId="77777777" w:rsidTr="00C7266C">
        <w:trPr>
          <w:trHeight w:val="227"/>
          <w:jc w:val="center"/>
        </w:trPr>
        <w:tc>
          <w:tcPr>
            <w:tcW w:w="2399" w:type="dxa"/>
            <w:tcBorders>
              <w:top w:val="single" w:sz="6" w:space="0" w:color="auto"/>
              <w:left w:val="single" w:sz="6" w:space="0" w:color="auto"/>
            </w:tcBorders>
            <w:vAlign w:val="center"/>
          </w:tcPr>
          <w:p w14:paraId="76871286"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Wet mounts</w:t>
            </w:r>
          </w:p>
        </w:tc>
        <w:tc>
          <w:tcPr>
            <w:tcW w:w="995" w:type="dxa"/>
            <w:tcBorders>
              <w:top w:val="single" w:sz="6" w:space="0" w:color="auto"/>
              <w:left w:val="single" w:sz="6" w:space="0" w:color="auto"/>
              <w:bottom w:val="single" w:sz="6" w:space="0" w:color="auto"/>
            </w:tcBorders>
            <w:shd w:val="pct15" w:color="auto" w:fill="auto"/>
            <w:vAlign w:val="center"/>
          </w:tcPr>
          <w:p w14:paraId="36DE969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443042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A023C7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2D61F8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1B839140"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2168019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2E12DB2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246EF97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5065BCF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pct15" w:color="auto" w:fill="auto"/>
            <w:vAlign w:val="center"/>
          </w:tcPr>
          <w:p w14:paraId="6A10704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1134" w:type="dxa"/>
            <w:tcBorders>
              <w:top w:val="single" w:sz="6" w:space="0" w:color="auto"/>
              <w:left w:val="single" w:sz="6" w:space="0" w:color="auto"/>
              <w:bottom w:val="single" w:sz="6" w:space="0" w:color="auto"/>
            </w:tcBorders>
            <w:shd w:val="pct15" w:color="auto" w:fill="auto"/>
            <w:vAlign w:val="center"/>
          </w:tcPr>
          <w:p w14:paraId="13AF63DA"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A966DC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r>
      <w:tr w:rsidR="00C7266C" w:rsidRPr="00D403F5" w14:paraId="3E44859F" w14:textId="77777777" w:rsidTr="00C7266C">
        <w:trPr>
          <w:trHeight w:val="324"/>
          <w:jc w:val="center"/>
        </w:trPr>
        <w:tc>
          <w:tcPr>
            <w:tcW w:w="2399" w:type="dxa"/>
            <w:tcBorders>
              <w:top w:val="single" w:sz="6" w:space="0" w:color="auto"/>
              <w:left w:val="single" w:sz="6" w:space="0" w:color="auto"/>
            </w:tcBorders>
            <w:vAlign w:val="center"/>
          </w:tcPr>
          <w:p w14:paraId="5F02FDB6"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Immunohistopathology</w:t>
            </w:r>
            <w:r w:rsidRPr="00D403F5">
              <w:rPr>
                <w:rFonts w:ascii="Arial" w:eastAsia="Times New Roman" w:hAnsi="Arial" w:cs="Arial"/>
                <w:b/>
                <w:bCs/>
                <w:sz w:val="18"/>
                <w:szCs w:val="18"/>
                <w:vertAlign w:val="superscript"/>
                <w:lang w:val="en-IE" w:bidi="en-US"/>
              </w:rPr>
              <w:t>3</w:t>
            </w:r>
          </w:p>
        </w:tc>
        <w:tc>
          <w:tcPr>
            <w:tcW w:w="995" w:type="dxa"/>
            <w:tcBorders>
              <w:top w:val="single" w:sz="6" w:space="0" w:color="auto"/>
              <w:left w:val="single" w:sz="6" w:space="0" w:color="auto"/>
              <w:bottom w:val="single" w:sz="6" w:space="0" w:color="auto"/>
            </w:tcBorders>
            <w:shd w:val="pct15" w:color="auto" w:fill="auto"/>
            <w:vAlign w:val="center"/>
          </w:tcPr>
          <w:p w14:paraId="10CC294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035758F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48FBBD1D"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C92D7C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286CC9C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7084D07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323F7AB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4854A65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right w:val="single" w:sz="6" w:space="0" w:color="auto"/>
            </w:tcBorders>
            <w:vAlign w:val="center"/>
          </w:tcPr>
          <w:p w14:paraId="727F015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58" w:type="dxa"/>
            <w:tcBorders>
              <w:top w:val="single" w:sz="6" w:space="0" w:color="auto"/>
              <w:left w:val="single" w:sz="6" w:space="0" w:color="auto"/>
              <w:right w:val="single" w:sz="6" w:space="0" w:color="auto"/>
            </w:tcBorders>
            <w:vAlign w:val="center"/>
          </w:tcPr>
          <w:p w14:paraId="0D646D3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1134" w:type="dxa"/>
            <w:tcBorders>
              <w:top w:val="single" w:sz="6" w:space="0" w:color="auto"/>
              <w:left w:val="single" w:sz="6" w:space="0" w:color="auto"/>
            </w:tcBorders>
            <w:vAlign w:val="center"/>
          </w:tcPr>
          <w:p w14:paraId="60BE600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709" w:type="dxa"/>
            <w:tcBorders>
              <w:top w:val="single" w:sz="6" w:space="0" w:color="auto"/>
              <w:left w:val="single" w:sz="6" w:space="0" w:color="auto"/>
              <w:right w:val="single" w:sz="6" w:space="0" w:color="auto"/>
            </w:tcBorders>
            <w:vAlign w:val="center"/>
          </w:tcPr>
          <w:p w14:paraId="0277856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r>
      <w:tr w:rsidR="00C7266C" w:rsidRPr="00D403F5" w14:paraId="572AF5F8"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65C7051F"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Histopathology</w:t>
            </w:r>
            <w:r w:rsidRPr="00D403F5">
              <w:rPr>
                <w:rFonts w:ascii="Arial" w:eastAsia="Times New Roman" w:hAnsi="Arial" w:cs="Arial"/>
                <w:b/>
                <w:bCs/>
                <w:sz w:val="18"/>
                <w:szCs w:val="18"/>
                <w:vertAlign w:val="superscript"/>
                <w:lang w:val="en-US" w:bidi="en-US"/>
              </w:rPr>
              <w:t>3</w:t>
            </w:r>
          </w:p>
        </w:tc>
        <w:tc>
          <w:tcPr>
            <w:tcW w:w="995" w:type="dxa"/>
            <w:tcBorders>
              <w:top w:val="single" w:sz="6" w:space="0" w:color="auto"/>
              <w:left w:val="single" w:sz="6" w:space="0" w:color="auto"/>
              <w:bottom w:val="single" w:sz="6" w:space="0" w:color="auto"/>
            </w:tcBorders>
            <w:shd w:val="pct15" w:color="auto" w:fill="auto"/>
            <w:vAlign w:val="center"/>
          </w:tcPr>
          <w:p w14:paraId="1F1C575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D509A93"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3846C2A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0DA77FC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DDDC4B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vAlign w:val="center"/>
          </w:tcPr>
          <w:p w14:paraId="6FD08EF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2F0AC9D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4BEE2B0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vAlign w:val="center"/>
          </w:tcPr>
          <w:p w14:paraId="0AF570E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vAlign w:val="center"/>
          </w:tcPr>
          <w:p w14:paraId="04FA159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1134" w:type="dxa"/>
            <w:tcBorders>
              <w:top w:val="single" w:sz="6" w:space="0" w:color="auto"/>
              <w:left w:val="single" w:sz="6" w:space="0" w:color="auto"/>
              <w:bottom w:val="single" w:sz="6" w:space="0" w:color="auto"/>
            </w:tcBorders>
            <w:vAlign w:val="center"/>
          </w:tcPr>
          <w:p w14:paraId="091AB4A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vAlign w:val="center"/>
          </w:tcPr>
          <w:p w14:paraId="6091DF2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r>
      <w:tr w:rsidR="00C7266C" w:rsidRPr="00D403F5" w14:paraId="1EAF33B8"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262B0F46"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 xml:space="preserve">Cell culture </w:t>
            </w:r>
          </w:p>
        </w:tc>
        <w:tc>
          <w:tcPr>
            <w:tcW w:w="995" w:type="dxa"/>
            <w:tcBorders>
              <w:top w:val="single" w:sz="6" w:space="0" w:color="auto"/>
              <w:left w:val="single" w:sz="6" w:space="0" w:color="auto"/>
              <w:bottom w:val="single" w:sz="6" w:space="0" w:color="auto"/>
            </w:tcBorders>
            <w:vAlign w:val="center"/>
          </w:tcPr>
          <w:p w14:paraId="5CF5C4A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5B85F470"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vAlign w:val="center"/>
          </w:tcPr>
          <w:p w14:paraId="3CFF4840"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288397B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850" w:type="dxa"/>
            <w:tcBorders>
              <w:top w:val="single" w:sz="6" w:space="0" w:color="auto"/>
              <w:left w:val="single" w:sz="6" w:space="0" w:color="auto"/>
              <w:bottom w:val="single" w:sz="6" w:space="0" w:color="auto"/>
            </w:tcBorders>
            <w:vAlign w:val="center"/>
          </w:tcPr>
          <w:p w14:paraId="5B611B5B"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376348E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76F08D6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056D66D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960" w:type="dxa"/>
            <w:tcBorders>
              <w:top w:val="single" w:sz="6" w:space="0" w:color="auto"/>
              <w:left w:val="single" w:sz="6" w:space="0" w:color="auto"/>
              <w:bottom w:val="single" w:sz="6" w:space="0" w:color="auto"/>
              <w:right w:val="single" w:sz="6" w:space="0" w:color="auto"/>
            </w:tcBorders>
            <w:vAlign w:val="center"/>
          </w:tcPr>
          <w:p w14:paraId="510EDF0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58" w:type="dxa"/>
            <w:tcBorders>
              <w:top w:val="single" w:sz="6" w:space="0" w:color="auto"/>
              <w:left w:val="single" w:sz="6" w:space="0" w:color="auto"/>
              <w:bottom w:val="single" w:sz="6" w:space="0" w:color="auto"/>
              <w:right w:val="single" w:sz="6" w:space="0" w:color="auto"/>
            </w:tcBorders>
            <w:vAlign w:val="center"/>
          </w:tcPr>
          <w:p w14:paraId="4290089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34" w:type="dxa"/>
            <w:tcBorders>
              <w:top w:val="single" w:sz="6" w:space="0" w:color="auto"/>
              <w:left w:val="single" w:sz="6" w:space="0" w:color="auto"/>
              <w:bottom w:val="single" w:sz="6" w:space="0" w:color="auto"/>
            </w:tcBorders>
            <w:vAlign w:val="center"/>
          </w:tcPr>
          <w:p w14:paraId="2AA6169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40BC9BBB"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r>
      <w:tr w:rsidR="00C7266C" w:rsidRPr="00D403F5" w14:paraId="07399B8F"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425FEB11"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Real-time PCR</w:t>
            </w:r>
          </w:p>
        </w:tc>
        <w:tc>
          <w:tcPr>
            <w:tcW w:w="995" w:type="dxa"/>
            <w:tcBorders>
              <w:top w:val="single" w:sz="6" w:space="0" w:color="auto"/>
              <w:left w:val="single" w:sz="6" w:space="0" w:color="auto"/>
              <w:bottom w:val="single" w:sz="6" w:space="0" w:color="auto"/>
            </w:tcBorders>
            <w:vAlign w:val="center"/>
          </w:tcPr>
          <w:p w14:paraId="74C9C11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7B0282D9"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vAlign w:val="center"/>
          </w:tcPr>
          <w:p w14:paraId="2A62AEB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26D4EA3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850" w:type="dxa"/>
            <w:tcBorders>
              <w:top w:val="single" w:sz="6" w:space="0" w:color="auto"/>
              <w:left w:val="single" w:sz="6" w:space="0" w:color="auto"/>
              <w:bottom w:val="single" w:sz="6" w:space="0" w:color="auto"/>
            </w:tcBorders>
            <w:vAlign w:val="center"/>
          </w:tcPr>
          <w:p w14:paraId="5129E3A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4F0F1C7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11C3CDC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1FBB4A1B"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960" w:type="dxa"/>
            <w:tcBorders>
              <w:top w:val="single" w:sz="6" w:space="0" w:color="auto"/>
              <w:left w:val="single" w:sz="6" w:space="0" w:color="auto"/>
              <w:bottom w:val="single" w:sz="6" w:space="0" w:color="auto"/>
              <w:right w:val="single" w:sz="6" w:space="0" w:color="auto"/>
            </w:tcBorders>
            <w:vAlign w:val="center"/>
          </w:tcPr>
          <w:p w14:paraId="6F16A15B"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58" w:type="dxa"/>
            <w:tcBorders>
              <w:top w:val="single" w:sz="6" w:space="0" w:color="auto"/>
              <w:left w:val="single" w:sz="6" w:space="0" w:color="auto"/>
              <w:bottom w:val="single" w:sz="6" w:space="0" w:color="auto"/>
              <w:right w:val="single" w:sz="6" w:space="0" w:color="auto"/>
            </w:tcBorders>
            <w:vAlign w:val="center"/>
          </w:tcPr>
          <w:p w14:paraId="52391F10"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34" w:type="dxa"/>
            <w:tcBorders>
              <w:top w:val="single" w:sz="6" w:space="0" w:color="auto"/>
              <w:left w:val="single" w:sz="6" w:space="0" w:color="auto"/>
              <w:bottom w:val="single" w:sz="6" w:space="0" w:color="auto"/>
            </w:tcBorders>
            <w:vAlign w:val="center"/>
          </w:tcPr>
          <w:p w14:paraId="74697E2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0E199A1A"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r>
      <w:tr w:rsidR="00C7266C" w:rsidRPr="00D403F5" w14:paraId="1E3886FB"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481174B2"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 xml:space="preserve">Conventional RT-PCR </w:t>
            </w:r>
          </w:p>
        </w:tc>
        <w:tc>
          <w:tcPr>
            <w:tcW w:w="995" w:type="dxa"/>
            <w:tcBorders>
              <w:top w:val="single" w:sz="6" w:space="0" w:color="auto"/>
              <w:left w:val="single" w:sz="6" w:space="0" w:color="auto"/>
              <w:bottom w:val="single" w:sz="6" w:space="0" w:color="auto"/>
            </w:tcBorders>
            <w:vAlign w:val="center"/>
          </w:tcPr>
          <w:p w14:paraId="60B6AFE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5B86DF39"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vAlign w:val="center"/>
          </w:tcPr>
          <w:p w14:paraId="602E7149"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vAlign w:val="center"/>
          </w:tcPr>
          <w:p w14:paraId="70BCE6B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850" w:type="dxa"/>
            <w:tcBorders>
              <w:top w:val="single" w:sz="6" w:space="0" w:color="auto"/>
              <w:left w:val="single" w:sz="6" w:space="0" w:color="auto"/>
              <w:bottom w:val="single" w:sz="6" w:space="0" w:color="auto"/>
            </w:tcBorders>
            <w:vAlign w:val="center"/>
          </w:tcPr>
          <w:p w14:paraId="19EBFB9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0D1F5BC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071069D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1BB9055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14:paraId="240EC93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tcPr>
          <w:p w14:paraId="66498743"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34" w:type="dxa"/>
            <w:tcBorders>
              <w:top w:val="single" w:sz="6" w:space="0" w:color="auto"/>
              <w:left w:val="single" w:sz="6" w:space="0" w:color="auto"/>
              <w:bottom w:val="single" w:sz="6" w:space="0" w:color="auto"/>
            </w:tcBorders>
            <w:shd w:val="clear" w:color="auto" w:fill="auto"/>
            <w:vAlign w:val="center"/>
          </w:tcPr>
          <w:p w14:paraId="2DD6F819"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2AF899F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3</w:t>
            </w:r>
          </w:p>
        </w:tc>
      </w:tr>
      <w:tr w:rsidR="00C7266C" w:rsidRPr="00D403F5" w14:paraId="0520F1FE" w14:textId="77777777" w:rsidTr="00C7266C">
        <w:trPr>
          <w:trHeight w:val="402"/>
          <w:jc w:val="center"/>
        </w:trPr>
        <w:tc>
          <w:tcPr>
            <w:tcW w:w="2399" w:type="dxa"/>
            <w:tcBorders>
              <w:top w:val="single" w:sz="6" w:space="0" w:color="auto"/>
              <w:left w:val="single" w:sz="6" w:space="0" w:color="auto"/>
            </w:tcBorders>
            <w:vAlign w:val="center"/>
          </w:tcPr>
          <w:p w14:paraId="799F1FA0" w14:textId="77777777" w:rsidR="00C7266C" w:rsidRPr="00D403F5" w:rsidRDefault="00C7266C" w:rsidP="00D403F5">
            <w:pPr>
              <w:spacing w:after="0" w:line="240" w:lineRule="auto"/>
              <w:jc w:val="center"/>
              <w:rPr>
                <w:rFonts w:ascii="Arial" w:eastAsia="Times New Roman" w:hAnsi="Arial" w:cs="Arial"/>
                <w:b/>
                <w:bCs/>
                <w:i/>
                <w:iCs/>
                <w:sz w:val="18"/>
                <w:szCs w:val="18"/>
                <w:lang w:val="en-IE" w:bidi="en-US"/>
              </w:rPr>
            </w:pPr>
            <w:r w:rsidRPr="00D403F5">
              <w:rPr>
                <w:rFonts w:ascii="Arial" w:eastAsia="Times New Roman" w:hAnsi="Arial" w:cs="Arial"/>
                <w:b/>
                <w:bCs/>
                <w:sz w:val="18"/>
                <w:szCs w:val="18"/>
                <w:lang w:val="en-IE" w:bidi="en-US"/>
              </w:rPr>
              <w:t>Amplicon sequencing</w:t>
            </w:r>
            <w:r w:rsidRPr="00D403F5">
              <w:rPr>
                <w:rFonts w:ascii="Arial" w:eastAsia="Times New Roman" w:hAnsi="Arial" w:cs="Arial"/>
                <w:b/>
                <w:bCs/>
                <w:sz w:val="18"/>
                <w:szCs w:val="18"/>
                <w:vertAlign w:val="superscript"/>
                <w:lang w:val="en-IE" w:bidi="en-US"/>
              </w:rPr>
              <w:t>4</w:t>
            </w:r>
          </w:p>
        </w:tc>
        <w:tc>
          <w:tcPr>
            <w:tcW w:w="995" w:type="dxa"/>
            <w:tcBorders>
              <w:top w:val="single" w:sz="6" w:space="0" w:color="auto"/>
              <w:left w:val="single" w:sz="6" w:space="0" w:color="auto"/>
              <w:bottom w:val="single" w:sz="6" w:space="0" w:color="auto"/>
            </w:tcBorders>
            <w:shd w:val="pct15" w:color="auto" w:fill="auto"/>
            <w:vAlign w:val="center"/>
          </w:tcPr>
          <w:p w14:paraId="688D3229" w14:textId="77777777" w:rsidR="00C7266C" w:rsidRPr="00D403F5" w:rsidRDefault="00C7266C" w:rsidP="00D403F5">
            <w:pPr>
              <w:spacing w:after="0" w:line="240" w:lineRule="auto"/>
              <w:jc w:val="center"/>
              <w:rPr>
                <w:rFonts w:ascii="Arial" w:eastAsia="Times New Roman" w:hAnsi="Arial" w:cs="Arial"/>
                <w:bCs/>
                <w:i/>
                <w:i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0BCA4476" w14:textId="77777777" w:rsidR="00C7266C" w:rsidRPr="00D403F5" w:rsidRDefault="00C7266C" w:rsidP="00D403F5">
            <w:pPr>
              <w:spacing w:after="0" w:line="240" w:lineRule="auto"/>
              <w:jc w:val="center"/>
              <w:rPr>
                <w:rFonts w:ascii="Arial" w:eastAsia="Times New Roman" w:hAnsi="Arial" w:cs="Arial"/>
                <w:bCs/>
                <w:i/>
                <w:i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9B1161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49AA600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2832D24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40BA7AB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4D026E6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71537BC0"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14:paraId="2ABF766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tcPr>
          <w:p w14:paraId="0E2D23D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1134" w:type="dxa"/>
            <w:tcBorders>
              <w:top w:val="single" w:sz="6" w:space="0" w:color="auto"/>
              <w:left w:val="single" w:sz="6" w:space="0" w:color="auto"/>
              <w:bottom w:val="single" w:sz="6" w:space="0" w:color="auto"/>
            </w:tcBorders>
            <w:shd w:val="clear" w:color="auto" w:fill="auto"/>
            <w:vAlign w:val="center"/>
          </w:tcPr>
          <w:p w14:paraId="74C5605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530F183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r>
      <w:tr w:rsidR="00C7266C" w:rsidRPr="00D403F5" w14:paraId="062EDB62" w14:textId="77777777" w:rsidTr="00C7266C">
        <w:trPr>
          <w:trHeight w:val="402"/>
          <w:jc w:val="center"/>
        </w:trPr>
        <w:tc>
          <w:tcPr>
            <w:tcW w:w="2399" w:type="dxa"/>
            <w:tcBorders>
              <w:top w:val="single" w:sz="6" w:space="0" w:color="auto"/>
              <w:left w:val="single" w:sz="6" w:space="0" w:color="auto"/>
              <w:bottom w:val="single" w:sz="6" w:space="0" w:color="auto"/>
            </w:tcBorders>
            <w:vAlign w:val="center"/>
          </w:tcPr>
          <w:p w14:paraId="5BF041FD"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i/>
                <w:iCs/>
                <w:sz w:val="18"/>
                <w:szCs w:val="18"/>
                <w:lang w:val="en-IE" w:bidi="en-US"/>
              </w:rPr>
              <w:t>In-situ</w:t>
            </w:r>
            <w:r w:rsidRPr="00D403F5">
              <w:rPr>
                <w:rFonts w:ascii="Arial" w:eastAsia="Times New Roman" w:hAnsi="Arial" w:cs="Arial"/>
                <w:b/>
                <w:bCs/>
                <w:sz w:val="18"/>
                <w:szCs w:val="18"/>
                <w:lang w:val="en-IE" w:bidi="en-US"/>
              </w:rPr>
              <w:t xml:space="preserve"> hybridisation</w:t>
            </w:r>
          </w:p>
        </w:tc>
        <w:tc>
          <w:tcPr>
            <w:tcW w:w="995" w:type="dxa"/>
            <w:tcBorders>
              <w:top w:val="single" w:sz="6" w:space="0" w:color="auto"/>
              <w:left w:val="single" w:sz="6" w:space="0" w:color="auto"/>
              <w:bottom w:val="single" w:sz="6" w:space="0" w:color="auto"/>
            </w:tcBorders>
            <w:shd w:val="pct15" w:color="auto" w:fill="auto"/>
            <w:vAlign w:val="center"/>
          </w:tcPr>
          <w:p w14:paraId="2B2060E7" w14:textId="77777777" w:rsidR="00C7266C" w:rsidRPr="00D403F5" w:rsidRDefault="00C7266C" w:rsidP="00D403F5">
            <w:pPr>
              <w:spacing w:after="0" w:line="240" w:lineRule="auto"/>
              <w:jc w:val="center"/>
              <w:rPr>
                <w:rFonts w:ascii="Arial" w:eastAsia="Times New Roman" w:hAnsi="Arial" w:cs="Arial"/>
                <w:bCs/>
                <w:i/>
                <w:i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432372B" w14:textId="77777777" w:rsidR="00C7266C" w:rsidRPr="00D403F5" w:rsidRDefault="00C7266C" w:rsidP="00D403F5">
            <w:pPr>
              <w:spacing w:after="0" w:line="240" w:lineRule="auto"/>
              <w:jc w:val="center"/>
              <w:rPr>
                <w:rFonts w:ascii="Arial" w:eastAsia="Times New Roman" w:hAnsi="Arial" w:cs="Arial"/>
                <w:bCs/>
                <w:i/>
                <w:i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57B176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3E3DBFC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61F23A2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24AF0C9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6A81FB4D"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1792B70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728368C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pct15" w:color="auto" w:fill="auto"/>
            <w:vAlign w:val="center"/>
          </w:tcPr>
          <w:p w14:paraId="36572B6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1134" w:type="dxa"/>
            <w:tcBorders>
              <w:top w:val="single" w:sz="6" w:space="0" w:color="auto"/>
              <w:left w:val="single" w:sz="6" w:space="0" w:color="auto"/>
              <w:bottom w:val="single" w:sz="6" w:space="0" w:color="auto"/>
            </w:tcBorders>
            <w:shd w:val="pct15" w:color="auto" w:fill="auto"/>
            <w:vAlign w:val="center"/>
          </w:tcPr>
          <w:p w14:paraId="4927EB99"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1B8631BD"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r>
      <w:tr w:rsidR="00C7266C" w:rsidRPr="00D403F5" w14:paraId="1EF245AD" w14:textId="77777777" w:rsidTr="00C7266C">
        <w:trPr>
          <w:trHeight w:val="402"/>
          <w:jc w:val="center"/>
        </w:trPr>
        <w:tc>
          <w:tcPr>
            <w:tcW w:w="2399" w:type="dxa"/>
            <w:tcBorders>
              <w:top w:val="single" w:sz="6" w:space="0" w:color="auto"/>
              <w:left w:val="single" w:sz="6" w:space="0" w:color="auto"/>
              <w:bottom w:val="single" w:sz="6" w:space="0" w:color="auto"/>
            </w:tcBorders>
            <w:shd w:val="pct15" w:color="auto" w:fill="auto"/>
            <w:vAlign w:val="center"/>
          </w:tcPr>
          <w:p w14:paraId="4EA2E929"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Bioassay</w:t>
            </w:r>
          </w:p>
        </w:tc>
        <w:tc>
          <w:tcPr>
            <w:tcW w:w="995" w:type="dxa"/>
            <w:tcBorders>
              <w:top w:val="single" w:sz="6" w:space="0" w:color="auto"/>
              <w:left w:val="single" w:sz="6" w:space="0" w:color="auto"/>
              <w:bottom w:val="single" w:sz="6" w:space="0" w:color="auto"/>
            </w:tcBorders>
            <w:shd w:val="pct15" w:color="auto" w:fill="auto"/>
            <w:vAlign w:val="center"/>
          </w:tcPr>
          <w:p w14:paraId="5AD7AA53"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EAE299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1A7E4DDD"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A7DE01D"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4A0BA7A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3C2B99E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6FBBB31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0ED17AF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1566AC2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pct15" w:color="auto" w:fill="auto"/>
            <w:vAlign w:val="center"/>
          </w:tcPr>
          <w:p w14:paraId="1EE6E88D"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1134" w:type="dxa"/>
            <w:tcBorders>
              <w:top w:val="single" w:sz="6" w:space="0" w:color="auto"/>
              <w:left w:val="single" w:sz="6" w:space="0" w:color="auto"/>
              <w:bottom w:val="single" w:sz="6" w:space="0" w:color="auto"/>
            </w:tcBorders>
            <w:shd w:val="pct15" w:color="auto" w:fill="auto"/>
            <w:vAlign w:val="center"/>
          </w:tcPr>
          <w:p w14:paraId="1B742C49"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52D3B5C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r>
      <w:tr w:rsidR="00C7266C" w:rsidRPr="00D403F5" w14:paraId="606A478D" w14:textId="77777777" w:rsidTr="00C7266C">
        <w:trPr>
          <w:trHeight w:val="402"/>
          <w:jc w:val="center"/>
        </w:trPr>
        <w:tc>
          <w:tcPr>
            <w:tcW w:w="2399" w:type="dxa"/>
            <w:tcBorders>
              <w:top w:val="single" w:sz="6" w:space="0" w:color="auto"/>
              <w:left w:val="single" w:sz="6" w:space="0" w:color="auto"/>
              <w:bottom w:val="single" w:sz="6" w:space="0" w:color="auto"/>
            </w:tcBorders>
            <w:shd w:val="pct15" w:color="auto" w:fill="auto"/>
            <w:vAlign w:val="center"/>
          </w:tcPr>
          <w:p w14:paraId="4F67CD45"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LAMP</w:t>
            </w:r>
          </w:p>
        </w:tc>
        <w:tc>
          <w:tcPr>
            <w:tcW w:w="995" w:type="dxa"/>
            <w:tcBorders>
              <w:top w:val="single" w:sz="6" w:space="0" w:color="auto"/>
              <w:left w:val="single" w:sz="6" w:space="0" w:color="auto"/>
              <w:bottom w:val="single" w:sz="6" w:space="0" w:color="auto"/>
            </w:tcBorders>
            <w:shd w:val="pct15" w:color="auto" w:fill="auto"/>
            <w:vAlign w:val="center"/>
          </w:tcPr>
          <w:p w14:paraId="5C3ABE9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54AE574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3F5665DA"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708E451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1CFD8EF3"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4661C30A"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2F842A67"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7C5B8E1A"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5F676FBC"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pct15" w:color="auto" w:fill="auto"/>
            <w:vAlign w:val="center"/>
          </w:tcPr>
          <w:p w14:paraId="1E36558B"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1134" w:type="dxa"/>
            <w:tcBorders>
              <w:top w:val="single" w:sz="6" w:space="0" w:color="auto"/>
              <w:left w:val="single" w:sz="6" w:space="0" w:color="auto"/>
              <w:bottom w:val="single" w:sz="6" w:space="0" w:color="auto"/>
            </w:tcBorders>
            <w:shd w:val="pct15" w:color="auto" w:fill="auto"/>
            <w:vAlign w:val="center"/>
          </w:tcPr>
          <w:p w14:paraId="257C6B99"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3138859B"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r>
      <w:tr w:rsidR="00C7266C" w:rsidRPr="00D403F5" w14:paraId="4BA0ED3E" w14:textId="77777777" w:rsidTr="00C7266C">
        <w:trPr>
          <w:trHeight w:val="402"/>
          <w:jc w:val="center"/>
        </w:trPr>
        <w:tc>
          <w:tcPr>
            <w:tcW w:w="2399" w:type="dxa"/>
            <w:tcBorders>
              <w:top w:val="single" w:sz="6" w:space="0" w:color="auto"/>
              <w:left w:val="single" w:sz="6" w:space="0" w:color="auto"/>
              <w:bottom w:val="single" w:sz="4" w:space="0" w:color="auto"/>
            </w:tcBorders>
            <w:vAlign w:val="center"/>
          </w:tcPr>
          <w:p w14:paraId="6847C78F"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Ab-ELISA</w:t>
            </w:r>
          </w:p>
        </w:tc>
        <w:tc>
          <w:tcPr>
            <w:tcW w:w="995" w:type="dxa"/>
            <w:tcBorders>
              <w:top w:val="single" w:sz="6" w:space="0" w:color="auto"/>
              <w:left w:val="single" w:sz="6" w:space="0" w:color="auto"/>
              <w:bottom w:val="single" w:sz="6" w:space="0" w:color="auto"/>
            </w:tcBorders>
            <w:shd w:val="pct15" w:color="auto" w:fill="auto"/>
            <w:vAlign w:val="center"/>
          </w:tcPr>
          <w:p w14:paraId="24BFA2E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clear" w:color="auto" w:fill="auto"/>
            <w:vAlign w:val="center"/>
          </w:tcPr>
          <w:p w14:paraId="66D9253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6" w:space="0" w:color="auto"/>
            </w:tcBorders>
            <w:shd w:val="clear" w:color="auto" w:fill="auto"/>
            <w:vAlign w:val="center"/>
          </w:tcPr>
          <w:p w14:paraId="3376DDF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722E4523"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850" w:type="dxa"/>
            <w:tcBorders>
              <w:top w:val="single" w:sz="6" w:space="0" w:color="auto"/>
              <w:left w:val="single" w:sz="6" w:space="0" w:color="auto"/>
              <w:bottom w:val="single" w:sz="6" w:space="0" w:color="auto"/>
            </w:tcBorders>
            <w:shd w:val="pct15" w:color="auto" w:fill="auto"/>
            <w:vAlign w:val="center"/>
          </w:tcPr>
          <w:p w14:paraId="741F4BF1"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6FB162E5"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032BDF42"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4520A864"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10E8CDC3"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pct15" w:color="auto" w:fill="auto"/>
            <w:vAlign w:val="center"/>
          </w:tcPr>
          <w:p w14:paraId="4E2A7C9E"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1134" w:type="dxa"/>
            <w:tcBorders>
              <w:top w:val="single" w:sz="6" w:space="0" w:color="auto"/>
              <w:left w:val="single" w:sz="6" w:space="0" w:color="auto"/>
              <w:bottom w:val="single" w:sz="6" w:space="0" w:color="auto"/>
            </w:tcBorders>
            <w:shd w:val="pct15" w:color="auto" w:fill="auto"/>
            <w:vAlign w:val="center"/>
          </w:tcPr>
          <w:p w14:paraId="4EFB9DE0"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25E48A78" w14:textId="77777777" w:rsidR="00C7266C" w:rsidRPr="00D403F5" w:rsidRDefault="00C7266C" w:rsidP="00D403F5">
            <w:pPr>
              <w:spacing w:after="0" w:line="240" w:lineRule="auto"/>
              <w:jc w:val="center"/>
              <w:rPr>
                <w:rFonts w:ascii="Arial" w:eastAsia="Times New Roman" w:hAnsi="Arial" w:cs="Arial"/>
                <w:bCs/>
                <w:strike/>
                <w:sz w:val="18"/>
                <w:szCs w:val="18"/>
                <w:lang w:val="en-IE" w:bidi="en-US"/>
              </w:rPr>
            </w:pPr>
          </w:p>
        </w:tc>
      </w:tr>
      <w:tr w:rsidR="00C7266C" w:rsidRPr="00D403F5" w14:paraId="623201F1" w14:textId="77777777" w:rsidTr="00C7266C">
        <w:trPr>
          <w:trHeight w:val="402"/>
          <w:jc w:val="center"/>
        </w:trPr>
        <w:tc>
          <w:tcPr>
            <w:tcW w:w="2399" w:type="dxa"/>
            <w:tcBorders>
              <w:top w:val="single" w:sz="4" w:space="0" w:color="auto"/>
              <w:left w:val="single" w:sz="6" w:space="0" w:color="auto"/>
            </w:tcBorders>
            <w:vAlign w:val="center"/>
          </w:tcPr>
          <w:p w14:paraId="77BA4095"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Ag-ELISA</w:t>
            </w:r>
          </w:p>
        </w:tc>
        <w:tc>
          <w:tcPr>
            <w:tcW w:w="995" w:type="dxa"/>
            <w:tcBorders>
              <w:top w:val="single" w:sz="6" w:space="0" w:color="auto"/>
              <w:left w:val="single" w:sz="6" w:space="0" w:color="auto"/>
              <w:bottom w:val="single" w:sz="6" w:space="0" w:color="auto"/>
            </w:tcBorders>
            <w:shd w:val="pct15" w:color="auto" w:fill="auto"/>
            <w:vAlign w:val="center"/>
          </w:tcPr>
          <w:p w14:paraId="3F4C84E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75932D4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2A3C6F0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6B7B696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78869D4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5F4CB45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1CAF37B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08F90D3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right w:val="single" w:sz="6" w:space="0" w:color="auto"/>
            </w:tcBorders>
            <w:vAlign w:val="center"/>
          </w:tcPr>
          <w:p w14:paraId="557DF25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958" w:type="dxa"/>
            <w:tcBorders>
              <w:top w:val="single" w:sz="6" w:space="0" w:color="auto"/>
              <w:left w:val="single" w:sz="6" w:space="0" w:color="auto"/>
              <w:right w:val="single" w:sz="6" w:space="0" w:color="auto"/>
            </w:tcBorders>
            <w:vAlign w:val="center"/>
          </w:tcPr>
          <w:p w14:paraId="5BC6E63F"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1134" w:type="dxa"/>
            <w:tcBorders>
              <w:top w:val="single" w:sz="6" w:space="0" w:color="auto"/>
              <w:left w:val="single" w:sz="6" w:space="0" w:color="auto"/>
            </w:tcBorders>
            <w:vAlign w:val="center"/>
          </w:tcPr>
          <w:p w14:paraId="787BD54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709" w:type="dxa"/>
            <w:tcBorders>
              <w:top w:val="single" w:sz="6" w:space="0" w:color="auto"/>
              <w:left w:val="single" w:sz="6" w:space="0" w:color="auto"/>
              <w:right w:val="single" w:sz="6" w:space="0" w:color="auto"/>
            </w:tcBorders>
            <w:vAlign w:val="center"/>
          </w:tcPr>
          <w:p w14:paraId="41B1EF3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1</w:t>
            </w:r>
          </w:p>
        </w:tc>
      </w:tr>
      <w:tr w:rsidR="00C7266C" w:rsidRPr="00D403F5" w14:paraId="288BB5AC" w14:textId="77777777" w:rsidTr="00C7266C">
        <w:trPr>
          <w:trHeight w:val="402"/>
          <w:jc w:val="center"/>
        </w:trPr>
        <w:tc>
          <w:tcPr>
            <w:tcW w:w="2399" w:type="dxa"/>
            <w:tcBorders>
              <w:top w:val="single" w:sz="4" w:space="0" w:color="auto"/>
              <w:left w:val="single" w:sz="6" w:space="0" w:color="auto"/>
            </w:tcBorders>
            <w:vAlign w:val="center"/>
          </w:tcPr>
          <w:p w14:paraId="33815DE8"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IFAT</w:t>
            </w:r>
          </w:p>
        </w:tc>
        <w:tc>
          <w:tcPr>
            <w:tcW w:w="995" w:type="dxa"/>
            <w:tcBorders>
              <w:top w:val="single" w:sz="6" w:space="0" w:color="auto"/>
              <w:left w:val="single" w:sz="6" w:space="0" w:color="auto"/>
              <w:bottom w:val="single" w:sz="6" w:space="0" w:color="auto"/>
            </w:tcBorders>
            <w:shd w:val="pct15" w:color="auto" w:fill="auto"/>
            <w:vAlign w:val="center"/>
          </w:tcPr>
          <w:p w14:paraId="04FC619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61382B81"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shd w:val="pct15" w:color="auto" w:fill="auto"/>
            <w:vAlign w:val="center"/>
          </w:tcPr>
          <w:p w14:paraId="42E9CB4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1E29483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850" w:type="dxa"/>
            <w:tcBorders>
              <w:top w:val="single" w:sz="6" w:space="0" w:color="auto"/>
              <w:left w:val="single" w:sz="6" w:space="0" w:color="auto"/>
              <w:bottom w:val="single" w:sz="6" w:space="0" w:color="auto"/>
            </w:tcBorders>
            <w:vAlign w:val="center"/>
          </w:tcPr>
          <w:p w14:paraId="30C3B6B4"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993" w:type="dxa"/>
            <w:tcBorders>
              <w:top w:val="single" w:sz="6" w:space="0" w:color="auto"/>
              <w:left w:val="single" w:sz="6" w:space="0" w:color="auto"/>
              <w:bottom w:val="single" w:sz="6" w:space="0" w:color="auto"/>
            </w:tcBorders>
            <w:vAlign w:val="center"/>
          </w:tcPr>
          <w:p w14:paraId="5F44D9A0"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8" w:type="dxa"/>
            <w:tcBorders>
              <w:top w:val="single" w:sz="6" w:space="0" w:color="auto"/>
              <w:left w:val="single" w:sz="6" w:space="0" w:color="auto"/>
              <w:bottom w:val="single" w:sz="6" w:space="0" w:color="auto"/>
            </w:tcBorders>
            <w:vAlign w:val="center"/>
          </w:tcPr>
          <w:p w14:paraId="6F5DBED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634" w:type="dxa"/>
            <w:tcBorders>
              <w:top w:val="single" w:sz="6" w:space="0" w:color="auto"/>
              <w:left w:val="single" w:sz="6" w:space="0" w:color="auto"/>
              <w:bottom w:val="single" w:sz="6" w:space="0" w:color="auto"/>
              <w:right w:val="single" w:sz="6" w:space="0" w:color="auto"/>
            </w:tcBorders>
            <w:vAlign w:val="center"/>
          </w:tcPr>
          <w:p w14:paraId="7A6F37A3"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960" w:type="dxa"/>
            <w:tcBorders>
              <w:top w:val="single" w:sz="4" w:space="0" w:color="auto"/>
              <w:left w:val="single" w:sz="6" w:space="0" w:color="auto"/>
              <w:bottom w:val="single" w:sz="6" w:space="0" w:color="auto"/>
              <w:right w:val="single" w:sz="6" w:space="0" w:color="auto"/>
            </w:tcBorders>
            <w:vAlign w:val="center"/>
          </w:tcPr>
          <w:p w14:paraId="17B659E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958" w:type="dxa"/>
            <w:tcBorders>
              <w:top w:val="single" w:sz="4" w:space="0" w:color="auto"/>
              <w:left w:val="single" w:sz="6" w:space="0" w:color="auto"/>
              <w:bottom w:val="single" w:sz="6" w:space="0" w:color="auto"/>
              <w:right w:val="single" w:sz="6" w:space="0" w:color="auto"/>
            </w:tcBorders>
            <w:vAlign w:val="center"/>
          </w:tcPr>
          <w:p w14:paraId="49A2FBB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1134" w:type="dxa"/>
            <w:tcBorders>
              <w:top w:val="single" w:sz="4" w:space="0" w:color="auto"/>
              <w:left w:val="single" w:sz="6" w:space="0" w:color="auto"/>
              <w:bottom w:val="single" w:sz="6" w:space="0" w:color="auto"/>
            </w:tcBorders>
            <w:vAlign w:val="center"/>
          </w:tcPr>
          <w:p w14:paraId="0C9F28F9"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r w:rsidRPr="00D403F5">
              <w:rPr>
                <w:rFonts w:ascii="Arial" w:eastAsia="Times New Roman" w:hAnsi="Arial" w:cs="Arial"/>
                <w:bCs/>
                <w:sz w:val="18"/>
                <w:szCs w:val="18"/>
                <w:vertAlign w:val="superscript"/>
                <w:lang w:val="en-IE" w:bidi="en-US"/>
              </w:rPr>
              <w:t>5</w:t>
            </w:r>
          </w:p>
        </w:tc>
        <w:tc>
          <w:tcPr>
            <w:tcW w:w="709" w:type="dxa"/>
            <w:tcBorders>
              <w:top w:val="single" w:sz="4" w:space="0" w:color="auto"/>
              <w:left w:val="single" w:sz="6" w:space="0" w:color="auto"/>
              <w:bottom w:val="single" w:sz="6" w:space="0" w:color="auto"/>
              <w:right w:val="single" w:sz="6" w:space="0" w:color="auto"/>
            </w:tcBorders>
            <w:vAlign w:val="center"/>
          </w:tcPr>
          <w:p w14:paraId="50F3803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r>
      <w:tr w:rsidR="00C7266C" w:rsidRPr="00D403F5" w14:paraId="46B66BA6" w14:textId="77777777" w:rsidTr="00C7266C">
        <w:trPr>
          <w:trHeight w:val="269"/>
          <w:jc w:val="center"/>
        </w:trPr>
        <w:tc>
          <w:tcPr>
            <w:tcW w:w="2399" w:type="dxa"/>
            <w:tcBorders>
              <w:top w:val="single" w:sz="4" w:space="0" w:color="auto"/>
              <w:left w:val="single" w:sz="6" w:space="0" w:color="auto"/>
              <w:bottom w:val="single" w:sz="4" w:space="0" w:color="auto"/>
            </w:tcBorders>
            <w:vAlign w:val="center"/>
          </w:tcPr>
          <w:p w14:paraId="12C55796" w14:textId="77777777" w:rsidR="00C7266C" w:rsidRPr="00D403F5" w:rsidRDefault="00C7266C" w:rsidP="00D403F5">
            <w:pPr>
              <w:spacing w:after="0" w:line="240" w:lineRule="auto"/>
              <w:jc w:val="center"/>
              <w:rPr>
                <w:rFonts w:ascii="Arial" w:eastAsia="Times New Roman" w:hAnsi="Arial" w:cs="Arial"/>
                <w:b/>
                <w:bCs/>
                <w:sz w:val="18"/>
                <w:szCs w:val="18"/>
                <w:lang w:val="en-IE" w:bidi="en-US"/>
              </w:rPr>
            </w:pPr>
            <w:r w:rsidRPr="00D403F5">
              <w:rPr>
                <w:rFonts w:ascii="Arial" w:eastAsia="Times New Roman" w:hAnsi="Arial" w:cs="Arial"/>
                <w:b/>
                <w:bCs/>
                <w:sz w:val="18"/>
                <w:szCs w:val="18"/>
                <w:lang w:val="en-IE" w:bidi="en-US"/>
              </w:rPr>
              <w:t xml:space="preserve">Serum neutralisation for </w:t>
            </w:r>
            <w:r w:rsidRPr="00D403F5">
              <w:rPr>
                <w:rFonts w:ascii="Arial" w:eastAsia="Times New Roman" w:hAnsi="Arial" w:cs="Arial"/>
                <w:b/>
                <w:bCs/>
                <w:sz w:val="18"/>
                <w:szCs w:val="18"/>
                <w:lang w:val="en-IE" w:bidi="en-US"/>
              </w:rPr>
              <w:br/>
              <w:t>Ab detection</w:t>
            </w:r>
          </w:p>
        </w:tc>
        <w:tc>
          <w:tcPr>
            <w:tcW w:w="995" w:type="dxa"/>
            <w:tcBorders>
              <w:top w:val="single" w:sz="6" w:space="0" w:color="auto"/>
              <w:left w:val="single" w:sz="6" w:space="0" w:color="auto"/>
              <w:bottom w:val="single" w:sz="6" w:space="0" w:color="auto"/>
            </w:tcBorders>
            <w:shd w:val="pct15" w:color="auto" w:fill="auto"/>
            <w:vAlign w:val="center"/>
          </w:tcPr>
          <w:p w14:paraId="37BDCFA3"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4" w:space="0" w:color="auto"/>
            </w:tcBorders>
            <w:vAlign w:val="center"/>
          </w:tcPr>
          <w:p w14:paraId="07D3784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850" w:type="dxa"/>
            <w:tcBorders>
              <w:top w:val="single" w:sz="6" w:space="0" w:color="auto"/>
              <w:left w:val="single" w:sz="6" w:space="0" w:color="auto"/>
              <w:bottom w:val="single" w:sz="4" w:space="0" w:color="auto"/>
            </w:tcBorders>
            <w:vAlign w:val="center"/>
          </w:tcPr>
          <w:p w14:paraId="56B93FDC"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w:t>
            </w:r>
          </w:p>
        </w:tc>
        <w:tc>
          <w:tcPr>
            <w:tcW w:w="709" w:type="dxa"/>
            <w:tcBorders>
              <w:top w:val="single" w:sz="6" w:space="0" w:color="auto"/>
              <w:left w:val="single" w:sz="6" w:space="0" w:color="auto"/>
              <w:bottom w:val="single" w:sz="4" w:space="0" w:color="auto"/>
              <w:right w:val="single" w:sz="6" w:space="0" w:color="auto"/>
            </w:tcBorders>
            <w:vAlign w:val="center"/>
          </w:tcPr>
          <w:p w14:paraId="1BD3CA7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r w:rsidRPr="00D403F5">
              <w:rPr>
                <w:rFonts w:ascii="Arial" w:eastAsia="Times New Roman" w:hAnsi="Arial" w:cs="Arial"/>
                <w:bCs/>
                <w:sz w:val="18"/>
                <w:szCs w:val="18"/>
                <w:lang w:val="en-IE" w:bidi="en-US"/>
              </w:rPr>
              <w:t>2</w:t>
            </w:r>
          </w:p>
        </w:tc>
        <w:tc>
          <w:tcPr>
            <w:tcW w:w="850" w:type="dxa"/>
            <w:tcBorders>
              <w:top w:val="single" w:sz="6" w:space="0" w:color="auto"/>
              <w:left w:val="single" w:sz="6" w:space="0" w:color="auto"/>
              <w:bottom w:val="single" w:sz="6" w:space="0" w:color="auto"/>
            </w:tcBorders>
            <w:shd w:val="pct15" w:color="auto" w:fill="auto"/>
            <w:vAlign w:val="center"/>
          </w:tcPr>
          <w:p w14:paraId="270C0902"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93" w:type="dxa"/>
            <w:tcBorders>
              <w:top w:val="single" w:sz="6" w:space="0" w:color="auto"/>
              <w:left w:val="single" w:sz="6" w:space="0" w:color="auto"/>
              <w:bottom w:val="single" w:sz="6" w:space="0" w:color="auto"/>
            </w:tcBorders>
            <w:shd w:val="pct15" w:color="auto" w:fill="auto"/>
            <w:vAlign w:val="center"/>
          </w:tcPr>
          <w:p w14:paraId="13C26546"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14:paraId="23B3F637"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634" w:type="dxa"/>
            <w:tcBorders>
              <w:top w:val="single" w:sz="6" w:space="0" w:color="auto"/>
              <w:left w:val="single" w:sz="6" w:space="0" w:color="auto"/>
              <w:bottom w:val="single" w:sz="6" w:space="0" w:color="auto"/>
              <w:right w:val="single" w:sz="6" w:space="0" w:color="auto"/>
            </w:tcBorders>
            <w:shd w:val="pct15" w:color="auto" w:fill="auto"/>
            <w:vAlign w:val="center"/>
          </w:tcPr>
          <w:p w14:paraId="49F94FE8"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14:paraId="7C7B4C6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958" w:type="dxa"/>
            <w:tcBorders>
              <w:top w:val="single" w:sz="6" w:space="0" w:color="auto"/>
              <w:left w:val="single" w:sz="6" w:space="0" w:color="auto"/>
              <w:bottom w:val="single" w:sz="6" w:space="0" w:color="auto"/>
              <w:right w:val="single" w:sz="6" w:space="0" w:color="auto"/>
            </w:tcBorders>
            <w:shd w:val="pct15" w:color="auto" w:fill="auto"/>
            <w:vAlign w:val="center"/>
          </w:tcPr>
          <w:p w14:paraId="212ECC15"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1134" w:type="dxa"/>
            <w:tcBorders>
              <w:top w:val="single" w:sz="6" w:space="0" w:color="auto"/>
              <w:left w:val="single" w:sz="6" w:space="0" w:color="auto"/>
              <w:bottom w:val="single" w:sz="6" w:space="0" w:color="auto"/>
            </w:tcBorders>
            <w:shd w:val="pct15" w:color="auto" w:fill="auto"/>
            <w:vAlign w:val="center"/>
          </w:tcPr>
          <w:p w14:paraId="1B58122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c>
          <w:tcPr>
            <w:tcW w:w="709" w:type="dxa"/>
            <w:tcBorders>
              <w:top w:val="single" w:sz="6" w:space="0" w:color="auto"/>
              <w:left w:val="single" w:sz="6" w:space="0" w:color="auto"/>
              <w:bottom w:val="single" w:sz="6" w:space="0" w:color="auto"/>
              <w:right w:val="single" w:sz="6" w:space="0" w:color="auto"/>
            </w:tcBorders>
            <w:shd w:val="pct15" w:color="auto" w:fill="auto"/>
            <w:vAlign w:val="center"/>
          </w:tcPr>
          <w:p w14:paraId="1CBE2C4E" w14:textId="77777777" w:rsidR="00C7266C" w:rsidRPr="00D403F5" w:rsidRDefault="00C7266C" w:rsidP="00D403F5">
            <w:pPr>
              <w:spacing w:after="0" w:line="240" w:lineRule="auto"/>
              <w:jc w:val="center"/>
              <w:rPr>
                <w:rFonts w:ascii="Arial" w:eastAsia="Times New Roman" w:hAnsi="Arial" w:cs="Arial"/>
                <w:bCs/>
                <w:sz w:val="18"/>
                <w:szCs w:val="18"/>
                <w:lang w:val="en-IE" w:bidi="en-US"/>
              </w:rPr>
            </w:pPr>
          </w:p>
        </w:tc>
      </w:tr>
    </w:tbl>
    <w:p w14:paraId="5F4CABCD" w14:textId="77777777" w:rsidR="00C7266C" w:rsidRPr="00D403F5" w:rsidRDefault="00C7266C" w:rsidP="00D403F5">
      <w:pPr>
        <w:tabs>
          <w:tab w:val="left" w:pos="-720"/>
        </w:tabs>
        <w:spacing w:after="0" w:line="240" w:lineRule="auto"/>
        <w:jc w:val="center"/>
        <w:rPr>
          <w:rFonts w:ascii="Arial" w:eastAsia="Times New Roman" w:hAnsi="Arial" w:cs="Arial"/>
          <w:sz w:val="18"/>
          <w:szCs w:val="18"/>
          <w:lang w:val="en-IE" w:bidi="en-US"/>
        </w:rPr>
      </w:pPr>
      <w:r w:rsidRPr="00D403F5">
        <w:rPr>
          <w:rFonts w:ascii="Arial" w:eastAsia="Times New Roman" w:hAnsi="Arial" w:cs="Arial"/>
          <w:sz w:val="18"/>
          <w:szCs w:val="18"/>
          <w:lang w:eastAsia="fr-FR"/>
        </w:rPr>
        <w:t>LV = level of validation, refers to the stage of validation in the OIE Pathway (chapter 1.1.2)</w:t>
      </w:r>
      <w:r w:rsidRPr="00D403F5">
        <w:rPr>
          <w:rFonts w:ascii="Arial" w:eastAsia="Times New Roman" w:hAnsi="Arial" w:cs="Arial"/>
          <w:sz w:val="18"/>
          <w:szCs w:val="18"/>
          <w:lang w:val="en-US" w:bidi="en-US"/>
        </w:rPr>
        <w:t xml:space="preserve">; </w:t>
      </w:r>
      <w:r w:rsidRPr="00D403F5">
        <w:rPr>
          <w:rFonts w:ascii="Arial" w:eastAsia="Times New Roman" w:hAnsi="Arial" w:cs="Arial"/>
          <w:sz w:val="18"/>
          <w:szCs w:val="18"/>
          <w:lang w:val="en-IE" w:eastAsia="fr-FR"/>
        </w:rPr>
        <w:t xml:space="preserve">RT-PCR = reverse-transcription polymerase chain reaction; Ab- or Ag-ELISA = antibody or antigen enzyme-linked immunosorbent assay, respectively; IFAT = indirect fluorescent antibody test; </w:t>
      </w:r>
      <w:r w:rsidRPr="00D403F5">
        <w:rPr>
          <w:rFonts w:ascii="Arial" w:eastAsia="Times New Roman" w:hAnsi="Arial" w:cs="Arial"/>
          <w:sz w:val="18"/>
          <w:szCs w:val="18"/>
          <w:lang w:val="en-IE" w:eastAsia="fr-FR" w:bidi="en-US"/>
        </w:rPr>
        <w:t xml:space="preserve">LAMP = loop-mediated isothermal amplification </w:t>
      </w:r>
      <w:r w:rsidRPr="00D403F5">
        <w:rPr>
          <w:rFonts w:ascii="Arial" w:eastAsia="Times New Roman" w:hAnsi="Arial" w:cs="Arial"/>
          <w:sz w:val="18"/>
          <w:szCs w:val="18"/>
          <w:vertAlign w:val="superscript"/>
          <w:lang w:val="en-IE" w:eastAsia="fr-FR" w:bidi="en-US"/>
        </w:rPr>
        <w:t>1</w:t>
      </w:r>
      <w:r w:rsidRPr="00D403F5">
        <w:rPr>
          <w:rFonts w:ascii="Arial" w:eastAsia="Times New Roman" w:hAnsi="Arial" w:cs="Arial"/>
          <w:sz w:val="18"/>
          <w:szCs w:val="18"/>
          <w:lang w:val="en-IE" w:eastAsia="fr-FR"/>
        </w:rPr>
        <w:t xml:space="preserve">For confirmatory diagnoses, methods need to be carried out in combination (see Section 6). </w:t>
      </w:r>
      <w:r w:rsidRPr="00D403F5">
        <w:rPr>
          <w:rFonts w:ascii="Arial" w:eastAsia="Times New Roman" w:hAnsi="Arial" w:cs="Arial"/>
          <w:sz w:val="18"/>
          <w:szCs w:val="18"/>
          <w:vertAlign w:val="superscript"/>
          <w:lang w:val="en-IE" w:eastAsia="fr-FR" w:bidi="en-US"/>
        </w:rPr>
        <w:t>2</w:t>
      </w:r>
      <w:r w:rsidRPr="00D403F5">
        <w:rPr>
          <w:rFonts w:ascii="Arial" w:eastAsia="Times New Roman" w:hAnsi="Arial" w:cs="Arial"/>
          <w:sz w:val="18"/>
          <w:szCs w:val="18"/>
          <w:lang w:val="en-IE" w:eastAsia="fr-FR"/>
        </w:rPr>
        <w:t xml:space="preserve">Early and juvenile life stages have been defined in Section 2.2.4. </w:t>
      </w:r>
      <w:r w:rsidRPr="00D403F5">
        <w:rPr>
          <w:rFonts w:ascii="Arial" w:eastAsia="Times New Roman" w:hAnsi="Arial" w:cs="Arial"/>
          <w:sz w:val="18"/>
          <w:szCs w:val="18"/>
          <w:vertAlign w:val="superscript"/>
          <w:lang w:val="en-IE" w:eastAsia="fr-FR" w:bidi="en-US"/>
        </w:rPr>
        <w:t>3</w:t>
      </w:r>
      <w:r w:rsidRPr="00D403F5">
        <w:rPr>
          <w:rFonts w:ascii="Arial" w:eastAsia="Times New Roman" w:hAnsi="Arial" w:cs="Arial"/>
          <w:sz w:val="18"/>
          <w:szCs w:val="18"/>
          <w:lang w:val="en-IE" w:eastAsia="fr-FR"/>
        </w:rPr>
        <w:t>Histopathology and cytopathology can be validated if the results from different operators has been statistically compared.</w:t>
      </w:r>
      <w:r w:rsidRPr="00D403F5">
        <w:rPr>
          <w:rFonts w:ascii="Arial Narrow" w:eastAsia="Times New Roman" w:hAnsi="Arial Narrow" w:cs="Arial"/>
          <w:sz w:val="18"/>
          <w:szCs w:val="18"/>
          <w:vertAlign w:val="superscript"/>
          <w:lang w:eastAsia="fr-FR"/>
        </w:rPr>
        <w:t xml:space="preserve"> 4</w:t>
      </w:r>
      <w:r w:rsidRPr="00D403F5">
        <w:rPr>
          <w:rFonts w:ascii="Arial" w:eastAsia="Times New Roman" w:hAnsi="Arial" w:cs="Arial"/>
          <w:sz w:val="18"/>
          <w:szCs w:val="18"/>
          <w:lang w:val="en-IE" w:eastAsia="fr-FR"/>
        </w:rPr>
        <w:t xml:space="preserve">Sequencing of the PCR product. </w:t>
      </w:r>
      <w:bookmarkStart w:id="91" w:name="_Hlk21098543"/>
      <w:r w:rsidRPr="00D403F5">
        <w:rPr>
          <w:rFonts w:ascii="Arial" w:eastAsia="Times New Roman" w:hAnsi="Arial" w:cs="Arial"/>
          <w:sz w:val="18"/>
          <w:szCs w:val="18"/>
          <w:vertAlign w:val="superscript"/>
          <w:lang w:val="en-IE" w:eastAsia="fr-FR"/>
        </w:rPr>
        <w:t>5</w:t>
      </w:r>
      <w:r w:rsidRPr="00D403F5">
        <w:rPr>
          <w:rFonts w:ascii="Arial" w:eastAsia="Times New Roman" w:hAnsi="Arial" w:cs="Arial"/>
          <w:sz w:val="18"/>
          <w:szCs w:val="18"/>
          <w:lang w:val="en-IE" w:eastAsia="fr-FR"/>
        </w:rPr>
        <w:t>only for identification of cultured pathogen</w:t>
      </w:r>
      <w:bookmarkEnd w:id="91"/>
      <w:r w:rsidRPr="00D403F5">
        <w:rPr>
          <w:rFonts w:ascii="Arial" w:eastAsia="Times New Roman" w:hAnsi="Arial" w:cs="Arial"/>
          <w:sz w:val="18"/>
          <w:szCs w:val="18"/>
          <w:lang w:val="en-IE" w:eastAsia="fr-FR"/>
        </w:rPr>
        <w:t>. Shading indicates the test is inappropriate or should not be used for this purpose.</w:t>
      </w:r>
    </w:p>
    <w:p w14:paraId="1B67B1EA" w14:textId="77777777" w:rsidR="00C7266C" w:rsidRPr="00D403F5" w:rsidRDefault="00C7266C" w:rsidP="00D403F5">
      <w:pPr>
        <w:spacing w:after="0" w:line="240" w:lineRule="auto"/>
        <w:jc w:val="both"/>
        <w:rPr>
          <w:rFonts w:ascii="Arial" w:eastAsia="Times New Roman" w:hAnsi="Arial" w:cs="Arial"/>
          <w:sz w:val="18"/>
          <w:szCs w:val="18"/>
          <w:lang w:val="en-IE" w:bidi="en-US"/>
        </w:rPr>
        <w:sectPr w:rsidR="00C7266C" w:rsidRPr="00D403F5" w:rsidSect="00C7266C">
          <w:headerReference w:type="even" r:id="rId143"/>
          <w:headerReference w:type="default" r:id="rId144"/>
          <w:headerReference w:type="first" r:id="rId145"/>
          <w:footerReference w:type="first" r:id="rId146"/>
          <w:pgSz w:w="16838" w:h="11906" w:orient="landscape" w:code="9"/>
          <w:pgMar w:top="1418" w:right="1418" w:bottom="1418" w:left="1418" w:header="709" w:footer="709" w:gutter="0"/>
          <w:cols w:space="708"/>
          <w:titlePg/>
          <w:docGrid w:linePitch="360"/>
        </w:sectPr>
      </w:pPr>
    </w:p>
    <w:p w14:paraId="74211AB2" w14:textId="77777777" w:rsidR="00C7266C" w:rsidRPr="00D403F5" w:rsidRDefault="00C7266C"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350A23D0"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4.1.</w:t>
      </w:r>
      <w:r w:rsidRPr="00D403F5">
        <w:rPr>
          <w:rFonts w:ascii="Ottawa" w:eastAsia="MS Mincho" w:hAnsi="Ottawa" w:cs="Times New Roman"/>
          <w:b/>
          <w:sz w:val="18"/>
          <w:szCs w:val="18"/>
          <w:lang w:val="da-DK" w:eastAsia="da-DK"/>
        </w:rPr>
        <w:tab/>
        <w:t xml:space="preserve">Wet mounts </w:t>
      </w:r>
    </w:p>
    <w:p w14:paraId="610CB3DC" w14:textId="77777777" w:rsidR="00C7266C" w:rsidRPr="00D403F5" w:rsidRDefault="00C7266C" w:rsidP="00D403F5">
      <w:pPr>
        <w:spacing w:after="0" w:line="240" w:lineRule="auto"/>
        <w:ind w:left="425"/>
        <w:jc w:val="both"/>
        <w:rPr>
          <w:rFonts w:ascii="Arial" w:eastAsia="Times New Roman" w:hAnsi="Arial" w:cs="Arial"/>
          <w:sz w:val="18"/>
          <w:szCs w:val="18"/>
          <w:lang w:val="en-IE" w:eastAsia="fr-FR"/>
        </w:rPr>
      </w:pPr>
      <w:r w:rsidRPr="00D403F5">
        <w:rPr>
          <w:rFonts w:ascii="Arial" w:eastAsia="Times New Roman" w:hAnsi="Arial" w:cs="Arial"/>
          <w:sz w:val="18"/>
          <w:szCs w:val="18"/>
          <w:lang w:val="en-IE" w:eastAsia="fr-FR"/>
        </w:rPr>
        <w:t>Not relevant.</w:t>
      </w:r>
    </w:p>
    <w:p w14:paraId="3F5CDBD5"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4.2.</w:t>
      </w:r>
      <w:r w:rsidRPr="00D403F5">
        <w:rPr>
          <w:rFonts w:ascii="Ottawa" w:eastAsia="MS Mincho" w:hAnsi="Ottawa" w:cs="Times New Roman"/>
          <w:b/>
          <w:sz w:val="18"/>
          <w:szCs w:val="18"/>
          <w:lang w:val="da-DK" w:eastAsia="da-DK"/>
        </w:rPr>
        <w:tab/>
        <w:t>Histopathology and cytopathology</w:t>
      </w:r>
    </w:p>
    <w:p w14:paraId="686A5D35" w14:textId="77777777" w:rsidR="00C7266C" w:rsidRPr="00D403F5" w:rsidRDefault="00C7266C" w:rsidP="00D403F5">
      <w:pPr>
        <w:spacing w:after="0" w:line="240" w:lineRule="auto"/>
        <w:ind w:left="425"/>
        <w:jc w:val="both"/>
        <w:rPr>
          <w:rFonts w:ascii="Arial" w:eastAsia="Times New Roman" w:hAnsi="Arial" w:cs="Arial"/>
          <w:i/>
          <w:sz w:val="18"/>
          <w:szCs w:val="18"/>
        </w:rPr>
      </w:pPr>
      <w:r w:rsidRPr="00D403F5">
        <w:rPr>
          <w:rFonts w:ascii="Arial" w:eastAsia="Times New Roman" w:hAnsi="Arial" w:cs="Arial"/>
          <w:sz w:val="18"/>
          <w:szCs w:val="18"/>
        </w:rPr>
        <w:t xml:space="preserve">The kidney, liver and spleen show extensive focal necrosis and degeneration – cytoplasmic vacuoles, pyknosis, karyolysis, and lymphocytic invasion. While the skeletal muscle does not appear to be a site of infection, erythrocytes can accumulate in the skeletal muscle bundles and fibres without causing damage to the muscle </w:t>
      </w:r>
      <w:r w:rsidRPr="00D403F5">
        <w:rPr>
          <w:rFonts w:ascii="Arial" w:eastAsia="Times New Roman" w:hAnsi="Arial" w:cs="Arial"/>
          <w:i/>
          <w:sz w:val="18"/>
          <w:szCs w:val="18"/>
        </w:rPr>
        <w:t xml:space="preserve">per se </w:t>
      </w:r>
      <w:r w:rsidRPr="00D403F5">
        <w:rPr>
          <w:rFonts w:ascii="Arial" w:eastAsia="Times New Roman" w:hAnsi="Arial" w:cs="Arial"/>
          <w:sz w:val="18"/>
          <w:szCs w:val="18"/>
        </w:rPr>
        <w:t>(Evensen</w:t>
      </w:r>
      <w:r w:rsidRPr="00D403F5">
        <w:rPr>
          <w:rFonts w:ascii="Arial" w:eastAsia="Times New Roman" w:hAnsi="Arial" w:cs="Arial"/>
          <w:i/>
          <w:sz w:val="18"/>
          <w:szCs w:val="18"/>
        </w:rPr>
        <w:t xml:space="preserve"> et al., </w:t>
      </w:r>
      <w:r w:rsidRPr="00D403F5">
        <w:rPr>
          <w:rFonts w:ascii="Arial" w:eastAsia="Times New Roman" w:hAnsi="Arial" w:cs="Arial"/>
          <w:sz w:val="18"/>
          <w:szCs w:val="18"/>
        </w:rPr>
        <w:t>1994)</w:t>
      </w:r>
      <w:r w:rsidRPr="00D403F5">
        <w:rPr>
          <w:rFonts w:ascii="Arial" w:eastAsia="Times New Roman" w:hAnsi="Arial" w:cs="Arial"/>
          <w:i/>
          <w:sz w:val="18"/>
          <w:szCs w:val="18"/>
        </w:rPr>
        <w:t>.</w:t>
      </w:r>
    </w:p>
    <w:p w14:paraId="5386AA7F"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4.3.</w:t>
      </w:r>
      <w:r w:rsidRPr="00D403F5">
        <w:rPr>
          <w:rFonts w:ascii="Ottawa" w:eastAsia="MS Mincho" w:hAnsi="Ottawa" w:cs="Times New Roman"/>
          <w:b/>
          <w:sz w:val="18"/>
          <w:szCs w:val="18"/>
          <w:lang w:val="da-DK" w:eastAsia="da-DK"/>
        </w:rPr>
        <w:tab/>
        <w:t>Cell or artificial media culture for isolation</w:t>
      </w:r>
    </w:p>
    <w:p w14:paraId="7047A7B8" w14:textId="77777777" w:rsidR="00C7266C" w:rsidRPr="00D403F5" w:rsidRDefault="00C7266C" w:rsidP="00D403F5">
      <w:pPr>
        <w:spacing w:after="0" w:line="240" w:lineRule="auto"/>
        <w:ind w:left="425"/>
        <w:jc w:val="both"/>
        <w:rPr>
          <w:rFonts w:ascii="Arial" w:eastAsia="Times New Roman" w:hAnsi="Arial" w:cs="Arial"/>
          <w:sz w:val="18"/>
          <w:szCs w:val="18"/>
          <w:lang w:val="en-IE"/>
        </w:rPr>
      </w:pPr>
      <w:r w:rsidRPr="00D403F5">
        <w:rPr>
          <w:rFonts w:ascii="Arial" w:eastAsia="Times New Roman" w:hAnsi="Arial" w:cs="Arial"/>
          <w:sz w:val="18"/>
          <w:szCs w:val="18"/>
          <w:lang w:val="en-IE"/>
        </w:rPr>
        <w:t xml:space="preserve">The recommended cell lines for VHSV detection are bluegill fry (BF-2), epithelioma papulosum cyprini (EPC) or fathead minnow (FHM). Susceptibility of a cell line to VHSV infection will depend on a range of parameters, including cell-line lineage or viral strain differences. Generally, VHSV isolates belonging to either genotypes I, II, or III culture best on BF-2 (Lorenzen </w:t>
      </w:r>
      <w:r w:rsidRPr="00D403F5">
        <w:rPr>
          <w:rFonts w:ascii="Arial" w:eastAsia="Times New Roman" w:hAnsi="Arial" w:cs="Arial"/>
          <w:i/>
          <w:sz w:val="18"/>
          <w:szCs w:val="18"/>
          <w:lang w:val="en-IE"/>
        </w:rPr>
        <w:t>et al</w:t>
      </w:r>
      <w:r w:rsidRPr="00D403F5">
        <w:rPr>
          <w:rFonts w:ascii="Arial" w:eastAsia="Times New Roman" w:hAnsi="Arial" w:cs="Arial"/>
          <w:sz w:val="18"/>
          <w:szCs w:val="18"/>
          <w:lang w:val="en-IE"/>
        </w:rPr>
        <w:t xml:space="preserve">., 1999), while genotype IV isolates culture best on the EPC cell line (US Department of the Interior, 2007). </w:t>
      </w:r>
    </w:p>
    <w:p w14:paraId="07FA3908"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4.3.1.</w:t>
      </w:r>
      <w:r w:rsidRPr="00D403F5">
        <w:rPr>
          <w:rFonts w:ascii="Ottawa" w:eastAsia="Times New Roman" w:hAnsi="Ottawa" w:cs="Times New Roman"/>
          <w:b/>
          <w:bCs/>
          <w:sz w:val="18"/>
          <w:szCs w:val="18"/>
          <w:lang w:val="en-IE" w:eastAsia="fr-FR"/>
        </w:rPr>
        <w:tab/>
        <w:t>Cell lines</w:t>
      </w:r>
    </w:p>
    <w:p w14:paraId="256A8CB3" w14:textId="77777777" w:rsidR="00C7266C" w:rsidRPr="00D403F5" w:rsidRDefault="00C7266C" w:rsidP="00D403F5">
      <w:pPr>
        <w:spacing w:after="0" w:line="240" w:lineRule="auto"/>
        <w:ind w:left="425"/>
        <w:jc w:val="both"/>
        <w:rPr>
          <w:rFonts w:ascii="Arial" w:eastAsia="Times New Roman" w:hAnsi="Arial" w:cs="Arial"/>
          <w:sz w:val="18"/>
          <w:szCs w:val="18"/>
          <w:lang w:val="en-IE"/>
        </w:rPr>
      </w:pPr>
      <w:r w:rsidRPr="00D403F5">
        <w:rPr>
          <w:rFonts w:ascii="Arial" w:eastAsia="Times New Roman" w:hAnsi="Arial" w:cs="Arial"/>
          <w:sz w:val="18"/>
          <w:szCs w:val="18"/>
          <w:lang w:val="en-IE"/>
        </w:rPr>
        <w:t>Cell lines should be monitored regularly (e.g. every 6 months) to ensure that susceptibility to targeted pathogens has not changed.</w:t>
      </w:r>
    </w:p>
    <w:p w14:paraId="03A469A0" w14:textId="77777777" w:rsidR="00C7266C" w:rsidRPr="00D403F5" w:rsidRDefault="00C7266C" w:rsidP="00D403F5">
      <w:pPr>
        <w:spacing w:after="0" w:line="240" w:lineRule="auto"/>
        <w:ind w:left="425"/>
        <w:jc w:val="both"/>
        <w:rPr>
          <w:rFonts w:ascii="Arial" w:eastAsia="Times New Roman" w:hAnsi="Arial" w:cs="Arial"/>
          <w:sz w:val="18"/>
          <w:szCs w:val="18"/>
          <w:lang w:val="en-IE"/>
        </w:rPr>
      </w:pPr>
      <w:r w:rsidRPr="00D403F5">
        <w:rPr>
          <w:rFonts w:ascii="Arial" w:eastAsia="Times New Roman" w:hAnsi="Arial" w:cs="Arial"/>
          <w:sz w:val="18"/>
          <w:szCs w:val="18"/>
          <w:lang w:val="en-IE"/>
        </w:rPr>
        <w:t>Cells are grown at 20–24°C in a suitable medium, e.g. Eagle’s minimal essential medium (MEM) (or modifications thereof) with a supplement of 10% fetal bovine serum (FBS) and antibiotics in standard concentrations. When the cells are cultivated in closed vials, it is recommended to buffer the medium with bicarbonate. The medium used for cultivation of cells in open units may be buffered with Tris/HCl (23 mM) and Na-bicarbonate (6 mM), or with HEPES-buffered medium (HEPES=N-2-hydroxyethyl-piperazine-N-2-ethanesulphonic acid). The pH must be maintained at 7.6 ± 0.2. Cell cultures to be used for inoculation with tissue material should be young (4–48 hours old) and actively growing (not confluent) at inoculation. Cell susceptibility can be enhanced by reducing the amount of FBS to 2%. Pre-treatment of cells with 7% (w/v) PEG-20,000 solution (10–15 µl/cm</w:t>
      </w:r>
      <w:r w:rsidRPr="00D403F5">
        <w:rPr>
          <w:rFonts w:ascii="Arial" w:eastAsia="Times New Roman" w:hAnsi="Arial" w:cs="Arial"/>
          <w:sz w:val="18"/>
          <w:szCs w:val="18"/>
          <w:vertAlign w:val="superscript"/>
          <w:lang w:val="en-IE"/>
        </w:rPr>
        <w:t>2</w:t>
      </w:r>
      <w:r w:rsidRPr="00D403F5">
        <w:rPr>
          <w:rFonts w:ascii="Arial" w:eastAsia="Times New Roman" w:hAnsi="Arial" w:cs="Arial"/>
          <w:sz w:val="18"/>
          <w:szCs w:val="18"/>
          <w:lang w:val="en-IE"/>
        </w:rPr>
        <w:t>)</w:t>
      </w:r>
      <w:r w:rsidRPr="00D403F5">
        <w:rPr>
          <w:rFonts w:ascii="Arial" w:eastAsia="Calibri" w:hAnsi="Arial" w:cs="Arial"/>
          <w:sz w:val="18"/>
          <w:szCs w:val="18"/>
          <w:lang w:val="en-CA"/>
        </w:rPr>
        <w:t xml:space="preserve"> </w:t>
      </w:r>
      <w:r w:rsidRPr="00D403F5">
        <w:rPr>
          <w:rFonts w:ascii="Arial" w:eastAsia="Times New Roman" w:hAnsi="Arial" w:cs="Arial"/>
          <w:sz w:val="18"/>
          <w:szCs w:val="18"/>
          <w:lang w:val="en-IE"/>
        </w:rPr>
        <w:t xml:space="preserve">15–30 minutes prior to sample inoculation has also been shown to increase detection of VHSV in culture (Batts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w:t>
      </w:r>
      <w:r w:rsidRPr="00D403F5">
        <w:rPr>
          <w:rFonts w:ascii="Arial" w:eastAsia="Times New Roman" w:hAnsi="Arial" w:cs="Arial"/>
          <w:sz w:val="18"/>
          <w:szCs w:val="18"/>
          <w:lang w:val="en-IE"/>
        </w:rPr>
        <w:t>1991).</w:t>
      </w:r>
    </w:p>
    <w:p w14:paraId="5574D440"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4.3.2.</w:t>
      </w:r>
      <w:r w:rsidRPr="00D403F5">
        <w:rPr>
          <w:rFonts w:ascii="Ottawa" w:eastAsia="Times New Roman" w:hAnsi="Ottawa" w:cs="Times New Roman"/>
          <w:b/>
          <w:bCs/>
          <w:sz w:val="18"/>
          <w:szCs w:val="18"/>
          <w:lang w:val="en-IE" w:eastAsia="fr-FR"/>
        </w:rPr>
        <w:tab/>
        <w:t>Sample preparation and inoculation</w:t>
      </w:r>
    </w:p>
    <w:p w14:paraId="7DFF6CC5"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r>
      <w:r w:rsidRPr="00D403F5">
        <w:rPr>
          <w:rFonts w:ascii="Arial" w:eastAsia="MS Mincho" w:hAnsi="Arial" w:cs="Arial"/>
          <w:b/>
          <w:sz w:val="18"/>
          <w:szCs w:val="18"/>
          <w:lang w:val="en-IE"/>
        </w:rPr>
        <w:t>Note:</w:t>
      </w:r>
      <w:r w:rsidRPr="00D403F5">
        <w:rPr>
          <w:rFonts w:ascii="Arial" w:eastAsia="MS Mincho" w:hAnsi="Arial" w:cs="Arial"/>
          <w:sz w:val="18"/>
          <w:szCs w:val="18"/>
          <w:lang w:val="en-IE"/>
        </w:rPr>
        <w:t xml:space="preserve"> Tissue and fluid samples should be kept cool throughout sample preparation procedures. Homogenise tissue samples using mortar and pestle, stomacher, polytron or equivalent. A small volume of media (MEM-4 or HBSS [Hank’s balanced salt solution] + antibiotics) may be needed to achieve complete homogenisation. </w:t>
      </w:r>
    </w:p>
    <w:p w14:paraId="4AFCB362"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Adjust the volume of media to a final ratio of 10:1 (media:tissue) and mix thoroughly. For fluid samples adjust the volume of media to a final ratio of 1:1.</w:t>
      </w:r>
    </w:p>
    <w:p w14:paraId="5B7A8D24"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 xml:space="preserve">Centrifuge the homogenate or fluid samples at 2000–4000 </w:t>
      </w:r>
      <w:r w:rsidRPr="00D403F5">
        <w:rPr>
          <w:rFonts w:ascii="Arial" w:eastAsia="MS Mincho" w:hAnsi="Arial" w:cs="Arial"/>
          <w:b/>
          <w:i/>
          <w:sz w:val="18"/>
          <w:szCs w:val="18"/>
          <w:lang w:val="en-IE"/>
        </w:rPr>
        <w:t>g</w:t>
      </w:r>
      <w:r w:rsidRPr="00D403F5">
        <w:rPr>
          <w:rFonts w:ascii="Arial" w:eastAsia="MS Mincho" w:hAnsi="Arial" w:cs="Arial"/>
          <w:b/>
          <w:sz w:val="18"/>
          <w:szCs w:val="18"/>
          <w:lang w:val="en-IE"/>
        </w:rPr>
        <w:t xml:space="preserve"> </w:t>
      </w:r>
      <w:r w:rsidRPr="00D403F5">
        <w:rPr>
          <w:rFonts w:ascii="Arial" w:eastAsia="MS Mincho" w:hAnsi="Arial" w:cs="Arial"/>
          <w:sz w:val="18"/>
          <w:szCs w:val="18"/>
          <w:lang w:val="en-IE"/>
        </w:rPr>
        <w:t>for 15 minutes at 2–5°C.</w:t>
      </w:r>
    </w:p>
    <w:p w14:paraId="0785966B"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Remove the supernatant and pass through a 0.45 µM membrane filter (if available) or treat for either 4 hours at 15°C or overnight at 4°C with antibiotics, e.g. gentamicin 1 mg ml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w:t>
      </w:r>
    </w:p>
    <w:p w14:paraId="2AE82F69" w14:textId="77777777" w:rsidR="00C7266C" w:rsidRPr="00D403F5" w:rsidRDefault="00C7266C" w:rsidP="00D403F5">
      <w:pPr>
        <w:spacing w:after="0" w:line="240" w:lineRule="auto"/>
        <w:ind w:left="850"/>
        <w:jc w:val="both"/>
        <w:rPr>
          <w:rFonts w:ascii="Arial" w:eastAsia="Times New Roman" w:hAnsi="Arial" w:cs="Times New Roman"/>
          <w:bCs/>
          <w:sz w:val="18"/>
          <w:szCs w:val="18"/>
          <w:lang w:val="en-IE" w:bidi="en-US"/>
        </w:rPr>
      </w:pPr>
      <w:r w:rsidRPr="00D403F5">
        <w:rPr>
          <w:rFonts w:ascii="Arial" w:eastAsia="Times New Roman" w:hAnsi="Arial" w:cs="Arial"/>
          <w:bCs/>
          <w:sz w:val="18"/>
          <w:szCs w:val="18"/>
          <w:lang w:val="en-IE" w:bidi="en-US"/>
        </w:rPr>
        <w:t xml:space="preserve">If the sample cannot be inoculated within 48 hours after collection, the supernatant may be stored at </w:t>
      </w:r>
      <w:r w:rsidRPr="00D403F5">
        <w:rPr>
          <w:rFonts w:ascii="Arial" w:eastAsia="Times New Roman" w:hAnsi="Arial" w:cs="Arial"/>
          <w:bCs/>
          <w:sz w:val="18"/>
          <w:szCs w:val="18"/>
          <w:lang w:val="en-IE" w:bidi="en-US"/>
        </w:rPr>
        <w:br/>
        <w:t>–80°C provided virological examination is carried out within 14 days.</w:t>
      </w:r>
    </w:p>
    <w:p w14:paraId="286F8CE3"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If samples originate from an area where infectious pancreatic necrosis virus (IPNV) is present, supernatants may be treated with IPNV antiserum. Mix the supernatant with equal parts of a suitably diluted pool of antisera to the indigenous serotypes of IPNV and incubate for a minimum of one hour at 15°C or up to 18 hours at 4°C. The titre of the antiserum must be at least 1/2000 in a 50% plaque neutralisation test.</w:t>
      </w:r>
    </w:p>
    <w:p w14:paraId="5A7CADB7" w14:textId="77777777" w:rsidR="00C7266C" w:rsidRPr="00D403F5" w:rsidRDefault="00C7266C" w:rsidP="00D403F5">
      <w:pPr>
        <w:spacing w:after="0"/>
        <w:rPr>
          <w:rFonts w:ascii="Arial" w:eastAsia="Times New Roman" w:hAnsi="Arial" w:cs="Times New Roman"/>
          <w:bCs/>
          <w:sz w:val="18"/>
          <w:szCs w:val="18"/>
          <w:lang w:val="en-IE" w:bidi="en-US"/>
        </w:rPr>
      </w:pPr>
      <w:r w:rsidRPr="00D403F5">
        <w:rPr>
          <w:rFonts w:ascii="Times New Roman" w:eastAsia="Times New Roman" w:hAnsi="Times New Roman" w:cs="Times New Roman"/>
          <w:sz w:val="18"/>
          <w:szCs w:val="18"/>
        </w:rPr>
        <w:br w:type="page"/>
      </w:r>
    </w:p>
    <w:p w14:paraId="7C2129BB" w14:textId="77777777" w:rsidR="00C7266C" w:rsidRPr="00D403F5" w:rsidRDefault="00C7266C"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1F4AEC7D" w14:textId="77777777" w:rsidR="00C7266C" w:rsidRPr="00D403F5" w:rsidRDefault="00C7266C" w:rsidP="00D403F5">
      <w:pPr>
        <w:spacing w:after="0" w:line="240" w:lineRule="auto"/>
        <w:ind w:left="850"/>
        <w:jc w:val="both"/>
        <w:rPr>
          <w:rFonts w:ascii="Arial" w:eastAsia="Times New Roman" w:hAnsi="Arial" w:cs="Times New Roman"/>
          <w:bCs/>
          <w:sz w:val="18"/>
          <w:szCs w:val="18"/>
          <w:lang w:val="en-IE" w:bidi="en-US"/>
        </w:rPr>
      </w:pPr>
      <w:r w:rsidRPr="00D403F5">
        <w:rPr>
          <w:rFonts w:ascii="Arial" w:eastAsia="Times New Roman" w:hAnsi="Arial" w:cs="Times New Roman"/>
          <w:bCs/>
          <w:sz w:val="18"/>
          <w:szCs w:val="18"/>
          <w:lang w:val="en-IE" w:bidi="en-US"/>
        </w:rPr>
        <w:t>Treatment of all inocula with antiserum to IPNV (a virus that in some parts of Europe occurs in 50% of fish samples) aims at preventing cytopathic effect (CPE) caused by IPNV from developing in inoculated cell cultures. This will reduce the duration of the virological examination as well as the number of cases in which occurrence of CPE would have to be considered potentially indicative of VHSV. When samples come from production units that are considered free from infection with IPNV, treatment of inocula with antiserum to IPNV may be omitted.</w:t>
      </w:r>
    </w:p>
    <w:p w14:paraId="185F2D23"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Samples are inoculated into cell cultures in at least two dilutions, i.e. the primary dilution and a 1:10 dilution thereof, resulting in final dilutions of tissue material in cell culture medium of 1:100 and 1:1000, respectively. The ratio between inoculum size and volume of cell culture medium should be about 1:10. For each dilution and each cell line, a minimum of about 2 cm</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cell area, corresponding to one well in a 24-well cell culture tray, has to be used. Use of cell culture trays is recommended, but other units of similar or with larger growth area are also acceptable.</w:t>
      </w:r>
    </w:p>
    <w:p w14:paraId="16535443"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Inoculated cell cultures are incubated at 15°C for 7–10 days. Using a microscope with 40–150× magnification, cultures should be inspected for toxicity the day after inoculation, particularly if supernatant was not filtered in step iv. The use of a phase-contrast microscope is recommended.</w:t>
      </w:r>
    </w:p>
    <w:p w14:paraId="15D438D4"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Monitor the cells regularly (2–3 times a week) for the presence of CPE.</w:t>
      </w:r>
    </w:p>
    <w:p w14:paraId="0994D01F" w14:textId="77777777" w:rsidR="00C7266C" w:rsidRPr="00D403F5" w:rsidRDefault="00C7266C" w:rsidP="00D403F5">
      <w:pPr>
        <w:spacing w:after="0" w:line="240" w:lineRule="auto"/>
        <w:ind w:left="425"/>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If CPE is observed, virus identification is required using tests recommended in Section 6. If no CPE is observed after the primary incubation period, subcultivation is performed.</w:t>
      </w:r>
    </w:p>
    <w:p w14:paraId="2D00E418" w14:textId="77777777" w:rsidR="00C7266C" w:rsidRPr="00D403F5" w:rsidRDefault="00C7266C" w:rsidP="00D403F5">
      <w:pPr>
        <w:spacing w:after="0" w:line="240" w:lineRule="auto"/>
        <w:ind w:left="992" w:hanging="567"/>
        <w:jc w:val="both"/>
        <w:rPr>
          <w:rFonts w:ascii="Ottawa" w:eastAsia="Times New Roman" w:hAnsi="Ottawa" w:cs="Times New Roman"/>
          <w:bCs/>
          <w:i/>
          <w:sz w:val="18"/>
          <w:szCs w:val="18"/>
          <w:lang w:val="en-IE" w:eastAsia="fr-FR"/>
        </w:rPr>
      </w:pPr>
      <w:r w:rsidRPr="00D403F5">
        <w:rPr>
          <w:rFonts w:ascii="Ottawa" w:eastAsia="Times New Roman" w:hAnsi="Ottawa" w:cs="Times New Roman"/>
          <w:bCs/>
          <w:i/>
          <w:sz w:val="18"/>
          <w:szCs w:val="18"/>
          <w:lang w:val="en-IE" w:eastAsia="fr-FR"/>
        </w:rPr>
        <w:t>Subcultivation</w:t>
      </w:r>
    </w:p>
    <w:p w14:paraId="163B345A"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Remove cell culture supernatant from the primary culture and inoculate a newly (&lt;48 hours) seeded cell culture plate.</w:t>
      </w:r>
    </w:p>
    <w:p w14:paraId="78542D0B" w14:textId="77777777" w:rsidR="00C7266C" w:rsidRPr="00D403F5" w:rsidRDefault="00C7266C" w:rsidP="00D403F5">
      <w:pPr>
        <w:spacing w:after="0" w:line="240" w:lineRule="auto"/>
        <w:ind w:left="850"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Incubate inoculated plates at 15°C and monitor for 7–10 days as described above.</w:t>
      </w:r>
    </w:p>
    <w:p w14:paraId="505102B8" w14:textId="77777777" w:rsidR="00C7266C" w:rsidRPr="00D403F5" w:rsidRDefault="00C7266C" w:rsidP="00D403F5">
      <w:pPr>
        <w:spacing w:after="0" w:line="240" w:lineRule="auto"/>
        <w:ind w:left="425"/>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If CPE is observed, virus identification is required using tests recommended in Section 6. If no CPE is observed after the primary incubation period or subcultivation, the sample is negative.</w:t>
      </w:r>
    </w:p>
    <w:p w14:paraId="4EE2331F"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4.4.</w:t>
      </w:r>
      <w:r w:rsidRPr="00D403F5">
        <w:rPr>
          <w:rFonts w:ascii="Ottawa" w:eastAsia="MS Mincho" w:hAnsi="Ottawa" w:cs="Times New Roman"/>
          <w:b/>
          <w:sz w:val="18"/>
          <w:szCs w:val="18"/>
          <w:lang w:val="da-DK" w:eastAsia="da-DK"/>
        </w:rPr>
        <w:tab/>
        <w:t xml:space="preserve">Nucleic acid amplification </w:t>
      </w:r>
    </w:p>
    <w:p w14:paraId="56D003C7" w14:textId="77777777" w:rsidR="00C7266C" w:rsidRPr="00D403F5" w:rsidRDefault="00C7266C" w:rsidP="00D403F5">
      <w:pPr>
        <w:spacing w:after="0"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 xml:space="preserve">Use of molecular tests (RT-PCR and real-time RT-PCR) is common because of their rapidity, sensitivity and specificity. Real-time RT-PCR tests are generally more sensitive than conventional RT-PCR tests. These tests for virus detection and identification during the acute stage of disease has been justified for a number of years. At the acute stage, the sensitivity of some RT-PCR (Kim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2018) and real-time RT-PCR tests (Garver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2011; Jonstrup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2013) is comparable to detection by cell culture and subsequent identification. The molecular methods described in this chapter are all targeting the Nucleoprotein gene, as it is the highest transcribed gene in the VHSV genome (Chico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2006). </w:t>
      </w:r>
    </w:p>
    <w:p w14:paraId="052DC921" w14:textId="77777777" w:rsidR="00C7266C" w:rsidRPr="00D403F5" w:rsidRDefault="00C7266C" w:rsidP="00D403F5">
      <w:pPr>
        <w:spacing w:after="0"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 xml:space="preserve">Recently, a novel one-step RT-PCR test was developed and validated (Kim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2018) to be used instead of the previously recommended conventional RT-PCR for detecting VHSV. This novel assay has a higher sensitivity detecting all VHSV genotypes, and outperforms the old method, particularly in detecting genotype IV. </w:t>
      </w:r>
    </w:p>
    <w:p w14:paraId="4889B6AD" w14:textId="77777777" w:rsidR="00C7266C" w:rsidRPr="00D403F5" w:rsidRDefault="00C7266C" w:rsidP="00D403F5">
      <w:pPr>
        <w:spacing w:after="0"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 xml:space="preserve">For detecting VHSV with real-time RT-PCR, the one-step method of Jonstrup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(2013) has been stage 3 validated, showing a sensitivity similar to detection by cell culture. This method, having high analytical and diagnostic sensitivity and specificity, has been shown to be highly robust across laboratories (Jonstrup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2013; Warg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2014a; 2014b).</w:t>
      </w:r>
    </w:p>
    <w:p w14:paraId="6631F3D2" w14:textId="77777777" w:rsidR="00C7266C" w:rsidRPr="00D403F5" w:rsidRDefault="00C7266C" w:rsidP="00D403F5">
      <w:pPr>
        <w:spacing w:after="0"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The following controls should be run with each assay: negative extraction control; positive control; no template control; internal PCR control.</w:t>
      </w:r>
    </w:p>
    <w:p w14:paraId="2563AB7D"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4.4.1.</w:t>
      </w:r>
      <w:r w:rsidRPr="00D403F5">
        <w:rPr>
          <w:rFonts w:ascii="Ottawa" w:eastAsia="Times New Roman" w:hAnsi="Ottawa" w:cs="Times New Roman"/>
          <w:b/>
          <w:bCs/>
          <w:sz w:val="18"/>
          <w:szCs w:val="18"/>
          <w:lang w:val="en-IE" w:eastAsia="fr-FR"/>
        </w:rPr>
        <w:tab/>
        <w:t>Real-time RT-PCR</w:t>
      </w:r>
    </w:p>
    <w:p w14:paraId="7BB698F9"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Total RNA can be purified from: aliquots of cell culture medium from infected monolayer cells; or tissue/organs homogenised in MEM specified in Section 4.3.1, tissue samples in RNA stabilising reagent, fresh or frozen tissue samples, ovarian fluid. </w:t>
      </w:r>
    </w:p>
    <w:p w14:paraId="27177C00"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In the case of culture medium from infected monolayer cells, or in tissue homogenised in MEM, aliquots should be centrifuged at 1000 </w:t>
      </w:r>
      <w:r w:rsidRPr="00D403F5">
        <w:rPr>
          <w:rFonts w:ascii="Arial" w:eastAsia="Times New Roman" w:hAnsi="Arial" w:cs="Arial"/>
          <w:b/>
          <w:bCs/>
          <w:i/>
          <w:sz w:val="18"/>
          <w:szCs w:val="18"/>
          <w:lang w:val="en-IE"/>
        </w:rPr>
        <w:t>g</w:t>
      </w:r>
      <w:r w:rsidRPr="00D403F5">
        <w:rPr>
          <w:rFonts w:ascii="Arial" w:eastAsia="Times New Roman" w:hAnsi="Arial" w:cs="Arial"/>
          <w:bCs/>
          <w:sz w:val="18"/>
          <w:szCs w:val="18"/>
          <w:lang w:val="en-IE"/>
        </w:rPr>
        <w:t xml:space="preserve"> for 5 minutes to remove cell debris. </w:t>
      </w:r>
    </w:p>
    <w:p w14:paraId="32FADF7D" w14:textId="77777777" w:rsidR="00A63C15" w:rsidRDefault="00A63C15" w:rsidP="00D403F5">
      <w:pPr>
        <w:spacing w:after="0" w:line="240" w:lineRule="auto"/>
        <w:jc w:val="right"/>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4AFCC2EC" w14:textId="455397FF" w:rsidR="00C7266C" w:rsidRPr="00D403F5" w:rsidRDefault="00C7266C"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5DCEB70B" w14:textId="77777777" w:rsidR="00C7266C" w:rsidRPr="00D403F5" w:rsidRDefault="00C7266C" w:rsidP="00D403F5">
      <w:pPr>
        <w:spacing w:after="0" w:line="240" w:lineRule="auto"/>
        <w:ind w:left="900"/>
        <w:jc w:val="both"/>
        <w:rPr>
          <w:rFonts w:ascii="Arial" w:eastAsia="Times New Roman" w:hAnsi="Arial" w:cs="Arial"/>
          <w:sz w:val="18"/>
          <w:szCs w:val="18"/>
          <w:lang w:val="en-IE"/>
        </w:rPr>
      </w:pPr>
      <w:r w:rsidRPr="00D403F5">
        <w:rPr>
          <w:rFonts w:ascii="Arial" w:eastAsia="Times New Roman" w:hAnsi="Arial" w:cs="Arial"/>
          <w:sz w:val="18"/>
          <w:szCs w:val="18"/>
          <w:lang w:val="en-IE"/>
        </w:rPr>
        <w:t xml:space="preserve">One-step (Jonstrup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w:t>
      </w:r>
      <w:r w:rsidRPr="00D403F5">
        <w:rPr>
          <w:rFonts w:ascii="Arial" w:eastAsia="Times New Roman" w:hAnsi="Arial" w:cs="Arial"/>
          <w:sz w:val="18"/>
          <w:szCs w:val="18"/>
          <w:lang w:val="en-IE"/>
        </w:rPr>
        <w:t xml:space="preserve">2013) and two-step (Garver </w:t>
      </w:r>
      <w:r w:rsidRPr="00D403F5">
        <w:rPr>
          <w:rFonts w:ascii="Arial" w:eastAsia="Times New Roman" w:hAnsi="Arial" w:cs="Times New Roman"/>
          <w:i/>
          <w:sz w:val="18"/>
          <w:szCs w:val="18"/>
          <w:lang w:val="en-IE"/>
        </w:rPr>
        <w:t>et al.,</w:t>
      </w:r>
      <w:r w:rsidRPr="00D403F5">
        <w:rPr>
          <w:rFonts w:ascii="Arial" w:eastAsia="Times New Roman" w:hAnsi="Arial" w:cs="Times New Roman"/>
          <w:sz w:val="18"/>
          <w:szCs w:val="18"/>
          <w:lang w:val="en-IE"/>
        </w:rPr>
        <w:t xml:space="preserve"> </w:t>
      </w:r>
      <w:r w:rsidRPr="00D403F5">
        <w:rPr>
          <w:rFonts w:ascii="Arial" w:eastAsia="Times New Roman" w:hAnsi="Arial" w:cs="Arial"/>
          <w:sz w:val="18"/>
          <w:szCs w:val="18"/>
          <w:lang w:val="en-IE"/>
        </w:rPr>
        <w:t xml:space="preserve">2011) real-time RT-PCR assays targeting the nucleoprotein gene of VHSV have been stage 3 validated and are described herein. </w:t>
      </w:r>
    </w:p>
    <w:p w14:paraId="5E50FCA2" w14:textId="77777777" w:rsidR="00C7266C" w:rsidRPr="00D403F5" w:rsidRDefault="00C7266C" w:rsidP="00D403F5">
      <w:pPr>
        <w:spacing w:after="0" w:line="240" w:lineRule="auto"/>
        <w:ind w:left="900"/>
        <w:jc w:val="both"/>
        <w:rPr>
          <w:rFonts w:ascii="Arial" w:eastAsia="Times New Roman" w:hAnsi="Arial" w:cs="Arial"/>
          <w:sz w:val="18"/>
          <w:szCs w:val="18"/>
          <w:lang w:val="en-IE"/>
        </w:rPr>
      </w:pPr>
      <w:r w:rsidRPr="00D403F5">
        <w:rPr>
          <w:rFonts w:ascii="Arial" w:eastAsia="Times New Roman" w:hAnsi="Arial" w:cs="Arial"/>
          <w:sz w:val="18"/>
          <w:szCs w:val="18"/>
          <w:lang w:val="en-IE"/>
        </w:rPr>
        <w:t>Positive and negative controls should be included with each stage of the assay: extraction, reverse-transcription (two-step assay only) and real-time PCR. An internal (endogenous) PCR control can be included however given the large number of fish species susceptible to infection with VHSV, the selection of an internal control is not trivial. If an endogenous control is to be used, primers and probes have to be designed, optimised and validated for each fish species to be tested.</w:t>
      </w:r>
    </w:p>
    <w:p w14:paraId="63F8B24F" w14:textId="77777777" w:rsidR="00C7266C" w:rsidRPr="00D403F5" w:rsidRDefault="00C7266C" w:rsidP="00D403F5">
      <w:pPr>
        <w:spacing w:after="0" w:line="240" w:lineRule="auto"/>
        <w:ind w:left="992"/>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Total RNA from infected cells and/or tissues is extracted using a phase-separation method (e.g. phenol-chloroform or Trizol) or by use of a commercially-available RNA isolation kit used according to the manufacturer’s instructions.</w:t>
      </w:r>
    </w:p>
    <w:p w14:paraId="56DD6A46" w14:textId="77777777" w:rsidR="00C7266C" w:rsidRPr="00D403F5" w:rsidRDefault="00C7266C" w:rsidP="00D403F5">
      <w:pPr>
        <w:keepNext/>
        <w:keepLines/>
        <w:tabs>
          <w:tab w:val="num" w:pos="360"/>
        </w:tabs>
        <w:spacing w:after="0" w:line="240" w:lineRule="auto"/>
        <w:ind w:left="993"/>
        <w:outlineLvl w:val="3"/>
        <w:rPr>
          <w:rFonts w:ascii="Ottawa" w:eastAsia="Times New Roman" w:hAnsi="Ottawa" w:cs="Times New Roman"/>
          <w:bCs/>
          <w:i/>
          <w:iCs/>
          <w:sz w:val="18"/>
          <w:szCs w:val="18"/>
          <w:lang w:val="en-IE"/>
        </w:rPr>
      </w:pPr>
      <w:r w:rsidRPr="00D403F5">
        <w:rPr>
          <w:rFonts w:ascii="Ottawa" w:eastAsia="Times New Roman" w:hAnsi="Ottawa" w:cs="Times New Roman"/>
          <w:bCs/>
          <w:i/>
          <w:iCs/>
          <w:sz w:val="18"/>
          <w:szCs w:val="18"/>
          <w:lang w:val="en-IE"/>
        </w:rPr>
        <w:t>One-step real-time RT-PCR</w:t>
      </w:r>
    </w:p>
    <w:p w14:paraId="0742D6A6" w14:textId="77777777" w:rsidR="00C7266C" w:rsidRPr="00D403F5" w:rsidRDefault="00C7266C" w:rsidP="00D403F5">
      <w:pPr>
        <w:spacing w:after="0" w:line="240" w:lineRule="auto"/>
        <w:ind w:left="992"/>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In one-step RT-PCR gene-specific primers are used both to generate a cDNA transcript and for real-time PCR. Both reactions occur in the same tube, which minimises the probability of contamination.</w:t>
      </w:r>
      <w:r w:rsidRPr="00D403F5">
        <w:rPr>
          <w:rFonts w:ascii="Arial" w:eastAsia="Times New Roman" w:hAnsi="Arial" w:cs="Times New Roman"/>
          <w:bCs/>
          <w:sz w:val="18"/>
          <w:szCs w:val="18"/>
          <w:u w:val="double"/>
          <w:lang w:val="en-IE" w:eastAsia="fr-FR"/>
        </w:rPr>
        <w:t xml:space="preserve"> </w:t>
      </w:r>
      <w:r w:rsidRPr="00D403F5">
        <w:rPr>
          <w:rFonts w:ascii="Arial" w:eastAsia="Times New Roman" w:hAnsi="Arial" w:cs="Times New Roman"/>
          <w:bCs/>
          <w:sz w:val="18"/>
          <w:szCs w:val="18"/>
          <w:lang w:val="en-IE" w:eastAsia="fr-FR"/>
        </w:rPr>
        <w:t xml:space="preserve">The one-step real-time RT-PCR amplification can be performed using forward primer 5’-AAA-CTC-GCA-GGA-TGT-GTG-CGT-CC-3’, reverse primer: 5’-TCT-GCG-ATC-TCA-GTC-AGG-ATG-AA-3’, and FAM-labelled probe: 6’-FAM-TAG-AGG-GCC-TTG-GTG-ATC-TTC-TG-BHQ1. Primers are used at a final concentration of 900 nM and the final probe concentration is 250 nM. 5 µl of extracted RNA (50 ng–2 ug) is added to each 25 µl PCR reaction. The assay was validated using Quantitect Probe RT-PCR kit (Qiagen, Germany) following the manufacturer’s instructions and is recommended as other one-step kits have demonstrated reduced sensitivity (Jonstrup </w:t>
      </w:r>
      <w:r w:rsidRPr="00D403F5">
        <w:rPr>
          <w:rFonts w:ascii="Arial" w:eastAsia="Times New Roman" w:hAnsi="Arial" w:cs="Times New Roman"/>
          <w:bCs/>
          <w:i/>
          <w:sz w:val="18"/>
          <w:szCs w:val="18"/>
          <w:lang w:val="en-IE" w:eastAsia="fr-FR"/>
        </w:rPr>
        <w:t>et al.,</w:t>
      </w:r>
      <w:r w:rsidRPr="00D403F5">
        <w:rPr>
          <w:rFonts w:ascii="Arial" w:eastAsia="Times New Roman" w:hAnsi="Arial" w:cs="Times New Roman"/>
          <w:bCs/>
          <w:sz w:val="18"/>
          <w:szCs w:val="18"/>
          <w:lang w:val="en-IE" w:eastAsia="fr-FR"/>
        </w:rPr>
        <w:t xml:space="preserve"> 2013). Thermal cycling conditions are 50°C for 30 minutes, 95°C for 15 minutes, 40 cycles of 94°C for 15 seconds, 60°C for 40 seconds, 72°C for 20 seconds. </w:t>
      </w:r>
    </w:p>
    <w:p w14:paraId="2A316244" w14:textId="77777777" w:rsidR="00C7266C" w:rsidRPr="00D403F5" w:rsidRDefault="00C7266C" w:rsidP="00D403F5">
      <w:pPr>
        <w:keepNext/>
        <w:keepLines/>
        <w:tabs>
          <w:tab w:val="num" w:pos="360"/>
        </w:tabs>
        <w:spacing w:after="0" w:line="240" w:lineRule="auto"/>
        <w:ind w:left="993"/>
        <w:outlineLvl w:val="3"/>
        <w:rPr>
          <w:rFonts w:ascii="Ottawa" w:eastAsia="Times New Roman" w:hAnsi="Ottawa" w:cs="Times New Roman"/>
          <w:bCs/>
          <w:i/>
          <w:iCs/>
          <w:sz w:val="18"/>
          <w:szCs w:val="18"/>
          <w:lang w:val="en-IE"/>
        </w:rPr>
      </w:pPr>
      <w:r w:rsidRPr="00D403F5">
        <w:rPr>
          <w:rFonts w:ascii="Ottawa" w:eastAsia="Times New Roman" w:hAnsi="Ottawa" w:cs="Times New Roman"/>
          <w:bCs/>
          <w:i/>
          <w:iCs/>
          <w:sz w:val="18"/>
          <w:szCs w:val="18"/>
          <w:lang w:val="en-IE"/>
        </w:rPr>
        <w:t>Two-step real-time RT-PCR</w:t>
      </w:r>
    </w:p>
    <w:p w14:paraId="43939AE0" w14:textId="77777777" w:rsidR="00C7266C" w:rsidRPr="00D403F5" w:rsidRDefault="00C7266C" w:rsidP="00D403F5">
      <w:pPr>
        <w:spacing w:after="0" w:line="240" w:lineRule="auto"/>
        <w:ind w:left="1417" w:hanging="425"/>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w:t>
      </w:r>
      <w:r w:rsidRPr="00D403F5">
        <w:rPr>
          <w:rFonts w:ascii="Arial" w:eastAsia="Times New Roman" w:hAnsi="Arial" w:cs="Times New Roman"/>
          <w:bCs/>
          <w:sz w:val="18"/>
          <w:szCs w:val="18"/>
          <w:lang w:val="en-IE" w:eastAsia="fr-FR"/>
        </w:rPr>
        <w:tab/>
        <w:t>Step 1: Reverse-transcription</w:t>
      </w:r>
    </w:p>
    <w:p w14:paraId="10A96ADB" w14:textId="77777777" w:rsidR="00C7266C" w:rsidRPr="00D403F5" w:rsidRDefault="00C7266C" w:rsidP="00D403F5">
      <w:pPr>
        <w:spacing w:after="0" w:line="240" w:lineRule="auto"/>
        <w:ind w:left="1418"/>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Extracted</w:t>
      </w:r>
      <w:r w:rsidRPr="00D403F5">
        <w:rPr>
          <w:rFonts w:ascii="Arial" w:eastAsia="Times New Roman" w:hAnsi="Arial" w:cs="Times New Roman"/>
          <w:bCs/>
          <w:sz w:val="18"/>
          <w:szCs w:val="18"/>
          <w:lang w:val="en-IE" w:eastAsia="zh-CN"/>
        </w:rPr>
        <w:t xml:space="preserve"> </w:t>
      </w:r>
      <w:r w:rsidRPr="00D403F5">
        <w:rPr>
          <w:rFonts w:ascii="Arial" w:eastAsia="Times New Roman" w:hAnsi="Arial" w:cs="Times New Roman"/>
          <w:bCs/>
          <w:sz w:val="18"/>
          <w:szCs w:val="18"/>
          <w:lang w:val="en-IE"/>
        </w:rPr>
        <w:t>RNA is reverse transcribed non-discriminately into cDNA using random primers.</w:t>
      </w:r>
      <w:r w:rsidRPr="00D403F5">
        <w:rPr>
          <w:rFonts w:ascii="Arial" w:eastAsia="Times New Roman" w:hAnsi="Arial" w:cs="Times New Roman"/>
          <w:bCs/>
          <w:sz w:val="18"/>
          <w:szCs w:val="18"/>
          <w:lang w:val="en-IE" w:eastAsia="zh-CN"/>
        </w:rPr>
        <w:t xml:space="preserve"> </w:t>
      </w:r>
      <w:r w:rsidRPr="00D403F5">
        <w:rPr>
          <w:rFonts w:ascii="Arial" w:eastAsia="Times New Roman" w:hAnsi="Arial" w:cs="Times New Roman"/>
          <w:bCs/>
          <w:sz w:val="18"/>
          <w:szCs w:val="18"/>
          <w:lang w:val="en-IE"/>
        </w:rPr>
        <w:t>The cDNA synthesis reactions and cycling conditions are best performed using</w:t>
      </w:r>
      <w:r w:rsidRPr="00D403F5">
        <w:rPr>
          <w:rFonts w:ascii="Arial" w:eastAsia="Times New Roman" w:hAnsi="Arial" w:cs="Times New Roman"/>
          <w:bCs/>
          <w:sz w:val="18"/>
          <w:szCs w:val="18"/>
          <w:lang w:val="en-IE" w:eastAsia="zh-CN"/>
        </w:rPr>
        <w:t xml:space="preserve"> </w:t>
      </w:r>
      <w:r w:rsidRPr="00D403F5">
        <w:rPr>
          <w:rFonts w:ascii="Arial" w:eastAsia="Times New Roman" w:hAnsi="Arial" w:cs="Times New Roman"/>
          <w:bCs/>
          <w:sz w:val="18"/>
          <w:szCs w:val="18"/>
          <w:lang w:val="en-IE"/>
        </w:rPr>
        <w:t>manufacturer’s instructions for commercially available kits which have been extensively tested with a variety of RNA templates, including GC- and AU-rich targets and RNAse expressed at low levels.</w:t>
      </w:r>
    </w:p>
    <w:p w14:paraId="4E75011D" w14:textId="77777777" w:rsidR="00C7266C" w:rsidRPr="00D403F5" w:rsidRDefault="00C7266C" w:rsidP="00D403F5">
      <w:pPr>
        <w:spacing w:after="0" w:line="240" w:lineRule="auto"/>
        <w:ind w:left="1417" w:hanging="425"/>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ii)</w:t>
      </w:r>
      <w:r w:rsidRPr="00D403F5">
        <w:rPr>
          <w:rFonts w:ascii="Arial" w:eastAsia="Times New Roman" w:hAnsi="Arial" w:cs="Times New Roman"/>
          <w:bCs/>
          <w:sz w:val="18"/>
          <w:szCs w:val="18"/>
          <w:lang w:val="en-IE" w:eastAsia="fr-FR"/>
        </w:rPr>
        <w:tab/>
        <w:t xml:space="preserve">Step 2: Real-time PCR </w:t>
      </w:r>
    </w:p>
    <w:p w14:paraId="79B8A028" w14:textId="77777777" w:rsidR="00C7266C" w:rsidRPr="00D403F5" w:rsidRDefault="00C7266C" w:rsidP="00D403F5">
      <w:pPr>
        <w:spacing w:after="0" w:line="240" w:lineRule="auto"/>
        <w:ind w:left="1418"/>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TaqMan real-time PCR assay uses forward primer 5’-ATG-AGG-CAG-GTG-TCG-GAG-G-3’, reverse primer 5’-TGT-AGT-AGG-ACT-CTC-CCA-GCA-TCC and FAM-labelled probe 5’-6FAM-TAC-GCC-ATC-ATG-ATG-AGT-MGBNFQ-3’. Primers are used at a final concentration of 600 nM, and the final concentration of the probe is 200 nM. 2.5 µl of cDNA product is added to each 25 µl PCR reaction. Thermal cycling conditions are 50°C for 2 minutes, 95°C for 10 minutes followed by 40 cycles of 95°C for 15 seconds and 60°C for 1 minute.</w:t>
      </w:r>
    </w:p>
    <w:p w14:paraId="3AE50A94" w14:textId="77777777" w:rsidR="00C7266C" w:rsidRPr="00D403F5" w:rsidRDefault="00C7266C" w:rsidP="00D403F5">
      <w:pPr>
        <w:spacing w:after="0" w:line="240" w:lineRule="auto"/>
        <w:ind w:left="992"/>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 xml:space="preserve">A sample is negative if no Ct (threshold cycle) is recorded, while samples with a Ct are considered positive for VHSV. Cut-off value depends on the set-up in each laboratory, but is usually set at Ct </w:t>
      </w:r>
      <w:r w:rsidRPr="00D403F5">
        <w:rPr>
          <w:rFonts w:ascii="Arial" w:eastAsia="Times New Roman" w:hAnsi="Arial" w:cs="Arial"/>
          <w:bCs/>
          <w:sz w:val="18"/>
          <w:szCs w:val="18"/>
          <w:lang w:val="en-IE" w:eastAsia="fr-FR"/>
        </w:rPr>
        <w:t>≥ 40</w:t>
      </w:r>
      <w:r w:rsidRPr="00D403F5">
        <w:rPr>
          <w:rFonts w:ascii="Arial" w:eastAsia="Times New Roman" w:hAnsi="Arial" w:cs="Times New Roman"/>
          <w:bCs/>
          <w:sz w:val="18"/>
          <w:szCs w:val="18"/>
          <w:lang w:val="en-IE" w:eastAsia="fr-FR"/>
        </w:rPr>
        <w:t>).</w:t>
      </w:r>
    </w:p>
    <w:p w14:paraId="7FD3A6C1"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4.4.2.</w:t>
      </w:r>
      <w:r w:rsidRPr="00D403F5">
        <w:rPr>
          <w:rFonts w:ascii="Ottawa" w:eastAsia="Times New Roman" w:hAnsi="Ottawa" w:cs="Times New Roman"/>
          <w:b/>
          <w:bCs/>
          <w:sz w:val="18"/>
          <w:szCs w:val="18"/>
          <w:lang w:eastAsia="fr-FR"/>
        </w:rPr>
        <w:tab/>
        <w:t>Conventional PCR (PCR)</w:t>
      </w:r>
    </w:p>
    <w:p w14:paraId="75B135E4"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RNA isolation is done as in Section 4.4.1.</w:t>
      </w:r>
    </w:p>
    <w:p w14:paraId="2A6D6EBB" w14:textId="77777777" w:rsidR="00C7266C" w:rsidRPr="00D403F5" w:rsidRDefault="00C7266C" w:rsidP="00D403F5">
      <w:pPr>
        <w:spacing w:after="0" w:line="240" w:lineRule="auto"/>
        <w:ind w:left="851"/>
        <w:jc w:val="both"/>
        <w:rPr>
          <w:rFonts w:ascii="Arial" w:eastAsia="Times New Roman" w:hAnsi="Arial" w:cs="Arial"/>
          <w:bCs/>
          <w:sz w:val="18"/>
          <w:szCs w:val="18"/>
          <w:lang w:val="en-IE"/>
        </w:rPr>
      </w:pPr>
      <w:r w:rsidRPr="00D403F5">
        <w:rPr>
          <w:rFonts w:ascii="Arial" w:eastAsia="Times New Roman" w:hAnsi="Arial" w:cs="Arial"/>
          <w:bCs/>
          <w:sz w:val="18"/>
          <w:szCs w:val="18"/>
          <w:lang w:val="en-IE"/>
        </w:rPr>
        <w:t xml:space="preserve">A one-step RT-PCR should be performed as described by Kim </w:t>
      </w:r>
      <w:r w:rsidRPr="00D403F5">
        <w:rPr>
          <w:rFonts w:ascii="Arial" w:eastAsia="Times New Roman" w:hAnsi="Arial" w:cs="Arial"/>
          <w:bCs/>
          <w:i/>
          <w:sz w:val="18"/>
          <w:szCs w:val="18"/>
          <w:lang w:val="en-IE"/>
        </w:rPr>
        <w:t>et al.</w:t>
      </w:r>
      <w:r w:rsidRPr="00D403F5">
        <w:rPr>
          <w:rFonts w:ascii="Arial" w:eastAsia="Times New Roman" w:hAnsi="Arial" w:cs="Arial"/>
          <w:bCs/>
          <w:sz w:val="18"/>
          <w:szCs w:val="18"/>
          <w:lang w:val="en-IE"/>
        </w:rPr>
        <w:t xml:space="preserve"> (2018) with 3F2R primer set: forward primers (3F, 5’-(GGG-ACA-GGA-ATG-ACC-ATG-AT-3’) and reverse primer (2R, (5’-TCT-GTC-ACC-TTG-ATC–CCC-TCC-AG-3’) targeting a 319 nt region in the nucleoprotein gene (positions 658–977).</w:t>
      </w:r>
    </w:p>
    <w:p w14:paraId="433DBBFF"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RT-PCR can be performed using, e.g. Qiagen OneStep RT-PCR System (Qiagen, Germany) or similar kit, according to the manufacturer’s instructions. Briefly, the reaction mixture is adjusted to a final volume of 25 µl including 5 µl of extracted viral RNA, 5 µl 5 × One Step RT-PCR Buffer containing 12.5 mM MgCl</w:t>
      </w:r>
      <w:r w:rsidRPr="00D403F5">
        <w:rPr>
          <w:rFonts w:ascii="Arial" w:eastAsia="Times New Roman" w:hAnsi="Arial" w:cs="Times New Roman"/>
          <w:bCs/>
          <w:sz w:val="18"/>
          <w:szCs w:val="18"/>
          <w:vertAlign w:val="subscript"/>
          <w:lang w:val="en-IE"/>
        </w:rPr>
        <w:t>2</w:t>
      </w:r>
      <w:r w:rsidRPr="00D403F5">
        <w:rPr>
          <w:rFonts w:ascii="Arial" w:eastAsia="Times New Roman" w:hAnsi="Arial" w:cs="Times New Roman"/>
          <w:bCs/>
          <w:sz w:val="18"/>
          <w:szCs w:val="18"/>
          <w:lang w:val="en-IE"/>
        </w:rPr>
        <w:t xml:space="preserve"> (final concentration 2.5 mM), 10 pM of each primer, and 1 µl of enzyme mix. </w:t>
      </w:r>
    </w:p>
    <w:p w14:paraId="546410B7" w14:textId="77777777" w:rsidR="00A63C15" w:rsidRDefault="00A63C15" w:rsidP="00D403F5">
      <w:pPr>
        <w:spacing w:after="0" w:line="240" w:lineRule="auto"/>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32620B17" w14:textId="27110E73" w:rsidR="00C7266C" w:rsidRPr="00D403F5" w:rsidRDefault="00C7266C"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765048F2"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following cycles are recommended: 50°C for 30 minutes, 95°C for 15 minutes, 35 cycles at 94°C for 30 seconds, 60°C for 30 seconds, and 68°C for 60 seconds. Subsequently, the reaction is held at 68°C for 7 minutes.</w:t>
      </w:r>
    </w:p>
    <w:p w14:paraId="010B52B8"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4.4.3.</w:t>
      </w:r>
      <w:r w:rsidRPr="00D403F5">
        <w:rPr>
          <w:rFonts w:ascii="Ottawa" w:eastAsia="Times New Roman" w:hAnsi="Ottawa" w:cs="Times New Roman"/>
          <w:b/>
          <w:bCs/>
          <w:sz w:val="18"/>
          <w:szCs w:val="18"/>
          <w:lang w:val="en-IE" w:eastAsia="fr-FR"/>
        </w:rPr>
        <w:tab/>
        <w:t>Other nucleic acid amplification methods</w:t>
      </w:r>
    </w:p>
    <w:p w14:paraId="2A71186A"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Arial"/>
          <w:bCs/>
          <w:sz w:val="18"/>
          <w:szCs w:val="18"/>
          <w:lang w:val="en-IE"/>
        </w:rPr>
        <w:t>To date, no other nucleic acid amplification method capable of universal VHSV detection has been sufficiently validated.</w:t>
      </w:r>
    </w:p>
    <w:p w14:paraId="4FC25D7F"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4.5.</w:t>
      </w:r>
      <w:r w:rsidRPr="00D403F5">
        <w:rPr>
          <w:rFonts w:ascii="Ottawa" w:eastAsia="MS Mincho" w:hAnsi="Ottawa" w:cs="Times New Roman"/>
          <w:b/>
          <w:sz w:val="18"/>
          <w:szCs w:val="18"/>
          <w:lang w:val="da-DK" w:eastAsia="da-DK"/>
        </w:rPr>
        <w:tab/>
        <w:t>Amplicon sequencing</w:t>
      </w:r>
    </w:p>
    <w:p w14:paraId="6E899EF2" w14:textId="77777777" w:rsidR="00C7266C" w:rsidRPr="00D403F5" w:rsidRDefault="00C7266C" w:rsidP="00D403F5">
      <w:pPr>
        <w:spacing w:after="0" w:line="240" w:lineRule="auto"/>
        <w:ind w:left="425"/>
        <w:jc w:val="both"/>
        <w:rPr>
          <w:rFonts w:ascii="Arial" w:eastAsia="Times New Roman" w:hAnsi="Arial" w:cs="Times New Roman"/>
          <w:sz w:val="18"/>
          <w:szCs w:val="18"/>
          <w:lang w:val="en-IE"/>
        </w:rPr>
      </w:pPr>
      <w:r w:rsidRPr="00D403F5">
        <w:rPr>
          <w:rFonts w:ascii="Arial" w:eastAsia="Times New Roman" w:hAnsi="Arial" w:cs="Arial"/>
          <w:sz w:val="18"/>
          <w:szCs w:val="18"/>
          <w:lang w:val="en-IE"/>
        </w:rPr>
        <w:t xml:space="preserve">Nucleotide sequencing of the glycoprotein gene is commonly used for identification of genetic strains and for epidemiological study and is recommended as one of the final steps for confirmatory diagnosis. There are several conventional PCR assays available that amplify the central (669 nt) or full (1524 nt) glycoprotein gene coding sequence, but there are limited validation data. The glycoprotein gene can be amplified by conventional PCR using the primer sets and concentrations listed in Table 4.2. </w:t>
      </w:r>
      <w:r w:rsidRPr="00D403F5">
        <w:rPr>
          <w:rFonts w:ascii="Arial" w:eastAsia="Times New Roman" w:hAnsi="Arial" w:cs="Times New Roman"/>
          <w:sz w:val="18"/>
          <w:szCs w:val="18"/>
          <w:lang w:val="en-IE"/>
        </w:rPr>
        <w:t>The reverse transcription and subsequent PCR amplification can be done using a kit designed for that purpose according to manufacturing instructions.</w:t>
      </w:r>
    </w:p>
    <w:p w14:paraId="30A3AF4A" w14:textId="77777777" w:rsidR="00C7266C" w:rsidRPr="00D403F5" w:rsidRDefault="00C7266C" w:rsidP="00D403F5">
      <w:pPr>
        <w:spacing w:after="0" w:line="240" w:lineRule="auto"/>
        <w:ind w:left="425"/>
        <w:jc w:val="center"/>
        <w:rPr>
          <w:rFonts w:ascii="Ottawa" w:eastAsia="Times New Roman" w:hAnsi="Ottawa" w:cs="Arial"/>
          <w:i/>
          <w:sz w:val="18"/>
          <w:szCs w:val="18"/>
          <w:lang w:val="en-IE"/>
        </w:rPr>
      </w:pPr>
      <w:r w:rsidRPr="00D403F5">
        <w:rPr>
          <w:rFonts w:ascii="Ottawa" w:eastAsia="Times New Roman" w:hAnsi="Ottawa" w:cs="Arial"/>
          <w:b/>
          <w:i/>
          <w:sz w:val="18"/>
          <w:szCs w:val="18"/>
          <w:lang w:val="en-IE"/>
        </w:rPr>
        <w:t>Table 4.2.</w:t>
      </w:r>
      <w:r w:rsidRPr="00D403F5">
        <w:rPr>
          <w:rFonts w:ascii="Ottawa" w:eastAsia="Times New Roman" w:hAnsi="Ottawa" w:cs="Arial"/>
          <w:i/>
          <w:sz w:val="18"/>
          <w:szCs w:val="18"/>
          <w:lang w:val="en-IE"/>
        </w:rPr>
        <w:t xml:space="preserve"> Primer sets for the conventional PCR</w:t>
      </w:r>
    </w:p>
    <w:tbl>
      <w:tblPr>
        <w:tblStyle w:val="Grilledutableau9"/>
        <w:tblW w:w="8750" w:type="dxa"/>
        <w:tblInd w:w="425" w:type="dxa"/>
        <w:tblLook w:val="04A0" w:firstRow="1" w:lastRow="0" w:firstColumn="1" w:lastColumn="0" w:noHBand="0" w:noVBand="1"/>
      </w:tblPr>
      <w:tblGrid>
        <w:gridCol w:w="817"/>
        <w:gridCol w:w="3343"/>
        <w:gridCol w:w="1530"/>
        <w:gridCol w:w="1440"/>
        <w:gridCol w:w="1620"/>
      </w:tblGrid>
      <w:tr w:rsidR="00C7266C" w:rsidRPr="00D403F5" w14:paraId="5C34CFD5" w14:textId="77777777" w:rsidTr="00C7266C">
        <w:trPr>
          <w:tblHeader/>
        </w:trPr>
        <w:tc>
          <w:tcPr>
            <w:tcW w:w="0" w:type="auto"/>
            <w:vAlign w:val="center"/>
          </w:tcPr>
          <w:p w14:paraId="128869A6" w14:textId="77777777" w:rsidR="00C7266C" w:rsidRPr="00D403F5" w:rsidRDefault="00C7266C" w:rsidP="00D403F5">
            <w:pPr>
              <w:rPr>
                <w:rFonts w:ascii="Arial" w:hAnsi="Arial" w:cs="Arial"/>
                <w:b/>
                <w:sz w:val="18"/>
                <w:szCs w:val="18"/>
                <w:lang w:val="en-IE" w:eastAsia="en-US"/>
              </w:rPr>
            </w:pPr>
            <w:r w:rsidRPr="00D403F5">
              <w:rPr>
                <w:rFonts w:ascii="Arial" w:hAnsi="Arial" w:cs="Arial"/>
                <w:b/>
                <w:sz w:val="18"/>
                <w:szCs w:val="18"/>
                <w:lang w:val="en-IE" w:eastAsia="en-US"/>
              </w:rPr>
              <w:t>Primer</w:t>
            </w:r>
          </w:p>
        </w:tc>
        <w:tc>
          <w:tcPr>
            <w:tcW w:w="3343" w:type="dxa"/>
            <w:vAlign w:val="center"/>
          </w:tcPr>
          <w:p w14:paraId="1649CEE3" w14:textId="77777777" w:rsidR="00C7266C" w:rsidRPr="00D403F5" w:rsidRDefault="00C7266C" w:rsidP="00D403F5">
            <w:pPr>
              <w:rPr>
                <w:rFonts w:ascii="Arial" w:hAnsi="Arial" w:cs="Arial"/>
                <w:b/>
                <w:sz w:val="18"/>
                <w:szCs w:val="18"/>
                <w:lang w:val="en-IE" w:eastAsia="en-US"/>
              </w:rPr>
            </w:pPr>
            <w:r w:rsidRPr="00D403F5">
              <w:rPr>
                <w:rFonts w:ascii="Arial" w:hAnsi="Arial" w:cs="Arial"/>
                <w:b/>
                <w:sz w:val="18"/>
                <w:szCs w:val="18"/>
                <w:lang w:val="en-IE" w:eastAsia="en-US"/>
              </w:rPr>
              <w:t>Sequence (5’–3’)</w:t>
            </w:r>
          </w:p>
        </w:tc>
        <w:tc>
          <w:tcPr>
            <w:tcW w:w="1530" w:type="dxa"/>
            <w:vAlign w:val="center"/>
          </w:tcPr>
          <w:p w14:paraId="28929C2E" w14:textId="77777777" w:rsidR="00C7266C" w:rsidRPr="00D403F5" w:rsidRDefault="00C7266C" w:rsidP="00D403F5">
            <w:pPr>
              <w:rPr>
                <w:rFonts w:ascii="Arial" w:hAnsi="Arial" w:cs="Arial"/>
                <w:b/>
                <w:sz w:val="18"/>
                <w:szCs w:val="18"/>
                <w:lang w:val="en-IE" w:eastAsia="en-US"/>
              </w:rPr>
            </w:pPr>
            <w:r w:rsidRPr="00D403F5">
              <w:rPr>
                <w:rFonts w:ascii="Arial" w:hAnsi="Arial" w:cs="Arial"/>
                <w:b/>
                <w:sz w:val="18"/>
                <w:szCs w:val="18"/>
                <w:lang w:val="en-IE" w:eastAsia="en-US"/>
              </w:rPr>
              <w:t>Product size (bp)</w:t>
            </w:r>
          </w:p>
        </w:tc>
        <w:tc>
          <w:tcPr>
            <w:tcW w:w="1440" w:type="dxa"/>
            <w:vAlign w:val="center"/>
          </w:tcPr>
          <w:p w14:paraId="1B7E4FA7" w14:textId="77777777" w:rsidR="00C7266C" w:rsidRPr="00D403F5" w:rsidRDefault="00C7266C" w:rsidP="00D403F5">
            <w:pPr>
              <w:rPr>
                <w:rFonts w:ascii="Arial" w:hAnsi="Arial" w:cs="Arial"/>
                <w:b/>
                <w:sz w:val="18"/>
                <w:szCs w:val="18"/>
                <w:lang w:val="en-IE" w:eastAsia="en-US"/>
              </w:rPr>
            </w:pPr>
            <w:r w:rsidRPr="00D403F5">
              <w:rPr>
                <w:rFonts w:ascii="Arial" w:hAnsi="Arial" w:cs="Arial"/>
                <w:b/>
                <w:sz w:val="18"/>
                <w:szCs w:val="18"/>
                <w:lang w:val="en-IE" w:eastAsia="en-US"/>
              </w:rPr>
              <w:t>Final primer concentration</w:t>
            </w:r>
          </w:p>
        </w:tc>
        <w:tc>
          <w:tcPr>
            <w:tcW w:w="1620" w:type="dxa"/>
            <w:vAlign w:val="center"/>
          </w:tcPr>
          <w:p w14:paraId="57C28352" w14:textId="77777777" w:rsidR="00C7266C" w:rsidRPr="00D403F5" w:rsidRDefault="00C7266C" w:rsidP="00D403F5">
            <w:pPr>
              <w:rPr>
                <w:rFonts w:ascii="Arial" w:hAnsi="Arial" w:cs="Arial"/>
                <w:b/>
                <w:sz w:val="18"/>
                <w:szCs w:val="18"/>
                <w:lang w:val="en-IE" w:eastAsia="en-US"/>
              </w:rPr>
            </w:pPr>
            <w:r w:rsidRPr="00D403F5">
              <w:rPr>
                <w:rFonts w:ascii="Arial" w:hAnsi="Arial" w:cs="Arial"/>
                <w:b/>
                <w:sz w:val="18"/>
                <w:szCs w:val="18"/>
                <w:lang w:val="en-IE" w:eastAsia="en-US"/>
              </w:rPr>
              <w:t>Reference</w:t>
            </w:r>
          </w:p>
        </w:tc>
      </w:tr>
      <w:tr w:rsidR="00C7266C" w:rsidRPr="00D403F5" w14:paraId="4477E792" w14:textId="77777777" w:rsidTr="00C7266C">
        <w:tc>
          <w:tcPr>
            <w:tcW w:w="0" w:type="auto"/>
            <w:vAlign w:val="center"/>
          </w:tcPr>
          <w:p w14:paraId="7115FF8F"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GB+</w:t>
            </w:r>
          </w:p>
        </w:tc>
        <w:tc>
          <w:tcPr>
            <w:tcW w:w="3343" w:type="dxa"/>
            <w:vAlign w:val="center"/>
          </w:tcPr>
          <w:p w14:paraId="73FA0157" w14:textId="77777777" w:rsidR="00C7266C" w:rsidRPr="00D403F5" w:rsidRDefault="00C7266C" w:rsidP="00D403F5">
            <w:pPr>
              <w:rPr>
                <w:rFonts w:ascii="Arial" w:hAnsi="Arial" w:cs="Arial"/>
                <w:sz w:val="18"/>
                <w:szCs w:val="18"/>
                <w:lang w:val="es-ES" w:eastAsia="en-US"/>
              </w:rPr>
            </w:pPr>
            <w:r w:rsidRPr="00D403F5">
              <w:rPr>
                <w:rFonts w:ascii="Arial" w:hAnsi="Arial"/>
                <w:sz w:val="18"/>
                <w:szCs w:val="18"/>
                <w:lang w:val="es-ES" w:eastAsia="en-US"/>
              </w:rPr>
              <w:t>GTC-GAA-GAA-GAG-ATA-GGC</w:t>
            </w:r>
          </w:p>
        </w:tc>
        <w:tc>
          <w:tcPr>
            <w:tcW w:w="1530" w:type="dxa"/>
            <w:vMerge w:val="restart"/>
            <w:vAlign w:val="center"/>
          </w:tcPr>
          <w:p w14:paraId="59125220"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1757</w:t>
            </w:r>
          </w:p>
        </w:tc>
        <w:tc>
          <w:tcPr>
            <w:tcW w:w="1440" w:type="dxa"/>
            <w:vAlign w:val="center"/>
          </w:tcPr>
          <w:p w14:paraId="2EE588A4"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0.6 µM</w:t>
            </w:r>
          </w:p>
        </w:tc>
        <w:tc>
          <w:tcPr>
            <w:tcW w:w="1620" w:type="dxa"/>
            <w:vMerge w:val="restart"/>
            <w:vAlign w:val="center"/>
          </w:tcPr>
          <w:p w14:paraId="36B7CE73" w14:textId="77777777" w:rsidR="00C7266C" w:rsidRPr="00D403F5" w:rsidRDefault="00C7266C" w:rsidP="00D403F5">
            <w:pPr>
              <w:rPr>
                <w:rFonts w:ascii="Arial" w:hAnsi="Arial" w:cs="Arial"/>
                <w:sz w:val="18"/>
                <w:szCs w:val="18"/>
                <w:lang w:val="fr-FR" w:eastAsia="en-US"/>
              </w:rPr>
            </w:pPr>
            <w:r w:rsidRPr="00D403F5">
              <w:rPr>
                <w:rFonts w:ascii="Arial" w:hAnsi="Arial" w:cs="Arial"/>
                <w:sz w:val="18"/>
                <w:szCs w:val="18"/>
                <w:lang w:val="fr-FR" w:eastAsia="en-US"/>
              </w:rPr>
              <w:t xml:space="preserve">Einer-Jensen </w:t>
            </w:r>
            <w:r w:rsidRPr="00D403F5">
              <w:rPr>
                <w:rFonts w:ascii="Arial" w:hAnsi="Arial" w:cs="Arial"/>
                <w:sz w:val="18"/>
                <w:szCs w:val="18"/>
                <w:lang w:val="fr-FR" w:eastAsia="en-US"/>
              </w:rPr>
              <w:br/>
            </w:r>
            <w:r w:rsidRPr="00D403F5">
              <w:rPr>
                <w:rFonts w:ascii="Arial" w:hAnsi="Arial" w:cs="Arial"/>
                <w:i/>
                <w:sz w:val="18"/>
                <w:szCs w:val="18"/>
                <w:lang w:val="fr-FR" w:eastAsia="en-US"/>
              </w:rPr>
              <w:t>et al.,</w:t>
            </w:r>
            <w:r w:rsidRPr="00D403F5">
              <w:rPr>
                <w:rFonts w:ascii="Arial" w:hAnsi="Arial" w:cs="Arial"/>
                <w:sz w:val="18"/>
                <w:szCs w:val="18"/>
                <w:lang w:val="fr-FR" w:eastAsia="en-US"/>
              </w:rPr>
              <w:t xml:space="preserve"> 2004</w:t>
            </w:r>
            <w:r w:rsidRPr="00D403F5">
              <w:rPr>
                <w:rFonts w:ascii="Arial" w:hAnsi="Arial" w:cs="Arial"/>
                <w:sz w:val="18"/>
                <w:szCs w:val="18"/>
                <w:lang w:val="fr-FR" w:eastAsia="en-US"/>
              </w:rPr>
              <w:br/>
              <w:t xml:space="preserve">Gudmundsdottir </w:t>
            </w:r>
            <w:r w:rsidRPr="00D403F5">
              <w:rPr>
                <w:rFonts w:ascii="Arial" w:hAnsi="Arial" w:cs="Arial"/>
                <w:i/>
                <w:sz w:val="18"/>
                <w:szCs w:val="18"/>
                <w:lang w:val="fr-FR" w:eastAsia="en-US"/>
              </w:rPr>
              <w:t>et al.,</w:t>
            </w:r>
            <w:r w:rsidRPr="00D403F5">
              <w:rPr>
                <w:rFonts w:ascii="Arial" w:hAnsi="Arial" w:cs="Arial"/>
                <w:sz w:val="18"/>
                <w:szCs w:val="18"/>
                <w:lang w:val="fr-FR" w:eastAsia="en-US"/>
              </w:rPr>
              <w:t xml:space="preserve"> 2019</w:t>
            </w:r>
          </w:p>
        </w:tc>
      </w:tr>
      <w:tr w:rsidR="00C7266C" w:rsidRPr="00D403F5" w14:paraId="25AEE256" w14:textId="77777777" w:rsidTr="00C7266C">
        <w:tc>
          <w:tcPr>
            <w:tcW w:w="0" w:type="auto"/>
            <w:vAlign w:val="center"/>
          </w:tcPr>
          <w:p w14:paraId="46FBA50E"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GB-</w:t>
            </w:r>
          </w:p>
        </w:tc>
        <w:tc>
          <w:tcPr>
            <w:tcW w:w="3343" w:type="dxa"/>
            <w:vAlign w:val="center"/>
          </w:tcPr>
          <w:p w14:paraId="3EF7DBD5" w14:textId="77777777" w:rsidR="00C7266C" w:rsidRPr="00D403F5" w:rsidRDefault="00C7266C" w:rsidP="00D403F5">
            <w:pPr>
              <w:rPr>
                <w:rFonts w:ascii="Arial" w:hAnsi="Arial" w:cs="Arial"/>
                <w:sz w:val="18"/>
                <w:szCs w:val="18"/>
                <w:lang w:val="fr-FR" w:eastAsia="en-US"/>
              </w:rPr>
            </w:pPr>
            <w:r w:rsidRPr="00D403F5">
              <w:rPr>
                <w:rFonts w:ascii="Arial" w:hAnsi="Arial"/>
                <w:sz w:val="18"/>
                <w:szCs w:val="18"/>
                <w:lang w:val="fr-FR" w:eastAsia="en-US"/>
              </w:rPr>
              <w:t>GTT-GGG-TCG-CCA-TGT-TTC-T</w:t>
            </w:r>
          </w:p>
        </w:tc>
        <w:tc>
          <w:tcPr>
            <w:tcW w:w="1530" w:type="dxa"/>
            <w:vMerge/>
            <w:vAlign w:val="center"/>
          </w:tcPr>
          <w:p w14:paraId="45B95ABD" w14:textId="77777777" w:rsidR="00C7266C" w:rsidRPr="00D403F5" w:rsidRDefault="00C7266C" w:rsidP="00D403F5">
            <w:pPr>
              <w:rPr>
                <w:rFonts w:ascii="Arial" w:hAnsi="Arial" w:cs="Arial"/>
                <w:sz w:val="18"/>
                <w:szCs w:val="18"/>
                <w:lang w:val="fr-FR" w:eastAsia="en-US"/>
              </w:rPr>
            </w:pPr>
          </w:p>
        </w:tc>
        <w:tc>
          <w:tcPr>
            <w:tcW w:w="1440" w:type="dxa"/>
            <w:vAlign w:val="center"/>
          </w:tcPr>
          <w:p w14:paraId="72DACEC3"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0.6 µM</w:t>
            </w:r>
          </w:p>
        </w:tc>
        <w:tc>
          <w:tcPr>
            <w:tcW w:w="1620" w:type="dxa"/>
            <w:vMerge/>
            <w:vAlign w:val="center"/>
          </w:tcPr>
          <w:p w14:paraId="4F3B0154" w14:textId="77777777" w:rsidR="00C7266C" w:rsidRPr="00D403F5" w:rsidRDefault="00C7266C" w:rsidP="00D403F5">
            <w:pPr>
              <w:rPr>
                <w:rFonts w:ascii="Arial" w:hAnsi="Arial" w:cs="Arial"/>
                <w:sz w:val="18"/>
                <w:szCs w:val="18"/>
                <w:lang w:val="en-IE" w:eastAsia="en-US"/>
              </w:rPr>
            </w:pPr>
          </w:p>
        </w:tc>
      </w:tr>
      <w:tr w:rsidR="00C7266C" w:rsidRPr="00D403F5" w14:paraId="33B83162" w14:textId="77777777" w:rsidTr="00C7266C">
        <w:tc>
          <w:tcPr>
            <w:tcW w:w="0" w:type="auto"/>
            <w:vAlign w:val="center"/>
          </w:tcPr>
          <w:p w14:paraId="412DC985"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G330+</w:t>
            </w:r>
          </w:p>
        </w:tc>
        <w:tc>
          <w:tcPr>
            <w:tcW w:w="3343" w:type="dxa"/>
            <w:vAlign w:val="center"/>
          </w:tcPr>
          <w:p w14:paraId="1498C9B6"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ACT-ACC-TAC-ACA-GAG-TGA-C</w:t>
            </w:r>
          </w:p>
        </w:tc>
        <w:tc>
          <w:tcPr>
            <w:tcW w:w="1530" w:type="dxa"/>
            <w:vMerge w:val="restart"/>
            <w:vAlign w:val="center"/>
          </w:tcPr>
          <w:p w14:paraId="447F0F27"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914</w:t>
            </w:r>
          </w:p>
        </w:tc>
        <w:tc>
          <w:tcPr>
            <w:tcW w:w="1440" w:type="dxa"/>
            <w:vAlign w:val="center"/>
          </w:tcPr>
          <w:p w14:paraId="5975224F"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0.2 µM</w:t>
            </w:r>
          </w:p>
        </w:tc>
        <w:tc>
          <w:tcPr>
            <w:tcW w:w="1620" w:type="dxa"/>
            <w:vMerge w:val="restart"/>
            <w:vAlign w:val="center"/>
          </w:tcPr>
          <w:p w14:paraId="7DB2140D"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 xml:space="preserve">Garver </w:t>
            </w:r>
            <w:r w:rsidRPr="00D403F5">
              <w:rPr>
                <w:rFonts w:ascii="Arial" w:hAnsi="Arial" w:cs="Arial"/>
                <w:i/>
                <w:sz w:val="18"/>
                <w:szCs w:val="18"/>
                <w:lang w:val="en-IE" w:eastAsia="en-US"/>
              </w:rPr>
              <w:t>et al</w:t>
            </w:r>
            <w:r w:rsidRPr="00D403F5">
              <w:rPr>
                <w:rFonts w:ascii="Arial" w:hAnsi="Arial" w:cs="Arial"/>
                <w:sz w:val="18"/>
                <w:szCs w:val="18"/>
                <w:lang w:val="en-IE" w:eastAsia="en-US"/>
              </w:rPr>
              <w:t>., 2013</w:t>
            </w:r>
          </w:p>
        </w:tc>
      </w:tr>
      <w:tr w:rsidR="00C7266C" w:rsidRPr="00D403F5" w14:paraId="7EF8ACDD" w14:textId="77777777" w:rsidTr="00C7266C">
        <w:tc>
          <w:tcPr>
            <w:tcW w:w="0" w:type="auto"/>
            <w:vAlign w:val="center"/>
          </w:tcPr>
          <w:p w14:paraId="3C4B3D6A"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G1243-</w:t>
            </w:r>
          </w:p>
        </w:tc>
        <w:tc>
          <w:tcPr>
            <w:tcW w:w="3343" w:type="dxa"/>
            <w:vAlign w:val="center"/>
          </w:tcPr>
          <w:p w14:paraId="2D7FE9EB" w14:textId="77777777" w:rsidR="00C7266C" w:rsidRPr="00D403F5" w:rsidRDefault="00C7266C" w:rsidP="00D403F5">
            <w:pPr>
              <w:rPr>
                <w:rFonts w:ascii="Arial" w:hAnsi="Arial" w:cs="Arial"/>
                <w:sz w:val="18"/>
                <w:szCs w:val="18"/>
                <w:lang w:val="fr-FR" w:eastAsia="en-US"/>
              </w:rPr>
            </w:pPr>
            <w:r w:rsidRPr="00D403F5">
              <w:rPr>
                <w:rFonts w:ascii="Arial" w:hAnsi="Arial" w:cs="Arial"/>
                <w:sz w:val="18"/>
                <w:szCs w:val="18"/>
                <w:lang w:val="fr-FR" w:eastAsia="en-US"/>
              </w:rPr>
              <w:t>CAA-TTT-GTC-CCC-GAA-TAT-CAT</w:t>
            </w:r>
          </w:p>
        </w:tc>
        <w:tc>
          <w:tcPr>
            <w:tcW w:w="1530" w:type="dxa"/>
            <w:vMerge/>
            <w:vAlign w:val="center"/>
          </w:tcPr>
          <w:p w14:paraId="1F3DB11E" w14:textId="77777777" w:rsidR="00C7266C" w:rsidRPr="00D403F5" w:rsidRDefault="00C7266C" w:rsidP="00D403F5">
            <w:pPr>
              <w:rPr>
                <w:rFonts w:ascii="Arial" w:hAnsi="Arial" w:cs="Arial"/>
                <w:sz w:val="18"/>
                <w:szCs w:val="18"/>
                <w:lang w:val="fr-FR" w:eastAsia="en-US"/>
              </w:rPr>
            </w:pPr>
          </w:p>
        </w:tc>
        <w:tc>
          <w:tcPr>
            <w:tcW w:w="1440" w:type="dxa"/>
            <w:vAlign w:val="center"/>
          </w:tcPr>
          <w:p w14:paraId="1CC09016" w14:textId="77777777" w:rsidR="00C7266C" w:rsidRPr="00D403F5" w:rsidRDefault="00C7266C" w:rsidP="00D403F5">
            <w:pPr>
              <w:rPr>
                <w:rFonts w:ascii="Arial" w:hAnsi="Arial" w:cs="Arial"/>
                <w:sz w:val="18"/>
                <w:szCs w:val="18"/>
                <w:lang w:eastAsia="en-US"/>
              </w:rPr>
            </w:pPr>
            <w:r w:rsidRPr="00D403F5">
              <w:rPr>
                <w:rFonts w:ascii="Arial" w:hAnsi="Arial" w:cs="Arial"/>
                <w:sz w:val="18"/>
                <w:szCs w:val="18"/>
                <w:lang w:val="en-IE" w:eastAsia="en-US"/>
              </w:rPr>
              <w:t>0.2 µM</w:t>
            </w:r>
          </w:p>
        </w:tc>
        <w:tc>
          <w:tcPr>
            <w:tcW w:w="1620" w:type="dxa"/>
            <w:vMerge/>
          </w:tcPr>
          <w:p w14:paraId="22645AB6" w14:textId="77777777" w:rsidR="00C7266C" w:rsidRPr="00D403F5" w:rsidRDefault="00C7266C" w:rsidP="00D403F5">
            <w:pPr>
              <w:rPr>
                <w:rFonts w:ascii="Arial" w:hAnsi="Arial" w:cs="Arial"/>
                <w:sz w:val="18"/>
                <w:szCs w:val="18"/>
                <w:lang w:eastAsia="en-US"/>
              </w:rPr>
            </w:pPr>
          </w:p>
        </w:tc>
      </w:tr>
      <w:tr w:rsidR="00C7266C" w:rsidRPr="00D403F5" w14:paraId="1680E416" w14:textId="77777777" w:rsidTr="00C7266C">
        <w:tc>
          <w:tcPr>
            <w:tcW w:w="0" w:type="auto"/>
            <w:vAlign w:val="center"/>
          </w:tcPr>
          <w:p w14:paraId="250C95B2"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G422+</w:t>
            </w:r>
          </w:p>
        </w:tc>
        <w:tc>
          <w:tcPr>
            <w:tcW w:w="3343" w:type="dxa"/>
            <w:vAlign w:val="center"/>
          </w:tcPr>
          <w:p w14:paraId="6ED7876E"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TCC-CGT-CAA-GAG-GCC-AC</w:t>
            </w:r>
          </w:p>
        </w:tc>
        <w:tc>
          <w:tcPr>
            <w:tcW w:w="1530" w:type="dxa"/>
            <w:vMerge w:val="restart"/>
            <w:vAlign w:val="center"/>
          </w:tcPr>
          <w:p w14:paraId="5D7388E3" w14:textId="77777777" w:rsidR="00C7266C" w:rsidRPr="00D403F5" w:rsidRDefault="00C7266C" w:rsidP="00D403F5">
            <w:pPr>
              <w:rPr>
                <w:rFonts w:ascii="Arial" w:hAnsi="Arial" w:cs="Arial"/>
                <w:sz w:val="18"/>
                <w:szCs w:val="18"/>
                <w:lang w:eastAsia="en-US"/>
              </w:rPr>
            </w:pPr>
            <w:r w:rsidRPr="00D403F5">
              <w:rPr>
                <w:rFonts w:ascii="Arial" w:hAnsi="Arial" w:cs="Arial"/>
                <w:sz w:val="18"/>
                <w:szCs w:val="18"/>
                <w:lang w:eastAsia="en-US"/>
              </w:rPr>
              <w:t>669</w:t>
            </w:r>
          </w:p>
        </w:tc>
        <w:tc>
          <w:tcPr>
            <w:tcW w:w="1440" w:type="dxa"/>
            <w:vAlign w:val="center"/>
          </w:tcPr>
          <w:p w14:paraId="345744F5" w14:textId="77777777" w:rsidR="00C7266C" w:rsidRPr="00D403F5" w:rsidRDefault="00C7266C" w:rsidP="00D403F5">
            <w:pPr>
              <w:rPr>
                <w:rFonts w:ascii="Arial" w:hAnsi="Arial" w:cs="Arial"/>
                <w:sz w:val="18"/>
                <w:szCs w:val="18"/>
                <w:lang w:eastAsia="en-US"/>
              </w:rPr>
            </w:pPr>
            <w:r w:rsidRPr="00D403F5">
              <w:rPr>
                <w:rFonts w:ascii="Arial" w:hAnsi="Arial" w:cs="Arial"/>
                <w:sz w:val="18"/>
                <w:szCs w:val="18"/>
                <w:lang w:val="en-IE" w:eastAsia="en-US"/>
              </w:rPr>
              <w:t>0.2 µM</w:t>
            </w:r>
          </w:p>
        </w:tc>
        <w:tc>
          <w:tcPr>
            <w:tcW w:w="1620" w:type="dxa"/>
            <w:vMerge/>
          </w:tcPr>
          <w:p w14:paraId="12FD3257" w14:textId="77777777" w:rsidR="00C7266C" w:rsidRPr="00D403F5" w:rsidRDefault="00C7266C" w:rsidP="00D403F5">
            <w:pPr>
              <w:rPr>
                <w:rFonts w:ascii="Arial" w:hAnsi="Arial" w:cs="Arial"/>
                <w:sz w:val="18"/>
                <w:szCs w:val="18"/>
                <w:lang w:eastAsia="en-US"/>
              </w:rPr>
            </w:pPr>
          </w:p>
        </w:tc>
      </w:tr>
      <w:tr w:rsidR="00C7266C" w:rsidRPr="00D403F5" w14:paraId="28D5A31F" w14:textId="77777777" w:rsidTr="00C7266C">
        <w:tc>
          <w:tcPr>
            <w:tcW w:w="0" w:type="auto"/>
            <w:vAlign w:val="center"/>
          </w:tcPr>
          <w:p w14:paraId="69BAE779"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G1179-</w:t>
            </w:r>
          </w:p>
        </w:tc>
        <w:tc>
          <w:tcPr>
            <w:tcW w:w="3343" w:type="dxa"/>
            <w:vAlign w:val="center"/>
          </w:tcPr>
          <w:p w14:paraId="424EF1BC"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TTC-CAG-GTG-TTG-TTT-ACC-G</w:t>
            </w:r>
          </w:p>
        </w:tc>
        <w:tc>
          <w:tcPr>
            <w:tcW w:w="1530" w:type="dxa"/>
            <w:vMerge/>
            <w:vAlign w:val="center"/>
          </w:tcPr>
          <w:p w14:paraId="699C9EE6" w14:textId="77777777" w:rsidR="00C7266C" w:rsidRPr="00D403F5" w:rsidRDefault="00C7266C" w:rsidP="00D403F5">
            <w:pPr>
              <w:rPr>
                <w:rFonts w:ascii="Arial" w:hAnsi="Arial" w:cs="Arial"/>
                <w:sz w:val="18"/>
                <w:szCs w:val="18"/>
                <w:lang w:val="en-IE" w:eastAsia="en-US"/>
              </w:rPr>
            </w:pPr>
          </w:p>
        </w:tc>
        <w:tc>
          <w:tcPr>
            <w:tcW w:w="1440" w:type="dxa"/>
            <w:vAlign w:val="center"/>
          </w:tcPr>
          <w:p w14:paraId="3888C315" w14:textId="77777777" w:rsidR="00C7266C" w:rsidRPr="00D403F5" w:rsidRDefault="00C7266C" w:rsidP="00D403F5">
            <w:pPr>
              <w:rPr>
                <w:rFonts w:ascii="Arial" w:hAnsi="Arial" w:cs="Arial"/>
                <w:sz w:val="18"/>
                <w:szCs w:val="18"/>
                <w:lang w:val="en-IE" w:eastAsia="en-US"/>
              </w:rPr>
            </w:pPr>
            <w:r w:rsidRPr="00D403F5">
              <w:rPr>
                <w:rFonts w:ascii="Arial" w:hAnsi="Arial" w:cs="Arial"/>
                <w:sz w:val="18"/>
                <w:szCs w:val="18"/>
                <w:lang w:val="en-IE" w:eastAsia="en-US"/>
              </w:rPr>
              <w:t>0.2 µM</w:t>
            </w:r>
          </w:p>
        </w:tc>
        <w:tc>
          <w:tcPr>
            <w:tcW w:w="1620" w:type="dxa"/>
            <w:vMerge/>
          </w:tcPr>
          <w:p w14:paraId="71B0DB30" w14:textId="77777777" w:rsidR="00C7266C" w:rsidRPr="00D403F5" w:rsidRDefault="00C7266C" w:rsidP="00D403F5">
            <w:pPr>
              <w:rPr>
                <w:rFonts w:ascii="Arial" w:hAnsi="Arial" w:cs="Arial"/>
                <w:sz w:val="18"/>
                <w:szCs w:val="18"/>
                <w:lang w:val="en-IE" w:eastAsia="en-US"/>
              </w:rPr>
            </w:pPr>
          </w:p>
        </w:tc>
      </w:tr>
    </w:tbl>
    <w:p w14:paraId="26DF9848"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4.6.</w:t>
      </w:r>
      <w:r w:rsidRPr="00D403F5">
        <w:rPr>
          <w:rFonts w:ascii="Ottawa" w:eastAsia="MS Mincho" w:hAnsi="Ottawa" w:cs="Times New Roman"/>
          <w:b/>
          <w:sz w:val="18"/>
          <w:szCs w:val="18"/>
          <w:lang w:val="da-DK" w:eastAsia="da-DK"/>
        </w:rPr>
        <w:tab/>
      </w:r>
      <w:r w:rsidRPr="00D403F5">
        <w:rPr>
          <w:rFonts w:ascii="Ottawa" w:eastAsia="MS Mincho" w:hAnsi="Ottawa" w:cs="Times New Roman"/>
          <w:b/>
          <w:i/>
          <w:sz w:val="18"/>
          <w:szCs w:val="18"/>
          <w:lang w:val="da-DK" w:eastAsia="da-DK"/>
        </w:rPr>
        <w:t>In-situ</w:t>
      </w:r>
      <w:r w:rsidRPr="00D403F5">
        <w:rPr>
          <w:rFonts w:ascii="Ottawa" w:eastAsia="MS Mincho" w:hAnsi="Ottawa" w:cs="Times New Roman"/>
          <w:b/>
          <w:sz w:val="18"/>
          <w:szCs w:val="18"/>
          <w:lang w:val="da-DK" w:eastAsia="da-DK"/>
        </w:rPr>
        <w:t xml:space="preserve"> hybridisation</w:t>
      </w:r>
    </w:p>
    <w:p w14:paraId="6AE1C896" w14:textId="77777777" w:rsidR="00C7266C" w:rsidRPr="00D403F5" w:rsidRDefault="00C7266C" w:rsidP="00D403F5">
      <w:pPr>
        <w:spacing w:after="0" w:line="240" w:lineRule="auto"/>
        <w:ind w:left="425"/>
        <w:jc w:val="both"/>
        <w:rPr>
          <w:rFonts w:ascii="Arial" w:eastAsia="Times New Roman" w:hAnsi="Arial" w:cs="Times New Roman"/>
          <w:sz w:val="18"/>
          <w:szCs w:val="18"/>
          <w:lang w:val="en-IE"/>
        </w:rPr>
      </w:pPr>
      <w:r w:rsidRPr="00D403F5">
        <w:rPr>
          <w:rFonts w:ascii="Arial" w:eastAsia="Times New Roman" w:hAnsi="Arial" w:cs="Arial"/>
          <w:sz w:val="18"/>
          <w:szCs w:val="18"/>
          <w:lang w:val="en-US"/>
        </w:rPr>
        <w:t xml:space="preserve">Not relevant in relation to primary diagnosis and surveillance of infection with VHSV. </w:t>
      </w:r>
    </w:p>
    <w:p w14:paraId="72D918CD"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4.7.</w:t>
      </w:r>
      <w:r w:rsidRPr="00D403F5">
        <w:rPr>
          <w:rFonts w:ascii="Ottawa" w:eastAsia="MS Mincho" w:hAnsi="Ottawa" w:cs="Times New Roman"/>
          <w:b/>
          <w:sz w:val="18"/>
          <w:szCs w:val="18"/>
          <w:lang w:val="da-DK" w:eastAsia="da-DK"/>
        </w:rPr>
        <w:tab/>
        <w:t>Immunohistochemistry</w:t>
      </w:r>
    </w:p>
    <w:p w14:paraId="0D99697C" w14:textId="77777777" w:rsidR="00C7266C" w:rsidRPr="00D403F5" w:rsidRDefault="00C7266C" w:rsidP="00D403F5">
      <w:pPr>
        <w:spacing w:after="0" w:line="240" w:lineRule="auto"/>
        <w:ind w:left="425"/>
        <w:jc w:val="both"/>
        <w:rPr>
          <w:rFonts w:ascii="Arial" w:eastAsia="Times New Roman" w:hAnsi="Arial" w:cs="Arial"/>
          <w:sz w:val="18"/>
          <w:szCs w:val="18"/>
        </w:rPr>
      </w:pPr>
      <w:r w:rsidRPr="00D403F5">
        <w:rPr>
          <w:rFonts w:ascii="Arial" w:eastAsia="Times New Roman" w:hAnsi="Arial" w:cs="Arial"/>
          <w:sz w:val="18"/>
          <w:szCs w:val="18"/>
        </w:rPr>
        <w:t xml:space="preserve">Immunohistochemistry reveals VHSV-positive endothelial cells, primarily in the vascular system (Evensen </w:t>
      </w:r>
      <w:r w:rsidRPr="00D403F5">
        <w:rPr>
          <w:rFonts w:ascii="Arial" w:eastAsia="Times New Roman" w:hAnsi="Arial" w:cs="Arial"/>
          <w:i/>
          <w:sz w:val="18"/>
          <w:szCs w:val="18"/>
        </w:rPr>
        <w:t>et al</w:t>
      </w:r>
      <w:r w:rsidRPr="00D403F5">
        <w:rPr>
          <w:rFonts w:ascii="Arial" w:eastAsia="Times New Roman" w:hAnsi="Arial" w:cs="Arial"/>
          <w:sz w:val="18"/>
          <w:szCs w:val="18"/>
        </w:rPr>
        <w:t xml:space="preserve">., 1994). </w:t>
      </w:r>
    </w:p>
    <w:p w14:paraId="51707B02" w14:textId="77777777" w:rsidR="00C7266C" w:rsidRPr="00D403F5" w:rsidRDefault="00C7266C" w:rsidP="00D403F5">
      <w:pPr>
        <w:spacing w:after="0" w:line="240" w:lineRule="auto"/>
        <w:ind w:left="425"/>
        <w:jc w:val="both"/>
        <w:rPr>
          <w:rFonts w:ascii="Arial" w:eastAsia="Times New Roman" w:hAnsi="Arial" w:cs="Arial"/>
          <w:sz w:val="18"/>
          <w:szCs w:val="18"/>
          <w:lang w:val="en-IE"/>
        </w:rPr>
      </w:pPr>
      <w:r w:rsidRPr="00D403F5">
        <w:rPr>
          <w:rFonts w:ascii="Arial" w:eastAsia="Times New Roman" w:hAnsi="Arial" w:cs="Times New Roman"/>
          <w:sz w:val="18"/>
          <w:szCs w:val="18"/>
          <w:lang w:val="en-IE" w:eastAsia="fr-FR"/>
        </w:rPr>
        <w:t>Specific polyclonal and monoclonal antibodies for immunohistochemistry are commercially available.</w:t>
      </w:r>
    </w:p>
    <w:p w14:paraId="632BE812"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4.8.</w:t>
      </w:r>
      <w:r w:rsidRPr="00D403F5">
        <w:rPr>
          <w:rFonts w:ascii="Ottawa" w:eastAsia="MS Mincho" w:hAnsi="Ottawa" w:cs="Times New Roman"/>
          <w:b/>
          <w:sz w:val="18"/>
          <w:szCs w:val="18"/>
          <w:lang w:val="da-DK" w:eastAsia="da-DK"/>
        </w:rPr>
        <w:tab/>
        <w:t>Bioassay</w:t>
      </w:r>
    </w:p>
    <w:p w14:paraId="2672ED68" w14:textId="77777777" w:rsidR="00C7266C" w:rsidRPr="00D403F5" w:rsidRDefault="00C7266C" w:rsidP="00D403F5">
      <w:pPr>
        <w:spacing w:after="0" w:line="240" w:lineRule="auto"/>
        <w:ind w:left="425"/>
        <w:jc w:val="both"/>
        <w:rPr>
          <w:rFonts w:ascii="Arial" w:eastAsia="Times New Roman" w:hAnsi="Arial" w:cs="Arial"/>
          <w:sz w:val="18"/>
          <w:szCs w:val="18"/>
          <w:lang w:val="en-IE"/>
        </w:rPr>
      </w:pPr>
      <w:r w:rsidRPr="00D403F5">
        <w:rPr>
          <w:rFonts w:ascii="Arial" w:eastAsia="Times New Roman" w:hAnsi="Arial" w:cs="Times New Roman"/>
          <w:sz w:val="18"/>
          <w:szCs w:val="18"/>
          <w:lang w:val="en-US"/>
        </w:rPr>
        <w:t>Not relevant in relation to primary diagnostics and surveillance of infection with VHSV.</w:t>
      </w:r>
    </w:p>
    <w:p w14:paraId="220A73B8"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4.9.</w:t>
      </w:r>
      <w:r w:rsidRPr="00D403F5">
        <w:rPr>
          <w:rFonts w:ascii="Ottawa" w:eastAsia="MS Mincho" w:hAnsi="Ottawa" w:cs="Times New Roman"/>
          <w:b/>
          <w:sz w:val="18"/>
          <w:szCs w:val="18"/>
          <w:lang w:val="da-DK" w:eastAsia="da-DK"/>
        </w:rPr>
        <w:tab/>
        <w:t xml:space="preserve">Antibody or antigen detection methods </w:t>
      </w:r>
    </w:p>
    <w:p w14:paraId="06061185"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4.9.1.</w:t>
      </w:r>
      <w:r w:rsidRPr="00D403F5">
        <w:rPr>
          <w:rFonts w:ascii="Ottawa" w:eastAsia="Times New Roman" w:hAnsi="Ottawa" w:cs="Times New Roman"/>
          <w:b/>
          <w:bCs/>
          <w:sz w:val="18"/>
          <w:szCs w:val="18"/>
          <w:lang w:eastAsia="fr-FR"/>
        </w:rPr>
        <w:tab/>
        <w:t>Antigen enzyme-linked immunosorbent assay (ELISA)</w:t>
      </w:r>
    </w:p>
    <w:p w14:paraId="31DACD38"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Coat the wells of microplates designed for enzyme-linked immunosorbent assays (ELISAs) with appropriate dilutions of protein-A purified immunoglobulins (Ig) from rabbit anti sera against VHSV in carbonate buffer, pH 9.6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w:t>
      </w:r>
    </w:p>
    <w:p w14:paraId="31FFB623"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Incubate overnight at 4°C.</w:t>
      </w:r>
    </w:p>
    <w:p w14:paraId="09A203FA" w14:textId="77777777" w:rsidR="00A63C15" w:rsidRDefault="00A63C15" w:rsidP="00D403F5">
      <w:pPr>
        <w:spacing w:after="0" w:line="240" w:lineRule="auto"/>
        <w:jc w:val="right"/>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39FB198F" w14:textId="4408333A" w:rsidR="00C7266C" w:rsidRPr="00D403F5" w:rsidRDefault="00C7266C"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7110494E"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Rinse in phosphate-buffered saline (PBS) containing 0.05% Tween-20 (PBST).</w:t>
      </w:r>
    </w:p>
    <w:p w14:paraId="18D924AF"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Add 1% Triton X-100 to the virus suspension to be identified.</w:t>
      </w:r>
    </w:p>
    <w:p w14:paraId="5D60FDE7"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Dispense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 xml:space="preserve"> of two- or four-step dilutions (in PBST containing 1% bovine serum albumin) of the virus to be identified and of VHSV control virus, as well as a negative control (e.g. infectious haematopoietic necrosis virus [IHNV]), and allow to react with the coated antibody to VHSV for 1 hour at 37°C.</w:t>
      </w:r>
    </w:p>
    <w:p w14:paraId="6CF966D3"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Rinse in PBST.</w:t>
      </w:r>
    </w:p>
    <w:p w14:paraId="36EA99AD"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Add to the wells monoclonal antibodies to VHSV N protein (IP5B11)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w:t>
      </w:r>
    </w:p>
    <w:p w14:paraId="61164069"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Incubate for 1 hour at 37°C.</w:t>
      </w:r>
    </w:p>
    <w:p w14:paraId="2DB1EFAF"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Rinse in PBST.</w:t>
      </w:r>
    </w:p>
    <w:p w14:paraId="1E44E9DD"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Add to the wells (50 µl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 horseradish peroxidase (HRP)-conjugated monoclonal anti-mouse antibodies.</w:t>
      </w:r>
    </w:p>
    <w:p w14:paraId="54CC7C3B"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w:t>
      </w:r>
      <w:r w:rsidRPr="00D403F5">
        <w:rPr>
          <w:rFonts w:ascii="Arial" w:eastAsia="MS Mincho" w:hAnsi="Arial" w:cs="Arial"/>
          <w:sz w:val="18"/>
          <w:szCs w:val="18"/>
          <w:lang w:val="en-IE"/>
        </w:rPr>
        <w:tab/>
        <w:t>Incubate for 1 hour at 37°C.</w:t>
      </w:r>
    </w:p>
    <w:p w14:paraId="43C6BF12"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xii)</w:t>
      </w:r>
      <w:r w:rsidRPr="00D403F5">
        <w:rPr>
          <w:rFonts w:ascii="Arial" w:eastAsia="MS Mincho" w:hAnsi="Arial" w:cs="Arial"/>
          <w:sz w:val="18"/>
          <w:szCs w:val="18"/>
          <w:lang w:val="en-IE"/>
        </w:rPr>
        <w:tab/>
        <w:t>Rinse in PBST.</w:t>
      </w:r>
    </w:p>
    <w:p w14:paraId="3A9CF500"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xiii)</w:t>
      </w:r>
      <w:r w:rsidRPr="00D403F5">
        <w:rPr>
          <w:rFonts w:ascii="Arial" w:eastAsia="MS Mincho" w:hAnsi="Arial" w:cs="Arial"/>
          <w:sz w:val="18"/>
          <w:szCs w:val="18"/>
          <w:lang w:val="en-IE"/>
        </w:rPr>
        <w:tab/>
        <w:t>Visualise the reaction using TMB (3,3’,5,5’-tetramethylbenzidine) and measure the absorbance at a wavelength of 450 nm.</w:t>
      </w:r>
    </w:p>
    <w:p w14:paraId="326FC436"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above ELISA version is given as an example. Other ELISA versions of demonstrated performance may be used instead.</w:t>
      </w:r>
    </w:p>
    <w:p w14:paraId="04C722D6" w14:textId="77777777" w:rsidR="00C7266C" w:rsidRPr="00D403F5" w:rsidRDefault="00C7266C" w:rsidP="00D403F5">
      <w:pPr>
        <w:spacing w:after="0" w:line="240" w:lineRule="auto"/>
        <w:ind w:left="850"/>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For positive controls, use cell culture supernatant from cultures inoculated with known VHSV isolate.</w:t>
      </w:r>
    </w:p>
    <w:p w14:paraId="66902FB3" w14:textId="77777777" w:rsidR="00C7266C" w:rsidRPr="00D403F5" w:rsidRDefault="00C7266C" w:rsidP="00D403F5">
      <w:pPr>
        <w:spacing w:after="0" w:line="240" w:lineRule="auto"/>
        <w:ind w:left="850"/>
        <w:jc w:val="both"/>
        <w:rPr>
          <w:rFonts w:ascii="Arial" w:eastAsia="Times New Roman" w:hAnsi="Arial" w:cs="Times New Roman"/>
          <w:bCs/>
          <w:sz w:val="18"/>
          <w:szCs w:val="18"/>
          <w:lang w:val="en-IE" w:eastAsia="fr-FR"/>
        </w:rPr>
      </w:pPr>
      <w:r w:rsidRPr="00D403F5">
        <w:rPr>
          <w:rFonts w:ascii="Arial" w:eastAsia="Times New Roman" w:hAnsi="Arial" w:cs="Times New Roman"/>
          <w:bCs/>
          <w:sz w:val="18"/>
          <w:szCs w:val="18"/>
          <w:lang w:val="en-IE" w:eastAsia="fr-FR"/>
        </w:rPr>
        <w:t>For negative controls, use cell culture supernatant from same cell line inoculated with heterologous virus (e.g. IHNV) or from non-infected culture.</w:t>
      </w:r>
    </w:p>
    <w:p w14:paraId="4482DC90"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4.9.2.</w:t>
      </w:r>
      <w:r w:rsidRPr="00D403F5">
        <w:rPr>
          <w:rFonts w:ascii="Ottawa" w:eastAsia="Times New Roman" w:hAnsi="Ottawa" w:cs="Times New Roman"/>
          <w:b/>
          <w:bCs/>
          <w:sz w:val="18"/>
          <w:szCs w:val="18"/>
          <w:lang w:eastAsia="fr-FR"/>
        </w:rPr>
        <w:tab/>
        <w:t>Indirect fluorescent antibody test (IFAT)</w:t>
      </w:r>
    </w:p>
    <w:p w14:paraId="6B5467C9"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Prepare monolayers of cells in 2 cm</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wells of cell culture plastic plates or on cover-slips to reach around 80% confluence, which is usually achieved within 24 hours of incubation at 22°C (seed six cell monolayers per virus isolate to be identified, plus two for positive and two for negative controls). The FCS content of the cell culture medium can be reduced to 2–4%. If numerous virus isolates have to be identified, the use of Terasaki plates is strongly recommended.</w:t>
      </w:r>
    </w:p>
    <w:p w14:paraId="201E844E"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When the cell monolayers are ready for infection, i.e. on the same day or on the day after seeding, inoculate the virus suspensions to be identified by making tenfold dilution steps directly in the cell culture wells or flasks.</w:t>
      </w:r>
    </w:p>
    <w:p w14:paraId="4DC66898"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Dilute the control virus suspension of VHSV in a similar way, in order to obtain a virus titre of about 5000–10,000 plaque-forming units (PFU) ml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 xml:space="preserve"> in the cell culture medium.</w:t>
      </w:r>
    </w:p>
    <w:p w14:paraId="4FA77B44"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Incubate at 15°C for 24 hours.</w:t>
      </w:r>
    </w:p>
    <w:p w14:paraId="6730B6B1"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Remove the cell culture medium, rinse once with 0.01 M PBS, pH 7.2, then three times briefly with a cold mixture of acetone 30% and ethanol 70% (v/v) (stored at –20°C).</w:t>
      </w:r>
    </w:p>
    <w:p w14:paraId="52DDA015"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Let the fixative act for 15 minutes. A volume of 0.5 ml is adequate for 2 cm</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of cell monolayer.</w:t>
      </w:r>
    </w:p>
    <w:p w14:paraId="1B53222B"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 xml:space="preserve">Allow the cell monolayers to air-dry for at least 30 minutes and process immediately or freeze at </w:t>
      </w:r>
      <w:r w:rsidRPr="00D403F5">
        <w:rPr>
          <w:rFonts w:ascii="Arial" w:eastAsia="MS Mincho" w:hAnsi="Arial" w:cs="Arial"/>
          <w:sz w:val="18"/>
          <w:szCs w:val="18"/>
          <w:lang w:val="en-IE"/>
        </w:rPr>
        <w:br/>
        <w:t>–20°C.</w:t>
      </w:r>
    </w:p>
    <w:p w14:paraId="5F528B9C"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Prepare a solution of purified VHSV antibody or serum in 0.01 M PBST, pH 7.2, at the appropriate dilution (which has been established previously or is given by the reagent supplier).</w:t>
      </w:r>
    </w:p>
    <w:p w14:paraId="7CC2BE27"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Rehydrate the dried cell monolayers by using four rinsing steps with the PBST solution and remove this buffer completely after the last rinse.</w:t>
      </w:r>
    </w:p>
    <w:p w14:paraId="5605E03E"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Treat the cell monolayers with the antibody solution for 1 hour at 37°C in a humid chamber and do not allow evaporation to occur, e.g. by adding a piece of wet cotton in the humid chamber. The volume of solution to be used is 0.25 ml/2 cm</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well</w:t>
      </w:r>
      <w:r w:rsidRPr="00D403F5">
        <w:rPr>
          <w:rFonts w:ascii="Arial" w:eastAsia="MS Mincho" w:hAnsi="Arial" w:cs="Arial"/>
          <w:sz w:val="18"/>
          <w:szCs w:val="18"/>
          <w:vertAlign w:val="superscript"/>
          <w:lang w:val="en-IE"/>
        </w:rPr>
        <w:t>–1</w:t>
      </w:r>
      <w:r w:rsidRPr="00D403F5">
        <w:rPr>
          <w:rFonts w:ascii="Arial" w:eastAsia="MS Mincho" w:hAnsi="Arial" w:cs="Arial"/>
          <w:sz w:val="18"/>
          <w:szCs w:val="18"/>
          <w:lang w:val="en-IE"/>
        </w:rPr>
        <w:t>.</w:t>
      </w:r>
    </w:p>
    <w:p w14:paraId="3A7890F3"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w:t>
      </w:r>
      <w:r w:rsidRPr="00D403F5">
        <w:rPr>
          <w:rFonts w:ascii="Arial" w:eastAsia="MS Mincho" w:hAnsi="Arial" w:cs="Arial"/>
          <w:sz w:val="18"/>
          <w:szCs w:val="18"/>
          <w:lang w:val="en-IE"/>
        </w:rPr>
        <w:tab/>
        <w:t xml:space="preserve"> Rinse four times with PBST as above.</w:t>
      </w:r>
    </w:p>
    <w:p w14:paraId="52283295" w14:textId="77777777" w:rsidR="00A63C15" w:rsidRDefault="00A63C15" w:rsidP="00D403F5">
      <w:pPr>
        <w:spacing w:after="0" w:line="240" w:lineRule="auto"/>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3E5D9FBB" w14:textId="58305B37" w:rsidR="00C7266C" w:rsidRPr="00D403F5" w:rsidRDefault="00C7266C"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28C5A087"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xii)</w:t>
      </w:r>
      <w:r w:rsidRPr="00D403F5">
        <w:rPr>
          <w:rFonts w:ascii="Arial" w:eastAsia="MS Mincho" w:hAnsi="Arial" w:cs="Arial"/>
          <w:sz w:val="18"/>
          <w:szCs w:val="18"/>
          <w:lang w:val="en-IE"/>
        </w:rPr>
        <w:tab/>
        <w:t>Treat the cell monolayers for 1 hour at 37°C with a solution of fluorescein isothiocyanate (FITC)- or tetramethylrhodamine-5-(and-6-) isothiocyanate (TRITC)-conjugated antibody to the immunoglobulin used as the primary antibody and prepared according to the instructions of the supplier. These conjugated antibodies are most often rabbit or goat antibodies.</w:t>
      </w:r>
    </w:p>
    <w:p w14:paraId="40AC1B7B"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xiii)</w:t>
      </w:r>
      <w:r w:rsidRPr="00D403F5">
        <w:rPr>
          <w:rFonts w:ascii="Arial" w:eastAsia="MS Mincho" w:hAnsi="Arial" w:cs="Arial"/>
          <w:sz w:val="18"/>
          <w:szCs w:val="18"/>
          <w:lang w:val="en-IE"/>
        </w:rPr>
        <w:tab/>
        <w:t>Rinse four times with PBST.</w:t>
      </w:r>
    </w:p>
    <w:p w14:paraId="25A71F9E"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xiv)</w:t>
      </w:r>
      <w:r w:rsidRPr="00D403F5">
        <w:rPr>
          <w:rFonts w:ascii="Arial" w:eastAsia="MS Mincho" w:hAnsi="Arial" w:cs="Arial"/>
          <w:sz w:val="18"/>
          <w:szCs w:val="18"/>
          <w:lang w:val="en-IE"/>
        </w:rPr>
        <w:tab/>
        <w:t>Examine the treated cell monolayers on plastic plates immediately, or mount the cover-slips using, for example glycerol saline, pH 8.5 prior to microscopic observation.</w:t>
      </w:r>
    </w:p>
    <w:p w14:paraId="1774B363"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xv)</w:t>
      </w:r>
      <w:r w:rsidRPr="00D403F5">
        <w:rPr>
          <w:rFonts w:ascii="Arial" w:eastAsia="MS Mincho" w:hAnsi="Arial" w:cs="Arial"/>
          <w:sz w:val="18"/>
          <w:szCs w:val="18"/>
          <w:lang w:val="en-IE"/>
        </w:rPr>
        <w:tab/>
        <w:t>Examine under incident UV light using a microscope with ×10 eye pieces and ×20–40 objective lens having numerical aperture &gt;0.65 and &gt;1.3 respectively. Positive and negative controls must yield the expected results prior to any other observation.</w:t>
      </w:r>
    </w:p>
    <w:p w14:paraId="73129F46"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Other IFAT or immunocytochemical (alkaline phosphatase or peroxidase) techniques of demonstrated performance may be used instead.</w:t>
      </w:r>
    </w:p>
    <w:p w14:paraId="2C75371E"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Always include positive control such as wells or coverslip with cells infected with a known VHSV isolate. </w:t>
      </w:r>
    </w:p>
    <w:p w14:paraId="27D048F3" w14:textId="77777777" w:rsidR="00C7266C" w:rsidRPr="00D403F5" w:rsidRDefault="00C7266C" w:rsidP="00D403F5">
      <w:pPr>
        <w:spacing w:after="0"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4.10.</w:t>
      </w:r>
      <w:r w:rsidRPr="00D403F5">
        <w:rPr>
          <w:rFonts w:ascii="Ottawa" w:eastAsia="MS Mincho" w:hAnsi="Ottawa" w:cs="Times New Roman"/>
          <w:b/>
          <w:sz w:val="18"/>
          <w:szCs w:val="18"/>
          <w:lang w:val="da-DK" w:eastAsia="da-DK"/>
        </w:rPr>
        <w:tab/>
        <w:t>Other serological methods</w:t>
      </w:r>
    </w:p>
    <w:p w14:paraId="7C8B5DF4" w14:textId="77777777" w:rsidR="00C7266C" w:rsidRPr="00D403F5" w:rsidRDefault="00C7266C" w:rsidP="00D403F5">
      <w:pPr>
        <w:spacing w:after="0" w:line="240" w:lineRule="auto"/>
        <w:ind w:left="993" w:hanging="709"/>
        <w:jc w:val="both"/>
        <w:rPr>
          <w:rFonts w:ascii="Ottawa" w:eastAsia="Times New Roman" w:hAnsi="Ottawa" w:cs="Times New Roman"/>
          <w:b/>
          <w:bCs/>
          <w:sz w:val="18"/>
          <w:szCs w:val="18"/>
          <w:lang w:val="en-IE" w:eastAsia="fr-FR"/>
        </w:rPr>
      </w:pPr>
      <w:r w:rsidRPr="00D403F5">
        <w:rPr>
          <w:rFonts w:ascii="Ottawa" w:eastAsia="Times New Roman" w:hAnsi="Ottawa" w:cs="Times New Roman"/>
          <w:b/>
          <w:bCs/>
          <w:sz w:val="18"/>
          <w:szCs w:val="18"/>
          <w:lang w:val="en-IE" w:eastAsia="fr-FR"/>
        </w:rPr>
        <w:t>4.10.1.</w:t>
      </w:r>
      <w:r w:rsidRPr="00D403F5">
        <w:rPr>
          <w:rFonts w:ascii="Ottawa" w:eastAsia="Times New Roman" w:hAnsi="Ottawa" w:cs="Times New Roman"/>
          <w:b/>
          <w:bCs/>
          <w:sz w:val="18"/>
          <w:szCs w:val="18"/>
          <w:lang w:val="en-IE" w:eastAsia="fr-FR"/>
        </w:rPr>
        <w:tab/>
        <w:t>Neutralisation test</w:t>
      </w:r>
    </w:p>
    <w:p w14:paraId="09A04504"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 xml:space="preserve">Collect the culture medium of the cell monolayers exhibiting CPE and centrifuge it at 2000 </w:t>
      </w:r>
      <w:r w:rsidRPr="00D403F5">
        <w:rPr>
          <w:rFonts w:ascii="Arial" w:eastAsia="MS Mincho" w:hAnsi="Arial" w:cs="Arial"/>
          <w:b/>
          <w:i/>
          <w:sz w:val="18"/>
          <w:szCs w:val="18"/>
          <w:lang w:val="en-IE"/>
        </w:rPr>
        <w:t>g</w:t>
      </w:r>
      <w:r w:rsidRPr="00D403F5">
        <w:rPr>
          <w:rFonts w:ascii="Arial" w:eastAsia="MS Mincho" w:hAnsi="Arial" w:cs="Arial"/>
          <w:sz w:val="18"/>
          <w:szCs w:val="18"/>
          <w:lang w:val="en-IE"/>
        </w:rPr>
        <w:t xml:space="preserve"> for 15 minutes at 4°C, or filter through a 0.45 µm (or 450 nm) pore membrane to remove cell debris.</w:t>
      </w:r>
    </w:p>
    <w:p w14:paraId="6484692B"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Dilute virus-containing medium from 10</w:t>
      </w:r>
      <w:r w:rsidRPr="00D403F5">
        <w:rPr>
          <w:rFonts w:ascii="Arial" w:eastAsia="MS Mincho" w:hAnsi="Arial" w:cs="Arial"/>
          <w:sz w:val="18"/>
          <w:szCs w:val="18"/>
          <w:vertAlign w:val="superscript"/>
          <w:lang w:val="en-IE"/>
        </w:rPr>
        <w:t>–2</w:t>
      </w:r>
      <w:r w:rsidRPr="00D403F5">
        <w:rPr>
          <w:rFonts w:ascii="Arial" w:eastAsia="MS Mincho" w:hAnsi="Arial" w:cs="Arial"/>
          <w:sz w:val="18"/>
          <w:szCs w:val="18"/>
          <w:lang w:val="en-IE"/>
        </w:rPr>
        <w:t xml:space="preserve"> to 10</w:t>
      </w:r>
      <w:r w:rsidRPr="00D403F5">
        <w:rPr>
          <w:rFonts w:ascii="Arial" w:eastAsia="MS Mincho" w:hAnsi="Arial" w:cs="Arial"/>
          <w:sz w:val="18"/>
          <w:szCs w:val="18"/>
          <w:vertAlign w:val="superscript"/>
          <w:lang w:val="en-IE"/>
        </w:rPr>
        <w:t>–4</w:t>
      </w:r>
      <w:r w:rsidRPr="00D403F5">
        <w:rPr>
          <w:rFonts w:ascii="Arial" w:eastAsia="MS Mincho" w:hAnsi="Arial" w:cs="Arial"/>
          <w:sz w:val="18"/>
          <w:szCs w:val="18"/>
          <w:lang w:val="en-IE"/>
        </w:rPr>
        <w:t>.</w:t>
      </w:r>
    </w:p>
    <w:p w14:paraId="46C371BC"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Mix aliquots (for example 200 µl) of each dilution with equal volumes of a VHSV antibody solution and, likewise, treat aliquots of each virus dilution with cell culture medium. The neutralising antibody [NAb] solution must have a 50% plaque reduction titre of at least 2000.</w:t>
      </w:r>
    </w:p>
    <w:p w14:paraId="52EF0E57"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In parallel, another neutralisation test must be performed against a homologous virus strain (positive neutralisation test).</w:t>
      </w:r>
    </w:p>
    <w:p w14:paraId="3805FFAA"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If required, a similar neutralisation test may be performed using antibodies to IPNV.</w:t>
      </w:r>
    </w:p>
    <w:p w14:paraId="592DF15A"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vi)</w:t>
      </w:r>
      <w:r w:rsidRPr="00D403F5">
        <w:rPr>
          <w:rFonts w:ascii="Arial" w:eastAsia="MS Mincho" w:hAnsi="Arial" w:cs="Arial"/>
          <w:sz w:val="18"/>
          <w:szCs w:val="18"/>
          <w:lang w:val="en-IE"/>
        </w:rPr>
        <w:tab/>
        <w:t>Incubate all the mixtures at 15°C for 1 hour.</w:t>
      </w:r>
    </w:p>
    <w:p w14:paraId="5290E64E"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vii)</w:t>
      </w:r>
      <w:r w:rsidRPr="00D403F5">
        <w:rPr>
          <w:rFonts w:ascii="Arial" w:eastAsia="MS Mincho" w:hAnsi="Arial" w:cs="Arial"/>
          <w:sz w:val="18"/>
          <w:szCs w:val="18"/>
          <w:lang w:val="en-IE"/>
        </w:rPr>
        <w:tab/>
        <w:t>Transfer aliquots of each of the above mixtures on to 24–48 hour-old monolayers, overlaid with cell culture medium containing 10% FCS (inoculate two wells per dilution), and incubate at 15°C; 24- or 12-well cell culture plates are suitable for this purpose, using a 50 µl inoculum.</w:t>
      </w:r>
    </w:p>
    <w:p w14:paraId="1BE02BA9"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viii)</w:t>
      </w:r>
      <w:r w:rsidRPr="00D403F5">
        <w:rPr>
          <w:rFonts w:ascii="Arial" w:eastAsia="MS Mincho" w:hAnsi="Arial" w:cs="Arial"/>
          <w:sz w:val="18"/>
          <w:szCs w:val="18"/>
          <w:lang w:val="en-IE"/>
        </w:rPr>
        <w:tab/>
        <w:t>Check the cell cultures for the onset of CPE and read the result as soon as it occurs in non-neutralised controls (cell monolayers being protected in positive neutralisation controls). Results are recorded either after a simple microscopic examination (phase contrast preferable) or after discarding the cell culture medium and staining cell monolayers with a solution of 1% crystal violet in 20% ethanol.</w:t>
      </w:r>
    </w:p>
    <w:p w14:paraId="01F7A666"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ix)</w:t>
      </w:r>
      <w:r w:rsidRPr="00D403F5">
        <w:rPr>
          <w:rFonts w:ascii="Arial" w:eastAsia="MS Mincho" w:hAnsi="Arial" w:cs="Arial"/>
          <w:sz w:val="18"/>
          <w:szCs w:val="18"/>
          <w:lang w:val="en-IE"/>
        </w:rPr>
        <w:tab/>
        <w:t>The tested virus is identified as VHSV when CPE is prevented or noticeably delayed in the cell cultures that received the virus suspension treated with the VHSV-specific antibody, whereas CPE is evident in all other cell cultures.</w:t>
      </w:r>
    </w:p>
    <w:p w14:paraId="14B74CC8" w14:textId="77777777" w:rsidR="00C7266C" w:rsidRPr="00D403F5" w:rsidRDefault="00C7266C" w:rsidP="00D403F5">
      <w:pPr>
        <w:spacing w:after="0" w:line="240" w:lineRule="auto"/>
        <w:ind w:left="708" w:hanging="425"/>
        <w:jc w:val="both"/>
        <w:rPr>
          <w:rFonts w:ascii="Arial" w:eastAsia="MS Mincho" w:hAnsi="Arial" w:cs="Arial"/>
          <w:sz w:val="18"/>
          <w:szCs w:val="18"/>
          <w:lang w:val="en-IE"/>
        </w:rPr>
      </w:pPr>
      <w:r w:rsidRPr="00D403F5">
        <w:rPr>
          <w:rFonts w:ascii="Arial" w:eastAsia="MS Mincho" w:hAnsi="Arial" w:cs="Arial"/>
          <w:sz w:val="18"/>
          <w:szCs w:val="18"/>
          <w:lang w:val="en-IE"/>
        </w:rPr>
        <w:t>x)</w:t>
      </w:r>
      <w:r w:rsidRPr="00D403F5">
        <w:rPr>
          <w:rFonts w:ascii="Arial" w:eastAsia="MS Mincho" w:hAnsi="Arial" w:cs="Arial"/>
          <w:sz w:val="18"/>
          <w:szCs w:val="18"/>
          <w:lang w:val="en-IE"/>
        </w:rPr>
        <w:tab/>
        <w:t>In the absence of any neutralisation by NAb to VHSV, it is mandatory to conduct an RT-PCR, an ELISA or IFAT, using the suspect sample. Some cases of antigenic drift of surface antigen have been observed, resulting in occasional failure of the neutralisation test using NAb to VHSV.</w:t>
      </w:r>
    </w:p>
    <w:p w14:paraId="57095133" w14:textId="77777777" w:rsidR="00C7266C" w:rsidRPr="00D403F5" w:rsidRDefault="00C7266C" w:rsidP="00D403F5">
      <w:pPr>
        <w:spacing w:after="0" w:line="240" w:lineRule="auto"/>
        <w:ind w:left="283"/>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Other neutralisation tests of demonstrated performance may be used instead.</w:t>
      </w:r>
    </w:p>
    <w:p w14:paraId="1B7CF961" w14:textId="77777777" w:rsidR="00C7266C" w:rsidRPr="00D403F5" w:rsidRDefault="00C7266C" w:rsidP="00D403F5">
      <w:pPr>
        <w:spacing w:after="0" w:line="240" w:lineRule="auto"/>
        <w:ind w:left="284" w:hanging="284"/>
        <w:jc w:val="both"/>
        <w:rPr>
          <w:rFonts w:ascii="Ottawa" w:eastAsia="MS Mincho" w:hAnsi="Ottawa" w:cs="Times New Roman"/>
          <w:b/>
          <w:sz w:val="18"/>
          <w:szCs w:val="18"/>
          <w:lang w:eastAsia="fr-FR"/>
        </w:rPr>
      </w:pPr>
      <w:r w:rsidRPr="00D403F5">
        <w:rPr>
          <w:rFonts w:ascii="Ottawa" w:eastAsia="MS Mincho" w:hAnsi="Ottawa" w:cs="Times New Roman"/>
          <w:b/>
          <w:sz w:val="18"/>
          <w:szCs w:val="18"/>
          <w:lang w:eastAsia="fr-FR"/>
        </w:rPr>
        <w:t>5.</w:t>
      </w:r>
      <w:r w:rsidRPr="00D403F5">
        <w:rPr>
          <w:rFonts w:ascii="Ottawa" w:eastAsia="MS Mincho" w:hAnsi="Ottawa" w:cs="Times New Roman"/>
          <w:b/>
          <w:sz w:val="18"/>
          <w:szCs w:val="18"/>
          <w:lang w:eastAsia="fr-FR"/>
        </w:rPr>
        <w:tab/>
        <w:t>Test(s) recommended for surveillance to demonstrate freedom in apparently healthy populations</w:t>
      </w:r>
    </w:p>
    <w:p w14:paraId="2477CEA3"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sz w:val="18"/>
          <w:szCs w:val="18"/>
          <w:lang w:val="en-IE" w:bidi="en-US"/>
        </w:rPr>
        <w:t xml:space="preserve">Virus isolation, real-time RT-PCR and conventional PCR are the recommended tests for surveillance to demonstrate freedom of disease in apparently healthy population. </w:t>
      </w:r>
    </w:p>
    <w:p w14:paraId="233F193C" w14:textId="77777777" w:rsidR="00C7266C" w:rsidRPr="00D403F5" w:rsidRDefault="00C7266C" w:rsidP="00D403F5">
      <w:pPr>
        <w:spacing w:after="0"/>
        <w:rPr>
          <w:rFonts w:ascii="Ottawa" w:eastAsia="MS Mincho" w:hAnsi="Ottawa" w:cs="Times New Roman"/>
          <w:b/>
          <w:sz w:val="18"/>
          <w:szCs w:val="18"/>
          <w:lang w:eastAsia="fr-FR"/>
        </w:rPr>
      </w:pPr>
      <w:r w:rsidRPr="00D403F5">
        <w:rPr>
          <w:rFonts w:ascii="Times New Roman" w:eastAsia="Times New Roman" w:hAnsi="Times New Roman" w:cs="Times New Roman"/>
          <w:sz w:val="18"/>
          <w:szCs w:val="18"/>
        </w:rPr>
        <w:br w:type="page"/>
      </w:r>
    </w:p>
    <w:p w14:paraId="46B7DA5A" w14:textId="612222EF" w:rsidR="00C7266C" w:rsidRPr="00D403F5" w:rsidRDefault="00C7266C"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w:t>
      </w:r>
      <w:r w:rsidR="00A63C15">
        <w:rPr>
          <w:rFonts w:ascii="Times New Roman" w:eastAsia="Times New Roman" w:hAnsi="Times New Roman" w:cs="Times New Roman"/>
          <w:noProof/>
          <w:sz w:val="18"/>
          <w:szCs w:val="18"/>
          <w:u w:val="single"/>
          <w:lang w:val="en-US"/>
        </w:rPr>
        <w:t>3</w:t>
      </w:r>
      <w:r w:rsidRPr="00A63C15">
        <w:rPr>
          <w:rFonts w:ascii="Times New Roman" w:eastAsia="Times New Roman" w:hAnsi="Times New Roman" w:cs="Times New Roman"/>
          <w:noProof/>
          <w:sz w:val="18"/>
          <w:szCs w:val="18"/>
          <w:lang w:val="en-US"/>
        </w:rPr>
        <w:t xml:space="preserve"> (</w:t>
      </w:r>
      <w:r w:rsidRPr="00D403F5">
        <w:rPr>
          <w:rFonts w:ascii="Times New Roman" w:eastAsia="Times New Roman" w:hAnsi="Times New Roman" w:cs="Times New Roman"/>
          <w:noProof/>
          <w:sz w:val="18"/>
          <w:szCs w:val="18"/>
          <w:lang w:val="en-US"/>
        </w:rPr>
        <w:t>contd)</w:t>
      </w:r>
    </w:p>
    <w:p w14:paraId="16409A72" w14:textId="77777777" w:rsidR="00C7266C" w:rsidRPr="00D403F5" w:rsidRDefault="00C7266C" w:rsidP="00A63C15">
      <w:pPr>
        <w:spacing w:line="240" w:lineRule="auto"/>
        <w:ind w:left="284" w:hanging="284"/>
        <w:jc w:val="both"/>
        <w:rPr>
          <w:rFonts w:ascii="Ottawa" w:eastAsia="MS Mincho" w:hAnsi="Ottawa" w:cs="Times New Roman"/>
          <w:b/>
          <w:sz w:val="18"/>
          <w:szCs w:val="18"/>
          <w:lang w:eastAsia="fr-FR"/>
        </w:rPr>
      </w:pPr>
      <w:r w:rsidRPr="00D403F5">
        <w:rPr>
          <w:rFonts w:ascii="Ottawa" w:eastAsia="MS Mincho" w:hAnsi="Ottawa" w:cs="Times New Roman"/>
          <w:b/>
          <w:sz w:val="18"/>
          <w:szCs w:val="18"/>
          <w:lang w:eastAsia="fr-FR"/>
        </w:rPr>
        <w:t>6.</w:t>
      </w:r>
      <w:r w:rsidRPr="00D403F5">
        <w:rPr>
          <w:rFonts w:ascii="Ottawa" w:eastAsia="MS Mincho" w:hAnsi="Ottawa" w:cs="Times New Roman"/>
          <w:b/>
          <w:sz w:val="18"/>
          <w:szCs w:val="18"/>
          <w:lang w:eastAsia="fr-FR"/>
        </w:rPr>
        <w:tab/>
        <w:t>Corroborative diagnostic criteria</w:t>
      </w:r>
    </w:p>
    <w:p w14:paraId="4771C288" w14:textId="77777777" w:rsidR="00C7266C" w:rsidRPr="00D403F5" w:rsidRDefault="00C7266C" w:rsidP="00A63C15">
      <w:pPr>
        <w:spacing w:line="240" w:lineRule="auto"/>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This section only addresses the diagnostic test results for detection of infection in the absence (Section 6.1.) or in the presence of clinical signs (Section 6.2.) but does not evaluate whether the infectious agent is the cause of the clinical event.</w:t>
      </w:r>
    </w:p>
    <w:p w14:paraId="7240C14E" w14:textId="77777777" w:rsidR="00C7266C" w:rsidRPr="00D403F5" w:rsidRDefault="00C7266C" w:rsidP="00A63C15">
      <w:pPr>
        <w:spacing w:line="240" w:lineRule="auto"/>
        <w:jc w:val="both"/>
        <w:rPr>
          <w:rFonts w:ascii="Arial" w:eastAsia="Times New Roman" w:hAnsi="Arial" w:cs="Arial"/>
          <w:sz w:val="18"/>
          <w:szCs w:val="18"/>
          <w:lang w:val="en-IE" w:bidi="en-US"/>
        </w:rPr>
      </w:pPr>
      <w:r w:rsidRPr="00D403F5">
        <w:rPr>
          <w:rFonts w:ascii="Arial" w:eastAsia="Times New Roman" w:hAnsi="Arial" w:cs="Arial"/>
          <w:sz w:val="18"/>
          <w:szCs w:val="18"/>
          <w:lang w:val="en-IE" w:bidi="en-US"/>
        </w:rPr>
        <w:t>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14:paraId="3944CEBD" w14:textId="77777777" w:rsidR="00C7266C" w:rsidRPr="00D403F5" w:rsidRDefault="00C7266C" w:rsidP="00A63C15">
      <w:pPr>
        <w:spacing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en-IE" w:eastAsia="da-DK"/>
        </w:rPr>
        <w:t>6</w:t>
      </w:r>
      <w:r w:rsidRPr="00D403F5">
        <w:rPr>
          <w:rFonts w:ascii="Ottawa" w:eastAsia="MS Mincho" w:hAnsi="Ottawa" w:cs="Times New Roman"/>
          <w:b/>
          <w:sz w:val="18"/>
          <w:szCs w:val="18"/>
          <w:lang w:val="da-DK" w:eastAsia="da-DK"/>
        </w:rPr>
        <w:t>.1.</w:t>
      </w:r>
      <w:r w:rsidRPr="00D403F5">
        <w:rPr>
          <w:rFonts w:ascii="Ottawa" w:eastAsia="MS Mincho" w:hAnsi="Ottawa" w:cs="Times New Roman"/>
          <w:b/>
          <w:sz w:val="18"/>
          <w:szCs w:val="18"/>
          <w:lang w:val="da-DK" w:eastAsia="da-DK"/>
        </w:rPr>
        <w:tab/>
        <w:t>Apparently healthy animals or animals of unknown health</w:t>
      </w:r>
      <w:r w:rsidRPr="00D403F5">
        <w:rPr>
          <w:rFonts w:ascii="Ottawa" w:eastAsia="MS Mincho" w:hAnsi="Ottawa" w:cs="Times New Roman"/>
          <w:b/>
          <w:sz w:val="18"/>
          <w:szCs w:val="18"/>
          <w:lang w:val="en-IE" w:eastAsia="da-DK"/>
        </w:rPr>
        <w:t xml:space="preserve"> status</w:t>
      </w:r>
      <w:r w:rsidRPr="00D403F5">
        <w:rPr>
          <w:rFonts w:ascii="Ottawa" w:eastAsia="MS Mincho" w:hAnsi="Ottawa" w:cs="Arial"/>
          <w:b/>
          <w:sz w:val="18"/>
          <w:szCs w:val="18"/>
          <w:vertAlign w:val="superscript"/>
          <w:lang w:val="da-DK" w:eastAsia="da-DK"/>
        </w:rPr>
        <w:footnoteReference w:id="11"/>
      </w:r>
    </w:p>
    <w:p w14:paraId="1FBBF6D0" w14:textId="77777777" w:rsidR="00C7266C" w:rsidRPr="00D403F5" w:rsidRDefault="00C7266C" w:rsidP="00A63C15">
      <w:pPr>
        <w:spacing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6.1.1.</w:t>
      </w:r>
      <w:r w:rsidRPr="00D403F5">
        <w:rPr>
          <w:rFonts w:ascii="Ottawa" w:eastAsia="Times New Roman" w:hAnsi="Ottawa" w:cs="Times New Roman"/>
          <w:b/>
          <w:bCs/>
          <w:sz w:val="18"/>
          <w:szCs w:val="18"/>
          <w:lang w:eastAsia="fr-FR"/>
        </w:rPr>
        <w:tab/>
        <w:t>Definition of suspect case in apparently healthy animals</w:t>
      </w:r>
    </w:p>
    <w:p w14:paraId="08F84E5A" w14:textId="77777777" w:rsidR="00C7266C" w:rsidRPr="00D403F5" w:rsidRDefault="00C7266C" w:rsidP="00A63C15">
      <w:pPr>
        <w:spacing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presence of infection with VHSV shall be suspected if at least one of the following criteria is met:</w:t>
      </w:r>
    </w:p>
    <w:p w14:paraId="38E27C6E"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VHSV-typical CPE in cell cultures before confirmation;</w:t>
      </w:r>
    </w:p>
    <w:p w14:paraId="63CC6877"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A positive result from a real-time PCR assay;</w:t>
      </w:r>
    </w:p>
    <w:p w14:paraId="33D09BA3"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A positive result from a conventional PCR assay;</w:t>
      </w:r>
    </w:p>
    <w:p w14:paraId="64EF8019"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Detection of antibodies (by Ab-ELISA or serum neutralisation in adults only).</w:t>
      </w:r>
    </w:p>
    <w:p w14:paraId="53122EA6" w14:textId="77777777" w:rsidR="00C7266C" w:rsidRPr="00D403F5" w:rsidRDefault="00C7266C" w:rsidP="00A63C15">
      <w:pPr>
        <w:spacing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6.1.2.</w:t>
      </w:r>
      <w:r w:rsidRPr="00D403F5">
        <w:rPr>
          <w:rFonts w:ascii="Ottawa" w:eastAsia="Times New Roman" w:hAnsi="Ottawa" w:cs="Times New Roman"/>
          <w:b/>
          <w:bCs/>
          <w:sz w:val="18"/>
          <w:szCs w:val="18"/>
          <w:lang w:eastAsia="fr-FR"/>
        </w:rPr>
        <w:tab/>
        <w:t>Definition of confirmed case in apparently healthy animals</w:t>
      </w:r>
    </w:p>
    <w:p w14:paraId="7B9481E6" w14:textId="77777777" w:rsidR="00C7266C" w:rsidRPr="00D403F5" w:rsidRDefault="00C7266C" w:rsidP="00A63C15">
      <w:pPr>
        <w:spacing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 xml:space="preserve">The presence of infection with VHSV is considered to be confirmed if, in addition to the criteria in </w:t>
      </w:r>
      <w:r w:rsidRPr="00D403F5">
        <w:rPr>
          <w:rFonts w:ascii="Arial" w:eastAsia="Times New Roman" w:hAnsi="Arial" w:cs="Times New Roman"/>
          <w:bCs/>
          <w:spacing w:val="-2"/>
          <w:sz w:val="18"/>
          <w:szCs w:val="18"/>
          <w:lang w:val="en-IE"/>
        </w:rPr>
        <w:t>Section 6.1.1.</w:t>
      </w:r>
      <w:r w:rsidRPr="00D403F5">
        <w:rPr>
          <w:rFonts w:ascii="Arial" w:eastAsia="Times New Roman" w:hAnsi="Arial" w:cs="Times New Roman"/>
          <w:bCs/>
          <w:sz w:val="18"/>
          <w:szCs w:val="18"/>
          <w:lang w:val="en-IE"/>
        </w:rPr>
        <w:t>, one or more of the following criteria are met:</w:t>
      </w:r>
    </w:p>
    <w:p w14:paraId="0B484E77"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VHSV isolation in cell culture followed by virus identification by conventional RT-PCR, and by sequencing of the amplicon;</w:t>
      </w:r>
    </w:p>
    <w:p w14:paraId="6FF6F316"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VHSV isolation in cell culture, followed by virus identification by real-time RT-PCR, Ag-ELISA, or IFAT and detection of VHSV in tissue preparations by conventional RT-PCR and sequencing of the amplicon;</w:t>
      </w:r>
    </w:p>
    <w:p w14:paraId="6FD8743F"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 xml:space="preserve">VHSV isolation in cell culture, followed by virus identification by real-time RT-PCR, Ag-ELISA, or IFAT </w:t>
      </w:r>
      <w:bookmarkStart w:id="92" w:name="_Hlk23492996"/>
      <w:r w:rsidRPr="00D403F5">
        <w:rPr>
          <w:rFonts w:ascii="Arial" w:eastAsia="MS Mincho" w:hAnsi="Arial" w:cs="Arial"/>
          <w:sz w:val="18"/>
          <w:szCs w:val="18"/>
          <w:lang w:val="en-IE"/>
        </w:rPr>
        <w:t>and detection of VHSV in tissue preparations by real-time RT-PCR</w:t>
      </w:r>
      <w:bookmarkEnd w:id="92"/>
      <w:r w:rsidRPr="00D403F5">
        <w:rPr>
          <w:rFonts w:ascii="Arial" w:eastAsia="MS Mincho" w:hAnsi="Arial" w:cs="Arial"/>
          <w:sz w:val="18"/>
          <w:szCs w:val="18"/>
          <w:lang w:val="en-IE"/>
        </w:rPr>
        <w:t>;</w:t>
      </w:r>
    </w:p>
    <w:p w14:paraId="5DF08C3F"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Detection of VHSV in tissue preparations by real-time RT-PCR, and by conventional RT-PCR and sequencing of the amplicon.</w:t>
      </w:r>
    </w:p>
    <w:p w14:paraId="7041345C" w14:textId="77777777" w:rsidR="00C7266C" w:rsidRPr="00D403F5" w:rsidRDefault="00C7266C" w:rsidP="00A63C15">
      <w:pPr>
        <w:spacing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Reference Laboratories should be contacted for specimen referral when testing laboratories cannot undertake any of the recommended test methods and testing is being undertaken that will result in notification to the OIE.</w:t>
      </w:r>
    </w:p>
    <w:p w14:paraId="1082A7B5" w14:textId="77777777" w:rsidR="00C7266C" w:rsidRPr="00D403F5" w:rsidRDefault="00C7266C" w:rsidP="00A63C15">
      <w:pPr>
        <w:spacing w:line="240" w:lineRule="auto"/>
        <w:jc w:val="both"/>
        <w:rPr>
          <w:rFonts w:ascii="Ottawa" w:eastAsia="MS Mincho" w:hAnsi="Ottawa" w:cs="Times New Roman"/>
          <w:b/>
          <w:sz w:val="18"/>
          <w:szCs w:val="18"/>
          <w:lang w:val="da-DK" w:eastAsia="da-DK"/>
        </w:rPr>
      </w:pPr>
      <w:r w:rsidRPr="00D403F5">
        <w:rPr>
          <w:rFonts w:ascii="Ottawa" w:eastAsia="MS Mincho" w:hAnsi="Ottawa" w:cs="Times New Roman"/>
          <w:b/>
          <w:sz w:val="18"/>
          <w:szCs w:val="18"/>
          <w:lang w:val="da-DK" w:eastAsia="da-DK"/>
        </w:rPr>
        <w:t>6.2</w:t>
      </w:r>
      <w:r w:rsidRPr="00D403F5">
        <w:rPr>
          <w:rFonts w:ascii="Ottawa" w:eastAsia="MS Mincho" w:hAnsi="Ottawa" w:cs="Times New Roman"/>
          <w:b/>
          <w:sz w:val="18"/>
          <w:szCs w:val="18"/>
          <w:lang w:val="da-DK" w:eastAsia="da-DK"/>
        </w:rPr>
        <w:tab/>
        <w:t>Clinically affected animals</w:t>
      </w:r>
    </w:p>
    <w:p w14:paraId="7F688F03" w14:textId="77777777" w:rsidR="00C7266C" w:rsidRPr="00D403F5" w:rsidRDefault="00C7266C" w:rsidP="00A63C15">
      <w:pPr>
        <w:spacing w:line="240" w:lineRule="auto"/>
        <w:ind w:left="425"/>
        <w:jc w:val="both"/>
        <w:rPr>
          <w:rFonts w:ascii="Arial" w:eastAsia="Times New Roman" w:hAnsi="Arial" w:cs="Times New Roman"/>
          <w:sz w:val="18"/>
          <w:szCs w:val="18"/>
          <w:lang w:val="en-IE"/>
        </w:rPr>
      </w:pPr>
      <w:r w:rsidRPr="00D403F5">
        <w:rPr>
          <w:rFonts w:ascii="Arial" w:eastAsia="Times New Roman" w:hAnsi="Arial" w:cs="Times New Roman"/>
          <w:sz w:val="18"/>
          <w:szCs w:val="18"/>
          <w:lang w:val="en-IE"/>
        </w:rPr>
        <w:t>No clinical signs are pathognomonic for infection with VHSV however, they may narrow the range of possible diagnoses.</w:t>
      </w:r>
    </w:p>
    <w:p w14:paraId="69435222" w14:textId="77777777" w:rsidR="00C7266C" w:rsidRPr="00D403F5" w:rsidRDefault="00C7266C" w:rsidP="00A63C15">
      <w:pPr>
        <w:spacing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6.2.1. Definition of suspect case in clinically affected animals</w:t>
      </w:r>
    </w:p>
    <w:p w14:paraId="56B2DFB5" w14:textId="77777777" w:rsidR="00C7266C" w:rsidRPr="00D403F5" w:rsidRDefault="00C7266C" w:rsidP="00A63C15">
      <w:pPr>
        <w:spacing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presence of infection shall be suspected if at least one of the following criteria are met:</w:t>
      </w:r>
    </w:p>
    <w:p w14:paraId="273CF82D" w14:textId="77777777" w:rsidR="00C7266C" w:rsidRPr="00D403F5" w:rsidRDefault="00C7266C" w:rsidP="00A63C15">
      <w:pPr>
        <w:spacing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r>
      <w:r w:rsidRPr="00D403F5">
        <w:rPr>
          <w:rFonts w:ascii="Arial" w:eastAsia="MS Mincho" w:hAnsi="Arial" w:cs="Arial"/>
          <w:sz w:val="18"/>
          <w:szCs w:val="18"/>
          <w:lang w:val="en-IE" w:bidi="en-US"/>
        </w:rPr>
        <w:t xml:space="preserve">Gross pathology or clinical signs associated with </w:t>
      </w:r>
      <w:r w:rsidRPr="00D403F5">
        <w:rPr>
          <w:rFonts w:ascii="Arial" w:eastAsia="MS Mincho" w:hAnsi="Arial" w:cs="Arial"/>
          <w:sz w:val="18"/>
          <w:szCs w:val="18"/>
          <w:lang w:val="en-IE"/>
        </w:rPr>
        <w:t xml:space="preserve">infection with </w:t>
      </w:r>
      <w:r w:rsidRPr="00D403F5">
        <w:rPr>
          <w:rFonts w:ascii="Arial" w:eastAsia="MS Mincho" w:hAnsi="Arial" w:cs="Arial"/>
          <w:sz w:val="18"/>
          <w:szCs w:val="18"/>
          <w:lang w:val="en-IE" w:bidi="en-US"/>
        </w:rPr>
        <w:t>VHSV as described in this chapter, with or without elevated mortality;</w:t>
      </w:r>
    </w:p>
    <w:p w14:paraId="69098C85" w14:textId="77777777" w:rsidR="00C7266C" w:rsidRPr="00D403F5" w:rsidRDefault="00C7266C" w:rsidP="00D403F5">
      <w:pPr>
        <w:spacing w:after="0" w:line="240" w:lineRule="auto"/>
        <w:rPr>
          <w:rFonts w:ascii="Times New Roman" w:eastAsia="Times New Roman" w:hAnsi="Times New Roman" w:cs="Times New Roman"/>
          <w:noProof/>
          <w:sz w:val="18"/>
          <w:szCs w:val="18"/>
          <w:u w:val="single"/>
          <w:lang w:val="en-US"/>
        </w:rPr>
      </w:pPr>
      <w:r w:rsidRPr="00D403F5">
        <w:rPr>
          <w:rFonts w:ascii="Times New Roman" w:eastAsia="Times New Roman" w:hAnsi="Times New Roman" w:cs="Times New Roman"/>
          <w:noProof/>
          <w:sz w:val="18"/>
          <w:szCs w:val="18"/>
          <w:u w:val="single"/>
          <w:lang w:val="en-US"/>
        </w:rPr>
        <w:br w:type="page"/>
      </w:r>
    </w:p>
    <w:p w14:paraId="2E60B0AB" w14:textId="77777777" w:rsidR="00C7266C" w:rsidRPr="00D403F5" w:rsidRDefault="00C7266C"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4E666E9B"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 xml:space="preserve">Histopathological changes consistent with infection with </w:t>
      </w:r>
      <w:r w:rsidRPr="00D403F5">
        <w:rPr>
          <w:rFonts w:ascii="Arial" w:eastAsia="MS Mincho" w:hAnsi="Arial" w:cs="Arial"/>
          <w:sz w:val="18"/>
          <w:szCs w:val="18"/>
          <w:lang w:val="en-IE" w:bidi="en-US"/>
        </w:rPr>
        <w:t>VHSV as described in this chapter;</w:t>
      </w:r>
    </w:p>
    <w:p w14:paraId="4AAE0C05"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A positive result from real-time PCR, conventional PCR, or IFAT;</w:t>
      </w:r>
    </w:p>
    <w:p w14:paraId="1210023F"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A positive result from a conventional PCR;</w:t>
      </w:r>
    </w:p>
    <w:p w14:paraId="0B32E9FB"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Cytopathic effect in cell culture.</w:t>
      </w:r>
    </w:p>
    <w:p w14:paraId="3B46F369"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6.2.2.</w:t>
      </w:r>
      <w:r w:rsidRPr="00D403F5">
        <w:rPr>
          <w:rFonts w:ascii="Ottawa" w:eastAsia="Times New Roman" w:hAnsi="Ottawa" w:cs="Times New Roman"/>
          <w:b/>
          <w:bCs/>
          <w:sz w:val="18"/>
          <w:szCs w:val="18"/>
          <w:lang w:eastAsia="fr-FR"/>
        </w:rPr>
        <w:tab/>
        <w:t>Definition of confirmed case in clinically affected animals</w:t>
      </w:r>
    </w:p>
    <w:p w14:paraId="2BF4E9F3"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The presence of infection with VHSV shall be confirmed if positive results has been obtained on at least one animal from two tests used in the following combination:</w:t>
      </w:r>
    </w:p>
    <w:p w14:paraId="6DBFCAD8"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w:t>
      </w:r>
      <w:r w:rsidRPr="00D403F5">
        <w:rPr>
          <w:rFonts w:ascii="Arial" w:eastAsia="MS Mincho" w:hAnsi="Arial" w:cs="Arial"/>
          <w:sz w:val="18"/>
          <w:szCs w:val="18"/>
          <w:lang w:val="en-IE"/>
        </w:rPr>
        <w:tab/>
        <w:t>VHSV isolation in cell culture, followed by virus identification by conventional RT-PCR, and sequencing of the amplicon;</w:t>
      </w:r>
    </w:p>
    <w:p w14:paraId="71D5A9D1"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w:t>
      </w:r>
      <w:r w:rsidRPr="00D403F5">
        <w:rPr>
          <w:rFonts w:ascii="Arial" w:eastAsia="MS Mincho" w:hAnsi="Arial" w:cs="Arial"/>
          <w:sz w:val="18"/>
          <w:szCs w:val="18"/>
          <w:lang w:val="en-IE"/>
        </w:rPr>
        <w:tab/>
        <w:t>VHSV isolation in cell culture, followed by virus identification by real-time RT-PCR, Ag-ELISA, or IFAT and detection of VHSV in tissue preparations by conventional RT-PCR and sequencing of the amplicon;</w:t>
      </w:r>
    </w:p>
    <w:p w14:paraId="2CE09F9A"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iii)</w:t>
      </w:r>
      <w:r w:rsidRPr="00D403F5">
        <w:rPr>
          <w:rFonts w:ascii="Arial" w:eastAsia="MS Mincho" w:hAnsi="Arial" w:cs="Arial"/>
          <w:sz w:val="18"/>
          <w:szCs w:val="18"/>
          <w:lang w:val="en-IE"/>
        </w:rPr>
        <w:tab/>
        <w:t>VHSV isolation in cell culture, followed by virus identification by real-time RT-PCR, Ag-ELISA, or IFAT and detection of VHSV in tissue preparations by real-time RT-PCR;</w:t>
      </w:r>
    </w:p>
    <w:p w14:paraId="4057A758"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iv)</w:t>
      </w:r>
      <w:r w:rsidRPr="00D403F5">
        <w:rPr>
          <w:rFonts w:ascii="Arial" w:eastAsia="MS Mincho" w:hAnsi="Arial" w:cs="Arial"/>
          <w:sz w:val="18"/>
          <w:szCs w:val="18"/>
          <w:lang w:val="en-IE"/>
        </w:rPr>
        <w:tab/>
        <w:t>VHSV isolation in cell culture, followed by virus identification by real-time RT-PCR, Ag-ELISA, or IFAT and a positive result from immunohistopathology);</w:t>
      </w:r>
    </w:p>
    <w:p w14:paraId="7DBBB0FC" w14:textId="77777777" w:rsidR="00C7266C" w:rsidRPr="00D403F5" w:rsidRDefault="00C7266C" w:rsidP="00D403F5">
      <w:pPr>
        <w:spacing w:after="0" w:line="240" w:lineRule="auto"/>
        <w:ind w:left="1276" w:hanging="425"/>
        <w:jc w:val="both"/>
        <w:rPr>
          <w:rFonts w:ascii="Arial" w:eastAsia="MS Mincho" w:hAnsi="Arial" w:cs="Arial"/>
          <w:sz w:val="18"/>
          <w:szCs w:val="18"/>
          <w:lang w:val="en-IE"/>
        </w:rPr>
      </w:pPr>
      <w:r w:rsidRPr="00D403F5">
        <w:rPr>
          <w:rFonts w:ascii="Arial" w:eastAsia="MS Mincho" w:hAnsi="Arial" w:cs="Arial"/>
          <w:sz w:val="18"/>
          <w:szCs w:val="18"/>
          <w:lang w:val="en-IE"/>
        </w:rPr>
        <w:t>v)</w:t>
      </w:r>
      <w:r w:rsidRPr="00D403F5">
        <w:rPr>
          <w:rFonts w:ascii="Arial" w:eastAsia="MS Mincho" w:hAnsi="Arial" w:cs="Arial"/>
          <w:sz w:val="18"/>
          <w:szCs w:val="18"/>
          <w:lang w:val="en-IE"/>
        </w:rPr>
        <w:tab/>
        <w:t xml:space="preserve">Detection of VHSV in tissue preparations by real-time RT-PCR and by conventional RT-PCR, followed by sequencing of the amplicon. </w:t>
      </w:r>
    </w:p>
    <w:p w14:paraId="2481A178" w14:textId="77777777" w:rsidR="00C7266C" w:rsidRPr="00D403F5" w:rsidRDefault="00C7266C" w:rsidP="00D403F5">
      <w:pPr>
        <w:spacing w:after="0" w:line="240" w:lineRule="auto"/>
        <w:ind w:left="851"/>
        <w:jc w:val="both"/>
        <w:rPr>
          <w:rFonts w:ascii="Arial" w:eastAsia="Times New Roman" w:hAnsi="Arial" w:cs="Times New Roman"/>
          <w:bCs/>
          <w:sz w:val="18"/>
          <w:szCs w:val="18"/>
          <w:lang w:val="en-IE"/>
        </w:rPr>
      </w:pPr>
      <w:r w:rsidRPr="00D403F5">
        <w:rPr>
          <w:rFonts w:ascii="Arial" w:eastAsia="Times New Roman" w:hAnsi="Arial" w:cs="Times New Roman"/>
          <w:bCs/>
          <w:sz w:val="18"/>
          <w:szCs w:val="18"/>
          <w:lang w:val="en-IE"/>
        </w:rPr>
        <w:t>Reference Laboratories should be contacted for specimen referral when testing laboratories cannot undertake any of the recommended test methods and testing is being undertaken that will result in notification to the OIE.</w:t>
      </w:r>
    </w:p>
    <w:p w14:paraId="1C1C3E0E" w14:textId="77777777" w:rsidR="00C7266C" w:rsidRPr="00D403F5" w:rsidRDefault="00C7266C" w:rsidP="00D403F5">
      <w:pPr>
        <w:spacing w:after="0" w:line="240" w:lineRule="auto"/>
        <w:ind w:left="851" w:hanging="567"/>
        <w:jc w:val="both"/>
        <w:rPr>
          <w:rFonts w:ascii="Ottawa" w:eastAsia="Times New Roman" w:hAnsi="Ottawa" w:cs="Times New Roman"/>
          <w:b/>
          <w:bCs/>
          <w:sz w:val="18"/>
          <w:szCs w:val="18"/>
          <w:lang w:eastAsia="fr-FR"/>
        </w:rPr>
      </w:pPr>
      <w:r w:rsidRPr="00D403F5">
        <w:rPr>
          <w:rFonts w:ascii="Ottawa" w:eastAsia="Times New Roman" w:hAnsi="Ottawa" w:cs="Times New Roman"/>
          <w:b/>
          <w:bCs/>
          <w:sz w:val="18"/>
          <w:szCs w:val="18"/>
          <w:lang w:eastAsia="fr-FR"/>
        </w:rPr>
        <w:t>6.3.</w:t>
      </w:r>
      <w:r w:rsidRPr="00D403F5">
        <w:rPr>
          <w:rFonts w:ascii="Ottawa" w:eastAsia="Times New Roman" w:hAnsi="Ottawa" w:cs="Times New Roman"/>
          <w:b/>
          <w:bCs/>
          <w:sz w:val="18"/>
          <w:szCs w:val="18"/>
          <w:lang w:eastAsia="fr-FR"/>
        </w:rPr>
        <w:tab/>
        <w:t>Diagnostic sensitivity and specificity for diagnostic tests</w:t>
      </w:r>
    </w:p>
    <w:tbl>
      <w:tblPr>
        <w:tblW w:w="8898" w:type="dxa"/>
        <w:tblInd w:w="108" w:type="dxa"/>
        <w:tblCellMar>
          <w:left w:w="0" w:type="dxa"/>
          <w:right w:w="0" w:type="dxa"/>
        </w:tblCellMar>
        <w:tblLook w:val="04A0" w:firstRow="1" w:lastRow="0" w:firstColumn="1" w:lastColumn="0" w:noHBand="0" w:noVBand="1"/>
      </w:tblPr>
      <w:tblGrid>
        <w:gridCol w:w="733"/>
        <w:gridCol w:w="1134"/>
        <w:gridCol w:w="1134"/>
        <w:gridCol w:w="1276"/>
        <w:gridCol w:w="1134"/>
        <w:gridCol w:w="708"/>
        <w:gridCol w:w="709"/>
        <w:gridCol w:w="1071"/>
        <w:gridCol w:w="999"/>
      </w:tblGrid>
      <w:tr w:rsidR="00C7266C" w:rsidRPr="00D403F5" w14:paraId="04BC551E" w14:textId="77777777" w:rsidTr="00C7266C">
        <w:tc>
          <w:tcPr>
            <w:tcW w:w="7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85612D"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Test type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EDB6C4"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Test purpose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89589F"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Source populations</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1986F4"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Tissue or sample types</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D5B2B82"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Species</w:t>
            </w:r>
          </w:p>
        </w:tc>
        <w:tc>
          <w:tcPr>
            <w:tcW w:w="7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A11782"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DSe (</w:t>
            </w:r>
            <w:r w:rsidRPr="00D403F5">
              <w:rPr>
                <w:rFonts w:ascii="Arial Narrow" w:eastAsia="Times New Roman" w:hAnsi="Arial Narrow" w:cs="Times New Roman"/>
                <w:b/>
                <w:bCs/>
                <w:i/>
                <w:iCs/>
                <w:sz w:val="18"/>
                <w:szCs w:val="18"/>
                <w:lang w:val="en-IE" w:eastAsia="fr-FR"/>
              </w:rPr>
              <w:t>n</w:t>
            </w:r>
            <w:r w:rsidRPr="00D403F5">
              <w:rPr>
                <w:rFonts w:ascii="Arial Narrow" w:eastAsia="Times New Roman" w:hAnsi="Arial Narrow" w:cs="Times New Roman"/>
                <w:b/>
                <w:bCs/>
                <w:sz w:val="18"/>
                <w:szCs w:val="18"/>
                <w:lang w:val="en-IE" w:eastAsia="fr-FR"/>
              </w:rPr>
              <w:t>)</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80FA4AE"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DSp (</w:t>
            </w:r>
            <w:r w:rsidRPr="00D403F5">
              <w:rPr>
                <w:rFonts w:ascii="Arial Narrow" w:eastAsia="Times New Roman" w:hAnsi="Arial Narrow" w:cs="Times New Roman"/>
                <w:b/>
                <w:bCs/>
                <w:i/>
                <w:iCs/>
                <w:sz w:val="18"/>
                <w:szCs w:val="18"/>
                <w:lang w:val="en-IE" w:eastAsia="fr-FR"/>
              </w:rPr>
              <w:t>n</w:t>
            </w:r>
            <w:r w:rsidRPr="00D403F5">
              <w:rPr>
                <w:rFonts w:ascii="Arial Narrow" w:eastAsia="Times New Roman" w:hAnsi="Arial Narrow" w:cs="Times New Roman"/>
                <w:b/>
                <w:bCs/>
                <w:sz w:val="18"/>
                <w:szCs w:val="18"/>
                <w:lang w:val="en-IE" w:eastAsia="fr-FR"/>
              </w:rPr>
              <w:t>)</w:t>
            </w:r>
          </w:p>
        </w:tc>
        <w:tc>
          <w:tcPr>
            <w:tcW w:w="10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2D6182"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Reference test</w:t>
            </w:r>
          </w:p>
        </w:tc>
        <w:tc>
          <w:tcPr>
            <w:tcW w:w="9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0277D8" w14:textId="77777777" w:rsidR="00C7266C" w:rsidRPr="00D403F5" w:rsidRDefault="00C7266C" w:rsidP="00D403F5">
            <w:pPr>
              <w:spacing w:after="0" w:line="240" w:lineRule="auto"/>
              <w:ind w:left="-57"/>
              <w:jc w:val="center"/>
              <w:rPr>
                <w:rFonts w:ascii="Arial Narrow" w:eastAsia="Calibri" w:hAnsi="Arial Narrow" w:cs="Times New Roman"/>
                <w:sz w:val="18"/>
                <w:szCs w:val="18"/>
              </w:rPr>
            </w:pPr>
            <w:r w:rsidRPr="00D403F5">
              <w:rPr>
                <w:rFonts w:ascii="Arial Narrow" w:eastAsia="Times New Roman" w:hAnsi="Arial Narrow" w:cs="Times New Roman"/>
                <w:b/>
                <w:bCs/>
                <w:sz w:val="18"/>
                <w:szCs w:val="18"/>
                <w:lang w:val="en-IE" w:eastAsia="fr-FR"/>
              </w:rPr>
              <w:t>Citation</w:t>
            </w:r>
          </w:p>
        </w:tc>
      </w:tr>
      <w:tr w:rsidR="00C7266C" w:rsidRPr="00D403F5" w14:paraId="697575C3" w14:textId="77777777" w:rsidTr="00C7266C">
        <w:tc>
          <w:tcPr>
            <w:tcW w:w="7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81A037D"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Cell culture</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2904B6F7"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Surveillance</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34EBF26E"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Experimentally infected fish</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5AC0317D"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Kidney, heart and spleen</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1A3765D9"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Rainbow trout</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tcPr>
          <w:p w14:paraId="5A4AFCB7"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86 (84)</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09CDCBE1"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w:t>
            </w:r>
          </w:p>
        </w:tc>
        <w:tc>
          <w:tcPr>
            <w:tcW w:w="1071" w:type="dxa"/>
            <w:tcBorders>
              <w:top w:val="nil"/>
              <w:left w:val="nil"/>
              <w:bottom w:val="single" w:sz="8" w:space="0" w:color="auto"/>
              <w:right w:val="single" w:sz="8" w:space="0" w:color="auto"/>
            </w:tcBorders>
            <w:tcMar>
              <w:top w:w="0" w:type="dxa"/>
              <w:left w:w="108" w:type="dxa"/>
              <w:bottom w:w="0" w:type="dxa"/>
              <w:right w:w="108" w:type="dxa"/>
            </w:tcMar>
            <w:vAlign w:val="center"/>
          </w:tcPr>
          <w:p w14:paraId="37133095"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en-IE" w:eastAsia="fr-FR"/>
              </w:rPr>
              <w:t xml:space="preserve">Real-time </w:t>
            </w:r>
            <w:r w:rsidRPr="00D403F5">
              <w:rPr>
                <w:rFonts w:ascii="Arial Narrow" w:eastAsia="Times New Roman" w:hAnsi="Arial Narrow" w:cs="Times New Roman"/>
                <w:sz w:val="18"/>
                <w:szCs w:val="18"/>
                <w:lang w:val="en-IE" w:eastAsia="fr-FR"/>
              </w:rPr>
              <w:br/>
              <w:t>RT-PCR</w:t>
            </w:r>
          </w:p>
        </w:tc>
        <w:tc>
          <w:tcPr>
            <w:tcW w:w="999" w:type="dxa"/>
            <w:tcBorders>
              <w:top w:val="nil"/>
              <w:left w:val="nil"/>
              <w:bottom w:val="single" w:sz="8" w:space="0" w:color="auto"/>
              <w:right w:val="single" w:sz="8" w:space="0" w:color="auto"/>
            </w:tcBorders>
            <w:tcMar>
              <w:top w:w="0" w:type="dxa"/>
              <w:left w:w="108" w:type="dxa"/>
              <w:bottom w:w="0" w:type="dxa"/>
              <w:right w:w="108" w:type="dxa"/>
            </w:tcMar>
            <w:vAlign w:val="center"/>
          </w:tcPr>
          <w:p w14:paraId="763BA6A8"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noProof/>
                <w:sz w:val="18"/>
                <w:szCs w:val="18"/>
                <w:lang w:eastAsia="fr-FR"/>
              </w:rPr>
              <w:t xml:space="preserve">Jonstrup </w:t>
            </w:r>
            <w:r w:rsidRPr="00D403F5">
              <w:rPr>
                <w:rFonts w:ascii="Arial Narrow" w:eastAsia="Times New Roman" w:hAnsi="Arial Narrow" w:cs="Arial"/>
                <w:noProof/>
                <w:sz w:val="18"/>
                <w:szCs w:val="18"/>
                <w:lang w:eastAsia="fr-FR"/>
              </w:rPr>
              <w:br/>
            </w:r>
            <w:r w:rsidRPr="00D403F5">
              <w:rPr>
                <w:rFonts w:ascii="Arial Narrow" w:eastAsia="Times New Roman" w:hAnsi="Arial Narrow" w:cs="Arial"/>
                <w:i/>
                <w:sz w:val="18"/>
                <w:szCs w:val="18"/>
              </w:rPr>
              <w:t>et al.,</w:t>
            </w:r>
            <w:r w:rsidRPr="00D403F5">
              <w:rPr>
                <w:rFonts w:ascii="Arial Narrow" w:eastAsia="Times New Roman" w:hAnsi="Arial Narrow" w:cs="Arial"/>
                <w:sz w:val="18"/>
                <w:szCs w:val="18"/>
              </w:rPr>
              <w:t xml:space="preserve"> </w:t>
            </w:r>
            <w:r w:rsidRPr="00D403F5">
              <w:rPr>
                <w:rFonts w:ascii="Arial Narrow" w:eastAsia="Times New Roman" w:hAnsi="Arial Narrow" w:cs="Arial"/>
                <w:noProof/>
                <w:sz w:val="18"/>
                <w:szCs w:val="18"/>
                <w:lang w:eastAsia="fr-FR"/>
              </w:rPr>
              <w:t>201</w:t>
            </w:r>
          </w:p>
        </w:tc>
      </w:tr>
      <w:tr w:rsidR="00C7266C" w:rsidRPr="00D403F5" w14:paraId="03C86900" w14:textId="77777777" w:rsidTr="00C7266C">
        <w:tc>
          <w:tcPr>
            <w:tcW w:w="7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A33A7E9"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 xml:space="preserve">Real-time </w:t>
            </w:r>
            <w:r w:rsidRPr="00D403F5">
              <w:rPr>
                <w:rFonts w:ascii="Arial Narrow" w:eastAsia="Times New Roman" w:hAnsi="Arial Narrow" w:cs="Times New Roman"/>
                <w:sz w:val="18"/>
                <w:szCs w:val="18"/>
                <w:lang w:val="en-IE" w:eastAsia="fr-FR"/>
              </w:rPr>
              <w:br/>
              <w:t>RT-PCR</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0ABD68F8"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Surveillance</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1F70A4F9"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Experimentally infected fish</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F75A4BF"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Kidney</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14:paraId="1F3E0762"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Atlantic salmon</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tcPr>
          <w:p w14:paraId="29AE05D5"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Arial"/>
                <w:sz w:val="18"/>
                <w:szCs w:val="18"/>
                <w:lang w:eastAsia="fr-FR"/>
              </w:rPr>
              <w:t>93 (30)</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14227DF2"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Arial"/>
                <w:sz w:val="18"/>
                <w:szCs w:val="18"/>
                <w:lang w:eastAsia="fr-FR"/>
              </w:rPr>
              <w:t>100 (70)</w:t>
            </w:r>
          </w:p>
        </w:tc>
        <w:tc>
          <w:tcPr>
            <w:tcW w:w="1071" w:type="dxa"/>
            <w:tcBorders>
              <w:top w:val="nil"/>
              <w:left w:val="nil"/>
              <w:bottom w:val="single" w:sz="8" w:space="0" w:color="auto"/>
              <w:right w:val="single" w:sz="8" w:space="0" w:color="auto"/>
            </w:tcBorders>
            <w:tcMar>
              <w:top w:w="0" w:type="dxa"/>
              <w:left w:w="108" w:type="dxa"/>
              <w:bottom w:w="0" w:type="dxa"/>
              <w:right w:w="108" w:type="dxa"/>
            </w:tcMar>
            <w:vAlign w:val="center"/>
          </w:tcPr>
          <w:p w14:paraId="0A465DEC"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en-IE" w:eastAsia="fr-FR"/>
              </w:rPr>
              <w:t>Cell culture</w:t>
            </w:r>
          </w:p>
        </w:tc>
        <w:tc>
          <w:tcPr>
            <w:tcW w:w="999" w:type="dxa"/>
            <w:tcBorders>
              <w:top w:val="nil"/>
              <w:left w:val="nil"/>
              <w:bottom w:val="single" w:sz="8" w:space="0" w:color="auto"/>
              <w:right w:val="single" w:sz="8" w:space="0" w:color="auto"/>
            </w:tcBorders>
            <w:tcMar>
              <w:top w:w="0" w:type="dxa"/>
              <w:left w:w="108" w:type="dxa"/>
              <w:bottom w:w="0" w:type="dxa"/>
              <w:right w:w="108" w:type="dxa"/>
            </w:tcMar>
            <w:vAlign w:val="center"/>
          </w:tcPr>
          <w:p w14:paraId="488DD244"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 xml:space="preserve">Garver </w:t>
            </w:r>
            <w:r w:rsidRPr="00D403F5">
              <w:rPr>
                <w:rFonts w:ascii="Arial Narrow" w:eastAsia="Times New Roman" w:hAnsi="Arial Narrow" w:cs="Arial"/>
                <w:i/>
                <w:sz w:val="18"/>
                <w:szCs w:val="18"/>
              </w:rPr>
              <w:t>et al.,</w:t>
            </w:r>
            <w:r w:rsidRPr="00D403F5">
              <w:rPr>
                <w:rFonts w:ascii="Arial Narrow" w:eastAsia="Times New Roman" w:hAnsi="Arial Narrow" w:cs="Arial"/>
                <w:sz w:val="18"/>
                <w:szCs w:val="18"/>
              </w:rPr>
              <w:t xml:space="preserve"> </w:t>
            </w:r>
            <w:r w:rsidRPr="00D403F5">
              <w:rPr>
                <w:rFonts w:ascii="Arial Narrow" w:eastAsia="Times New Roman" w:hAnsi="Arial Narrow" w:cs="Arial"/>
                <w:sz w:val="18"/>
                <w:szCs w:val="18"/>
                <w:lang w:eastAsia="fr-FR"/>
              </w:rPr>
              <w:t>2011</w:t>
            </w:r>
          </w:p>
        </w:tc>
      </w:tr>
      <w:tr w:rsidR="00C7266C" w:rsidRPr="00D403F5" w14:paraId="6F57D386" w14:textId="77777777" w:rsidTr="00C7266C">
        <w:tc>
          <w:tcPr>
            <w:tcW w:w="7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A70E6DD"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 xml:space="preserve">Real-time </w:t>
            </w:r>
            <w:r w:rsidRPr="00D403F5">
              <w:rPr>
                <w:rFonts w:ascii="Arial Narrow" w:eastAsia="Times New Roman" w:hAnsi="Arial Narrow" w:cs="Times New Roman"/>
                <w:sz w:val="18"/>
                <w:szCs w:val="18"/>
                <w:lang w:val="en-IE" w:eastAsia="fr-FR"/>
              </w:rPr>
              <w:br/>
              <w:t>RT-PCR</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855792A"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Surveillance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21601AC"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Times New Roman"/>
                <w:sz w:val="18"/>
                <w:szCs w:val="18"/>
                <w:lang w:val="en-IE" w:eastAsia="fr-FR"/>
              </w:rPr>
              <w:t>Experimentally infected fish</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14AECEA"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en-IE" w:eastAsia="fr-FR"/>
              </w:rPr>
            </w:pPr>
            <w:r w:rsidRPr="00D403F5">
              <w:rPr>
                <w:rFonts w:ascii="Arial Narrow" w:eastAsia="Times New Roman" w:hAnsi="Arial Narrow" w:cs="Arial"/>
                <w:sz w:val="18"/>
                <w:szCs w:val="18"/>
                <w:lang w:eastAsia="fr-FR"/>
              </w:rPr>
              <w:t>Kidney, heart and spleen</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26FA725" w14:textId="77777777" w:rsidR="00C7266C" w:rsidRPr="00D403F5" w:rsidRDefault="00C7266C" w:rsidP="00D403F5">
            <w:pPr>
              <w:spacing w:after="0" w:line="240" w:lineRule="auto"/>
              <w:ind w:left="-57"/>
              <w:jc w:val="center"/>
              <w:rPr>
                <w:rFonts w:ascii="Arial Narrow" w:eastAsia="Times New Roman" w:hAnsi="Arial Narrow" w:cs="Arial"/>
                <w:sz w:val="18"/>
                <w:szCs w:val="18"/>
                <w:lang w:eastAsia="fr-FR"/>
              </w:rPr>
            </w:pPr>
            <w:r w:rsidRPr="00D403F5">
              <w:rPr>
                <w:rFonts w:ascii="Arial Narrow" w:eastAsia="Times New Roman" w:hAnsi="Arial Narrow" w:cs="Arial"/>
                <w:sz w:val="18"/>
                <w:szCs w:val="18"/>
                <w:lang w:eastAsia="fr-FR"/>
              </w:rPr>
              <w:t>Rainbow trout</w:t>
            </w:r>
          </w:p>
        </w:tc>
        <w:tc>
          <w:tcPr>
            <w:tcW w:w="7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06C23FD"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90 (84)</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AD69D2"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100 (43)</w:t>
            </w:r>
          </w:p>
        </w:tc>
        <w:tc>
          <w:tcPr>
            <w:tcW w:w="10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AC146A7" w14:textId="77777777" w:rsidR="00C7266C" w:rsidRPr="00D403F5" w:rsidRDefault="00C7266C" w:rsidP="00D403F5">
            <w:pPr>
              <w:spacing w:after="0" w:line="240" w:lineRule="auto"/>
              <w:ind w:left="-57"/>
              <w:jc w:val="center"/>
              <w:rPr>
                <w:rFonts w:ascii="Arial Narrow" w:eastAsia="Times New Roman" w:hAnsi="Arial Narrow" w:cs="Times New Roman"/>
                <w:sz w:val="18"/>
                <w:szCs w:val="18"/>
                <w:lang w:val="fr-FR" w:eastAsia="fr-FR"/>
              </w:rPr>
            </w:pPr>
            <w:r w:rsidRPr="00D403F5">
              <w:rPr>
                <w:rFonts w:ascii="Arial Narrow" w:eastAsia="Times New Roman" w:hAnsi="Arial Narrow" w:cs="Times New Roman"/>
                <w:sz w:val="18"/>
                <w:szCs w:val="18"/>
                <w:lang w:val="fr-FR" w:eastAsia="fr-FR"/>
              </w:rPr>
              <w:t>Cell culture</w:t>
            </w:r>
          </w:p>
        </w:tc>
        <w:tc>
          <w:tcPr>
            <w:tcW w:w="9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3C03256" w14:textId="77777777" w:rsidR="00C7266C" w:rsidRPr="00D403F5" w:rsidRDefault="00C7266C" w:rsidP="00D403F5">
            <w:pPr>
              <w:spacing w:after="0" w:line="240" w:lineRule="auto"/>
              <w:ind w:left="-57"/>
              <w:jc w:val="center"/>
              <w:rPr>
                <w:rFonts w:ascii="Arial Narrow" w:eastAsia="Times New Roman" w:hAnsi="Arial Narrow" w:cs="Arial"/>
                <w:noProof/>
                <w:sz w:val="18"/>
                <w:szCs w:val="18"/>
                <w:lang w:eastAsia="fr-FR"/>
              </w:rPr>
            </w:pPr>
            <w:r w:rsidRPr="00D403F5">
              <w:rPr>
                <w:rFonts w:ascii="Arial Narrow" w:eastAsia="Times New Roman" w:hAnsi="Arial Narrow" w:cs="Arial"/>
                <w:noProof/>
                <w:sz w:val="18"/>
                <w:szCs w:val="18"/>
                <w:lang w:eastAsia="fr-FR"/>
              </w:rPr>
              <w:t xml:space="preserve">Jonstrup </w:t>
            </w:r>
            <w:r w:rsidRPr="00D403F5">
              <w:rPr>
                <w:rFonts w:ascii="Arial Narrow" w:eastAsia="Times New Roman" w:hAnsi="Arial Narrow" w:cs="Arial"/>
                <w:noProof/>
                <w:sz w:val="18"/>
                <w:szCs w:val="18"/>
                <w:lang w:eastAsia="fr-FR"/>
              </w:rPr>
              <w:br/>
            </w:r>
            <w:r w:rsidRPr="00D403F5">
              <w:rPr>
                <w:rFonts w:ascii="Arial Narrow" w:eastAsia="Times New Roman" w:hAnsi="Arial Narrow" w:cs="Arial"/>
                <w:i/>
                <w:sz w:val="18"/>
                <w:szCs w:val="18"/>
              </w:rPr>
              <w:t>et al.,</w:t>
            </w:r>
            <w:r w:rsidRPr="00D403F5">
              <w:rPr>
                <w:rFonts w:ascii="Arial Narrow" w:eastAsia="Times New Roman" w:hAnsi="Arial Narrow" w:cs="Arial"/>
                <w:sz w:val="18"/>
                <w:szCs w:val="18"/>
              </w:rPr>
              <w:t xml:space="preserve"> </w:t>
            </w:r>
            <w:r w:rsidRPr="00D403F5">
              <w:rPr>
                <w:rFonts w:ascii="Arial Narrow" w:eastAsia="Times New Roman" w:hAnsi="Arial Narrow" w:cs="Arial"/>
                <w:noProof/>
                <w:sz w:val="18"/>
                <w:szCs w:val="18"/>
                <w:lang w:eastAsia="fr-FR"/>
              </w:rPr>
              <w:t>201</w:t>
            </w:r>
          </w:p>
        </w:tc>
      </w:tr>
    </w:tbl>
    <w:p w14:paraId="175AA40F" w14:textId="77777777" w:rsidR="00C7266C" w:rsidRPr="00D403F5" w:rsidRDefault="00C7266C" w:rsidP="00D403F5">
      <w:pPr>
        <w:spacing w:after="0"/>
        <w:ind w:firstLine="284"/>
        <w:jc w:val="center"/>
        <w:rPr>
          <w:rFonts w:ascii="Calibri" w:eastAsia="Calibri" w:hAnsi="Calibri" w:cs="Times New Roman"/>
          <w:sz w:val="18"/>
          <w:szCs w:val="18"/>
          <w:lang w:val="en-NZ"/>
        </w:rPr>
      </w:pPr>
      <w:r w:rsidRPr="00D403F5">
        <w:rPr>
          <w:rFonts w:ascii="Arial" w:eastAsia="Calibri" w:hAnsi="Arial" w:cs="Arial"/>
          <w:sz w:val="18"/>
          <w:szCs w:val="18"/>
          <w:lang w:val="en-NZ"/>
        </w:rPr>
        <w:t>DSe: = diagnostic sensitivity, DSp = diagnostic specificity.</w:t>
      </w:r>
    </w:p>
    <w:p w14:paraId="0B5487FA" w14:textId="77777777" w:rsidR="00C7266C" w:rsidRPr="00D403F5" w:rsidRDefault="00C7266C" w:rsidP="00D403F5">
      <w:pPr>
        <w:spacing w:after="0" w:line="240" w:lineRule="auto"/>
        <w:ind w:left="284" w:hanging="284"/>
        <w:jc w:val="both"/>
        <w:rPr>
          <w:rFonts w:ascii="Ottawa" w:eastAsia="MS Mincho" w:hAnsi="Ottawa" w:cs="Times New Roman"/>
          <w:b/>
          <w:sz w:val="18"/>
          <w:szCs w:val="18"/>
          <w:lang w:eastAsia="fr-FR" w:bidi="en-US"/>
        </w:rPr>
      </w:pPr>
      <w:r w:rsidRPr="00D403F5">
        <w:rPr>
          <w:rFonts w:ascii="Ottawa" w:eastAsia="MS Mincho" w:hAnsi="Ottawa" w:cs="Times New Roman"/>
          <w:b/>
          <w:sz w:val="18"/>
          <w:szCs w:val="18"/>
          <w:lang w:eastAsia="fr-FR" w:bidi="en-US"/>
        </w:rPr>
        <w:t>7.</w:t>
      </w:r>
      <w:r w:rsidRPr="00D403F5">
        <w:rPr>
          <w:rFonts w:ascii="Ottawa" w:eastAsia="MS Mincho" w:hAnsi="Ottawa" w:cs="Times New Roman"/>
          <w:b/>
          <w:sz w:val="18"/>
          <w:szCs w:val="18"/>
          <w:lang w:eastAsia="fr-FR" w:bidi="en-US"/>
        </w:rPr>
        <w:tab/>
        <w:t>References</w:t>
      </w:r>
    </w:p>
    <w:p w14:paraId="44F141F5"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Ahne</w:t>
      </w:r>
      <w:r w:rsidRPr="00D403F5">
        <w:rPr>
          <w:rFonts w:ascii="Arial" w:eastAsia="Times New Roman" w:hAnsi="Arial" w:cs="Arial"/>
          <w:sz w:val="18"/>
          <w:szCs w:val="18"/>
          <w:lang w:bidi="en-US"/>
        </w:rPr>
        <w:t xml:space="preserve"> W. (1982). Vergleichende Untersuchung über die Stabilität von vier fischpatogenen Viren (VHSV, PFR, SVCV, IPNV) (Comparative studies on the stability of four fish-pathogenic viruses [VHSV, PFR, SVCV, IPNV]). </w:t>
      </w:r>
      <w:r w:rsidRPr="00D403F5">
        <w:rPr>
          <w:rFonts w:ascii="Arial" w:eastAsia="Times New Roman" w:hAnsi="Arial" w:cs="Arial"/>
          <w:i/>
          <w:sz w:val="18"/>
          <w:szCs w:val="18"/>
          <w:lang w:bidi="en-US"/>
        </w:rPr>
        <w:t xml:space="preserve">Zentralbl. Veterinarmed. </w:t>
      </w:r>
      <w:r w:rsidRPr="00D403F5">
        <w:rPr>
          <w:rFonts w:ascii="Arial" w:eastAsia="Times New Roman" w:hAnsi="Arial" w:cs="Arial"/>
          <w:sz w:val="18"/>
          <w:szCs w:val="18"/>
          <w:lang w:bidi="en-US"/>
        </w:rPr>
        <w:t>[</w:t>
      </w:r>
      <w:r w:rsidRPr="00D403F5">
        <w:rPr>
          <w:rFonts w:ascii="Arial" w:eastAsia="Times New Roman" w:hAnsi="Arial" w:cs="Arial"/>
          <w:i/>
          <w:sz w:val="18"/>
          <w:szCs w:val="18"/>
          <w:lang w:bidi="en-US"/>
        </w:rPr>
        <w:t>B</w:t>
      </w:r>
      <w:r w:rsidRPr="00D403F5">
        <w:rPr>
          <w:rFonts w:ascii="Arial" w:eastAsia="Times New Roman" w:hAnsi="Arial" w:cs="Arial"/>
          <w:sz w:val="18"/>
          <w:szCs w:val="18"/>
          <w:lang w:bidi="en-US"/>
        </w:rPr>
        <w:t>]</w:t>
      </w:r>
      <w:r w:rsidRPr="00D403F5">
        <w:rPr>
          <w:rFonts w:ascii="Arial" w:eastAsia="Times New Roman" w:hAnsi="Arial" w:cs="Arial"/>
          <w:i/>
          <w:sz w:val="18"/>
          <w:szCs w:val="18"/>
          <w:lang w:bidi="en-US"/>
        </w:rPr>
        <w:t>,</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29</w:t>
      </w:r>
      <w:r w:rsidRPr="00D403F5">
        <w:rPr>
          <w:rFonts w:ascii="Arial" w:eastAsia="Times New Roman" w:hAnsi="Arial" w:cs="Arial"/>
          <w:sz w:val="18"/>
          <w:szCs w:val="18"/>
          <w:lang w:bidi="en-US"/>
        </w:rPr>
        <w:t>, 457–476. (In German).</w:t>
      </w:r>
    </w:p>
    <w:p w14:paraId="767C406C"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Altuntas C. &amp; Ogut H.</w:t>
      </w:r>
      <w:r w:rsidRPr="00D403F5">
        <w:rPr>
          <w:rFonts w:ascii="Arial" w:eastAsia="Times New Roman" w:hAnsi="Arial" w:cs="Times New Roman"/>
          <w:bCs/>
          <w:sz w:val="18"/>
          <w:szCs w:val="18"/>
          <w:lang w:val="en-IE" w:bidi="en-US"/>
        </w:rPr>
        <w:t xml:space="preserve"> (2010). Monthly occurrence and prevalence of viral haemorrhagic septicaemia virus (VHSV) in whiting </w:t>
      </w:r>
      <w:r w:rsidRPr="00D403F5">
        <w:rPr>
          <w:rFonts w:ascii="Arial" w:eastAsia="Times New Roman" w:hAnsi="Arial" w:cs="Times New Roman"/>
          <w:bCs/>
          <w:i/>
          <w:sz w:val="18"/>
          <w:szCs w:val="18"/>
          <w:lang w:val="en-IE" w:bidi="en-US"/>
        </w:rPr>
        <w:t>Merlangius merlangus. Dis. Aquat. Org</w:t>
      </w:r>
      <w:r w:rsidRPr="00D403F5">
        <w:rPr>
          <w:rFonts w:ascii="Arial" w:eastAsia="Times New Roman" w:hAnsi="Arial" w:cs="Times New Roman"/>
          <w:bCs/>
          <w:sz w:val="18"/>
          <w:szCs w:val="18"/>
          <w:lang w:val="en-IE" w:bidi="en-US"/>
        </w:rPr>
        <w:t xml:space="preserve">., </w:t>
      </w:r>
      <w:r w:rsidRPr="00D403F5">
        <w:rPr>
          <w:rFonts w:ascii="Arial" w:eastAsia="Times New Roman" w:hAnsi="Arial" w:cs="Times New Roman"/>
          <w:b/>
          <w:bCs/>
          <w:sz w:val="18"/>
          <w:szCs w:val="18"/>
          <w:lang w:val="en-IE" w:bidi="en-US"/>
        </w:rPr>
        <w:t>88</w:t>
      </w:r>
      <w:r w:rsidRPr="00D403F5">
        <w:rPr>
          <w:rFonts w:ascii="Arial" w:eastAsia="Times New Roman" w:hAnsi="Arial" w:cs="Times New Roman"/>
          <w:bCs/>
          <w:sz w:val="18"/>
          <w:szCs w:val="18"/>
          <w:lang w:val="en-IE" w:bidi="en-US"/>
        </w:rPr>
        <w:t>, 107–113.</w:t>
      </w:r>
    </w:p>
    <w:p w14:paraId="17C06912"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Arkush K.D., Mendonca H.L., Mcbride A.M., Yun S., Mcdowell T.S. &amp; Hedrick R.P.</w:t>
      </w:r>
      <w:r w:rsidRPr="00D403F5">
        <w:rPr>
          <w:rFonts w:ascii="Arial" w:eastAsia="Times New Roman" w:hAnsi="Arial" w:cs="Arial"/>
          <w:sz w:val="18"/>
          <w:szCs w:val="18"/>
          <w:lang w:bidi="en-US"/>
        </w:rPr>
        <w:t xml:space="preserve"> (2006). Effects of temperature on infectivity and of commercial freezing on survival of the North American strain of viral hemorrhagic septicemia virus (VHSV).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69</w:t>
      </w:r>
      <w:r w:rsidRPr="00D403F5">
        <w:rPr>
          <w:rFonts w:ascii="Arial" w:eastAsia="Times New Roman" w:hAnsi="Arial" w:cs="Arial"/>
          <w:sz w:val="18"/>
          <w:szCs w:val="18"/>
          <w:lang w:val="nb-NO" w:bidi="en-US"/>
        </w:rPr>
        <w:t>, 145–151.</w:t>
      </w:r>
    </w:p>
    <w:p w14:paraId="4B8B985A" w14:textId="77777777" w:rsidR="00C7266C" w:rsidRPr="00D403F5" w:rsidRDefault="00C7266C" w:rsidP="00D403F5">
      <w:pPr>
        <w:spacing w:after="0"/>
        <w:rPr>
          <w:rFonts w:ascii="Times New Roman" w:eastAsia="Times New Roman" w:hAnsi="Times New Roman" w:cs="Times New Roman"/>
          <w:noProof/>
          <w:sz w:val="18"/>
          <w:szCs w:val="18"/>
          <w:u w:val="single"/>
          <w:lang w:val="en-US"/>
        </w:rPr>
      </w:pPr>
      <w:r w:rsidRPr="00D403F5">
        <w:rPr>
          <w:rFonts w:ascii="Times New Roman" w:eastAsia="Times New Roman" w:hAnsi="Times New Roman" w:cs="Times New Roman"/>
          <w:noProof/>
          <w:sz w:val="18"/>
          <w:szCs w:val="18"/>
          <w:u w:val="single"/>
          <w:lang w:val="en-US"/>
        </w:rPr>
        <w:br w:type="page"/>
      </w:r>
    </w:p>
    <w:p w14:paraId="4560931B" w14:textId="77777777" w:rsidR="00C7266C" w:rsidRPr="00D403F5" w:rsidRDefault="00C7266C" w:rsidP="00A63C15">
      <w:pPr>
        <w:spacing w:after="48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24F8478E"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smallCaps/>
          <w:sz w:val="18"/>
          <w:szCs w:val="18"/>
          <w:lang w:val="nb-NO" w:bidi="en-US"/>
        </w:rPr>
        <w:t>Auinger B.M., Pfandl K. &amp; Boenigk J.</w:t>
      </w:r>
      <w:r w:rsidRPr="00D403F5">
        <w:rPr>
          <w:rFonts w:ascii="Arial" w:eastAsia="Times New Roman" w:hAnsi="Arial" w:cs="Times New Roman"/>
          <w:sz w:val="18"/>
          <w:szCs w:val="18"/>
          <w:lang w:val="nb-NO" w:bidi="en-US"/>
        </w:rPr>
        <w:t xml:space="preserve"> (2008). </w:t>
      </w:r>
      <w:r w:rsidRPr="00D403F5">
        <w:rPr>
          <w:rFonts w:ascii="Arial" w:eastAsia="Times New Roman" w:hAnsi="Arial" w:cs="Times New Roman"/>
          <w:sz w:val="18"/>
          <w:szCs w:val="18"/>
          <w:lang w:val="en-IE" w:bidi="en-US"/>
        </w:rPr>
        <w:t xml:space="preserve">Improved methodology for identification of protists and microalgae from plankton samples preserved in Lugol’s iodine solution: combining microscopic analysis with single-cell PCR. </w:t>
      </w:r>
      <w:r w:rsidRPr="00D403F5">
        <w:rPr>
          <w:rFonts w:ascii="Arial" w:eastAsia="Times New Roman" w:hAnsi="Arial" w:cs="Times New Roman"/>
          <w:i/>
          <w:sz w:val="18"/>
          <w:szCs w:val="18"/>
          <w:lang w:val="en-IE" w:bidi="en-US"/>
        </w:rPr>
        <w:t xml:space="preserve">Appl. Environ. Microbiol., </w:t>
      </w:r>
      <w:r w:rsidRPr="00D403F5">
        <w:rPr>
          <w:rFonts w:ascii="Arial" w:eastAsia="Times New Roman" w:hAnsi="Arial" w:cs="Times New Roman"/>
          <w:b/>
          <w:sz w:val="18"/>
          <w:szCs w:val="18"/>
          <w:lang w:val="en-IE" w:bidi="en-US"/>
        </w:rPr>
        <w:t>74</w:t>
      </w:r>
      <w:r w:rsidRPr="00D403F5">
        <w:rPr>
          <w:rFonts w:ascii="Arial" w:eastAsia="Times New Roman" w:hAnsi="Arial" w:cs="Times New Roman"/>
          <w:sz w:val="18"/>
          <w:szCs w:val="18"/>
          <w:lang w:val="en-IE" w:bidi="en-US"/>
        </w:rPr>
        <w:t>, 2505–2510.</w:t>
      </w:r>
    </w:p>
    <w:p w14:paraId="63DDD6C5" w14:textId="77777777" w:rsidR="00C7266C" w:rsidRPr="00D403F5" w:rsidRDefault="00C7266C" w:rsidP="00D403F5">
      <w:pPr>
        <w:spacing w:after="0" w:line="240" w:lineRule="auto"/>
        <w:jc w:val="both"/>
        <w:rPr>
          <w:rFonts w:ascii="Arial" w:eastAsia="Times New Roman" w:hAnsi="Arial" w:cs="Arial"/>
          <w:smallCaps/>
          <w:sz w:val="18"/>
          <w:szCs w:val="18"/>
          <w:lang w:bidi="en-US"/>
        </w:rPr>
      </w:pPr>
      <w:r w:rsidRPr="00D403F5">
        <w:rPr>
          <w:rFonts w:ascii="Arial" w:eastAsia="Times New Roman" w:hAnsi="Arial" w:cs="Times New Roman"/>
          <w:smallCaps/>
          <w:sz w:val="18"/>
          <w:szCs w:val="18"/>
          <w:lang w:val="en-IE" w:bidi="en-US"/>
        </w:rPr>
        <w:t>Batts W.N., Traxler G.S. &amp; Winton J.R</w:t>
      </w:r>
      <w:r w:rsidRPr="00D403F5">
        <w:rPr>
          <w:rFonts w:ascii="Arial" w:eastAsia="Times New Roman" w:hAnsi="Arial" w:cs="Times New Roman"/>
          <w:sz w:val="18"/>
          <w:szCs w:val="18"/>
          <w:lang w:val="en-IE" w:bidi="en-US"/>
        </w:rPr>
        <w:t xml:space="preserve">. (1991). Factors affecting the efficiency of plating for selected fish rhabdoviruses. </w:t>
      </w:r>
      <w:r w:rsidRPr="00D403F5">
        <w:rPr>
          <w:rFonts w:ascii="Arial" w:eastAsia="Times New Roman" w:hAnsi="Arial" w:cs="Times New Roman"/>
          <w:i/>
          <w:sz w:val="18"/>
          <w:szCs w:val="18"/>
          <w:lang w:val="en-IE" w:bidi="en-US"/>
        </w:rPr>
        <w:t>In:</w:t>
      </w:r>
      <w:r w:rsidRPr="00D403F5">
        <w:rPr>
          <w:rFonts w:ascii="Arial" w:eastAsia="Times New Roman" w:hAnsi="Arial" w:cs="Times New Roman"/>
          <w:sz w:val="18"/>
          <w:szCs w:val="18"/>
          <w:lang w:val="en-IE" w:bidi="en-US"/>
        </w:rPr>
        <w:t xml:space="preserve"> Proceeding of the 2nd International Symposium on Viruses of Lower Vertebrates, Fryer J.L., ed. July 29–31, Oregon University, Corvallis, OR, 17−24.</w:t>
      </w:r>
    </w:p>
    <w:p w14:paraId="508528A5"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Bovo G., Håstein T., Hill B., LaPatra S., Michel C., Olesen N.J., Shchelkunov I., Storset A., Wollfrom T. &amp; Midtlying P.J.</w:t>
      </w:r>
      <w:r w:rsidRPr="00D403F5">
        <w:rPr>
          <w:rFonts w:ascii="Arial" w:eastAsia="Times New Roman" w:hAnsi="Arial" w:cs="Arial"/>
          <w:sz w:val="18"/>
          <w:szCs w:val="18"/>
          <w:lang w:bidi="en-US"/>
        </w:rPr>
        <w:t xml:space="preserve"> (2005a). QLK2-CT-2002-01546: Fish Egg Trade Work package 1 report: Hazard identification for vertical transfer of fish disease agents, 1–35. VESO, P.O. Box 8109, Dep., N-0032 Oslo, Norway. </w:t>
      </w:r>
    </w:p>
    <w:p w14:paraId="1F751D0E"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Bovo G., Hill B., Husby A., Håstein T., Michel C., Olesen N.J., Storset A. &amp; Midtlyng P.</w:t>
      </w:r>
      <w:r w:rsidRPr="00D403F5">
        <w:rPr>
          <w:rFonts w:ascii="Arial" w:eastAsia="Times New Roman" w:hAnsi="Arial" w:cs="Arial"/>
          <w:sz w:val="18"/>
          <w:szCs w:val="18"/>
          <w:lang w:bidi="en-US"/>
        </w:rPr>
        <w:t xml:space="preserve"> (2005b). Fish Egg Trade Work package 3 report: Pathogen survival outside the host, and susceptibility to disinfection, 1–53. VESO, P.O. Box 8109 Dep., N-0032 Oslo, Norway. Available at: http://</w:t>
      </w:r>
      <w:hyperlink r:id="rId147" w:history="1">
        <w:r w:rsidRPr="00D403F5">
          <w:rPr>
            <w:rFonts w:ascii="Arial" w:eastAsia="Times New Roman" w:hAnsi="Arial" w:cs="Arial"/>
            <w:color w:val="0000FF"/>
            <w:sz w:val="18"/>
            <w:szCs w:val="18"/>
            <w:lang w:bidi="en-US"/>
          </w:rPr>
          <w:t>www.eurl-fish.eu/-/media/Sites/EURL-FISH/english/activities/scientific%20reports/fisheggtrade%20wp_3.ashx?la=da</w:t>
        </w:r>
      </w:hyperlink>
      <w:r w:rsidRPr="00D403F5">
        <w:rPr>
          <w:rFonts w:ascii="Arial" w:eastAsia="Times New Roman" w:hAnsi="Arial" w:cs="Arial"/>
          <w:sz w:val="18"/>
          <w:szCs w:val="18"/>
          <w:lang w:bidi="en-US"/>
        </w:rPr>
        <w:t xml:space="preserve"> </w:t>
      </w:r>
    </w:p>
    <w:p w14:paraId="6AE87721"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s-ES" w:bidi="en-US"/>
        </w:rPr>
        <w:t>Chico V., Gomez N., Estepa A. &amp; Perez L.</w:t>
      </w:r>
      <w:r w:rsidRPr="00D403F5">
        <w:rPr>
          <w:rFonts w:ascii="Arial" w:eastAsia="Times New Roman" w:hAnsi="Arial" w:cs="Times New Roman"/>
          <w:bCs/>
          <w:sz w:val="18"/>
          <w:szCs w:val="18"/>
          <w:lang w:val="es-ES" w:bidi="en-US"/>
        </w:rPr>
        <w:t xml:space="preserve"> (2006). </w:t>
      </w:r>
      <w:r w:rsidRPr="00D403F5">
        <w:rPr>
          <w:rFonts w:ascii="Arial" w:eastAsia="Times New Roman" w:hAnsi="Arial" w:cs="Times New Roman"/>
          <w:bCs/>
          <w:sz w:val="18"/>
          <w:szCs w:val="18"/>
          <w:lang w:val="en-IE" w:bidi="en-US"/>
        </w:rPr>
        <w:t xml:space="preserve">Rapid detection and quantitation of viral hemorrhagic septicemia virus in experimentally challenged rainbow trout by real-time RT-PCR. </w:t>
      </w:r>
      <w:r w:rsidRPr="00D403F5">
        <w:rPr>
          <w:rFonts w:ascii="Arial" w:eastAsia="Times New Roman" w:hAnsi="Arial" w:cs="Times New Roman"/>
          <w:bCs/>
          <w:i/>
          <w:sz w:val="18"/>
          <w:szCs w:val="18"/>
          <w:lang w:val="en-IE" w:bidi="en-US"/>
        </w:rPr>
        <w:t>J. Virol. Methods</w:t>
      </w:r>
      <w:r w:rsidRPr="00D403F5">
        <w:rPr>
          <w:rFonts w:ascii="Arial" w:eastAsia="Times New Roman" w:hAnsi="Arial" w:cs="Times New Roman"/>
          <w:bCs/>
          <w:sz w:val="18"/>
          <w:szCs w:val="18"/>
          <w:lang w:val="en-IE" w:bidi="en-US"/>
        </w:rPr>
        <w:t xml:space="preserve">, </w:t>
      </w:r>
      <w:r w:rsidRPr="00D403F5">
        <w:rPr>
          <w:rFonts w:ascii="Arial" w:eastAsia="Times New Roman" w:hAnsi="Arial" w:cs="Times New Roman"/>
          <w:b/>
          <w:bCs/>
          <w:sz w:val="18"/>
          <w:szCs w:val="18"/>
          <w:lang w:val="en-IE" w:bidi="en-US"/>
        </w:rPr>
        <w:t>132</w:t>
      </w:r>
      <w:r w:rsidRPr="00D403F5">
        <w:rPr>
          <w:rFonts w:ascii="Arial" w:eastAsia="Times New Roman" w:hAnsi="Arial" w:cs="Times New Roman"/>
          <w:bCs/>
          <w:sz w:val="18"/>
          <w:szCs w:val="18"/>
          <w:lang w:val="en-IE" w:bidi="en-US"/>
        </w:rPr>
        <w:t>, 154–159.</w:t>
      </w:r>
    </w:p>
    <w:p w14:paraId="732F0D0B" w14:textId="77777777" w:rsidR="00C7266C" w:rsidRPr="00D403F5" w:rsidRDefault="00C7266C" w:rsidP="00D403F5">
      <w:pPr>
        <w:spacing w:after="0" w:line="240" w:lineRule="auto"/>
        <w:jc w:val="both"/>
        <w:rPr>
          <w:rFonts w:ascii="Arial" w:eastAsia="Times New Roman" w:hAnsi="Arial" w:cs="Times New Roman"/>
          <w:bCs/>
          <w:sz w:val="18"/>
          <w:szCs w:val="18"/>
          <w:lang w:val="nb-NO"/>
        </w:rPr>
      </w:pPr>
      <w:r w:rsidRPr="00D403F5">
        <w:rPr>
          <w:rFonts w:ascii="Arial" w:eastAsia="Times New Roman" w:hAnsi="Arial" w:cs="Times New Roman"/>
          <w:bCs/>
          <w:smallCaps/>
          <w:sz w:val="18"/>
          <w:szCs w:val="18"/>
        </w:rPr>
        <w:t>Cornwell E.R., Bellmund C.A., Groocock G.H., Wong P.T., Hambury K.L., Getchell R.G. &amp; Bowser P.R.</w:t>
      </w:r>
      <w:r w:rsidRPr="00D403F5">
        <w:rPr>
          <w:rFonts w:ascii="Arial" w:eastAsia="Times New Roman" w:hAnsi="Arial" w:cs="Times New Roman"/>
          <w:bCs/>
          <w:sz w:val="18"/>
          <w:szCs w:val="18"/>
        </w:rPr>
        <w:t xml:space="preserve"> (2013).</w:t>
      </w:r>
      <w:r w:rsidRPr="00D403F5">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rPr>
        <w:t>Fin and gill biopsies are effective nonlethal samples for detection of viral hemorrhagic septicemia virus genotype IVb.</w:t>
      </w:r>
      <w:r w:rsidRPr="00D403F5">
        <w:rPr>
          <w:rFonts w:ascii="Arial" w:eastAsia="Times New Roman" w:hAnsi="Arial" w:cs="Times New Roman"/>
          <w:bCs/>
          <w:sz w:val="18"/>
          <w:szCs w:val="18"/>
          <w:lang w:val="en-IE"/>
        </w:rPr>
        <w:t xml:space="preserve"> </w:t>
      </w:r>
      <w:r w:rsidRPr="00D403F5">
        <w:rPr>
          <w:rFonts w:ascii="Arial" w:eastAsia="Times New Roman" w:hAnsi="Arial" w:cs="Times New Roman"/>
          <w:bCs/>
          <w:sz w:val="18"/>
          <w:szCs w:val="18"/>
        </w:rPr>
        <w:t xml:space="preserve">J. </w:t>
      </w:r>
      <w:r w:rsidRPr="00D403F5">
        <w:rPr>
          <w:rFonts w:ascii="Arial" w:eastAsia="Times New Roman" w:hAnsi="Arial" w:cs="Times New Roman"/>
          <w:bCs/>
          <w:i/>
          <w:sz w:val="18"/>
          <w:szCs w:val="18"/>
        </w:rPr>
        <w:t xml:space="preserve">Vet. </w:t>
      </w:r>
      <w:r w:rsidRPr="00D403F5">
        <w:rPr>
          <w:rFonts w:ascii="Arial" w:eastAsia="Times New Roman" w:hAnsi="Arial" w:cs="Times New Roman"/>
          <w:bCs/>
          <w:i/>
          <w:sz w:val="18"/>
          <w:szCs w:val="18"/>
          <w:lang w:val="nb-NO"/>
        </w:rPr>
        <w:t>Diagn. Invest</w:t>
      </w:r>
      <w:r w:rsidRPr="00D403F5">
        <w:rPr>
          <w:rFonts w:ascii="Arial" w:eastAsia="Times New Roman" w:hAnsi="Arial" w:cs="Times New Roman"/>
          <w:bCs/>
          <w:sz w:val="18"/>
          <w:szCs w:val="18"/>
          <w:lang w:val="nb-NO"/>
        </w:rPr>
        <w:t xml:space="preserve">., </w:t>
      </w:r>
      <w:r w:rsidRPr="00D403F5">
        <w:rPr>
          <w:rFonts w:ascii="Arial" w:eastAsia="Times New Roman" w:hAnsi="Arial" w:cs="Times New Roman"/>
          <w:b/>
          <w:bCs/>
          <w:sz w:val="18"/>
          <w:szCs w:val="18"/>
          <w:lang w:val="nb-NO"/>
        </w:rPr>
        <w:t>25</w:t>
      </w:r>
      <w:r w:rsidRPr="00D403F5">
        <w:rPr>
          <w:rFonts w:ascii="Arial" w:eastAsia="Times New Roman" w:hAnsi="Arial" w:cs="Times New Roman"/>
          <w:bCs/>
          <w:sz w:val="18"/>
          <w:szCs w:val="18"/>
          <w:lang w:val="nb-NO"/>
        </w:rPr>
        <w:t>, 203–209.</w:t>
      </w:r>
    </w:p>
    <w:p w14:paraId="6F1459F3" w14:textId="77777777" w:rsidR="00C7266C" w:rsidRPr="00D403F5" w:rsidRDefault="00C7266C" w:rsidP="00D403F5">
      <w:pPr>
        <w:spacing w:after="0" w:line="240" w:lineRule="auto"/>
        <w:jc w:val="both"/>
        <w:rPr>
          <w:rFonts w:ascii="Arial" w:eastAsia="Times New Roman" w:hAnsi="Arial" w:cs="Arial"/>
          <w:sz w:val="18"/>
          <w:szCs w:val="18"/>
          <w:lang w:val="en-IE" w:bidi="en-US"/>
        </w:rPr>
      </w:pPr>
      <w:r w:rsidRPr="00D403F5">
        <w:rPr>
          <w:rFonts w:ascii="Arial" w:eastAsia="Times New Roman" w:hAnsi="Arial" w:cs="Arial"/>
          <w:smallCaps/>
          <w:sz w:val="18"/>
          <w:szCs w:val="18"/>
          <w:lang w:val="nb-NO" w:bidi="en-US"/>
        </w:rPr>
        <w:t>Dale O.B., Orpetveit I., Lyngstad T.M., Kahns S., Skall H.F., Olesen N.J. &amp; Dannevig B.</w:t>
      </w:r>
      <w:r w:rsidRPr="00D403F5">
        <w:rPr>
          <w:rFonts w:ascii="Arial" w:eastAsia="Times New Roman" w:hAnsi="Arial" w:cs="Arial"/>
          <w:sz w:val="18"/>
          <w:szCs w:val="18"/>
          <w:lang w:val="nb-NO" w:bidi="en-US"/>
        </w:rPr>
        <w:t xml:space="preserve">H. (2009). </w:t>
      </w:r>
      <w:r w:rsidRPr="00D403F5">
        <w:rPr>
          <w:rFonts w:ascii="Arial" w:eastAsia="Times New Roman" w:hAnsi="Arial" w:cs="Arial"/>
          <w:sz w:val="18"/>
          <w:szCs w:val="18"/>
          <w:lang w:bidi="en-US"/>
        </w:rPr>
        <w:t xml:space="preserve">Outbreak of viral haemorrhagic septicaemia (VHS) in seawater-farmed rainbow trout in Norway caused by VHS virus Genotype III. </w:t>
      </w:r>
      <w:r w:rsidRPr="00D403F5">
        <w:rPr>
          <w:rFonts w:ascii="Arial" w:eastAsia="Times New Roman" w:hAnsi="Arial" w:cs="Arial"/>
          <w:i/>
          <w:sz w:val="18"/>
          <w:szCs w:val="18"/>
          <w:lang w:bidi="en-US"/>
        </w:rPr>
        <w:t xml:space="preserve">Dis. </w:t>
      </w:r>
      <w:r w:rsidRPr="00D403F5">
        <w:rPr>
          <w:rFonts w:ascii="Arial" w:eastAsia="Times New Roman" w:hAnsi="Arial" w:cs="Arial"/>
          <w:i/>
          <w:sz w:val="18"/>
          <w:szCs w:val="18"/>
          <w:lang w:val="en-IE" w:bidi="en-US"/>
        </w:rPr>
        <w:t>Aquat. Org.,</w:t>
      </w:r>
      <w:r w:rsidRPr="00D403F5">
        <w:rPr>
          <w:rFonts w:ascii="Arial" w:eastAsia="Times New Roman" w:hAnsi="Arial" w:cs="Arial"/>
          <w:sz w:val="18"/>
          <w:szCs w:val="18"/>
          <w:lang w:val="en-IE" w:bidi="en-US"/>
        </w:rPr>
        <w:t xml:space="preserve"> </w:t>
      </w:r>
      <w:r w:rsidRPr="00D403F5">
        <w:rPr>
          <w:rFonts w:ascii="Arial" w:eastAsia="Times New Roman" w:hAnsi="Arial" w:cs="Arial"/>
          <w:b/>
          <w:sz w:val="18"/>
          <w:szCs w:val="18"/>
          <w:lang w:val="en-IE" w:bidi="en-US"/>
        </w:rPr>
        <w:t>85</w:t>
      </w:r>
      <w:r w:rsidRPr="00D403F5">
        <w:rPr>
          <w:rFonts w:ascii="Arial" w:eastAsia="Times New Roman" w:hAnsi="Arial" w:cs="Arial"/>
          <w:sz w:val="18"/>
          <w:szCs w:val="18"/>
          <w:lang w:val="en-IE" w:bidi="en-US"/>
        </w:rPr>
        <w:t>, 93–103.</w:t>
      </w:r>
    </w:p>
    <w:p w14:paraId="7ACBC253" w14:textId="77777777" w:rsidR="00C7266C" w:rsidRPr="00D403F5" w:rsidRDefault="00C7266C" w:rsidP="00D403F5">
      <w:pPr>
        <w:spacing w:after="0" w:line="240" w:lineRule="auto"/>
        <w:jc w:val="both"/>
        <w:rPr>
          <w:rFonts w:ascii="Arial" w:eastAsia="Times New Roman" w:hAnsi="Arial" w:cs="Arial"/>
          <w:sz w:val="18"/>
          <w:szCs w:val="18"/>
          <w:lang w:val="fr-FR" w:bidi="en-US"/>
        </w:rPr>
      </w:pPr>
      <w:r w:rsidRPr="00D403F5">
        <w:rPr>
          <w:rFonts w:ascii="Arial" w:eastAsia="Times New Roman" w:hAnsi="Arial" w:cs="Times New Roman"/>
          <w:bCs/>
          <w:smallCaps/>
          <w:sz w:val="18"/>
          <w:szCs w:val="18"/>
          <w:lang w:val="en-IE" w:bidi="en-US"/>
        </w:rPr>
        <w:t>De Kinkelin P. &amp; Le Berre M</w:t>
      </w:r>
      <w:r w:rsidRPr="00D403F5">
        <w:rPr>
          <w:rFonts w:ascii="Arial" w:eastAsia="Times New Roman" w:hAnsi="Arial" w:cs="Times New Roman"/>
          <w:bCs/>
          <w:sz w:val="18"/>
          <w:szCs w:val="18"/>
          <w:lang w:val="en-IE" w:bidi="en-US"/>
        </w:rPr>
        <w:t>. (1977). Isolation of a pathogenic rhabdovirus of brown trout (</w:t>
      </w:r>
      <w:r w:rsidRPr="00D403F5">
        <w:rPr>
          <w:rFonts w:ascii="Arial" w:eastAsia="Times New Roman" w:hAnsi="Arial" w:cs="Times New Roman"/>
          <w:bCs/>
          <w:i/>
          <w:sz w:val="18"/>
          <w:szCs w:val="18"/>
          <w:lang w:val="en-IE" w:bidi="en-US"/>
        </w:rPr>
        <w:t>Salmo trutta</w:t>
      </w:r>
      <w:r w:rsidRPr="00D403F5">
        <w:rPr>
          <w:rFonts w:ascii="Arial" w:eastAsia="Times New Roman" w:hAnsi="Arial" w:cs="Times New Roman"/>
          <w:bCs/>
          <w:sz w:val="18"/>
          <w:szCs w:val="18"/>
          <w:lang w:val="en-IE" w:bidi="en-US"/>
        </w:rPr>
        <w:t xml:space="preserve"> L., 1766). </w:t>
      </w:r>
      <w:r w:rsidRPr="00D403F5">
        <w:rPr>
          <w:rFonts w:ascii="Arial" w:eastAsia="Times New Roman" w:hAnsi="Arial" w:cs="Times New Roman"/>
          <w:bCs/>
          <w:i/>
          <w:sz w:val="18"/>
          <w:szCs w:val="18"/>
          <w:lang w:val="fr-FR" w:bidi="en-US"/>
        </w:rPr>
        <w:t>C.R. Hebd. Séances Acad. Sci.,</w:t>
      </w:r>
      <w:r w:rsidRPr="00D403F5">
        <w:rPr>
          <w:rFonts w:ascii="Arial" w:eastAsia="Times New Roman" w:hAnsi="Arial" w:cs="Times New Roman"/>
          <w:bCs/>
          <w:sz w:val="18"/>
          <w:szCs w:val="18"/>
          <w:lang w:val="fr-FR" w:bidi="en-US"/>
        </w:rPr>
        <w:t xml:space="preserve"> </w:t>
      </w:r>
      <w:r w:rsidRPr="00D403F5">
        <w:rPr>
          <w:rFonts w:ascii="Arial" w:eastAsia="Times New Roman" w:hAnsi="Arial" w:cs="Times New Roman"/>
          <w:b/>
          <w:bCs/>
          <w:sz w:val="18"/>
          <w:szCs w:val="18"/>
          <w:lang w:val="fr-FR" w:bidi="en-US"/>
        </w:rPr>
        <w:t>284</w:t>
      </w:r>
      <w:r w:rsidRPr="00D403F5">
        <w:rPr>
          <w:rFonts w:ascii="Arial" w:eastAsia="Times New Roman" w:hAnsi="Arial" w:cs="Times New Roman"/>
          <w:bCs/>
          <w:sz w:val="18"/>
          <w:szCs w:val="18"/>
          <w:lang w:val="fr-FR" w:bidi="en-US"/>
        </w:rPr>
        <w:t>, 101–104.</w:t>
      </w:r>
    </w:p>
    <w:p w14:paraId="75EADE83"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fr-FR" w:bidi="en-US"/>
        </w:rPr>
        <w:t>Dorson M., Quillet E., Hollebecq M.G., Torhy C. &amp; Chevassus B.</w:t>
      </w:r>
      <w:r w:rsidRPr="00D403F5">
        <w:rPr>
          <w:rFonts w:ascii="Arial" w:eastAsia="Times New Roman" w:hAnsi="Arial" w:cs="Arial"/>
          <w:sz w:val="18"/>
          <w:szCs w:val="18"/>
          <w:lang w:val="fr-FR" w:bidi="en-US"/>
        </w:rPr>
        <w:t xml:space="preserve"> (1995). </w:t>
      </w:r>
      <w:r w:rsidRPr="00D403F5">
        <w:rPr>
          <w:rFonts w:ascii="Arial" w:eastAsia="Times New Roman" w:hAnsi="Arial" w:cs="Arial"/>
          <w:sz w:val="18"/>
          <w:szCs w:val="18"/>
          <w:lang w:bidi="en-US"/>
        </w:rPr>
        <w:t xml:space="preserve">Selection of rainbow trout resistant to viral haemorrhagic septicaemia virus and transmission of resistance by gynogenesis. </w:t>
      </w:r>
      <w:r w:rsidRPr="00D403F5">
        <w:rPr>
          <w:rFonts w:ascii="Arial" w:eastAsia="Times New Roman" w:hAnsi="Arial" w:cs="Arial"/>
          <w:i/>
          <w:sz w:val="18"/>
          <w:szCs w:val="18"/>
          <w:lang w:val="nb-NO" w:bidi="en-US"/>
        </w:rPr>
        <w:t>Vet. Res.,</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26</w:t>
      </w:r>
      <w:r w:rsidRPr="00D403F5">
        <w:rPr>
          <w:rFonts w:ascii="Arial" w:eastAsia="Times New Roman" w:hAnsi="Arial" w:cs="Arial"/>
          <w:sz w:val="18"/>
          <w:szCs w:val="18"/>
          <w:lang w:val="nb-NO" w:bidi="en-US"/>
        </w:rPr>
        <w:t>, 361–368.</w:t>
      </w:r>
    </w:p>
    <w:p w14:paraId="4E674B3D" w14:textId="77777777" w:rsidR="00C7266C" w:rsidRPr="00D403F5" w:rsidRDefault="00C7266C" w:rsidP="00D403F5">
      <w:pPr>
        <w:spacing w:after="0" w:line="240" w:lineRule="auto"/>
        <w:jc w:val="both"/>
        <w:rPr>
          <w:rFonts w:ascii="Arial" w:eastAsia="Times New Roman" w:hAnsi="Arial" w:cs="Arial"/>
          <w:sz w:val="18"/>
          <w:szCs w:val="18"/>
          <w:lang w:val="en-IE" w:bidi="en-US"/>
        </w:rPr>
      </w:pPr>
      <w:r w:rsidRPr="00D403F5">
        <w:rPr>
          <w:rFonts w:ascii="Arial" w:eastAsia="Times New Roman" w:hAnsi="Arial" w:cs="Arial"/>
          <w:smallCaps/>
          <w:sz w:val="18"/>
          <w:szCs w:val="18"/>
          <w:lang w:val="nb-NO" w:bidi="en-US"/>
        </w:rPr>
        <w:t xml:space="preserve">Einer-Jensen K., Ahrens P., Forsberg R. &amp; Lorenzen N. </w:t>
      </w:r>
      <w:r w:rsidRPr="00D403F5">
        <w:rPr>
          <w:rFonts w:ascii="Arial" w:eastAsia="Times New Roman" w:hAnsi="Arial" w:cs="Arial"/>
          <w:sz w:val="18"/>
          <w:szCs w:val="18"/>
          <w:lang w:val="nb-NO" w:bidi="en-US"/>
        </w:rPr>
        <w:t xml:space="preserve">(2004). </w:t>
      </w:r>
      <w:r w:rsidRPr="00D403F5">
        <w:rPr>
          <w:rFonts w:ascii="Arial" w:eastAsia="Times New Roman" w:hAnsi="Arial" w:cs="Arial"/>
          <w:sz w:val="18"/>
          <w:szCs w:val="18"/>
          <w:lang w:bidi="en-US"/>
        </w:rPr>
        <w:t xml:space="preserve">Evolution of the fish rhabdovirus viral haemorrhagic septicaemia virus. </w:t>
      </w:r>
      <w:r w:rsidRPr="00D403F5">
        <w:rPr>
          <w:rFonts w:ascii="Arial" w:eastAsia="Times New Roman" w:hAnsi="Arial" w:cs="Arial"/>
          <w:i/>
          <w:sz w:val="18"/>
          <w:szCs w:val="18"/>
          <w:lang w:val="en-IE" w:bidi="en-US"/>
        </w:rPr>
        <w:t>J. Gen. Virol.,</w:t>
      </w:r>
      <w:r w:rsidRPr="00D403F5">
        <w:rPr>
          <w:rFonts w:ascii="Arial" w:eastAsia="Times New Roman" w:hAnsi="Arial" w:cs="Arial"/>
          <w:sz w:val="18"/>
          <w:szCs w:val="18"/>
          <w:lang w:val="en-IE" w:bidi="en-US"/>
        </w:rPr>
        <w:t xml:space="preserve"> </w:t>
      </w:r>
      <w:r w:rsidRPr="00D403F5">
        <w:rPr>
          <w:rFonts w:ascii="Arial" w:eastAsia="Times New Roman" w:hAnsi="Arial" w:cs="Arial"/>
          <w:b/>
          <w:sz w:val="18"/>
          <w:szCs w:val="18"/>
          <w:lang w:val="en-IE" w:bidi="en-US"/>
        </w:rPr>
        <w:t>85</w:t>
      </w:r>
      <w:r w:rsidRPr="00D403F5">
        <w:rPr>
          <w:rFonts w:ascii="Arial" w:eastAsia="Times New Roman" w:hAnsi="Arial" w:cs="Arial"/>
          <w:sz w:val="18"/>
          <w:szCs w:val="18"/>
          <w:lang w:val="en-IE" w:bidi="en-US"/>
        </w:rPr>
        <w:t>, 1167–1179.</w:t>
      </w:r>
    </w:p>
    <w:p w14:paraId="6BBE428B"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 xml:space="preserve">Elsayed E., Faisal M., Thomas M., Whelan G., Batts W. &amp; Winton J. </w:t>
      </w:r>
      <w:r w:rsidRPr="00D403F5">
        <w:rPr>
          <w:rFonts w:ascii="Arial" w:eastAsia="Times New Roman" w:hAnsi="Arial" w:cs="Arial"/>
          <w:sz w:val="18"/>
          <w:szCs w:val="18"/>
          <w:lang w:bidi="en-US"/>
        </w:rPr>
        <w:t xml:space="preserve">(2006). Isolation of viral haemorrhagic septicaemia virus from muskellunge, </w:t>
      </w:r>
      <w:r w:rsidRPr="00D403F5">
        <w:rPr>
          <w:rFonts w:ascii="Arial" w:eastAsia="Times New Roman" w:hAnsi="Arial" w:cs="Arial"/>
          <w:i/>
          <w:sz w:val="18"/>
          <w:szCs w:val="18"/>
          <w:lang w:bidi="en-US"/>
        </w:rPr>
        <w:t>Esox masquinongy</w:t>
      </w:r>
      <w:r w:rsidRPr="00D403F5">
        <w:rPr>
          <w:rFonts w:ascii="Arial" w:eastAsia="Times New Roman" w:hAnsi="Arial" w:cs="Arial"/>
          <w:sz w:val="18"/>
          <w:szCs w:val="18"/>
          <w:lang w:bidi="en-US"/>
        </w:rPr>
        <w:t xml:space="preserve"> (Mitchill), in Lake St Clair, Michigan, USA reveals a new sublineage of the North American genotype. </w:t>
      </w:r>
      <w:r w:rsidRPr="00D403F5">
        <w:rPr>
          <w:rFonts w:ascii="Arial" w:eastAsia="Times New Roman" w:hAnsi="Arial" w:cs="Arial"/>
          <w:i/>
          <w:sz w:val="18"/>
          <w:szCs w:val="18"/>
          <w:lang w:val="nb-NO" w:bidi="en-US"/>
        </w:rPr>
        <w:t>J. Fish Dis.,</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29</w:t>
      </w:r>
      <w:r w:rsidRPr="00D403F5">
        <w:rPr>
          <w:rFonts w:ascii="Arial" w:eastAsia="Times New Roman" w:hAnsi="Arial" w:cs="Arial"/>
          <w:sz w:val="18"/>
          <w:szCs w:val="18"/>
          <w:lang w:val="nb-NO" w:bidi="en-US"/>
        </w:rPr>
        <w:t>, 611–619.</w:t>
      </w:r>
    </w:p>
    <w:p w14:paraId="7D0BB119"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val="nb-NO" w:bidi="en-US"/>
        </w:rPr>
        <w:t>Evensen Ø., Meier W., Wahli T., Olesen N.J., Jørgensen P.E.V. &amp; Håstein T.</w:t>
      </w:r>
      <w:r w:rsidRPr="00D403F5">
        <w:rPr>
          <w:rFonts w:ascii="Arial" w:eastAsia="Times New Roman" w:hAnsi="Arial" w:cs="Arial"/>
          <w:sz w:val="18"/>
          <w:szCs w:val="18"/>
          <w:lang w:val="nb-NO" w:bidi="en-US"/>
        </w:rPr>
        <w:t xml:space="preserve"> (1994). </w:t>
      </w:r>
      <w:r w:rsidRPr="00D403F5">
        <w:rPr>
          <w:rFonts w:ascii="Arial" w:eastAsia="Times New Roman" w:hAnsi="Arial" w:cs="Arial"/>
          <w:sz w:val="18"/>
          <w:szCs w:val="18"/>
          <w:lang w:bidi="en-US"/>
        </w:rPr>
        <w:t xml:space="preserve">Comparison of immunohistochemistry and virus cultivation for detection of viral haemorrhagic septicaemia virus in experimentally infected rainbow trout </w:t>
      </w:r>
      <w:r w:rsidRPr="00D403F5">
        <w:rPr>
          <w:rFonts w:ascii="Arial" w:eastAsia="Times New Roman" w:hAnsi="Arial" w:cs="Arial"/>
          <w:i/>
          <w:sz w:val="18"/>
          <w:szCs w:val="18"/>
          <w:lang w:bidi="en-US"/>
        </w:rPr>
        <w:t>Oncorhynchus mykiss</w:t>
      </w:r>
      <w:r w:rsidRPr="00D403F5">
        <w:rPr>
          <w:rFonts w:ascii="Arial" w:eastAsia="Times New Roman" w:hAnsi="Arial" w:cs="Arial"/>
          <w:sz w:val="18"/>
          <w:szCs w:val="18"/>
          <w:lang w:bidi="en-US"/>
        </w:rPr>
        <w:t xml:space="preserve">.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20</w:t>
      </w:r>
      <w:r w:rsidRPr="00D403F5">
        <w:rPr>
          <w:rFonts w:ascii="Arial" w:eastAsia="Times New Roman" w:hAnsi="Arial" w:cs="Arial"/>
          <w:sz w:val="18"/>
          <w:szCs w:val="18"/>
          <w:lang w:bidi="en-US"/>
        </w:rPr>
        <w:t>, 101–109.</w:t>
      </w:r>
    </w:p>
    <w:p w14:paraId="44960DC8"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Faisal M. &amp; Schulz C.A. (2009</w:t>
      </w:r>
      <w:r w:rsidRPr="00D403F5">
        <w:rPr>
          <w:rFonts w:ascii="Arial" w:eastAsia="Times New Roman" w:hAnsi="Arial" w:cs="Arial"/>
          <w:sz w:val="18"/>
          <w:szCs w:val="18"/>
          <w:lang w:bidi="en-US"/>
        </w:rPr>
        <w:t xml:space="preserve">). Detection of Viral hemorrhagic septicemia virus (VHSV) from the leech </w:t>
      </w:r>
      <w:r w:rsidRPr="00D403F5">
        <w:rPr>
          <w:rFonts w:ascii="Arial" w:eastAsia="Times New Roman" w:hAnsi="Arial" w:cs="Arial"/>
          <w:i/>
          <w:sz w:val="18"/>
          <w:szCs w:val="18"/>
          <w:lang w:bidi="en-US"/>
        </w:rPr>
        <w:t xml:space="preserve">Myzobdella lugubris </w:t>
      </w:r>
      <w:r w:rsidRPr="00D403F5">
        <w:rPr>
          <w:rFonts w:ascii="Arial" w:eastAsia="Times New Roman" w:hAnsi="Arial" w:cs="Arial"/>
          <w:sz w:val="18"/>
          <w:szCs w:val="18"/>
          <w:lang w:bidi="en-US"/>
        </w:rPr>
        <w:t xml:space="preserve">Leidy, 1851. </w:t>
      </w:r>
      <w:r w:rsidRPr="00D403F5">
        <w:rPr>
          <w:rFonts w:ascii="Arial" w:eastAsia="Times New Roman" w:hAnsi="Arial" w:cs="Arial"/>
          <w:i/>
          <w:sz w:val="18"/>
          <w:szCs w:val="18"/>
          <w:lang w:bidi="en-US"/>
        </w:rPr>
        <w:t>Parasit. Vectors,</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w:t>
      </w:r>
      <w:r w:rsidRPr="00D403F5">
        <w:rPr>
          <w:rFonts w:ascii="Arial" w:eastAsia="Times New Roman" w:hAnsi="Arial" w:cs="Arial"/>
          <w:sz w:val="18"/>
          <w:szCs w:val="18"/>
          <w:lang w:bidi="en-US"/>
        </w:rPr>
        <w:t>, 45.</w:t>
      </w:r>
    </w:p>
    <w:p w14:paraId="4B9B9BAE" w14:textId="77777777" w:rsidR="00C7266C" w:rsidRPr="00D403F5" w:rsidRDefault="00C7266C" w:rsidP="00D403F5">
      <w:pPr>
        <w:spacing w:after="0" w:line="240" w:lineRule="auto"/>
        <w:jc w:val="both"/>
        <w:rPr>
          <w:rFonts w:ascii="Arial" w:eastAsia="Times New Roman" w:hAnsi="Arial" w:cs="Arial"/>
          <w:sz w:val="18"/>
          <w:szCs w:val="18"/>
          <w:lang w:val="en-IE" w:bidi="en-US"/>
        </w:rPr>
      </w:pPr>
      <w:r w:rsidRPr="00D403F5">
        <w:rPr>
          <w:rFonts w:ascii="Arial" w:eastAsia="Times New Roman" w:hAnsi="Arial" w:cs="Arial"/>
          <w:smallCaps/>
          <w:sz w:val="18"/>
          <w:szCs w:val="18"/>
          <w:lang w:bidi="en-US"/>
        </w:rPr>
        <w:t>Faisal M. &amp; Winters A.D. (2011</w:t>
      </w:r>
      <w:r w:rsidRPr="00D403F5">
        <w:rPr>
          <w:rFonts w:ascii="Arial" w:eastAsia="Times New Roman" w:hAnsi="Arial" w:cs="Arial"/>
          <w:sz w:val="18"/>
          <w:szCs w:val="18"/>
          <w:lang w:bidi="en-US"/>
        </w:rPr>
        <w:t xml:space="preserve">). Detection of viral hemorrhagic septicemia virus (VHSV) from </w:t>
      </w:r>
      <w:r w:rsidRPr="00D403F5">
        <w:rPr>
          <w:rFonts w:ascii="Arial" w:eastAsia="Times New Roman" w:hAnsi="Arial" w:cs="Arial"/>
          <w:i/>
          <w:sz w:val="18"/>
          <w:szCs w:val="18"/>
          <w:lang w:bidi="en-US"/>
        </w:rPr>
        <w:t xml:space="preserve">Diporeia </w:t>
      </w:r>
      <w:r w:rsidRPr="00D403F5">
        <w:rPr>
          <w:rFonts w:ascii="Arial" w:eastAsia="Times New Roman" w:hAnsi="Arial" w:cs="Arial"/>
          <w:sz w:val="18"/>
          <w:szCs w:val="18"/>
          <w:lang w:bidi="en-US"/>
        </w:rPr>
        <w:t xml:space="preserve">spp. (Pontoporeiidae, Amphipoda) in the Laurentian Great Lakes, USA. </w:t>
      </w:r>
      <w:r w:rsidRPr="00D403F5">
        <w:rPr>
          <w:rFonts w:ascii="Arial" w:eastAsia="Times New Roman" w:hAnsi="Arial" w:cs="Arial"/>
          <w:i/>
          <w:sz w:val="18"/>
          <w:szCs w:val="18"/>
          <w:lang w:val="en-IE" w:bidi="en-US"/>
        </w:rPr>
        <w:t>Parasit. Vectors,</w:t>
      </w:r>
      <w:r w:rsidRPr="00D403F5">
        <w:rPr>
          <w:rFonts w:ascii="Arial" w:eastAsia="Times New Roman" w:hAnsi="Arial" w:cs="Arial"/>
          <w:sz w:val="18"/>
          <w:szCs w:val="18"/>
          <w:lang w:val="en-IE" w:bidi="en-US"/>
        </w:rPr>
        <w:t xml:space="preserve"> </w:t>
      </w:r>
      <w:r w:rsidRPr="00D403F5">
        <w:rPr>
          <w:rFonts w:ascii="Arial" w:eastAsia="Times New Roman" w:hAnsi="Arial" w:cs="Arial"/>
          <w:b/>
          <w:sz w:val="18"/>
          <w:szCs w:val="18"/>
          <w:lang w:val="en-IE" w:bidi="en-US"/>
        </w:rPr>
        <w:t>4</w:t>
      </w:r>
      <w:r w:rsidRPr="00D403F5">
        <w:rPr>
          <w:rFonts w:ascii="Arial" w:eastAsia="Times New Roman" w:hAnsi="Arial" w:cs="Arial"/>
          <w:sz w:val="18"/>
          <w:szCs w:val="18"/>
          <w:lang w:val="en-IE" w:bidi="en-US"/>
        </w:rPr>
        <w:t>, 2.</w:t>
      </w:r>
    </w:p>
    <w:p w14:paraId="2BB03CE0"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en-IE" w:bidi="en-US"/>
        </w:rPr>
        <w:t xml:space="preserve">Gadd T., Jakava-Viljanen M., Einer-Jensen K., Ariel E., Koski P. &amp; Sihvonen L. </w:t>
      </w:r>
      <w:r w:rsidRPr="00D403F5">
        <w:rPr>
          <w:rFonts w:ascii="Arial" w:eastAsia="Times New Roman" w:hAnsi="Arial" w:cs="Arial"/>
          <w:sz w:val="18"/>
          <w:szCs w:val="18"/>
          <w:lang w:val="en-IE" w:bidi="en-US"/>
        </w:rPr>
        <w:t xml:space="preserve">(2010). </w:t>
      </w:r>
      <w:r w:rsidRPr="00D403F5">
        <w:rPr>
          <w:rFonts w:ascii="Arial" w:eastAsia="Times New Roman" w:hAnsi="Arial" w:cs="Arial"/>
          <w:sz w:val="18"/>
          <w:szCs w:val="18"/>
          <w:lang w:bidi="en-US"/>
        </w:rPr>
        <w:t xml:space="preserve">Viral haemorrhagic septicaemia virus (VHSV) genotype II isolated from European river lamprey </w:t>
      </w:r>
      <w:r w:rsidRPr="00D403F5">
        <w:rPr>
          <w:rFonts w:ascii="Arial" w:eastAsia="Times New Roman" w:hAnsi="Arial" w:cs="Arial"/>
          <w:i/>
          <w:sz w:val="18"/>
          <w:szCs w:val="18"/>
          <w:lang w:bidi="en-US"/>
        </w:rPr>
        <w:t>Lampetra fluviatilis</w:t>
      </w:r>
      <w:r w:rsidRPr="00D403F5">
        <w:rPr>
          <w:rFonts w:ascii="Arial" w:eastAsia="Times New Roman" w:hAnsi="Arial" w:cs="Arial"/>
          <w:sz w:val="18"/>
          <w:szCs w:val="18"/>
          <w:lang w:bidi="en-US"/>
        </w:rPr>
        <w:t xml:space="preserve"> in Finland during surveillance from 1999 to 2008, </w:t>
      </w:r>
      <w:r w:rsidRPr="00D403F5">
        <w:rPr>
          <w:rFonts w:ascii="Arial" w:eastAsia="Times New Roman" w:hAnsi="Arial" w:cs="Arial"/>
          <w:i/>
          <w:sz w:val="18"/>
          <w:szCs w:val="18"/>
          <w:lang w:bidi="en-US"/>
        </w:rPr>
        <w:t xml:space="preserve">Dis. </w:t>
      </w:r>
      <w:r w:rsidRPr="00D403F5">
        <w:rPr>
          <w:rFonts w:ascii="Arial" w:eastAsia="Times New Roman" w:hAnsi="Arial" w:cs="Arial"/>
          <w:i/>
          <w:sz w:val="18"/>
          <w:szCs w:val="18"/>
          <w:lang w:val="nb-NO" w:bidi="en-US"/>
        </w:rPr>
        <w:t>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88</w:t>
      </w:r>
      <w:r w:rsidRPr="00D403F5">
        <w:rPr>
          <w:rFonts w:ascii="Arial" w:eastAsia="Times New Roman" w:hAnsi="Arial" w:cs="Arial"/>
          <w:sz w:val="18"/>
          <w:szCs w:val="18"/>
          <w:lang w:val="nb-NO" w:bidi="en-US"/>
        </w:rPr>
        <w:t>, 189–198.</w:t>
      </w:r>
    </w:p>
    <w:p w14:paraId="231C2EF9" w14:textId="77777777" w:rsidR="00C7266C" w:rsidRPr="00D403F5" w:rsidRDefault="00C7266C" w:rsidP="00D403F5">
      <w:pPr>
        <w:spacing w:after="0" w:line="240" w:lineRule="auto"/>
        <w:jc w:val="both"/>
        <w:rPr>
          <w:rFonts w:ascii="Arial" w:eastAsia="Times New Roman" w:hAnsi="Arial" w:cs="Arial"/>
          <w:bCs/>
          <w:sz w:val="18"/>
          <w:szCs w:val="18"/>
          <w:lang w:val="en-IE" w:bidi="en-US"/>
        </w:rPr>
      </w:pPr>
      <w:r w:rsidRPr="00D403F5">
        <w:rPr>
          <w:rFonts w:ascii="Arial" w:eastAsia="Times New Roman" w:hAnsi="Arial" w:cs="Arial"/>
          <w:bCs/>
          <w:smallCaps/>
          <w:sz w:val="18"/>
          <w:szCs w:val="18"/>
          <w:lang w:val="da-DK" w:bidi="en-US"/>
        </w:rPr>
        <w:t>Gadd T., Jakava</w:t>
      </w:r>
      <w:r w:rsidRPr="00D403F5">
        <w:rPr>
          <w:rFonts w:ascii="Cambria Math" w:eastAsia="Times New Roman" w:hAnsi="Cambria Math" w:cs="Cambria Math"/>
          <w:bCs/>
          <w:smallCaps/>
          <w:sz w:val="18"/>
          <w:szCs w:val="18"/>
          <w:lang w:val="da-DK" w:bidi="en-US"/>
        </w:rPr>
        <w:t>‐</w:t>
      </w:r>
      <w:r w:rsidRPr="00D403F5">
        <w:rPr>
          <w:rFonts w:ascii="Arial" w:eastAsia="Times New Roman" w:hAnsi="Arial" w:cs="Arial"/>
          <w:bCs/>
          <w:smallCaps/>
          <w:sz w:val="18"/>
          <w:szCs w:val="18"/>
          <w:lang w:val="da-DK" w:bidi="en-US"/>
        </w:rPr>
        <w:t>Viljanen M., Tapiovaara H., Koski P. &amp; Sihvonen L.</w:t>
      </w:r>
      <w:r w:rsidRPr="00D403F5">
        <w:rPr>
          <w:rFonts w:ascii="Arial" w:eastAsia="Times New Roman" w:hAnsi="Arial" w:cs="Arial"/>
          <w:bCs/>
          <w:sz w:val="18"/>
          <w:szCs w:val="18"/>
          <w:lang w:val="da-DK" w:bidi="en-US"/>
        </w:rPr>
        <w:t xml:space="preserve"> (2011). </w:t>
      </w:r>
      <w:r w:rsidRPr="00D403F5">
        <w:rPr>
          <w:rFonts w:ascii="Arial" w:eastAsia="Times New Roman" w:hAnsi="Arial" w:cs="Arial"/>
          <w:bCs/>
          <w:sz w:val="18"/>
          <w:szCs w:val="18"/>
          <w:lang w:val="en-IE" w:bidi="en-US"/>
        </w:rPr>
        <w:t xml:space="preserve">Epidemiological aspects of viral haemorrhagic septicaemia virus genotype II isolated from Baltic herring, </w:t>
      </w:r>
      <w:r w:rsidRPr="00D403F5">
        <w:rPr>
          <w:rFonts w:ascii="Arial" w:eastAsia="Times New Roman" w:hAnsi="Arial" w:cs="Arial"/>
          <w:bCs/>
          <w:i/>
          <w:sz w:val="18"/>
          <w:szCs w:val="18"/>
          <w:lang w:val="en-IE" w:bidi="en-US"/>
        </w:rPr>
        <w:t>Clupea harengus membras</w:t>
      </w:r>
      <w:r w:rsidRPr="00D403F5">
        <w:rPr>
          <w:rFonts w:ascii="Arial" w:eastAsia="Times New Roman" w:hAnsi="Arial" w:cs="Arial"/>
          <w:bCs/>
          <w:sz w:val="18"/>
          <w:szCs w:val="18"/>
          <w:lang w:val="en-IE" w:bidi="en-US"/>
        </w:rPr>
        <w:t xml:space="preserve"> L. </w:t>
      </w:r>
      <w:r w:rsidRPr="00D403F5">
        <w:rPr>
          <w:rFonts w:ascii="Arial" w:eastAsia="Times New Roman" w:hAnsi="Arial" w:cs="Arial"/>
          <w:bCs/>
          <w:i/>
          <w:sz w:val="18"/>
          <w:szCs w:val="18"/>
          <w:lang w:val="en-IE" w:bidi="en-US"/>
        </w:rPr>
        <w:t>J. Fish Dis.,</w:t>
      </w:r>
      <w:r w:rsidRPr="00D403F5">
        <w:rPr>
          <w:rFonts w:ascii="Arial" w:eastAsia="Times New Roman" w:hAnsi="Arial" w:cs="Arial"/>
          <w:bCs/>
          <w:sz w:val="18"/>
          <w:szCs w:val="18"/>
          <w:lang w:val="en-IE" w:bidi="en-US"/>
        </w:rPr>
        <w:t xml:space="preserve"> </w:t>
      </w:r>
      <w:r w:rsidRPr="00D403F5">
        <w:rPr>
          <w:rFonts w:ascii="Arial" w:eastAsia="Times New Roman" w:hAnsi="Arial" w:cs="Arial"/>
          <w:b/>
          <w:bCs/>
          <w:sz w:val="18"/>
          <w:szCs w:val="18"/>
          <w:lang w:val="en-IE" w:bidi="en-US"/>
        </w:rPr>
        <w:t>34</w:t>
      </w:r>
      <w:r w:rsidRPr="00D403F5">
        <w:rPr>
          <w:rFonts w:ascii="Arial" w:eastAsia="Times New Roman" w:hAnsi="Arial" w:cs="Arial"/>
          <w:bCs/>
          <w:sz w:val="18"/>
          <w:szCs w:val="18"/>
          <w:lang w:val="en-IE" w:bidi="en-US"/>
        </w:rPr>
        <w:t>, 517–529.</w:t>
      </w:r>
    </w:p>
    <w:p w14:paraId="0B42D8E2" w14:textId="77777777" w:rsidR="00C7266C" w:rsidRPr="00D403F5" w:rsidRDefault="00C7266C" w:rsidP="00D403F5">
      <w:pPr>
        <w:spacing w:after="0"/>
        <w:rPr>
          <w:rFonts w:ascii="Times New Roman" w:eastAsia="Times New Roman" w:hAnsi="Times New Roman" w:cs="Times New Roman"/>
          <w:noProof/>
          <w:sz w:val="18"/>
          <w:szCs w:val="18"/>
          <w:u w:val="single"/>
          <w:lang w:val="en-US"/>
        </w:rPr>
      </w:pPr>
      <w:r w:rsidRPr="00D403F5">
        <w:rPr>
          <w:rFonts w:ascii="Times New Roman" w:eastAsia="Times New Roman" w:hAnsi="Times New Roman" w:cs="Times New Roman"/>
          <w:noProof/>
          <w:sz w:val="18"/>
          <w:szCs w:val="18"/>
          <w:u w:val="single"/>
          <w:lang w:val="en-US"/>
        </w:rPr>
        <w:br w:type="page"/>
      </w:r>
    </w:p>
    <w:p w14:paraId="1E870216" w14:textId="77777777" w:rsidR="00C7266C" w:rsidRPr="00D403F5" w:rsidRDefault="00C7266C" w:rsidP="00A63C15">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3C67D15F"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bCs/>
          <w:smallCaps/>
          <w:sz w:val="18"/>
          <w:szCs w:val="18"/>
          <w:lang w:val="en-IE" w:bidi="en-US"/>
        </w:rPr>
        <w:t>Gagne N., Mackinnon A.M., Boston L., Souter B., Cook</w:t>
      </w:r>
      <w:r w:rsidRPr="00D403F5">
        <w:rPr>
          <w:rFonts w:ascii="Cambria Math" w:eastAsia="Times New Roman" w:hAnsi="Cambria Math" w:cs="Cambria Math"/>
          <w:bCs/>
          <w:smallCaps/>
          <w:sz w:val="18"/>
          <w:szCs w:val="18"/>
          <w:lang w:val="en-IE" w:bidi="en-US"/>
        </w:rPr>
        <w:t>‐</w:t>
      </w:r>
      <w:r w:rsidRPr="00D403F5">
        <w:rPr>
          <w:rFonts w:ascii="Arial" w:eastAsia="Times New Roman" w:hAnsi="Arial" w:cs="Arial"/>
          <w:bCs/>
          <w:smallCaps/>
          <w:sz w:val="18"/>
          <w:szCs w:val="18"/>
          <w:lang w:val="en-IE" w:bidi="en-US"/>
        </w:rPr>
        <w:t xml:space="preserve">Versloot M., Griffiths S., &amp; Olivier G. </w:t>
      </w:r>
      <w:r w:rsidRPr="00D403F5">
        <w:rPr>
          <w:rFonts w:ascii="Arial" w:eastAsia="Times New Roman" w:hAnsi="Arial" w:cs="Arial"/>
          <w:bCs/>
          <w:sz w:val="18"/>
          <w:szCs w:val="18"/>
          <w:lang w:val="en-IE" w:bidi="en-US"/>
        </w:rPr>
        <w:t xml:space="preserve">(2007). Isolation of viral haemorrhagic septicaemia virus from mummichog, stickleback, striped bass and brown trout in eastern Canada. </w:t>
      </w:r>
      <w:r w:rsidRPr="00D403F5">
        <w:rPr>
          <w:rFonts w:ascii="Arial" w:eastAsia="Times New Roman" w:hAnsi="Arial" w:cs="Arial"/>
          <w:bCs/>
          <w:i/>
          <w:sz w:val="18"/>
          <w:szCs w:val="18"/>
          <w:lang w:val="en-IE" w:bidi="en-US"/>
        </w:rPr>
        <w:t>J. Fish Dis</w:t>
      </w:r>
      <w:r w:rsidRPr="00D403F5">
        <w:rPr>
          <w:rFonts w:ascii="Arial" w:eastAsia="Times New Roman" w:hAnsi="Arial" w:cs="Arial"/>
          <w:bCs/>
          <w:sz w:val="18"/>
          <w:szCs w:val="18"/>
          <w:lang w:val="en-IE" w:bidi="en-US"/>
        </w:rPr>
        <w:t xml:space="preserve">., </w:t>
      </w:r>
      <w:r w:rsidRPr="00D403F5">
        <w:rPr>
          <w:rFonts w:ascii="Arial" w:eastAsia="Times New Roman" w:hAnsi="Arial" w:cs="Arial"/>
          <w:b/>
          <w:bCs/>
          <w:sz w:val="18"/>
          <w:szCs w:val="18"/>
          <w:lang w:val="en-IE" w:bidi="en-US"/>
        </w:rPr>
        <w:t>30</w:t>
      </w:r>
      <w:r w:rsidRPr="00D403F5">
        <w:rPr>
          <w:rFonts w:ascii="Arial" w:eastAsia="Times New Roman" w:hAnsi="Arial" w:cs="Arial"/>
          <w:bCs/>
          <w:sz w:val="18"/>
          <w:szCs w:val="18"/>
          <w:lang w:val="en-IE" w:bidi="en-US"/>
        </w:rPr>
        <w:t>, 213–223.</w:t>
      </w:r>
    </w:p>
    <w:p w14:paraId="75D7F902" w14:textId="77777777" w:rsidR="00C7266C" w:rsidRPr="00D403F5" w:rsidRDefault="00C7266C" w:rsidP="00D403F5">
      <w:pPr>
        <w:tabs>
          <w:tab w:val="left" w:pos="0"/>
        </w:tabs>
        <w:spacing w:after="0" w:line="240" w:lineRule="auto"/>
        <w:jc w:val="both"/>
        <w:rPr>
          <w:rFonts w:ascii="Arial" w:eastAsia="Times New Roman" w:hAnsi="Arial" w:cs="Arial"/>
          <w:sz w:val="18"/>
          <w:szCs w:val="18"/>
        </w:rPr>
      </w:pPr>
      <w:r w:rsidRPr="00D403F5">
        <w:rPr>
          <w:rFonts w:ascii="Arial" w:eastAsia="Times New Roman" w:hAnsi="Arial" w:cs="Arial"/>
          <w:smallCaps/>
          <w:sz w:val="18"/>
          <w:szCs w:val="18"/>
        </w:rPr>
        <w:t xml:space="preserve">Garver K.A., Hawley L.M., McClure C.A., Schroeder T., Aldous S., Doig F., Snow M., Edes S., Baynes C. &amp; Richard J. </w:t>
      </w:r>
      <w:r w:rsidRPr="00D403F5">
        <w:rPr>
          <w:rFonts w:ascii="Arial" w:eastAsia="Times New Roman" w:hAnsi="Arial" w:cs="Arial"/>
          <w:sz w:val="18"/>
          <w:szCs w:val="18"/>
        </w:rPr>
        <w:t xml:space="preserve">(2011). Development and validation of a reverse transcription quantitative PCR for universal detection of viral hemorrhagic septicemia virus. </w:t>
      </w:r>
      <w:r w:rsidRPr="00D403F5">
        <w:rPr>
          <w:rFonts w:ascii="Arial" w:eastAsia="Times New Roman" w:hAnsi="Arial" w:cs="Arial"/>
          <w:i/>
          <w:sz w:val="18"/>
          <w:szCs w:val="18"/>
        </w:rPr>
        <w:t>Dis. Aquat. Org.,</w:t>
      </w:r>
      <w:r w:rsidRPr="00D403F5">
        <w:rPr>
          <w:rFonts w:ascii="Arial" w:eastAsia="Times New Roman" w:hAnsi="Arial" w:cs="Arial"/>
          <w:sz w:val="18"/>
          <w:szCs w:val="18"/>
        </w:rPr>
        <w:t xml:space="preserve"> </w:t>
      </w:r>
      <w:r w:rsidRPr="00D403F5">
        <w:rPr>
          <w:rFonts w:ascii="Arial" w:eastAsia="Times New Roman" w:hAnsi="Arial" w:cs="Arial"/>
          <w:b/>
          <w:sz w:val="18"/>
          <w:szCs w:val="18"/>
        </w:rPr>
        <w:t>95</w:t>
      </w:r>
      <w:r w:rsidRPr="00D403F5">
        <w:rPr>
          <w:rFonts w:ascii="Arial" w:eastAsia="Times New Roman" w:hAnsi="Arial" w:cs="Arial"/>
          <w:sz w:val="18"/>
          <w:szCs w:val="18"/>
        </w:rPr>
        <w:t>, 97–112.</w:t>
      </w:r>
    </w:p>
    <w:p w14:paraId="7978B736" w14:textId="77777777" w:rsidR="00C7266C" w:rsidRPr="00D403F5" w:rsidRDefault="00C7266C" w:rsidP="00D403F5">
      <w:pPr>
        <w:spacing w:after="0" w:line="240" w:lineRule="auto"/>
        <w:jc w:val="both"/>
        <w:rPr>
          <w:rFonts w:ascii="Arial" w:eastAsia="Times New Roman" w:hAnsi="Arial" w:cs="Arial"/>
          <w:sz w:val="18"/>
          <w:szCs w:val="18"/>
          <w:lang w:eastAsia="en-GB"/>
        </w:rPr>
      </w:pPr>
      <w:r w:rsidRPr="00D403F5">
        <w:rPr>
          <w:rFonts w:ascii="Arial" w:eastAsia="Times New Roman" w:hAnsi="Arial" w:cs="Arial"/>
          <w:bCs/>
          <w:smallCaps/>
          <w:sz w:val="18"/>
          <w:szCs w:val="18"/>
          <w:lang w:eastAsia="en-GB"/>
        </w:rPr>
        <w:t>Garver</w:t>
      </w:r>
      <w:r w:rsidRPr="00D403F5">
        <w:rPr>
          <w:rFonts w:ascii="Arial" w:eastAsia="Times New Roman" w:hAnsi="Arial" w:cs="Arial"/>
          <w:smallCaps/>
          <w:sz w:val="18"/>
          <w:szCs w:val="18"/>
          <w:lang w:eastAsia="en-GB"/>
        </w:rPr>
        <w:t xml:space="preserve"> K.A., Traxler G.S., Hawley L.M., Richard J., Ross J.P. &amp; Lovy</w:t>
      </w:r>
      <w:r w:rsidRPr="00D403F5">
        <w:rPr>
          <w:rFonts w:ascii="Arial" w:eastAsia="Times New Roman" w:hAnsi="Arial" w:cs="Arial"/>
          <w:sz w:val="18"/>
          <w:szCs w:val="18"/>
          <w:lang w:eastAsia="en-GB"/>
        </w:rPr>
        <w:t xml:space="preserve"> J. (2013). Molecular epidemiology of viral haemorrhagic septicaemia virus (VHSV) in British Columbia, Canada, reveals transmission from wild to farmed fish. </w:t>
      </w:r>
      <w:r w:rsidRPr="00D403F5">
        <w:rPr>
          <w:rFonts w:ascii="Arial" w:eastAsia="Times New Roman" w:hAnsi="Arial" w:cs="Arial"/>
          <w:i/>
          <w:sz w:val="18"/>
          <w:szCs w:val="18"/>
          <w:lang w:eastAsia="en-GB"/>
        </w:rPr>
        <w:t>Dis. Aquat. Org</w:t>
      </w:r>
      <w:r w:rsidRPr="00D403F5">
        <w:rPr>
          <w:rFonts w:ascii="Arial" w:eastAsia="Times New Roman" w:hAnsi="Arial" w:cs="Arial"/>
          <w:sz w:val="18"/>
          <w:szCs w:val="18"/>
          <w:lang w:eastAsia="en-GB"/>
        </w:rPr>
        <w:t xml:space="preserve">, </w:t>
      </w:r>
      <w:r w:rsidRPr="00D403F5">
        <w:rPr>
          <w:rFonts w:ascii="Arial" w:eastAsia="Times New Roman" w:hAnsi="Arial" w:cs="Arial"/>
          <w:b/>
          <w:sz w:val="18"/>
          <w:szCs w:val="18"/>
          <w:lang w:eastAsia="en-GB"/>
        </w:rPr>
        <w:t>104</w:t>
      </w:r>
      <w:r w:rsidRPr="00D403F5">
        <w:rPr>
          <w:rFonts w:ascii="Arial" w:eastAsia="Times New Roman" w:hAnsi="Arial" w:cs="Arial"/>
          <w:sz w:val="18"/>
          <w:szCs w:val="18"/>
          <w:lang w:eastAsia="en-GB"/>
        </w:rPr>
        <w:t>, 93–104. doi: 10.3354/dao02588.</w:t>
      </w:r>
    </w:p>
    <w:p w14:paraId="27198BA1" w14:textId="77777777" w:rsidR="00C7266C" w:rsidRPr="00D403F5" w:rsidRDefault="00C7266C" w:rsidP="00D403F5">
      <w:pPr>
        <w:spacing w:after="0" w:line="240" w:lineRule="auto"/>
        <w:jc w:val="both"/>
        <w:rPr>
          <w:rFonts w:ascii="Arial" w:eastAsia="Times New Roman" w:hAnsi="Arial" w:cs="Arial"/>
          <w:sz w:val="18"/>
          <w:szCs w:val="18"/>
          <w:lang w:eastAsia="en-GB"/>
        </w:rPr>
      </w:pPr>
      <w:r w:rsidRPr="00D403F5">
        <w:rPr>
          <w:rFonts w:ascii="Arial" w:eastAsia="Times New Roman" w:hAnsi="Arial" w:cs="Arial"/>
          <w:smallCaps/>
          <w:sz w:val="18"/>
          <w:szCs w:val="18"/>
          <w:lang w:eastAsia="en-GB"/>
        </w:rPr>
        <w:t>Goodwin A.E. &amp; Merry G.E.</w:t>
      </w:r>
      <w:r w:rsidRPr="00D403F5">
        <w:rPr>
          <w:rFonts w:ascii="Arial" w:eastAsia="Times New Roman" w:hAnsi="Arial" w:cs="Arial"/>
          <w:sz w:val="18"/>
          <w:szCs w:val="18"/>
          <w:lang w:eastAsia="en-GB"/>
        </w:rPr>
        <w:t xml:space="preserve"> (2011). Mortality and carrier status of bluegills exposed to viral hemorrhagic septicemia virus genotype IVb at different temperatures. </w:t>
      </w:r>
      <w:r w:rsidRPr="00D403F5">
        <w:rPr>
          <w:rFonts w:ascii="Arial" w:eastAsia="Times New Roman" w:hAnsi="Arial" w:cs="Arial"/>
          <w:i/>
          <w:sz w:val="18"/>
          <w:szCs w:val="18"/>
          <w:lang w:eastAsia="en-GB"/>
        </w:rPr>
        <w:t>J. Aquat. Anim. Health</w:t>
      </w:r>
      <w:r w:rsidRPr="00D403F5">
        <w:rPr>
          <w:rFonts w:ascii="Arial" w:eastAsia="Times New Roman" w:hAnsi="Arial" w:cs="Arial"/>
          <w:sz w:val="18"/>
          <w:szCs w:val="18"/>
          <w:lang w:eastAsia="en-GB"/>
        </w:rPr>
        <w:t xml:space="preserve">, </w:t>
      </w:r>
      <w:r w:rsidRPr="00D403F5">
        <w:rPr>
          <w:rFonts w:ascii="Arial" w:eastAsia="Times New Roman" w:hAnsi="Arial" w:cs="Arial"/>
          <w:b/>
          <w:sz w:val="18"/>
          <w:szCs w:val="18"/>
          <w:lang w:eastAsia="en-GB"/>
        </w:rPr>
        <w:t>23</w:t>
      </w:r>
      <w:r w:rsidRPr="00D403F5">
        <w:rPr>
          <w:rFonts w:ascii="Arial" w:eastAsia="Times New Roman" w:hAnsi="Arial" w:cs="Arial"/>
          <w:sz w:val="18"/>
          <w:szCs w:val="18"/>
          <w:lang w:eastAsia="en-GB"/>
        </w:rPr>
        <w:t>, 85–91.</w:t>
      </w:r>
    </w:p>
    <w:p w14:paraId="1A0E6074" w14:textId="77777777" w:rsidR="00C7266C" w:rsidRPr="00D403F5" w:rsidRDefault="00C7266C" w:rsidP="00D403F5">
      <w:pPr>
        <w:spacing w:after="0" w:line="240" w:lineRule="auto"/>
        <w:jc w:val="both"/>
        <w:rPr>
          <w:rFonts w:ascii="Arial" w:eastAsia="Times New Roman" w:hAnsi="Arial" w:cs="Arial"/>
          <w:sz w:val="18"/>
          <w:szCs w:val="18"/>
        </w:rPr>
      </w:pPr>
      <w:r w:rsidRPr="00D403F5">
        <w:rPr>
          <w:rFonts w:ascii="Arial" w:eastAsia="Times New Roman" w:hAnsi="Arial" w:cs="Arial"/>
          <w:smallCaps/>
          <w:sz w:val="18"/>
          <w:szCs w:val="18"/>
        </w:rPr>
        <w:t>Gross L., Richard J., Hershberger P. &amp; Garver K</w:t>
      </w:r>
      <w:r w:rsidRPr="00D403F5">
        <w:rPr>
          <w:rFonts w:ascii="Arial" w:eastAsia="Times New Roman" w:hAnsi="Arial" w:cs="Arial"/>
          <w:sz w:val="18"/>
          <w:szCs w:val="18"/>
        </w:rPr>
        <w:t xml:space="preserve">. (2019). </w:t>
      </w:r>
      <w:r w:rsidRPr="00D403F5">
        <w:rPr>
          <w:rFonts w:ascii="Arial" w:eastAsia="Times New Roman" w:hAnsi="Arial" w:cs="Arial"/>
          <w:sz w:val="18"/>
          <w:szCs w:val="18"/>
          <w:lang w:val="en-IE"/>
        </w:rPr>
        <w:t xml:space="preserve">Low susceptibility of sockeye salmon </w:t>
      </w:r>
      <w:r w:rsidRPr="00D403F5">
        <w:rPr>
          <w:rFonts w:ascii="Arial" w:eastAsia="Times New Roman" w:hAnsi="Arial" w:cs="Arial"/>
          <w:i/>
          <w:sz w:val="18"/>
          <w:szCs w:val="18"/>
          <w:lang w:val="en-IE"/>
        </w:rPr>
        <w:t>Oncorhynchus nerka</w:t>
      </w:r>
      <w:r w:rsidRPr="00D403F5">
        <w:rPr>
          <w:rFonts w:ascii="Arial" w:eastAsia="Times New Roman" w:hAnsi="Arial" w:cs="Arial"/>
          <w:sz w:val="18"/>
          <w:szCs w:val="18"/>
          <w:lang w:val="en-IE"/>
        </w:rPr>
        <w:t xml:space="preserve"> to viral hemorrhagic septicemia virus genotype IVa.</w:t>
      </w:r>
      <w:r w:rsidRPr="00D403F5">
        <w:rPr>
          <w:rFonts w:ascii="Arial" w:eastAsia="Times New Roman" w:hAnsi="Arial" w:cs="Arial"/>
          <w:sz w:val="18"/>
          <w:szCs w:val="18"/>
        </w:rPr>
        <w:t xml:space="preserve"> </w:t>
      </w:r>
      <w:r w:rsidRPr="00D403F5">
        <w:rPr>
          <w:rFonts w:ascii="Arial" w:eastAsia="Times New Roman" w:hAnsi="Arial" w:cs="Arial"/>
          <w:i/>
          <w:sz w:val="18"/>
          <w:szCs w:val="18"/>
        </w:rPr>
        <w:t>Dis. Aquat. Org</w:t>
      </w:r>
      <w:r w:rsidRPr="00D403F5">
        <w:rPr>
          <w:rFonts w:ascii="Arial" w:eastAsia="Times New Roman" w:hAnsi="Arial" w:cs="Arial"/>
          <w:sz w:val="18"/>
          <w:szCs w:val="18"/>
        </w:rPr>
        <w:t xml:space="preserve">., </w:t>
      </w:r>
      <w:r w:rsidRPr="00D403F5">
        <w:rPr>
          <w:rFonts w:ascii="Arial" w:eastAsia="Times New Roman" w:hAnsi="Arial" w:cs="Arial"/>
          <w:b/>
          <w:sz w:val="18"/>
          <w:szCs w:val="18"/>
        </w:rPr>
        <w:t>135</w:t>
      </w:r>
      <w:r w:rsidRPr="00D403F5">
        <w:rPr>
          <w:rFonts w:ascii="Arial" w:eastAsia="Times New Roman" w:hAnsi="Arial" w:cs="Arial"/>
          <w:sz w:val="18"/>
          <w:szCs w:val="18"/>
        </w:rPr>
        <w:t>, 201–209. doi: 10.3354/dao03398</w:t>
      </w:r>
    </w:p>
    <w:p w14:paraId="34970820"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smallCaps/>
          <w:sz w:val="18"/>
          <w:szCs w:val="18"/>
          <w:lang w:val="en-IE" w:bidi="en-US"/>
        </w:rPr>
        <w:t xml:space="preserve">Gudmundsdottir S., Vendramin N., Cuenca A., Sigurðardottir H., Kristmundsson A., Iburg T.M. &amp; Olesen N.J. </w:t>
      </w:r>
      <w:r w:rsidRPr="00D403F5">
        <w:rPr>
          <w:rFonts w:ascii="Arial" w:eastAsia="Times New Roman" w:hAnsi="Arial" w:cs="Times New Roman"/>
          <w:sz w:val="18"/>
          <w:szCs w:val="18"/>
          <w:lang w:val="en-IE" w:bidi="en-US"/>
        </w:rPr>
        <w:t>(2019). Outbreak of viral haemorrhagic septicaemia (VHS) in lumpfish (</w:t>
      </w:r>
      <w:r w:rsidRPr="00D403F5">
        <w:rPr>
          <w:rFonts w:ascii="Arial" w:eastAsia="Times New Roman" w:hAnsi="Arial" w:cs="Times New Roman"/>
          <w:i/>
          <w:sz w:val="18"/>
          <w:szCs w:val="18"/>
          <w:lang w:val="en-IE" w:bidi="en-US"/>
        </w:rPr>
        <w:t>Cyclopterus lumpus</w:t>
      </w:r>
      <w:r w:rsidRPr="00D403F5">
        <w:rPr>
          <w:rFonts w:ascii="Arial" w:eastAsia="Times New Roman" w:hAnsi="Arial" w:cs="Times New Roman"/>
          <w:sz w:val="18"/>
          <w:szCs w:val="18"/>
          <w:lang w:val="en-IE" w:bidi="en-US"/>
        </w:rPr>
        <w:t xml:space="preserve">) in Iceland caused by VHS virus Genotype IV. </w:t>
      </w:r>
      <w:r w:rsidRPr="00D403F5">
        <w:rPr>
          <w:rFonts w:ascii="Arial" w:eastAsia="Times New Roman" w:hAnsi="Arial" w:cs="Times New Roman"/>
          <w:i/>
          <w:sz w:val="18"/>
          <w:szCs w:val="18"/>
          <w:lang w:val="en-IE" w:bidi="en-US"/>
        </w:rPr>
        <w:t>J. Fish Dis.</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42</w:t>
      </w:r>
      <w:r w:rsidRPr="00D403F5">
        <w:rPr>
          <w:rFonts w:ascii="Arial" w:eastAsia="Times New Roman" w:hAnsi="Arial" w:cs="Times New Roman"/>
          <w:sz w:val="18"/>
          <w:szCs w:val="18"/>
          <w:lang w:val="en-IE" w:bidi="en-US"/>
        </w:rPr>
        <w:t>, 47–62. https://doi.org/10.1111/jfd.12910</w:t>
      </w:r>
    </w:p>
    <w:p w14:paraId="211F8021"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Hawley L.M. &amp; Garver K.A. (</w:t>
      </w:r>
      <w:r w:rsidRPr="00D403F5">
        <w:rPr>
          <w:rFonts w:ascii="Arial" w:eastAsia="Times New Roman" w:hAnsi="Arial" w:cs="Arial"/>
          <w:sz w:val="18"/>
          <w:szCs w:val="18"/>
          <w:lang w:bidi="en-US"/>
        </w:rPr>
        <w:t xml:space="preserve">2008). Stability of viral hemorrhagic septicemia virus (VHSV) in freshwater and seawater at various temperatures.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82</w:t>
      </w:r>
      <w:r w:rsidRPr="00D403F5">
        <w:rPr>
          <w:rFonts w:ascii="Arial" w:eastAsia="Times New Roman" w:hAnsi="Arial" w:cs="Arial"/>
          <w:sz w:val="18"/>
          <w:szCs w:val="18"/>
          <w:lang w:val="nb-NO" w:bidi="en-US"/>
        </w:rPr>
        <w:t>, 171–178.</w:t>
      </w:r>
    </w:p>
    <w:p w14:paraId="508336EC"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val="nb-NO" w:bidi="en-US"/>
        </w:rPr>
        <w:t>Henryon M., Berg P., Olesen N.J., Kjær T.E., Slierendrecht W.J., Jokumsen A. &amp; Lund I</w:t>
      </w:r>
      <w:r w:rsidRPr="00D403F5">
        <w:rPr>
          <w:rFonts w:ascii="Arial" w:eastAsia="Times New Roman" w:hAnsi="Arial" w:cs="Arial"/>
          <w:sz w:val="18"/>
          <w:szCs w:val="18"/>
          <w:lang w:val="nb-NO" w:bidi="en-US"/>
        </w:rPr>
        <w:t xml:space="preserve">. (2005). </w:t>
      </w:r>
      <w:r w:rsidRPr="00D403F5">
        <w:rPr>
          <w:rFonts w:ascii="Arial" w:eastAsia="Times New Roman" w:hAnsi="Arial" w:cs="Arial"/>
          <w:sz w:val="18"/>
          <w:szCs w:val="18"/>
          <w:lang w:bidi="en-US"/>
        </w:rPr>
        <w:t xml:space="preserve">Selective breeding provides an approach to increase resistance of rainbow trout to the diseases, enteric redmouth disease, rainbow trout fry syndrome, and viral haemorrhagic septicaemia. </w:t>
      </w:r>
      <w:r w:rsidRPr="00D403F5">
        <w:rPr>
          <w:rFonts w:ascii="Arial" w:eastAsia="Times New Roman" w:hAnsi="Arial" w:cs="Arial"/>
          <w:i/>
          <w:sz w:val="18"/>
          <w:szCs w:val="18"/>
          <w:lang w:bidi="en-US"/>
        </w:rPr>
        <w:t>Aquaculture,</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250</w:t>
      </w:r>
      <w:r w:rsidRPr="00D403F5">
        <w:rPr>
          <w:rFonts w:ascii="Arial" w:eastAsia="Times New Roman" w:hAnsi="Arial" w:cs="Arial"/>
          <w:sz w:val="18"/>
          <w:szCs w:val="18"/>
          <w:lang w:bidi="en-US"/>
        </w:rPr>
        <w:t>, 621–636.</w:t>
      </w:r>
    </w:p>
    <w:p w14:paraId="54DED9C5"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 xml:space="preserve">Henryon M., Jokumsen A., Berg P., Lund I., Pedersen P.B., Olesen N.J. &amp; Slierendrecht W.J. </w:t>
      </w:r>
      <w:r w:rsidRPr="00D403F5">
        <w:rPr>
          <w:rFonts w:ascii="Arial" w:eastAsia="Times New Roman" w:hAnsi="Arial" w:cs="Arial"/>
          <w:sz w:val="18"/>
          <w:szCs w:val="18"/>
          <w:lang w:bidi="en-US"/>
        </w:rPr>
        <w:t>(2002a). Erratum to “Genetic variation for growth rate, feed conversion efficiency, and disease resistance exists within a farmed population of rainbow trout” (</w:t>
      </w:r>
      <w:r w:rsidRPr="00D403F5">
        <w:rPr>
          <w:rFonts w:ascii="Arial" w:eastAsia="Times New Roman" w:hAnsi="Arial" w:cs="Arial"/>
          <w:i/>
          <w:sz w:val="18"/>
          <w:szCs w:val="18"/>
          <w:lang w:bidi="en-US"/>
        </w:rPr>
        <w:t>Aquaculture</w:t>
      </w:r>
      <w:r w:rsidRPr="00D403F5">
        <w:rPr>
          <w:rFonts w:ascii="Arial" w:eastAsia="Times New Roman" w:hAnsi="Arial" w:cs="Arial"/>
          <w:sz w:val="18"/>
          <w:szCs w:val="18"/>
          <w:lang w:bidi="en-US"/>
        </w:rPr>
        <w:t xml:space="preserve">, 2002, </w:t>
      </w:r>
      <w:r w:rsidRPr="00D403F5">
        <w:rPr>
          <w:rFonts w:ascii="Arial" w:eastAsia="Times New Roman" w:hAnsi="Arial" w:cs="Arial"/>
          <w:b/>
          <w:sz w:val="18"/>
          <w:szCs w:val="18"/>
          <w:lang w:bidi="en-US"/>
        </w:rPr>
        <w:t>209</w:t>
      </w:r>
      <w:r w:rsidRPr="00D403F5">
        <w:rPr>
          <w:rFonts w:ascii="Arial" w:eastAsia="Times New Roman" w:hAnsi="Arial" w:cs="Arial"/>
          <w:sz w:val="18"/>
          <w:szCs w:val="18"/>
          <w:lang w:bidi="en-US"/>
        </w:rPr>
        <w:t xml:space="preserve">, 59–76). </w:t>
      </w:r>
      <w:r w:rsidRPr="00D403F5">
        <w:rPr>
          <w:rFonts w:ascii="Arial" w:eastAsia="Times New Roman" w:hAnsi="Arial" w:cs="Arial"/>
          <w:i/>
          <w:sz w:val="18"/>
          <w:szCs w:val="18"/>
          <w:lang w:val="nb-NO" w:bidi="en-US"/>
        </w:rPr>
        <w:t>Aquaculture,</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216</w:t>
      </w:r>
      <w:r w:rsidRPr="00D403F5">
        <w:rPr>
          <w:rFonts w:ascii="Arial" w:eastAsia="Times New Roman" w:hAnsi="Arial" w:cs="Arial"/>
          <w:sz w:val="18"/>
          <w:szCs w:val="18"/>
          <w:lang w:val="nb-NO" w:bidi="en-US"/>
        </w:rPr>
        <w:t>, 389–390.</w:t>
      </w:r>
    </w:p>
    <w:p w14:paraId="045532D6"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val="nb-NO" w:bidi="en-US"/>
        </w:rPr>
        <w:t>Henryon M., Jokumsen A., Berg P., Lund I., Pedersen P.B., Olesen N.J. &amp; Slierendrecht W.J. (</w:t>
      </w:r>
      <w:r w:rsidRPr="00D403F5">
        <w:rPr>
          <w:rFonts w:ascii="Arial" w:eastAsia="Times New Roman" w:hAnsi="Arial" w:cs="Arial"/>
          <w:sz w:val="18"/>
          <w:szCs w:val="18"/>
          <w:lang w:val="nb-NO" w:bidi="en-US"/>
        </w:rPr>
        <w:t xml:space="preserve">2002b). </w:t>
      </w:r>
      <w:r w:rsidRPr="00D403F5">
        <w:rPr>
          <w:rFonts w:ascii="Arial" w:eastAsia="Times New Roman" w:hAnsi="Arial" w:cs="Arial"/>
          <w:sz w:val="18"/>
          <w:szCs w:val="18"/>
          <w:lang w:bidi="en-US"/>
        </w:rPr>
        <w:t xml:space="preserve">Genetic variation for growth rate, feed conversion efficiency, and disease resistance exists within a farmed population of rainbow trout. </w:t>
      </w:r>
      <w:r w:rsidRPr="00D403F5">
        <w:rPr>
          <w:rFonts w:ascii="Arial" w:eastAsia="Times New Roman" w:hAnsi="Arial" w:cs="Arial"/>
          <w:i/>
          <w:sz w:val="18"/>
          <w:szCs w:val="18"/>
          <w:lang w:bidi="en-US"/>
        </w:rPr>
        <w:t>Aquaculture,</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209</w:t>
      </w:r>
      <w:r w:rsidRPr="00D403F5">
        <w:rPr>
          <w:rFonts w:ascii="Arial" w:eastAsia="Times New Roman" w:hAnsi="Arial" w:cs="Arial"/>
          <w:sz w:val="18"/>
          <w:szCs w:val="18"/>
          <w:lang w:bidi="en-US"/>
        </w:rPr>
        <w:t>, 59–76.</w:t>
      </w:r>
    </w:p>
    <w:p w14:paraId="538BEE2B" w14:textId="77777777" w:rsidR="00C7266C" w:rsidRPr="00D403F5" w:rsidRDefault="00C7266C" w:rsidP="00D403F5">
      <w:pPr>
        <w:spacing w:after="0" w:line="240" w:lineRule="auto"/>
        <w:jc w:val="both"/>
        <w:rPr>
          <w:rFonts w:ascii="Arial" w:eastAsia="Times New Roman" w:hAnsi="Arial" w:cs="Arial"/>
          <w:color w:val="333333"/>
          <w:sz w:val="18"/>
          <w:szCs w:val="18"/>
          <w:lang w:val="en" w:eastAsia="en-CA" w:bidi="en-US"/>
        </w:rPr>
      </w:pPr>
      <w:r w:rsidRPr="00D403F5">
        <w:rPr>
          <w:rFonts w:ascii="Arial" w:eastAsia="Times New Roman" w:hAnsi="Arial" w:cs="Times New Roman"/>
          <w:bCs/>
          <w:smallCaps/>
          <w:sz w:val="18"/>
          <w:szCs w:val="18"/>
          <w:lang w:val="en" w:eastAsia="en-CA" w:bidi="en-US"/>
        </w:rPr>
        <w:t>Hershberger P, Gregg J, Grady C, Collins R, Winton J</w:t>
      </w:r>
      <w:r w:rsidRPr="00D403F5">
        <w:rPr>
          <w:rFonts w:ascii="Arial" w:eastAsia="Times New Roman" w:hAnsi="Arial" w:cs="Arial"/>
          <w:color w:val="333333"/>
          <w:sz w:val="18"/>
          <w:szCs w:val="18"/>
          <w:lang w:val="en" w:eastAsia="en-CA" w:bidi="en-US"/>
        </w:rPr>
        <w:t xml:space="preserve">. (2010). Kinetics of viral shedding provide insights into the epidemiology of viral hemorrhagic septicemia in Pacific herring. </w:t>
      </w:r>
      <w:r w:rsidRPr="00D403F5">
        <w:rPr>
          <w:rFonts w:ascii="Arial" w:eastAsia="Times New Roman" w:hAnsi="Arial" w:cs="Arial"/>
          <w:i/>
          <w:color w:val="333333"/>
          <w:sz w:val="18"/>
          <w:szCs w:val="18"/>
          <w:lang w:val="en" w:eastAsia="en-CA" w:bidi="en-US"/>
        </w:rPr>
        <w:t>Marine Ecology-Progress Series</w:t>
      </w:r>
      <w:r w:rsidRPr="00D403F5">
        <w:rPr>
          <w:rFonts w:ascii="Arial" w:eastAsia="Times New Roman" w:hAnsi="Arial" w:cs="Arial"/>
          <w:color w:val="333333"/>
          <w:sz w:val="18"/>
          <w:szCs w:val="18"/>
          <w:lang w:val="en" w:eastAsia="en-CA" w:bidi="en-US"/>
        </w:rPr>
        <w:t>, 400:187e93.</w:t>
      </w:r>
    </w:p>
    <w:p w14:paraId="3A3CCAD4"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en-US" w:bidi="en-US"/>
        </w:rPr>
        <w:t>Ito T. &amp; Olesen N.J.</w:t>
      </w:r>
      <w:r w:rsidRPr="00D403F5">
        <w:rPr>
          <w:rFonts w:ascii="Arial" w:eastAsia="Times New Roman" w:hAnsi="Arial" w:cs="Arial"/>
          <w:sz w:val="18"/>
          <w:szCs w:val="18"/>
          <w:lang w:val="en-US" w:bidi="en-US"/>
        </w:rPr>
        <w:t xml:space="preserve"> (2017). </w:t>
      </w:r>
      <w:r w:rsidRPr="00D403F5">
        <w:rPr>
          <w:rFonts w:ascii="Arial" w:eastAsia="Times New Roman" w:hAnsi="Arial" w:cs="Arial"/>
          <w:sz w:val="18"/>
          <w:szCs w:val="18"/>
          <w:lang w:bidi="en-US"/>
        </w:rPr>
        <w:t xml:space="preserve">Viral haemorrhagic septicaemia virus (VHSV) remains viable for several days but at low levels in the water flea </w:t>
      </w:r>
      <w:r w:rsidRPr="00D403F5">
        <w:rPr>
          <w:rFonts w:ascii="Arial" w:eastAsia="Times New Roman" w:hAnsi="Arial" w:cs="Arial"/>
          <w:i/>
          <w:sz w:val="18"/>
          <w:szCs w:val="18"/>
          <w:lang w:bidi="en-US"/>
        </w:rPr>
        <w:t xml:space="preserve">Moina macrocopa.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127</w:t>
      </w:r>
      <w:r w:rsidRPr="00D403F5">
        <w:rPr>
          <w:rFonts w:ascii="Arial" w:eastAsia="Times New Roman" w:hAnsi="Arial" w:cs="Arial"/>
          <w:sz w:val="18"/>
          <w:szCs w:val="18"/>
          <w:lang w:val="nb-NO" w:bidi="en-US"/>
        </w:rPr>
        <w:t>, 11–18.</w:t>
      </w:r>
    </w:p>
    <w:p w14:paraId="493DED60"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Times New Roman"/>
          <w:smallCaps/>
          <w:sz w:val="18"/>
          <w:szCs w:val="18"/>
          <w:lang w:val="nb-NO" w:bidi="en-US"/>
        </w:rPr>
        <w:t>Johansen R., Bergh Ø., Modahl I., Dahle G., Gjerset B., Holst J.C., Sandlund N.</w:t>
      </w:r>
      <w:r w:rsidRPr="00D403F5">
        <w:rPr>
          <w:rFonts w:ascii="Arial" w:eastAsia="Times New Roman" w:hAnsi="Arial" w:cs="Times New Roman"/>
          <w:sz w:val="18"/>
          <w:szCs w:val="18"/>
          <w:lang w:val="nb-NO" w:bidi="en-US"/>
        </w:rPr>
        <w:t xml:space="preserve"> (2013). </w:t>
      </w:r>
      <w:r w:rsidRPr="00D403F5">
        <w:rPr>
          <w:rFonts w:ascii="Arial" w:eastAsia="Times New Roman" w:hAnsi="Arial" w:cs="Times New Roman"/>
          <w:sz w:val="18"/>
          <w:szCs w:val="18"/>
          <w:lang w:val="en-IE" w:bidi="en-US"/>
        </w:rPr>
        <w:t xml:space="preserve">High prevalence of viral haemorrhagic septicaemia virus (VHSV) in Norwegian spring-spawning herring. </w:t>
      </w:r>
      <w:r w:rsidRPr="00D403F5">
        <w:rPr>
          <w:rFonts w:ascii="Arial" w:eastAsia="Times New Roman" w:hAnsi="Arial" w:cs="Times New Roman"/>
          <w:i/>
          <w:sz w:val="18"/>
          <w:szCs w:val="18"/>
          <w:lang w:val="nb-NO" w:bidi="en-US"/>
        </w:rPr>
        <w:t>Mar. Ecol. Prog. Ser</w:t>
      </w:r>
      <w:r w:rsidRPr="00D403F5">
        <w:rPr>
          <w:rFonts w:ascii="Arial" w:eastAsia="Times New Roman" w:hAnsi="Arial" w:cs="Times New Roman"/>
          <w:sz w:val="18"/>
          <w:szCs w:val="18"/>
          <w:lang w:val="nb-NO" w:bidi="en-US"/>
        </w:rPr>
        <w:t xml:space="preserve">., </w:t>
      </w:r>
      <w:r w:rsidRPr="00D403F5">
        <w:rPr>
          <w:rFonts w:ascii="Arial" w:eastAsia="Times New Roman" w:hAnsi="Arial" w:cs="Times New Roman"/>
          <w:b/>
          <w:sz w:val="18"/>
          <w:szCs w:val="18"/>
          <w:lang w:val="nb-NO" w:bidi="en-US"/>
        </w:rPr>
        <w:t>478</w:t>
      </w:r>
      <w:r w:rsidRPr="00D403F5">
        <w:rPr>
          <w:rFonts w:ascii="Arial" w:eastAsia="Times New Roman" w:hAnsi="Arial" w:cs="Times New Roman"/>
          <w:sz w:val="18"/>
          <w:szCs w:val="18"/>
          <w:lang w:val="nb-NO" w:bidi="en-US"/>
        </w:rPr>
        <w:t>, 223–230.</w:t>
      </w:r>
    </w:p>
    <w:p w14:paraId="67C844DA" w14:textId="77777777" w:rsidR="00C7266C" w:rsidRPr="00D403F5" w:rsidRDefault="00C7266C" w:rsidP="00D403F5">
      <w:pPr>
        <w:spacing w:after="0" w:line="240" w:lineRule="auto"/>
        <w:jc w:val="both"/>
        <w:rPr>
          <w:rFonts w:ascii="Arial" w:eastAsia="Times New Roman" w:hAnsi="Arial" w:cs="Arial"/>
          <w:smallCaps/>
          <w:sz w:val="18"/>
          <w:szCs w:val="18"/>
          <w:lang w:bidi="en-US"/>
        </w:rPr>
      </w:pPr>
      <w:r w:rsidRPr="00D403F5">
        <w:rPr>
          <w:rFonts w:ascii="Arial" w:eastAsia="Times New Roman" w:hAnsi="Arial" w:cs="Times New Roman"/>
          <w:bCs/>
          <w:smallCaps/>
          <w:sz w:val="18"/>
          <w:szCs w:val="18"/>
          <w:lang w:val="nb-NO" w:bidi="en-US"/>
        </w:rPr>
        <w:t>Jonstrup S.P., Gray T., Kahns S., Skall H.F., Snow M. &amp; Olesen N.J.</w:t>
      </w:r>
      <w:r w:rsidRPr="00D403F5">
        <w:rPr>
          <w:rFonts w:ascii="Arial" w:eastAsia="Times New Roman" w:hAnsi="Arial" w:cs="Times New Roman"/>
          <w:bCs/>
          <w:sz w:val="18"/>
          <w:szCs w:val="18"/>
          <w:lang w:val="nb-NO" w:bidi="en-US"/>
        </w:rPr>
        <w:t xml:space="preserve"> (2009). </w:t>
      </w:r>
      <w:r w:rsidRPr="00D403F5">
        <w:rPr>
          <w:rFonts w:ascii="Arial" w:eastAsia="Times New Roman" w:hAnsi="Arial" w:cs="Times New Roman"/>
          <w:bCs/>
          <w:sz w:val="18"/>
          <w:szCs w:val="18"/>
          <w:lang w:val="en-US" w:bidi="en-US"/>
        </w:rPr>
        <w:t>FishPathogens.eu/vhsv: a user</w:t>
      </w:r>
      <w:r w:rsidRPr="00D403F5">
        <w:rPr>
          <w:rFonts w:ascii="Cambria Math" w:eastAsia="Times New Roman" w:hAnsi="Cambria Math" w:cs="Cambria Math"/>
          <w:bCs/>
          <w:sz w:val="18"/>
          <w:szCs w:val="18"/>
          <w:lang w:val="en-US" w:bidi="en-US"/>
        </w:rPr>
        <w:t>‐</w:t>
      </w:r>
      <w:r w:rsidRPr="00D403F5">
        <w:rPr>
          <w:rFonts w:ascii="Arial" w:eastAsia="Times New Roman" w:hAnsi="Arial" w:cs="Times New Roman"/>
          <w:bCs/>
          <w:sz w:val="18"/>
          <w:szCs w:val="18"/>
          <w:lang w:val="en-US" w:bidi="en-US"/>
        </w:rPr>
        <w:t xml:space="preserve">friendly viral haemorrhagic septicaemia virus isolate and sequence database. </w:t>
      </w:r>
      <w:r w:rsidRPr="00D403F5">
        <w:rPr>
          <w:rFonts w:ascii="Arial" w:eastAsia="Times New Roman" w:hAnsi="Arial" w:cs="Times New Roman"/>
          <w:bCs/>
          <w:i/>
          <w:sz w:val="18"/>
          <w:szCs w:val="18"/>
          <w:lang w:val="da-DK" w:bidi="en-US"/>
        </w:rPr>
        <w:t>J. Fish Dis</w:t>
      </w:r>
      <w:r w:rsidRPr="00D403F5">
        <w:rPr>
          <w:rFonts w:ascii="Arial" w:eastAsia="Times New Roman" w:hAnsi="Arial" w:cs="Times New Roman"/>
          <w:bCs/>
          <w:sz w:val="18"/>
          <w:szCs w:val="18"/>
          <w:lang w:val="da-DK" w:bidi="en-US"/>
        </w:rPr>
        <w:t xml:space="preserve">., </w:t>
      </w:r>
      <w:r w:rsidRPr="00D403F5">
        <w:rPr>
          <w:rFonts w:ascii="Arial" w:eastAsia="Times New Roman" w:hAnsi="Arial" w:cs="Times New Roman"/>
          <w:b/>
          <w:bCs/>
          <w:sz w:val="18"/>
          <w:szCs w:val="18"/>
          <w:lang w:val="da-DK" w:bidi="en-US"/>
        </w:rPr>
        <w:t>32</w:t>
      </w:r>
      <w:r w:rsidRPr="00D403F5">
        <w:rPr>
          <w:rFonts w:ascii="Arial" w:eastAsia="Times New Roman" w:hAnsi="Arial" w:cs="Times New Roman"/>
          <w:bCs/>
          <w:sz w:val="18"/>
          <w:szCs w:val="18"/>
          <w:lang w:val="da-DK" w:bidi="en-US"/>
        </w:rPr>
        <w:t>, 925</w:t>
      </w:r>
      <w:r w:rsidRPr="00D403F5">
        <w:rPr>
          <w:rFonts w:ascii="Arial" w:eastAsia="Times New Roman" w:hAnsi="Arial" w:cs="Arial"/>
          <w:bCs/>
          <w:sz w:val="18"/>
          <w:szCs w:val="18"/>
          <w:lang w:val="da-DK" w:bidi="en-US"/>
        </w:rPr>
        <w:t>–</w:t>
      </w:r>
      <w:r w:rsidRPr="00D403F5">
        <w:rPr>
          <w:rFonts w:ascii="Arial" w:eastAsia="Times New Roman" w:hAnsi="Arial" w:cs="Times New Roman"/>
          <w:bCs/>
          <w:sz w:val="18"/>
          <w:szCs w:val="18"/>
          <w:lang w:val="da-DK" w:bidi="en-US"/>
        </w:rPr>
        <w:t>929.</w:t>
      </w:r>
      <w:r w:rsidRPr="00D403F5">
        <w:rPr>
          <w:rFonts w:ascii="Arial" w:eastAsia="Times New Roman" w:hAnsi="Arial" w:cs="Times New Roman"/>
          <w:sz w:val="18"/>
          <w:szCs w:val="18"/>
          <w:lang w:val="en-IE" w:bidi="en-US"/>
        </w:rPr>
        <w:t xml:space="preserve"> </w:t>
      </w:r>
      <w:hyperlink r:id="rId148" w:history="1">
        <w:r w:rsidRPr="00D403F5">
          <w:rPr>
            <w:rFonts w:ascii="Arial" w:eastAsia="Times New Roman" w:hAnsi="Arial" w:cs="Arial"/>
            <w:color w:val="0000FF"/>
            <w:sz w:val="18"/>
            <w:szCs w:val="18"/>
            <w:lang w:bidi="en-US"/>
          </w:rPr>
          <w:t>www.fishpathogens.eu</w:t>
        </w:r>
      </w:hyperlink>
    </w:p>
    <w:p w14:paraId="09065C41"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Jonstrup S.P., Kahns S., Skall H.F., Boutrup T.S. &amp; Olesen N.J.</w:t>
      </w:r>
      <w:r w:rsidRPr="00D403F5">
        <w:rPr>
          <w:rFonts w:ascii="Arial" w:eastAsia="Times New Roman" w:hAnsi="Arial" w:cs="Arial"/>
          <w:sz w:val="18"/>
          <w:szCs w:val="18"/>
          <w:lang w:bidi="en-US"/>
        </w:rPr>
        <w:t xml:space="preserve"> (2013). Development and validation of a novel Taqman based real time RT-PCR assay suitable for demonstrating freedom from viral haemorrhagic septicaemia virus. </w:t>
      </w:r>
      <w:r w:rsidRPr="00D403F5">
        <w:rPr>
          <w:rFonts w:ascii="Arial" w:eastAsia="Times New Roman" w:hAnsi="Arial" w:cs="Arial"/>
          <w:i/>
          <w:sz w:val="18"/>
          <w:szCs w:val="18"/>
          <w:lang w:bidi="en-US"/>
        </w:rPr>
        <w:t xml:space="preserve">J. Fish Dis., </w:t>
      </w:r>
      <w:r w:rsidRPr="00D403F5">
        <w:rPr>
          <w:rFonts w:ascii="Arial" w:eastAsia="Times New Roman" w:hAnsi="Arial" w:cs="Times New Roman"/>
          <w:b/>
          <w:sz w:val="18"/>
          <w:szCs w:val="18"/>
          <w:lang w:val="en-IE" w:bidi="en-US"/>
        </w:rPr>
        <w:t>36</w:t>
      </w:r>
      <w:r w:rsidRPr="00D403F5">
        <w:rPr>
          <w:rFonts w:ascii="Arial" w:eastAsia="Times New Roman" w:hAnsi="Arial" w:cs="Times New Roman"/>
          <w:sz w:val="18"/>
          <w:szCs w:val="18"/>
          <w:lang w:val="en-IE" w:bidi="en-US"/>
        </w:rPr>
        <w:t>, 9–23</w:t>
      </w:r>
      <w:r w:rsidRPr="00D403F5">
        <w:rPr>
          <w:rFonts w:ascii="Arial" w:eastAsia="Times New Roman" w:hAnsi="Arial" w:cs="Arial"/>
          <w:sz w:val="18"/>
          <w:szCs w:val="18"/>
          <w:lang w:bidi="en-US"/>
        </w:rPr>
        <w:t>.</w:t>
      </w:r>
    </w:p>
    <w:p w14:paraId="540DE328"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bCs/>
          <w:smallCaps/>
          <w:sz w:val="18"/>
          <w:szCs w:val="18"/>
          <w:lang w:val="en-IE" w:bidi="en-US"/>
        </w:rPr>
        <w:t>Kahns S., Skall H.F., Kaas R.S., Korsholm H., Jensen B.B., Jonstrup S.P., Dodge M.J., Einer-Jensen K., Stone D. &amp; Olesen, N. J.</w:t>
      </w:r>
      <w:r w:rsidRPr="00D403F5">
        <w:rPr>
          <w:rFonts w:ascii="Arial" w:eastAsia="Times New Roman" w:hAnsi="Arial" w:cs="Times New Roman"/>
          <w:sz w:val="18"/>
          <w:szCs w:val="18"/>
          <w:lang w:val="en-IE" w:bidi="en-US"/>
        </w:rPr>
        <w:t xml:space="preserve"> (2012). European freshwater VHSV genotype Ia isolates divide into two distinct subpopulations. </w:t>
      </w:r>
      <w:r w:rsidRPr="00D403F5">
        <w:rPr>
          <w:rFonts w:ascii="Arial" w:eastAsia="Times New Roman" w:hAnsi="Arial" w:cs="Times New Roman"/>
          <w:i/>
          <w:sz w:val="18"/>
          <w:szCs w:val="18"/>
          <w:lang w:val="en-IE" w:bidi="en-US"/>
        </w:rPr>
        <w:t>Dis. Aquat. Org</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99</w:t>
      </w:r>
      <w:r w:rsidRPr="00D403F5">
        <w:rPr>
          <w:rFonts w:ascii="Arial" w:eastAsia="Times New Roman" w:hAnsi="Arial" w:cs="Times New Roman"/>
          <w:sz w:val="18"/>
          <w:szCs w:val="18"/>
          <w:lang w:val="en-IE" w:bidi="en-US"/>
        </w:rPr>
        <w:t>, 23–35.</w:t>
      </w:r>
    </w:p>
    <w:p w14:paraId="7D46E09D" w14:textId="77777777" w:rsidR="00A63C15" w:rsidRDefault="00A63C15" w:rsidP="00D403F5">
      <w:pPr>
        <w:spacing w:after="0" w:line="240" w:lineRule="auto"/>
        <w:jc w:val="right"/>
        <w:rPr>
          <w:rFonts w:ascii="Times New Roman" w:eastAsia="Times New Roman" w:hAnsi="Times New Roman" w:cs="Times New Roman"/>
          <w:noProof/>
          <w:sz w:val="18"/>
          <w:szCs w:val="18"/>
          <w:u w:val="single"/>
          <w:lang w:val="en-IE"/>
        </w:rPr>
      </w:pPr>
      <w:r>
        <w:rPr>
          <w:rFonts w:ascii="Times New Roman" w:eastAsia="Times New Roman" w:hAnsi="Times New Roman" w:cs="Times New Roman"/>
          <w:noProof/>
          <w:sz w:val="18"/>
          <w:szCs w:val="18"/>
          <w:u w:val="single"/>
          <w:lang w:val="en-IE"/>
        </w:rPr>
        <w:br w:type="page"/>
      </w:r>
    </w:p>
    <w:p w14:paraId="33D0628E" w14:textId="59CBDF6B" w:rsidR="00C7266C" w:rsidRPr="00D403F5" w:rsidRDefault="00C7266C" w:rsidP="00101F2F">
      <w:pPr>
        <w:spacing w:after="480" w:line="240" w:lineRule="auto"/>
        <w:jc w:val="right"/>
        <w:rPr>
          <w:rFonts w:ascii="Times New Roman" w:eastAsia="Times New Roman" w:hAnsi="Times New Roman" w:cs="Times New Roman"/>
          <w:sz w:val="18"/>
          <w:szCs w:val="18"/>
          <w:lang w:val="en-IE"/>
        </w:rPr>
      </w:pPr>
      <w:r w:rsidRPr="00D403F5">
        <w:rPr>
          <w:rFonts w:ascii="Times New Roman" w:eastAsia="Times New Roman" w:hAnsi="Times New Roman" w:cs="Times New Roman"/>
          <w:noProof/>
          <w:sz w:val="18"/>
          <w:szCs w:val="18"/>
          <w:u w:val="single"/>
          <w:lang w:val="en-IE"/>
        </w:rPr>
        <w:t>Annex 13</w:t>
      </w:r>
      <w:r w:rsidRPr="00D403F5">
        <w:rPr>
          <w:rFonts w:ascii="Times New Roman" w:eastAsia="Times New Roman" w:hAnsi="Times New Roman" w:cs="Times New Roman"/>
          <w:noProof/>
          <w:sz w:val="18"/>
          <w:szCs w:val="18"/>
          <w:lang w:val="en-IE"/>
        </w:rPr>
        <w:t xml:space="preserve"> (contd)</w:t>
      </w:r>
    </w:p>
    <w:p w14:paraId="5C61A013"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Kalayci G., Incoglu S. &amp; Ozkan B.</w:t>
      </w:r>
      <w:r w:rsidRPr="00D403F5">
        <w:rPr>
          <w:rFonts w:ascii="Arial" w:eastAsia="Times New Roman" w:hAnsi="Arial" w:cs="Times New Roman"/>
          <w:sz w:val="18"/>
          <w:szCs w:val="18"/>
          <w:lang w:val="en-IE" w:bidi="en-US"/>
        </w:rPr>
        <w:t xml:space="preserve"> (2006). First isolation of viral haemorrhagic septicaemia (VHS) virus from turbot (</w:t>
      </w:r>
      <w:r w:rsidRPr="00D403F5">
        <w:rPr>
          <w:rFonts w:ascii="Arial" w:eastAsia="Times New Roman" w:hAnsi="Arial" w:cs="Times New Roman"/>
          <w:i/>
          <w:sz w:val="18"/>
          <w:szCs w:val="18"/>
          <w:lang w:val="en-IE" w:bidi="en-US"/>
        </w:rPr>
        <w:t>Scophthalmus maximus</w:t>
      </w:r>
      <w:r w:rsidRPr="00D403F5">
        <w:rPr>
          <w:rFonts w:ascii="Arial" w:eastAsia="Times New Roman" w:hAnsi="Arial" w:cs="Times New Roman"/>
          <w:sz w:val="18"/>
          <w:szCs w:val="18"/>
          <w:lang w:val="en-IE" w:bidi="en-US"/>
        </w:rPr>
        <w:t xml:space="preserve">) cultured in the Trabzon coastal area of the Black Sea in Turkey. </w:t>
      </w:r>
      <w:r w:rsidRPr="00D403F5">
        <w:rPr>
          <w:rFonts w:ascii="Arial" w:eastAsia="Times New Roman" w:hAnsi="Arial" w:cs="Times New Roman"/>
          <w:i/>
          <w:sz w:val="18"/>
          <w:szCs w:val="18"/>
          <w:lang w:val="en-IE" w:bidi="en-US"/>
        </w:rPr>
        <w:t xml:space="preserve">Bull. Eur. Ass. Fish Pathol., </w:t>
      </w:r>
      <w:r w:rsidRPr="00D403F5">
        <w:rPr>
          <w:rFonts w:ascii="Arial" w:eastAsia="Times New Roman" w:hAnsi="Arial" w:cs="Times New Roman"/>
          <w:b/>
          <w:sz w:val="18"/>
          <w:szCs w:val="18"/>
          <w:lang w:val="en-IE" w:bidi="en-US"/>
        </w:rPr>
        <w:t>26</w:t>
      </w:r>
      <w:r w:rsidRPr="00D403F5">
        <w:rPr>
          <w:rFonts w:ascii="Arial" w:eastAsia="Times New Roman" w:hAnsi="Arial" w:cs="Times New Roman"/>
          <w:sz w:val="18"/>
          <w:szCs w:val="18"/>
          <w:lang w:val="en-IE" w:bidi="en-US"/>
        </w:rPr>
        <w:t>, 157–162.</w:t>
      </w:r>
    </w:p>
    <w:p w14:paraId="2846E57A"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color w:val="000000"/>
          <w:sz w:val="18"/>
          <w:szCs w:val="18"/>
          <w:lang w:val="en-IE" w:bidi="en-US"/>
        </w:rPr>
        <w:t>Kim H.J., Cuenca A. &amp; Olesen N.J.</w:t>
      </w:r>
      <w:r w:rsidRPr="00D403F5">
        <w:rPr>
          <w:rFonts w:ascii="Arial" w:eastAsia="Times New Roman" w:hAnsi="Arial" w:cs="Arial"/>
          <w:color w:val="000000"/>
          <w:sz w:val="18"/>
          <w:szCs w:val="18"/>
          <w:lang w:val="en-IE" w:bidi="en-US"/>
        </w:rPr>
        <w:t xml:space="preserve"> (2018). </w:t>
      </w:r>
      <w:r w:rsidRPr="00D403F5">
        <w:rPr>
          <w:rFonts w:ascii="Arial" w:eastAsia="Times New Roman" w:hAnsi="Arial" w:cs="Arial"/>
          <w:sz w:val="18"/>
          <w:szCs w:val="18"/>
          <w:lang w:val="en-IE" w:bidi="en-US"/>
        </w:rPr>
        <w:t xml:space="preserve">Validation of a novel one-step reverse transcription polymerase chain reaction method for detecting viral haemorrhagic septicaemia virus. </w:t>
      </w:r>
      <w:r w:rsidRPr="00D403F5">
        <w:rPr>
          <w:rFonts w:ascii="Arial" w:eastAsia="Times New Roman" w:hAnsi="Arial" w:cs="Arial"/>
          <w:i/>
          <w:sz w:val="18"/>
          <w:szCs w:val="18"/>
          <w:lang w:val="en-IE" w:bidi="en-US"/>
        </w:rPr>
        <w:t>Aquaculture</w:t>
      </w:r>
      <w:r w:rsidRPr="00D403F5">
        <w:rPr>
          <w:rFonts w:ascii="Arial" w:eastAsia="Times New Roman" w:hAnsi="Arial" w:cs="Arial"/>
          <w:sz w:val="18"/>
          <w:szCs w:val="18"/>
          <w:lang w:val="en-IE" w:bidi="en-US"/>
        </w:rPr>
        <w:t xml:space="preserve">, </w:t>
      </w:r>
      <w:r w:rsidRPr="00D403F5">
        <w:rPr>
          <w:rFonts w:ascii="Arial" w:eastAsia="Times New Roman" w:hAnsi="Arial" w:cs="Arial"/>
          <w:b/>
          <w:sz w:val="18"/>
          <w:szCs w:val="18"/>
          <w:lang w:val="en-IE" w:bidi="en-US"/>
        </w:rPr>
        <w:t>492</w:t>
      </w:r>
      <w:r w:rsidRPr="00D403F5">
        <w:rPr>
          <w:rFonts w:ascii="Arial" w:eastAsia="Times New Roman" w:hAnsi="Arial" w:cs="Arial"/>
          <w:sz w:val="18"/>
          <w:szCs w:val="18"/>
          <w:lang w:val="en-IE" w:bidi="en-US"/>
        </w:rPr>
        <w:t>, 170–183.</w:t>
      </w:r>
    </w:p>
    <w:p w14:paraId="42DE345D"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Kocan R.M., Hershberger P.K., Elder N.E. &amp; Winton J.R.</w:t>
      </w:r>
      <w:r w:rsidRPr="00D403F5">
        <w:rPr>
          <w:rFonts w:ascii="Arial" w:eastAsia="Times New Roman" w:hAnsi="Arial" w:cs="Arial"/>
          <w:sz w:val="18"/>
          <w:szCs w:val="18"/>
          <w:lang w:bidi="en-US"/>
        </w:rPr>
        <w:t xml:space="preserve"> (2001). Survival of the North American strain of viral hemorrhagic septicemia virus (VHSV) in filtered seawater and seawater containing ovarian fluid, crude oil and serum-enriched culture medium.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44</w:t>
      </w:r>
      <w:r w:rsidRPr="00D403F5">
        <w:rPr>
          <w:rFonts w:ascii="Arial" w:eastAsia="Times New Roman" w:hAnsi="Arial" w:cs="Arial"/>
          <w:sz w:val="18"/>
          <w:szCs w:val="18"/>
          <w:lang w:bidi="en-US"/>
        </w:rPr>
        <w:t>, 75–78.</w:t>
      </w:r>
    </w:p>
    <w:p w14:paraId="618BB2B8" w14:textId="77777777" w:rsidR="00C7266C" w:rsidRPr="00D403F5" w:rsidRDefault="00C7266C" w:rsidP="00D403F5">
      <w:pPr>
        <w:spacing w:after="0" w:line="240" w:lineRule="auto"/>
        <w:jc w:val="both"/>
        <w:rPr>
          <w:rFonts w:ascii="Arial" w:eastAsia="Times New Roman" w:hAnsi="Arial" w:cs="Arial"/>
          <w:sz w:val="18"/>
          <w:szCs w:val="18"/>
          <w:lang w:bidi="en-US"/>
        </w:rPr>
      </w:pPr>
      <w:bookmarkStart w:id="93" w:name="_Hlk19091737"/>
      <w:r w:rsidRPr="00D403F5">
        <w:rPr>
          <w:rFonts w:ascii="Arial" w:eastAsia="Times New Roman" w:hAnsi="Arial" w:cs="Times New Roman"/>
          <w:caps/>
          <w:sz w:val="18"/>
          <w:szCs w:val="18"/>
          <w:lang w:val="da-DK" w:bidi="en-US"/>
        </w:rPr>
        <w:t>L</w:t>
      </w:r>
      <w:r w:rsidRPr="00D403F5">
        <w:rPr>
          <w:rFonts w:ascii="Arial" w:eastAsia="Times New Roman" w:hAnsi="Arial" w:cs="Times New Roman"/>
          <w:smallCaps/>
          <w:sz w:val="18"/>
          <w:szCs w:val="18"/>
          <w:lang w:val="da-DK" w:bidi="en-US"/>
        </w:rPr>
        <w:t>opez-Vazquez C., Dopazo C.P., Olveira J.G., Barja I. &amp; Bandín J.L</w:t>
      </w:r>
      <w:r w:rsidRPr="00D403F5">
        <w:rPr>
          <w:rFonts w:ascii="Arial" w:eastAsia="Times New Roman" w:hAnsi="Arial" w:cs="Times New Roman"/>
          <w:caps/>
          <w:sz w:val="18"/>
          <w:szCs w:val="18"/>
          <w:lang w:val="da-DK" w:bidi="en-US"/>
        </w:rPr>
        <w:t>.</w:t>
      </w:r>
      <w:r w:rsidRPr="00D403F5">
        <w:rPr>
          <w:rFonts w:ascii="Arial" w:eastAsia="Times New Roman" w:hAnsi="Arial" w:cs="Times New Roman"/>
          <w:sz w:val="18"/>
          <w:szCs w:val="18"/>
          <w:lang w:val="da-DK" w:bidi="en-US"/>
        </w:rPr>
        <w:t xml:space="preserve"> </w:t>
      </w:r>
      <w:r w:rsidRPr="00D403F5">
        <w:rPr>
          <w:rFonts w:ascii="Arial" w:eastAsia="Times New Roman" w:hAnsi="Arial" w:cs="Times New Roman"/>
          <w:sz w:val="18"/>
          <w:szCs w:val="18"/>
          <w:lang w:bidi="en-US"/>
        </w:rPr>
        <w:t xml:space="preserve">(2006a). Development of a rapid, sensitive and non-lethal diagnostic assay for the detection of viral haemorrhagic septicaemia virus </w:t>
      </w:r>
      <w:r w:rsidRPr="00D403F5">
        <w:rPr>
          <w:rFonts w:ascii="Arial" w:eastAsia="Times New Roman" w:hAnsi="Arial" w:cs="Times New Roman"/>
          <w:i/>
          <w:sz w:val="18"/>
          <w:szCs w:val="18"/>
          <w:lang w:bidi="en-US"/>
        </w:rPr>
        <w:t>J. Virol. Methods</w:t>
      </w:r>
      <w:r w:rsidRPr="00D403F5">
        <w:rPr>
          <w:rFonts w:ascii="Arial" w:eastAsia="Times New Roman" w:hAnsi="Arial" w:cs="Times New Roman"/>
          <w:sz w:val="18"/>
          <w:szCs w:val="18"/>
          <w:lang w:bidi="en-US"/>
        </w:rPr>
        <w:t xml:space="preserve">, </w:t>
      </w:r>
      <w:r w:rsidRPr="00D403F5">
        <w:rPr>
          <w:rFonts w:ascii="Arial" w:eastAsia="Times New Roman" w:hAnsi="Arial" w:cs="Times New Roman"/>
          <w:b/>
          <w:sz w:val="18"/>
          <w:szCs w:val="18"/>
          <w:lang w:bidi="en-US"/>
        </w:rPr>
        <w:t>133</w:t>
      </w:r>
      <w:r w:rsidRPr="00D403F5">
        <w:rPr>
          <w:rFonts w:ascii="Arial" w:eastAsia="Times New Roman" w:hAnsi="Arial" w:cs="Times New Roman"/>
          <w:sz w:val="18"/>
          <w:szCs w:val="18"/>
          <w:lang w:bidi="en-US"/>
        </w:rPr>
        <w:t>, 167–174.</w:t>
      </w:r>
    </w:p>
    <w:p w14:paraId="47541C01"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bidi="en-US"/>
        </w:rPr>
        <w:t>Lopez-Vazquez C., Raynard R.S., Bain N., Snow M., Bandín I.&amp;Dopazo C.P.</w:t>
      </w:r>
      <w:r w:rsidRPr="00D403F5">
        <w:rPr>
          <w:rFonts w:ascii="Arial" w:eastAsia="Times New Roman" w:hAnsi="Arial" w:cs="Arial"/>
          <w:sz w:val="18"/>
          <w:szCs w:val="18"/>
          <w:lang w:bidi="en-US"/>
        </w:rPr>
        <w:t xml:space="preserve"> (2006b). Genotyping of marine viral haemorrhagic septicaemia virus isolated from the Flemish Cap by nucleotide sequence analysis and restriction fragment length polymorphism patterns.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73</w:t>
      </w:r>
      <w:r w:rsidRPr="00D403F5">
        <w:rPr>
          <w:rFonts w:ascii="Arial" w:eastAsia="Times New Roman" w:hAnsi="Arial" w:cs="Arial"/>
          <w:sz w:val="18"/>
          <w:szCs w:val="18"/>
          <w:lang w:val="nb-NO" w:bidi="en-US"/>
        </w:rPr>
        <w:t>, 23–31.</w:t>
      </w:r>
    </w:p>
    <w:p w14:paraId="00C32011" w14:textId="77777777" w:rsidR="00C7266C" w:rsidRPr="00D403F5" w:rsidRDefault="00C7266C" w:rsidP="00D403F5">
      <w:pPr>
        <w:spacing w:after="0" w:line="240" w:lineRule="auto"/>
        <w:jc w:val="both"/>
        <w:rPr>
          <w:rFonts w:ascii="Arial" w:eastAsia="Times New Roman" w:hAnsi="Arial" w:cs="Arial"/>
          <w:sz w:val="18"/>
          <w:szCs w:val="18"/>
          <w:lang w:bidi="en-US"/>
        </w:rPr>
      </w:pPr>
      <w:bookmarkStart w:id="94" w:name="_Hlk19091634"/>
      <w:bookmarkEnd w:id="93"/>
      <w:r w:rsidRPr="00D403F5">
        <w:rPr>
          <w:rFonts w:ascii="Arial" w:eastAsia="Times New Roman" w:hAnsi="Arial" w:cs="Arial"/>
          <w:smallCaps/>
          <w:sz w:val="18"/>
          <w:szCs w:val="18"/>
          <w:lang w:val="nb-NO" w:bidi="en-US"/>
        </w:rPr>
        <w:t>Lorenzen E., Carstensen B. &amp; Olesen N.J.</w:t>
      </w:r>
      <w:r w:rsidRPr="00D403F5">
        <w:rPr>
          <w:rFonts w:ascii="Arial" w:eastAsia="Times New Roman" w:hAnsi="Arial" w:cs="Arial"/>
          <w:sz w:val="18"/>
          <w:szCs w:val="18"/>
          <w:lang w:val="nb-NO" w:bidi="en-US"/>
        </w:rPr>
        <w:t xml:space="preserve"> (1999). </w:t>
      </w:r>
      <w:r w:rsidRPr="00D403F5">
        <w:rPr>
          <w:rFonts w:ascii="Arial" w:eastAsia="Times New Roman" w:hAnsi="Arial" w:cs="Arial"/>
          <w:sz w:val="18"/>
          <w:szCs w:val="18"/>
          <w:lang w:bidi="en-US"/>
        </w:rPr>
        <w:t xml:space="preserve">Inter-laboratory comparison of cell lines for susceptibility to three viruses: VHSV, IHNV and IPNV.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37</w:t>
      </w:r>
      <w:r w:rsidRPr="00D403F5">
        <w:rPr>
          <w:rFonts w:ascii="Arial" w:eastAsia="Times New Roman" w:hAnsi="Arial" w:cs="Arial"/>
          <w:sz w:val="18"/>
          <w:szCs w:val="18"/>
          <w:lang w:bidi="en-US"/>
        </w:rPr>
        <w:t>, 81–88.</w:t>
      </w:r>
    </w:p>
    <w:p w14:paraId="58B1ED83"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val="en-IE" w:bidi="en-US"/>
        </w:rPr>
        <w:t xml:space="preserve">Lorenzen N. &amp; LaPatra S.E. </w:t>
      </w:r>
      <w:r w:rsidRPr="00D403F5">
        <w:rPr>
          <w:rFonts w:ascii="Arial" w:eastAsia="Times New Roman" w:hAnsi="Arial" w:cs="Arial"/>
          <w:sz w:val="18"/>
          <w:szCs w:val="18"/>
          <w:lang w:val="en-IE" w:bidi="en-US"/>
        </w:rPr>
        <w:t xml:space="preserve">(2005). </w:t>
      </w:r>
      <w:r w:rsidRPr="00D403F5">
        <w:rPr>
          <w:rFonts w:ascii="Arial" w:eastAsia="Times New Roman" w:hAnsi="Arial" w:cs="Arial"/>
          <w:sz w:val="18"/>
          <w:szCs w:val="18"/>
          <w:lang w:bidi="en-US"/>
        </w:rPr>
        <w:t xml:space="preserve">DNA vaccines for aquacultured fish. </w:t>
      </w:r>
      <w:r w:rsidRPr="00D403F5">
        <w:rPr>
          <w:rFonts w:ascii="Arial" w:eastAsia="Times New Roman" w:hAnsi="Arial" w:cs="Arial"/>
          <w:i/>
          <w:sz w:val="18"/>
          <w:szCs w:val="18"/>
          <w:lang w:bidi="en-US"/>
        </w:rPr>
        <w:t xml:space="preserve">Rev. sci. tech. Off. int. Epiz., </w:t>
      </w:r>
      <w:r w:rsidRPr="00D403F5">
        <w:rPr>
          <w:rFonts w:ascii="Arial" w:eastAsia="Times New Roman" w:hAnsi="Arial" w:cs="Arial"/>
          <w:b/>
          <w:sz w:val="18"/>
          <w:szCs w:val="18"/>
          <w:lang w:bidi="en-US"/>
        </w:rPr>
        <w:t>24</w:t>
      </w:r>
      <w:r w:rsidRPr="00D403F5">
        <w:rPr>
          <w:rFonts w:ascii="Arial" w:eastAsia="Times New Roman" w:hAnsi="Arial" w:cs="Arial"/>
          <w:sz w:val="18"/>
          <w:szCs w:val="18"/>
          <w:lang w:bidi="en-US"/>
        </w:rPr>
        <w:t>, 201–213.</w:t>
      </w:r>
    </w:p>
    <w:bookmarkEnd w:id="94"/>
    <w:p w14:paraId="3CF1A36B"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val="en-IE" w:bidi="en-US"/>
        </w:rPr>
        <w:t>Meier W. &amp; Jorgensen P.E.V.</w:t>
      </w:r>
      <w:r w:rsidRPr="00D403F5">
        <w:rPr>
          <w:rFonts w:ascii="Arial" w:eastAsia="Times New Roman" w:hAnsi="Arial" w:cs="Arial"/>
          <w:sz w:val="18"/>
          <w:szCs w:val="18"/>
          <w:lang w:val="en-IE" w:bidi="en-US"/>
        </w:rPr>
        <w:t xml:space="preserve"> (1980). </w:t>
      </w:r>
      <w:r w:rsidRPr="00D403F5">
        <w:rPr>
          <w:rFonts w:ascii="Arial" w:eastAsia="Times New Roman" w:hAnsi="Arial" w:cs="Arial"/>
          <w:sz w:val="18"/>
          <w:szCs w:val="18"/>
          <w:lang w:bidi="en-US"/>
        </w:rPr>
        <w:t>Isolation of VHS virus from pike fry (</w:t>
      </w:r>
      <w:r w:rsidRPr="00D403F5">
        <w:rPr>
          <w:rFonts w:ascii="Arial" w:eastAsia="Times New Roman" w:hAnsi="Arial" w:cs="Arial"/>
          <w:i/>
          <w:sz w:val="18"/>
          <w:szCs w:val="18"/>
          <w:lang w:bidi="en-US"/>
        </w:rPr>
        <w:t>Esox</w:t>
      </w:r>
      <w:r w:rsidRPr="00D403F5">
        <w:rPr>
          <w:rFonts w:ascii="Arial" w:eastAsia="Times New Roman" w:hAnsi="Arial" w:cs="Arial"/>
          <w:sz w:val="18"/>
          <w:szCs w:val="18"/>
          <w:lang w:bidi="en-US"/>
        </w:rPr>
        <w:t xml:space="preserve"> </w:t>
      </w:r>
      <w:r w:rsidRPr="00D403F5">
        <w:rPr>
          <w:rFonts w:ascii="Arial" w:eastAsia="Times New Roman" w:hAnsi="Arial" w:cs="Arial"/>
          <w:i/>
          <w:sz w:val="18"/>
          <w:szCs w:val="18"/>
          <w:lang w:bidi="en-US"/>
        </w:rPr>
        <w:t>lucius</w:t>
      </w:r>
      <w:r w:rsidRPr="00D403F5">
        <w:rPr>
          <w:rFonts w:ascii="Arial" w:eastAsia="Times New Roman" w:hAnsi="Arial" w:cs="Arial"/>
          <w:sz w:val="18"/>
          <w:szCs w:val="18"/>
          <w:lang w:bidi="en-US"/>
        </w:rPr>
        <w:t xml:space="preserve">) with hemorrhagic symptoms. </w:t>
      </w:r>
      <w:r w:rsidRPr="00D403F5">
        <w:rPr>
          <w:rFonts w:ascii="Arial" w:eastAsia="Times New Roman" w:hAnsi="Arial" w:cs="Arial"/>
          <w:i/>
          <w:sz w:val="18"/>
          <w:szCs w:val="18"/>
          <w:lang w:bidi="en-US"/>
        </w:rPr>
        <w:t>In:</w:t>
      </w:r>
      <w:r w:rsidRPr="00D403F5">
        <w:rPr>
          <w:rFonts w:ascii="Arial" w:eastAsia="Times New Roman" w:hAnsi="Arial" w:cs="Arial"/>
          <w:sz w:val="18"/>
          <w:szCs w:val="18"/>
          <w:lang w:bidi="en-US"/>
        </w:rPr>
        <w:t xml:space="preserve"> Fish Diseases</w:t>
      </w:r>
      <w:r w:rsidRPr="00D403F5">
        <w:rPr>
          <w:rFonts w:ascii="Arial" w:eastAsia="Times New Roman" w:hAnsi="Arial" w:cs="Arial"/>
          <w:i/>
          <w:sz w:val="18"/>
          <w:szCs w:val="18"/>
          <w:lang w:bidi="en-US"/>
        </w:rPr>
        <w:t xml:space="preserve">, </w:t>
      </w:r>
      <w:r w:rsidRPr="00D403F5">
        <w:rPr>
          <w:rFonts w:ascii="Arial" w:eastAsia="Times New Roman" w:hAnsi="Arial" w:cs="Arial"/>
          <w:sz w:val="18"/>
          <w:szCs w:val="18"/>
          <w:lang w:bidi="en-US"/>
        </w:rPr>
        <w:t>Third COPRAQ Session</w:t>
      </w:r>
      <w:r w:rsidRPr="00D403F5">
        <w:rPr>
          <w:rFonts w:ascii="Arial" w:eastAsia="Times New Roman" w:hAnsi="Arial" w:cs="Arial"/>
          <w:i/>
          <w:sz w:val="18"/>
          <w:szCs w:val="18"/>
          <w:lang w:bidi="en-US"/>
        </w:rPr>
        <w:t>,</w:t>
      </w:r>
      <w:r w:rsidRPr="00D403F5">
        <w:rPr>
          <w:rFonts w:ascii="Arial" w:eastAsia="Times New Roman" w:hAnsi="Arial" w:cs="Arial"/>
          <w:sz w:val="18"/>
          <w:szCs w:val="18"/>
          <w:lang w:bidi="en-US"/>
        </w:rPr>
        <w:t xml:space="preserve"> Ahne W., ed. Springer-Verlag, Berlin, Germany and New York, USA, 8–17.</w:t>
      </w:r>
    </w:p>
    <w:p w14:paraId="1D17033C"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Meyers T.R. &amp; Winton J.R.</w:t>
      </w:r>
      <w:r w:rsidRPr="00D403F5">
        <w:rPr>
          <w:rFonts w:ascii="Arial" w:eastAsia="Times New Roman" w:hAnsi="Arial" w:cs="Arial"/>
          <w:sz w:val="18"/>
          <w:szCs w:val="18"/>
          <w:lang w:bidi="en-US"/>
        </w:rPr>
        <w:t xml:space="preserve"> (1995). Viral hemorrhagic septicemia virus in North America. </w:t>
      </w:r>
      <w:r w:rsidRPr="00D403F5">
        <w:rPr>
          <w:rFonts w:ascii="Arial" w:eastAsia="Times New Roman" w:hAnsi="Arial" w:cs="Arial"/>
          <w:i/>
          <w:sz w:val="18"/>
          <w:szCs w:val="18"/>
          <w:lang w:bidi="en-US"/>
        </w:rPr>
        <w:t>Ann. Rev. Fish Dis.,</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5</w:t>
      </w:r>
      <w:r w:rsidRPr="00D403F5">
        <w:rPr>
          <w:rFonts w:ascii="Arial" w:eastAsia="Times New Roman" w:hAnsi="Arial" w:cs="Arial"/>
          <w:sz w:val="18"/>
          <w:szCs w:val="18"/>
          <w:lang w:bidi="en-US"/>
        </w:rPr>
        <w:t>, 3–24.</w:t>
      </w:r>
    </w:p>
    <w:p w14:paraId="16E3D397"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smallCaps/>
          <w:sz w:val="18"/>
          <w:szCs w:val="18"/>
          <w:lang w:val="en-IE" w:bidi="en-US"/>
        </w:rPr>
        <w:t>Munro E.S. &amp; Gregory A.</w:t>
      </w:r>
      <w:r w:rsidRPr="00D403F5">
        <w:rPr>
          <w:rFonts w:ascii="Arial" w:eastAsia="Times New Roman" w:hAnsi="Arial" w:cs="Times New Roman"/>
          <w:sz w:val="18"/>
          <w:szCs w:val="18"/>
          <w:lang w:val="en-IE" w:bidi="en-US"/>
        </w:rPr>
        <w:t xml:space="preserve"> (2010). The risk associated with vertical transmission of viral haemorrhagic septicaemia virus (VHSV) in rainbow trout (</w:t>
      </w:r>
      <w:r w:rsidRPr="00D403F5">
        <w:rPr>
          <w:rFonts w:ascii="Arial" w:eastAsia="Times New Roman" w:hAnsi="Arial" w:cs="Times New Roman"/>
          <w:i/>
          <w:sz w:val="18"/>
          <w:szCs w:val="18"/>
          <w:lang w:val="en-IE" w:bidi="en-US"/>
        </w:rPr>
        <w:t>Oncorhynchus mykiss</w:t>
      </w:r>
      <w:r w:rsidRPr="00D403F5">
        <w:rPr>
          <w:rFonts w:ascii="Arial" w:eastAsia="Times New Roman" w:hAnsi="Arial" w:cs="Times New Roman"/>
          <w:sz w:val="18"/>
          <w:szCs w:val="18"/>
          <w:lang w:val="en-IE" w:bidi="en-US"/>
        </w:rPr>
        <w:t xml:space="preserve">) eggs. </w:t>
      </w:r>
      <w:r w:rsidRPr="00D403F5">
        <w:rPr>
          <w:rFonts w:ascii="Arial" w:eastAsia="Times New Roman" w:hAnsi="Arial" w:cs="Times New Roman"/>
          <w:i/>
          <w:sz w:val="18"/>
          <w:szCs w:val="18"/>
          <w:lang w:val="en-IE" w:bidi="en-US"/>
        </w:rPr>
        <w:t>Bull. Eur. Ass. Fish Pathol.</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30</w:t>
      </w:r>
      <w:r w:rsidRPr="00D403F5">
        <w:rPr>
          <w:rFonts w:ascii="Arial" w:eastAsia="Times New Roman" w:hAnsi="Arial" w:cs="Times New Roman"/>
          <w:sz w:val="18"/>
          <w:szCs w:val="18"/>
          <w:lang w:val="en-IE" w:bidi="en-US"/>
        </w:rPr>
        <w:t>, 154–158.</w:t>
      </w:r>
    </w:p>
    <w:p w14:paraId="3D390393"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smallCaps/>
          <w:sz w:val="18"/>
          <w:szCs w:val="18"/>
          <w:lang w:val="en-IE" w:bidi="en-US"/>
        </w:rPr>
        <w:t>Munro E.S., McIntosh R.E., Weir S.J., Noguera P.A., Sandilands J.M., Matejusova I., Mayes A.S. &amp; Smith R.</w:t>
      </w:r>
      <w:r w:rsidRPr="00D403F5">
        <w:rPr>
          <w:rFonts w:ascii="Arial" w:eastAsia="Times New Roman" w:hAnsi="Arial" w:cs="Times New Roman"/>
          <w:sz w:val="18"/>
          <w:szCs w:val="18"/>
          <w:lang w:val="en-IE" w:bidi="en-US"/>
        </w:rPr>
        <w:t xml:space="preserve"> (2015). A mortality event in wrasse species (Labridae) associated with the presence of viral haemorrhagic septicaemia virus </w:t>
      </w:r>
      <w:r w:rsidRPr="00D403F5">
        <w:rPr>
          <w:rFonts w:ascii="Arial" w:eastAsia="Times New Roman" w:hAnsi="Arial" w:cs="Times New Roman"/>
          <w:i/>
          <w:sz w:val="18"/>
          <w:szCs w:val="18"/>
          <w:lang w:val="en-IE" w:bidi="en-US"/>
        </w:rPr>
        <w:t>J. Fish Dis</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38</w:t>
      </w:r>
      <w:r w:rsidRPr="00D403F5">
        <w:rPr>
          <w:rFonts w:ascii="Arial" w:eastAsia="Times New Roman" w:hAnsi="Arial" w:cs="Times New Roman"/>
          <w:sz w:val="18"/>
          <w:szCs w:val="18"/>
          <w:lang w:val="en-IE" w:bidi="en-US"/>
        </w:rPr>
        <w:t>, 335–341.</w:t>
      </w:r>
    </w:p>
    <w:p w14:paraId="4F4AEF53"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val="es-ES" w:bidi="en-US"/>
        </w:rPr>
        <w:t>Nishizawa T., Iida H., Takano R., Isshiki T., Nakajima K. &amp; Muroga K.</w:t>
      </w:r>
      <w:r w:rsidRPr="00D403F5">
        <w:rPr>
          <w:rFonts w:ascii="Arial" w:eastAsia="Times New Roman" w:hAnsi="Arial" w:cs="Arial"/>
          <w:sz w:val="18"/>
          <w:szCs w:val="18"/>
          <w:lang w:val="es-ES" w:bidi="en-US"/>
        </w:rPr>
        <w:t xml:space="preserve"> (2002). </w:t>
      </w:r>
      <w:r w:rsidRPr="00D403F5">
        <w:rPr>
          <w:rFonts w:ascii="Arial" w:eastAsia="Times New Roman" w:hAnsi="Arial" w:cs="Arial"/>
          <w:sz w:val="18"/>
          <w:szCs w:val="18"/>
          <w:lang w:bidi="en-US"/>
        </w:rPr>
        <w:t xml:space="preserve">Genetic relatedness among Japanese, American and European isolates of viral haemorrhagic septicaemia virus (VHSV) based on partial G and P genes.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48</w:t>
      </w:r>
      <w:r w:rsidRPr="00D403F5">
        <w:rPr>
          <w:rFonts w:ascii="Arial" w:eastAsia="Times New Roman" w:hAnsi="Arial" w:cs="Arial"/>
          <w:sz w:val="18"/>
          <w:szCs w:val="18"/>
          <w:lang w:bidi="en-US"/>
        </w:rPr>
        <w:t>, 143–148.</w:t>
      </w:r>
    </w:p>
    <w:p w14:paraId="08CC2397"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Nishizawa T., Savas H., Isidan H., Üstündag C., Iwamoto H. &amp; Yoshimizu M.</w:t>
      </w:r>
      <w:r w:rsidRPr="00D403F5">
        <w:rPr>
          <w:rFonts w:ascii="Arial" w:eastAsia="Times New Roman" w:hAnsi="Arial" w:cs="Arial"/>
          <w:sz w:val="18"/>
          <w:szCs w:val="18"/>
          <w:lang w:bidi="en-US"/>
        </w:rPr>
        <w:t xml:space="preserve"> (2006). Genotyping and pathogenicity of viral hemorrhagic septicemia virus from free-living turbot (</w:t>
      </w:r>
      <w:r w:rsidRPr="00D403F5">
        <w:rPr>
          <w:rFonts w:ascii="Arial" w:eastAsia="Times New Roman" w:hAnsi="Arial" w:cs="Arial"/>
          <w:i/>
          <w:sz w:val="18"/>
          <w:szCs w:val="18"/>
          <w:lang w:bidi="en-US"/>
        </w:rPr>
        <w:t>Psetta maxima</w:t>
      </w:r>
      <w:r w:rsidRPr="00D403F5">
        <w:rPr>
          <w:rFonts w:ascii="Arial" w:eastAsia="Times New Roman" w:hAnsi="Arial" w:cs="Arial"/>
          <w:sz w:val="18"/>
          <w:szCs w:val="18"/>
          <w:lang w:bidi="en-US"/>
        </w:rPr>
        <w:t xml:space="preserve">) in a Turkish coastal area of the Black Sea. </w:t>
      </w:r>
      <w:r w:rsidRPr="00D403F5">
        <w:rPr>
          <w:rFonts w:ascii="Arial" w:eastAsia="Times New Roman" w:hAnsi="Arial" w:cs="Arial"/>
          <w:i/>
          <w:sz w:val="18"/>
          <w:szCs w:val="18"/>
          <w:lang w:bidi="en-US"/>
        </w:rPr>
        <w:t>Appl. Environ. Microbiol.,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72</w:t>
      </w:r>
      <w:r w:rsidRPr="00D403F5">
        <w:rPr>
          <w:rFonts w:ascii="Arial" w:eastAsia="Times New Roman" w:hAnsi="Arial" w:cs="Arial"/>
          <w:sz w:val="18"/>
          <w:szCs w:val="18"/>
          <w:lang w:bidi="en-US"/>
        </w:rPr>
        <w:t>, 2373–2378.</w:t>
      </w:r>
    </w:p>
    <w:p w14:paraId="1A7E0291" w14:textId="77777777" w:rsidR="00C7266C" w:rsidRPr="00D403F5" w:rsidRDefault="00C7266C" w:rsidP="00D403F5">
      <w:pPr>
        <w:spacing w:after="0" w:line="240" w:lineRule="auto"/>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en-IE"/>
        </w:rPr>
        <w:t>Nordblom</w:t>
      </w:r>
      <w:r w:rsidRPr="00D403F5">
        <w:rPr>
          <w:rFonts w:ascii="Arial" w:eastAsia="Times New Roman" w:hAnsi="Arial" w:cs="Times New Roman"/>
          <w:bCs/>
          <w:sz w:val="18"/>
          <w:szCs w:val="18"/>
          <w:lang w:val="en-IE"/>
        </w:rPr>
        <w:t xml:space="preserve"> B. (1998) Report on an Outbreak of Viral Haemorrhagic Septicaemia in Sweden. Report for the Standing Veterinary Committee, Swedish Board of Agriculture, Department for Animal Production and Health.</w:t>
      </w:r>
    </w:p>
    <w:p w14:paraId="6F353CAE" w14:textId="77777777" w:rsidR="00C7266C" w:rsidRPr="00D403F5" w:rsidRDefault="00C7266C" w:rsidP="00D403F5">
      <w:pPr>
        <w:spacing w:after="0" w:line="240" w:lineRule="auto"/>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nb-NO"/>
        </w:rPr>
        <w:t>Nordblom B. &amp; Norell A.W.</w:t>
      </w:r>
      <w:r w:rsidRPr="00D403F5">
        <w:rPr>
          <w:rFonts w:ascii="Arial" w:eastAsia="Times New Roman" w:hAnsi="Arial" w:cs="Times New Roman"/>
          <w:bCs/>
          <w:sz w:val="18"/>
          <w:szCs w:val="18"/>
          <w:lang w:val="nb-NO"/>
        </w:rPr>
        <w:t xml:space="preserve"> (2000). </w:t>
      </w:r>
      <w:r w:rsidRPr="00D403F5">
        <w:rPr>
          <w:rFonts w:ascii="Arial" w:eastAsia="Times New Roman" w:hAnsi="Arial" w:cs="Times New Roman"/>
          <w:bCs/>
          <w:sz w:val="18"/>
          <w:szCs w:val="18"/>
          <w:lang w:val="en-IE"/>
        </w:rPr>
        <w:t>Report on an Outbreak of VHS (Viral Hemorrhagic Septicaemia) in Farmed Fish in Sweden. Report for the Standing Veterinary Committee, Swedish Board of Agriculture, Department for Animal Production and Health.</w:t>
      </w:r>
    </w:p>
    <w:p w14:paraId="6865CE67" w14:textId="77777777" w:rsidR="00C7266C" w:rsidRPr="00D403F5" w:rsidRDefault="00C7266C" w:rsidP="00D403F5">
      <w:pPr>
        <w:spacing w:after="0" w:line="240" w:lineRule="auto"/>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en-IE"/>
        </w:rPr>
        <w:t>Oidtmann B., Joiner C., Reese R.A., Stone D., Dodge M. &amp; Dixon P.</w:t>
      </w:r>
      <w:r w:rsidRPr="00D403F5">
        <w:rPr>
          <w:rFonts w:ascii="Arial" w:eastAsia="Times New Roman" w:hAnsi="Arial" w:cs="Times New Roman"/>
          <w:bCs/>
          <w:sz w:val="18"/>
          <w:szCs w:val="18"/>
          <w:lang w:val="en-IE"/>
        </w:rPr>
        <w:t xml:space="preserve"> (2011). Risks Associated with Commodity Trade: Transmission of Viral Haemorrhagic Septicaemia Virus (VHSV) to Rainbow Trout Fry from VHSV-Carrying Tissue-Homogenates. </w:t>
      </w:r>
      <w:r w:rsidRPr="00D403F5">
        <w:rPr>
          <w:rFonts w:ascii="Arial" w:eastAsia="Times New Roman" w:hAnsi="Arial" w:cs="Times New Roman"/>
          <w:bCs/>
          <w:i/>
          <w:sz w:val="18"/>
          <w:szCs w:val="18"/>
          <w:lang w:val="en-IE"/>
        </w:rPr>
        <w:t>Transbound. Emerg. Dis</w:t>
      </w:r>
      <w:r w:rsidRPr="00D403F5">
        <w:rPr>
          <w:rFonts w:ascii="Arial" w:eastAsia="Times New Roman" w:hAnsi="Arial" w:cs="Times New Roman"/>
          <w:bCs/>
          <w:sz w:val="18"/>
          <w:szCs w:val="18"/>
          <w:lang w:val="en-IE"/>
        </w:rPr>
        <w:t xml:space="preserve">., </w:t>
      </w:r>
      <w:r w:rsidRPr="00D403F5">
        <w:rPr>
          <w:rFonts w:ascii="Arial" w:eastAsia="Times New Roman" w:hAnsi="Arial" w:cs="Times New Roman"/>
          <w:b/>
          <w:bCs/>
          <w:sz w:val="18"/>
          <w:szCs w:val="18"/>
          <w:lang w:val="en-IE"/>
        </w:rPr>
        <w:t>58</w:t>
      </w:r>
      <w:r w:rsidRPr="00D403F5">
        <w:rPr>
          <w:rFonts w:ascii="Arial" w:eastAsia="Times New Roman" w:hAnsi="Arial" w:cs="Times New Roman"/>
          <w:bCs/>
          <w:sz w:val="18"/>
          <w:szCs w:val="18"/>
          <w:lang w:val="en-IE"/>
        </w:rPr>
        <w:t>, 224–231.</w:t>
      </w:r>
    </w:p>
    <w:p w14:paraId="24AC348A" w14:textId="77777777" w:rsidR="00C7266C" w:rsidRPr="00D403F5" w:rsidRDefault="00C7266C" w:rsidP="00D403F5">
      <w:pPr>
        <w:spacing w:after="0" w:line="240" w:lineRule="auto"/>
        <w:jc w:val="both"/>
        <w:rPr>
          <w:rFonts w:ascii="Arial" w:eastAsia="Times New Roman" w:hAnsi="Arial" w:cs="Arial"/>
          <w:sz w:val="18"/>
          <w:szCs w:val="18"/>
          <w:lang w:bidi="en-US"/>
        </w:rPr>
      </w:pPr>
      <w:bookmarkStart w:id="95" w:name="_Hlk19091225"/>
      <w:r w:rsidRPr="00D403F5">
        <w:rPr>
          <w:rFonts w:ascii="Arial" w:eastAsia="Times New Roman" w:hAnsi="Arial" w:cs="Arial"/>
          <w:smallCaps/>
          <w:sz w:val="18"/>
          <w:szCs w:val="18"/>
          <w:lang w:bidi="en-US"/>
        </w:rPr>
        <w:t>Olesen N.J. &amp; Jørgensen P.E.</w:t>
      </w:r>
      <w:r w:rsidRPr="00D403F5">
        <w:rPr>
          <w:rFonts w:ascii="Arial" w:eastAsia="Times New Roman" w:hAnsi="Arial" w:cs="Arial"/>
          <w:sz w:val="18"/>
          <w:szCs w:val="18"/>
          <w:lang w:bidi="en-US"/>
        </w:rPr>
        <w:t xml:space="preserve"> (1982). Can and do herons serve as vectors for Egtved virus? </w:t>
      </w:r>
      <w:r w:rsidRPr="00D403F5">
        <w:rPr>
          <w:rFonts w:ascii="Arial" w:eastAsia="Times New Roman" w:hAnsi="Arial" w:cs="Arial"/>
          <w:i/>
          <w:sz w:val="18"/>
          <w:szCs w:val="18"/>
          <w:lang w:bidi="en-US"/>
        </w:rPr>
        <w:t>Bull. Eur. Assoc. Fish Pathol.,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2</w:t>
      </w:r>
      <w:r w:rsidRPr="00D403F5">
        <w:rPr>
          <w:rFonts w:ascii="Arial" w:eastAsia="Times New Roman" w:hAnsi="Arial" w:cs="Arial"/>
          <w:sz w:val="18"/>
          <w:szCs w:val="18"/>
          <w:lang w:bidi="en-US"/>
        </w:rPr>
        <w:t>, 48.</w:t>
      </w:r>
    </w:p>
    <w:bookmarkEnd w:id="95"/>
    <w:p w14:paraId="69FE2059" w14:textId="77777777" w:rsidR="00101F2F" w:rsidRDefault="00101F2F" w:rsidP="00D403F5">
      <w:pPr>
        <w:spacing w:after="0" w:line="240" w:lineRule="auto"/>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7D6853EB" w14:textId="1251DFA9" w:rsidR="00C7266C" w:rsidRPr="00D403F5" w:rsidRDefault="00C7266C" w:rsidP="00101F2F">
      <w:pPr>
        <w:spacing w:after="480" w:line="240" w:lineRule="auto"/>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26684AA5"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Parry L. &amp; Dixon P.F</w:t>
      </w:r>
      <w:r w:rsidRPr="00D403F5">
        <w:rPr>
          <w:rFonts w:ascii="Arial" w:eastAsia="Times New Roman" w:hAnsi="Arial" w:cs="Arial"/>
          <w:sz w:val="18"/>
          <w:szCs w:val="18"/>
          <w:lang w:bidi="en-US"/>
        </w:rPr>
        <w:t xml:space="preserve">. (1997). Stability of nine viral haemorrhagic septicaemia virus (VHSV) isolates in seawater. </w:t>
      </w:r>
      <w:r w:rsidRPr="00D403F5">
        <w:rPr>
          <w:rFonts w:ascii="Arial" w:eastAsia="Times New Roman" w:hAnsi="Arial" w:cs="Arial"/>
          <w:i/>
          <w:sz w:val="18"/>
          <w:szCs w:val="18"/>
          <w:lang w:bidi="en-US"/>
        </w:rPr>
        <w:t>Bull. Eur. Assoc. Fish Pathol.,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17</w:t>
      </w:r>
      <w:r w:rsidRPr="00D403F5">
        <w:rPr>
          <w:rFonts w:ascii="Arial" w:eastAsia="Times New Roman" w:hAnsi="Arial" w:cs="Arial"/>
          <w:sz w:val="18"/>
          <w:szCs w:val="18"/>
          <w:lang w:bidi="en-US"/>
        </w:rPr>
        <w:t>, 31–36.</w:t>
      </w:r>
    </w:p>
    <w:p w14:paraId="0A04618E"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val="en-US" w:bidi="en-US"/>
        </w:rPr>
        <w:t xml:space="preserve">Peddie S., Mclauchlan P.E., Ellis A.E. &amp; Secombes C.J. </w:t>
      </w:r>
      <w:r w:rsidRPr="00D403F5">
        <w:rPr>
          <w:rFonts w:ascii="Arial" w:eastAsia="Times New Roman" w:hAnsi="Arial" w:cs="Arial"/>
          <w:sz w:val="18"/>
          <w:szCs w:val="18"/>
          <w:lang w:val="en-US" w:bidi="en-US"/>
        </w:rPr>
        <w:t xml:space="preserve">(2003). </w:t>
      </w:r>
      <w:r w:rsidRPr="00D403F5">
        <w:rPr>
          <w:rFonts w:ascii="Arial" w:eastAsia="Times New Roman" w:hAnsi="Arial" w:cs="Arial"/>
          <w:sz w:val="18"/>
          <w:szCs w:val="18"/>
          <w:lang w:bidi="en-US"/>
        </w:rPr>
        <w:t xml:space="preserve">Effect of intraperitoneally administered IL-1b-derived peptides on resistance to viral haemorrhagic septicaemia in rainbow trout </w:t>
      </w:r>
      <w:r w:rsidRPr="00D403F5">
        <w:rPr>
          <w:rFonts w:ascii="Arial" w:eastAsia="Times New Roman" w:hAnsi="Arial" w:cs="Arial"/>
          <w:i/>
          <w:sz w:val="18"/>
          <w:szCs w:val="18"/>
          <w:lang w:bidi="en-US"/>
        </w:rPr>
        <w:t>Oncorhynchus mykiss. 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56</w:t>
      </w:r>
      <w:r w:rsidRPr="00D403F5">
        <w:rPr>
          <w:rFonts w:ascii="Arial" w:eastAsia="Times New Roman" w:hAnsi="Arial" w:cs="Arial"/>
          <w:sz w:val="18"/>
          <w:szCs w:val="18"/>
          <w:lang w:bidi="en-US"/>
        </w:rPr>
        <w:t>, 195–200.</w:t>
      </w:r>
    </w:p>
    <w:p w14:paraId="651F2E3E"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Peters F. &amp; Neukirch M. (</w:t>
      </w:r>
      <w:r w:rsidRPr="00D403F5">
        <w:rPr>
          <w:rFonts w:ascii="Arial" w:eastAsia="Times New Roman" w:hAnsi="Arial" w:cs="Arial"/>
          <w:sz w:val="18"/>
          <w:szCs w:val="18"/>
          <w:lang w:bidi="en-US"/>
        </w:rPr>
        <w:t xml:space="preserve">1986). Transmission of some fish pathogenic viruses by the heron, </w:t>
      </w:r>
      <w:r w:rsidRPr="00D403F5">
        <w:rPr>
          <w:rFonts w:ascii="Arial" w:eastAsia="Times New Roman" w:hAnsi="Arial" w:cs="Arial"/>
          <w:i/>
          <w:sz w:val="18"/>
          <w:szCs w:val="18"/>
          <w:lang w:bidi="en-US"/>
        </w:rPr>
        <w:t>Ardea cinerea</w:t>
      </w:r>
      <w:r w:rsidRPr="00D403F5">
        <w:rPr>
          <w:rFonts w:ascii="Arial" w:eastAsia="Times New Roman" w:hAnsi="Arial" w:cs="Arial"/>
          <w:sz w:val="18"/>
          <w:szCs w:val="18"/>
          <w:lang w:bidi="en-US"/>
        </w:rPr>
        <w:t xml:space="preserve">. </w:t>
      </w:r>
      <w:r w:rsidRPr="00D403F5">
        <w:rPr>
          <w:rFonts w:ascii="Arial" w:eastAsia="Times New Roman" w:hAnsi="Arial" w:cs="Arial"/>
          <w:i/>
          <w:sz w:val="18"/>
          <w:szCs w:val="18"/>
          <w:lang w:bidi="en-US"/>
        </w:rPr>
        <w:t>J. Fish Dis.,</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9</w:t>
      </w:r>
      <w:r w:rsidRPr="00D403F5">
        <w:rPr>
          <w:rFonts w:ascii="Arial" w:eastAsia="Times New Roman" w:hAnsi="Arial" w:cs="Arial"/>
          <w:sz w:val="18"/>
          <w:szCs w:val="18"/>
          <w:lang w:bidi="en-US"/>
        </w:rPr>
        <w:t>, 539–544.</w:t>
      </w:r>
    </w:p>
    <w:p w14:paraId="783E006C"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bCs/>
          <w:smallCaps/>
          <w:sz w:val="18"/>
          <w:szCs w:val="18"/>
          <w:lang w:val="en-IE" w:bidi="en-US"/>
        </w:rPr>
        <w:t>Pham P.H., Sokeechand B.S.H., Garver K.A., Jones G., Lumsden J.S. &amp; Bols N.C.</w:t>
      </w:r>
      <w:r w:rsidRPr="00D403F5">
        <w:rPr>
          <w:rFonts w:ascii="Arial" w:eastAsia="Times New Roman" w:hAnsi="Arial" w:cs="Times New Roman"/>
          <w:sz w:val="18"/>
          <w:szCs w:val="18"/>
          <w:lang w:val="en-IE" w:bidi="en-US"/>
        </w:rPr>
        <w:t xml:space="preserve"> (2018). Fish viruses stored in RNAlater can remain infectious and even be temporarily protected from inactivation by heat or by tissue homogenates. </w:t>
      </w:r>
      <w:r w:rsidRPr="00D403F5">
        <w:rPr>
          <w:rFonts w:ascii="Arial" w:eastAsia="Times New Roman" w:hAnsi="Arial" w:cs="Times New Roman"/>
          <w:i/>
          <w:sz w:val="18"/>
          <w:szCs w:val="18"/>
          <w:lang w:val="en-IE" w:bidi="en-US"/>
        </w:rPr>
        <w:t>J. Virol. Methods</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253</w:t>
      </w:r>
      <w:r w:rsidRPr="00D403F5">
        <w:rPr>
          <w:rFonts w:ascii="Arial" w:eastAsia="Times New Roman" w:hAnsi="Arial" w:cs="Times New Roman"/>
          <w:sz w:val="18"/>
          <w:szCs w:val="18"/>
          <w:lang w:val="en-IE" w:bidi="en-US"/>
        </w:rPr>
        <w:t>, 31–37.</w:t>
      </w:r>
    </w:p>
    <w:p w14:paraId="7DA331C2"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bCs/>
          <w:smallCaps/>
          <w:sz w:val="18"/>
          <w:szCs w:val="18"/>
          <w:lang w:val="en-IE" w:bidi="en-US"/>
        </w:rPr>
        <w:t>Pierce L.R. &amp; Stepien C.A.</w:t>
      </w:r>
      <w:r w:rsidRPr="00D403F5">
        <w:rPr>
          <w:rFonts w:ascii="Arial" w:eastAsia="Times New Roman" w:hAnsi="Arial" w:cs="Times New Roman"/>
          <w:sz w:val="18"/>
          <w:szCs w:val="18"/>
          <w:lang w:val="en-IE" w:bidi="en-US"/>
        </w:rPr>
        <w:t xml:space="preserve"> (2012). Evolution and biogeography of an emerging quasispecies: Diversity patterns of the fish Viral Hemorrhagic Septicemia virus (VHSv). </w:t>
      </w:r>
      <w:r w:rsidRPr="00D403F5">
        <w:rPr>
          <w:rFonts w:ascii="Arial" w:eastAsia="Times New Roman" w:hAnsi="Arial" w:cs="Times New Roman"/>
          <w:i/>
          <w:sz w:val="18"/>
          <w:szCs w:val="18"/>
          <w:lang w:val="en-IE" w:bidi="en-US"/>
        </w:rPr>
        <w:t>Mol. Phyl. Evol.,</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63</w:t>
      </w:r>
      <w:r w:rsidRPr="00D403F5">
        <w:rPr>
          <w:rFonts w:ascii="Arial" w:eastAsia="Times New Roman" w:hAnsi="Arial" w:cs="Times New Roman"/>
          <w:sz w:val="18"/>
          <w:szCs w:val="18"/>
          <w:lang w:val="en-IE" w:bidi="en-US"/>
        </w:rPr>
        <w:t>, 327–341.</w:t>
      </w:r>
    </w:p>
    <w:p w14:paraId="78B8C959" w14:textId="77777777" w:rsidR="00C7266C" w:rsidRPr="00D403F5" w:rsidRDefault="00C7266C" w:rsidP="00D403F5">
      <w:pPr>
        <w:spacing w:after="0" w:line="240" w:lineRule="auto"/>
        <w:jc w:val="both"/>
        <w:rPr>
          <w:rFonts w:ascii="Arial" w:eastAsia="Times New Roman" w:hAnsi="Arial" w:cs="Arial"/>
          <w:smallCaps/>
          <w:sz w:val="18"/>
          <w:szCs w:val="18"/>
          <w:lang w:val="nb-NO" w:bidi="en-US"/>
        </w:rPr>
      </w:pPr>
      <w:r w:rsidRPr="00D403F5">
        <w:rPr>
          <w:rFonts w:ascii="Arial" w:eastAsia="Times New Roman" w:hAnsi="Arial" w:cs="Times New Roman"/>
          <w:bCs/>
          <w:smallCaps/>
          <w:sz w:val="18"/>
          <w:szCs w:val="18"/>
          <w:lang w:val="en-IE" w:bidi="en-US"/>
        </w:rPr>
        <w:t>Raja-Halli M., Vehmas T.K., Rimaila-Pärnänen E., Sainmaa S., Skall H.F., Olesen N.J. &amp; Tapiovaara H.</w:t>
      </w:r>
      <w:r w:rsidRPr="00D403F5">
        <w:rPr>
          <w:rFonts w:ascii="Arial" w:eastAsia="Times New Roman" w:hAnsi="Arial" w:cs="Times New Roman"/>
          <w:sz w:val="18"/>
          <w:szCs w:val="18"/>
          <w:lang w:val="en-IE" w:bidi="en-US"/>
        </w:rPr>
        <w:t xml:space="preserve"> (2006). Viral haemorrhagic septicaemia (VHS) outbreaks in Finnish rainbow trout farms. </w:t>
      </w:r>
      <w:r w:rsidRPr="00D403F5">
        <w:rPr>
          <w:rFonts w:ascii="Arial" w:eastAsia="Times New Roman" w:hAnsi="Arial" w:cs="Times New Roman"/>
          <w:i/>
          <w:sz w:val="18"/>
          <w:szCs w:val="18"/>
          <w:lang w:val="nb-NO" w:bidi="en-US"/>
        </w:rPr>
        <w:t>Dis. Aquat. Org</w:t>
      </w:r>
      <w:r w:rsidRPr="00D403F5">
        <w:rPr>
          <w:rFonts w:ascii="Arial" w:eastAsia="Times New Roman" w:hAnsi="Arial" w:cs="Times New Roman"/>
          <w:sz w:val="18"/>
          <w:szCs w:val="18"/>
          <w:lang w:val="nb-NO" w:bidi="en-US"/>
        </w:rPr>
        <w:t xml:space="preserve">., </w:t>
      </w:r>
      <w:r w:rsidRPr="00D403F5">
        <w:rPr>
          <w:rFonts w:ascii="Arial" w:eastAsia="Times New Roman" w:hAnsi="Arial" w:cs="Times New Roman"/>
          <w:b/>
          <w:sz w:val="18"/>
          <w:szCs w:val="18"/>
          <w:lang w:val="nb-NO" w:bidi="en-US"/>
        </w:rPr>
        <w:t>72</w:t>
      </w:r>
      <w:r w:rsidRPr="00D403F5">
        <w:rPr>
          <w:rFonts w:ascii="Arial" w:eastAsia="Times New Roman" w:hAnsi="Arial" w:cs="Times New Roman"/>
          <w:sz w:val="18"/>
          <w:szCs w:val="18"/>
          <w:lang w:val="nb-NO" w:bidi="en-US"/>
        </w:rPr>
        <w:t>, 201–211.</w:t>
      </w:r>
    </w:p>
    <w:p w14:paraId="64114E7F" w14:textId="77777777" w:rsidR="00C7266C" w:rsidRPr="00D403F5" w:rsidRDefault="00C7266C" w:rsidP="00D403F5">
      <w:pPr>
        <w:spacing w:after="0" w:line="240" w:lineRule="auto"/>
        <w:jc w:val="both"/>
        <w:rPr>
          <w:rFonts w:ascii="Arial" w:eastAsia="Times New Roman" w:hAnsi="Arial" w:cs="Times New Roman"/>
          <w:bCs/>
          <w:sz w:val="18"/>
          <w:szCs w:val="18"/>
          <w:lang w:val="en-IE"/>
        </w:rPr>
      </w:pPr>
      <w:r w:rsidRPr="00D403F5">
        <w:rPr>
          <w:rFonts w:ascii="Arial" w:eastAsia="Times New Roman" w:hAnsi="Arial" w:cs="Times New Roman"/>
          <w:bCs/>
          <w:smallCaps/>
          <w:sz w:val="18"/>
          <w:szCs w:val="18"/>
          <w:lang w:val="da-DK"/>
        </w:rPr>
        <w:t xml:space="preserve">Sandlund N., Gjerset B., Bergh Ø., Modahl I., Olesen N.J. &amp; Johansen R. </w:t>
      </w:r>
      <w:r w:rsidRPr="00D403F5">
        <w:rPr>
          <w:rFonts w:ascii="Arial" w:eastAsia="Times New Roman" w:hAnsi="Arial" w:cs="Times New Roman"/>
          <w:bCs/>
          <w:sz w:val="18"/>
          <w:szCs w:val="18"/>
          <w:lang w:val="nb-NO"/>
        </w:rPr>
        <w:t xml:space="preserve">(2014). </w:t>
      </w:r>
      <w:r w:rsidRPr="00D403F5">
        <w:rPr>
          <w:rFonts w:ascii="Arial" w:eastAsia="Times New Roman" w:hAnsi="Arial" w:cs="Times New Roman"/>
          <w:bCs/>
          <w:sz w:val="18"/>
          <w:szCs w:val="18"/>
          <w:lang w:val="en-IE"/>
        </w:rPr>
        <w:t xml:space="preserve">Screening for Viral Hemorrhagic Septicemia Virus in Marine Fish along the Norwegian Coastal Line. </w:t>
      </w:r>
      <w:r w:rsidRPr="00D403F5">
        <w:rPr>
          <w:rFonts w:ascii="Arial" w:eastAsia="Times New Roman" w:hAnsi="Arial" w:cs="Times New Roman"/>
          <w:bCs/>
          <w:i/>
          <w:sz w:val="18"/>
          <w:szCs w:val="18"/>
          <w:lang w:val="en-IE"/>
        </w:rPr>
        <w:t>PLoS ONE</w:t>
      </w:r>
      <w:r w:rsidRPr="00D403F5">
        <w:rPr>
          <w:rFonts w:ascii="Arial" w:eastAsia="Times New Roman" w:hAnsi="Arial" w:cs="Times New Roman"/>
          <w:bCs/>
          <w:sz w:val="18"/>
          <w:szCs w:val="18"/>
          <w:lang w:val="en-IE"/>
        </w:rPr>
        <w:t xml:space="preserve"> 9(9): e108529. doi:10.1371/journal.pone.0108529</w:t>
      </w:r>
    </w:p>
    <w:p w14:paraId="06FD3F06"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Schlotfeldt H.J. &amp; Ahne W. (</w:t>
      </w:r>
      <w:r w:rsidRPr="00D403F5">
        <w:rPr>
          <w:rFonts w:ascii="Arial" w:eastAsia="Times New Roman" w:hAnsi="Arial" w:cs="Arial"/>
          <w:sz w:val="18"/>
          <w:szCs w:val="18"/>
          <w:lang w:bidi="en-US"/>
        </w:rPr>
        <w:t>1988). Epizootics in brown trout (</w:t>
      </w:r>
      <w:r w:rsidRPr="00D403F5">
        <w:rPr>
          <w:rFonts w:ascii="Arial" w:eastAsia="Times New Roman" w:hAnsi="Arial" w:cs="Arial"/>
          <w:i/>
          <w:sz w:val="18"/>
          <w:szCs w:val="18"/>
          <w:lang w:bidi="en-US"/>
        </w:rPr>
        <w:t>Salmo trutta fario</w:t>
      </w:r>
      <w:r w:rsidRPr="00D403F5">
        <w:rPr>
          <w:rFonts w:ascii="Arial" w:eastAsia="Times New Roman" w:hAnsi="Arial" w:cs="Arial"/>
          <w:sz w:val="18"/>
          <w:szCs w:val="18"/>
          <w:lang w:bidi="en-US"/>
        </w:rPr>
        <w:t xml:space="preserve">) caused by VHSV-F1. </w:t>
      </w:r>
      <w:r w:rsidRPr="00D403F5">
        <w:rPr>
          <w:rFonts w:ascii="Arial" w:eastAsia="Times New Roman" w:hAnsi="Arial" w:cs="Arial"/>
          <w:i/>
          <w:sz w:val="18"/>
          <w:szCs w:val="18"/>
          <w:lang w:bidi="en-US"/>
        </w:rPr>
        <w:t>J. Appl. Ichthyol.,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4</w:t>
      </w:r>
      <w:r w:rsidRPr="00D403F5">
        <w:rPr>
          <w:rFonts w:ascii="Arial" w:eastAsia="Times New Roman" w:hAnsi="Arial" w:cs="Arial"/>
          <w:sz w:val="18"/>
          <w:szCs w:val="18"/>
          <w:lang w:bidi="en-US"/>
        </w:rPr>
        <w:t>, 147–148.</w:t>
      </w:r>
    </w:p>
    <w:p w14:paraId="3C677756"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 xml:space="preserve">Schlotfeldt H.-J., Ahne W., Jørgensen P.E.V. &amp; Glende W. </w:t>
      </w:r>
      <w:r w:rsidRPr="00D403F5">
        <w:rPr>
          <w:rFonts w:ascii="Arial" w:eastAsia="Times New Roman" w:hAnsi="Arial" w:cs="Arial"/>
          <w:sz w:val="18"/>
          <w:szCs w:val="18"/>
          <w:lang w:bidi="en-US"/>
        </w:rPr>
        <w:t>(1991). Occurrence of viral haemorrhagic septicaemia in turbot (</w:t>
      </w:r>
      <w:r w:rsidRPr="00D403F5">
        <w:rPr>
          <w:rFonts w:ascii="Arial" w:eastAsia="Times New Roman" w:hAnsi="Arial" w:cs="Arial"/>
          <w:i/>
          <w:sz w:val="18"/>
          <w:szCs w:val="18"/>
          <w:lang w:bidi="en-US"/>
        </w:rPr>
        <w:t>Scophthalmus maximus</w:t>
      </w:r>
      <w:r w:rsidRPr="00D403F5">
        <w:rPr>
          <w:rFonts w:ascii="Arial" w:eastAsia="Times New Roman" w:hAnsi="Arial" w:cs="Arial"/>
          <w:sz w:val="18"/>
          <w:szCs w:val="18"/>
          <w:lang w:bidi="en-US"/>
        </w:rPr>
        <w:t xml:space="preserve">) – a natural outbreak. </w:t>
      </w:r>
      <w:r w:rsidRPr="00D403F5">
        <w:rPr>
          <w:rFonts w:ascii="Arial" w:eastAsia="Times New Roman" w:hAnsi="Arial" w:cs="Arial"/>
          <w:i/>
          <w:sz w:val="18"/>
          <w:szCs w:val="18"/>
          <w:lang w:bidi="en-US"/>
        </w:rPr>
        <w:t>Bull. Eur. Assoc. Fish Pathol.,</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11</w:t>
      </w:r>
      <w:r w:rsidRPr="00D403F5">
        <w:rPr>
          <w:rFonts w:ascii="Arial" w:eastAsia="Times New Roman" w:hAnsi="Arial" w:cs="Arial"/>
          <w:sz w:val="18"/>
          <w:szCs w:val="18"/>
          <w:lang w:bidi="en-US"/>
        </w:rPr>
        <w:t>, 105–107.</w:t>
      </w:r>
    </w:p>
    <w:p w14:paraId="6859F3E2"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Times New Roman"/>
          <w:smallCaps/>
          <w:sz w:val="18"/>
          <w:szCs w:val="18"/>
          <w:lang w:val="en-IE" w:bidi="en-US"/>
        </w:rPr>
        <w:t xml:space="preserve">Schonherz A.A., Hansen M.H., Jørgensen H.B., Berg P., Lorenzen N. &amp; Einer-Jensen K. </w:t>
      </w:r>
      <w:r w:rsidRPr="00D403F5">
        <w:rPr>
          <w:rFonts w:ascii="Arial" w:eastAsia="Times New Roman" w:hAnsi="Arial" w:cs="Times New Roman"/>
          <w:sz w:val="18"/>
          <w:szCs w:val="18"/>
          <w:lang w:val="en-IE" w:bidi="en-US"/>
        </w:rPr>
        <w:t xml:space="preserve">(2012). Oral transmission as a route of infection for viral haemorrhagic septicaemia virus in rainbow trout, </w:t>
      </w:r>
      <w:r w:rsidRPr="00D403F5">
        <w:rPr>
          <w:rFonts w:ascii="Arial" w:eastAsia="Times New Roman" w:hAnsi="Arial" w:cs="Times New Roman"/>
          <w:i/>
          <w:sz w:val="18"/>
          <w:szCs w:val="18"/>
          <w:lang w:val="en-IE" w:bidi="en-US"/>
        </w:rPr>
        <w:t>Oncorhynchus mykiss</w:t>
      </w:r>
      <w:r w:rsidRPr="00D403F5">
        <w:rPr>
          <w:rFonts w:ascii="Arial" w:eastAsia="Times New Roman" w:hAnsi="Arial" w:cs="Times New Roman"/>
          <w:sz w:val="18"/>
          <w:szCs w:val="18"/>
          <w:lang w:val="en-IE" w:bidi="en-US"/>
        </w:rPr>
        <w:t xml:space="preserve"> (Walbaum). </w:t>
      </w:r>
      <w:r w:rsidRPr="00D403F5">
        <w:rPr>
          <w:rFonts w:ascii="Arial" w:eastAsia="Times New Roman" w:hAnsi="Arial" w:cs="Times New Roman"/>
          <w:i/>
          <w:sz w:val="18"/>
          <w:szCs w:val="18"/>
          <w:lang w:val="nb-NO" w:bidi="en-US"/>
        </w:rPr>
        <w:t>J. Fish Dis.</w:t>
      </w:r>
      <w:r w:rsidRPr="00D403F5">
        <w:rPr>
          <w:rFonts w:ascii="Arial" w:eastAsia="Times New Roman" w:hAnsi="Arial" w:cs="Times New Roman"/>
          <w:sz w:val="18"/>
          <w:szCs w:val="18"/>
          <w:lang w:val="nb-NO" w:bidi="en-US"/>
        </w:rPr>
        <w:t xml:space="preserve">, </w:t>
      </w:r>
      <w:r w:rsidRPr="00D403F5">
        <w:rPr>
          <w:rFonts w:ascii="Arial" w:eastAsia="Times New Roman" w:hAnsi="Arial" w:cs="Times New Roman"/>
          <w:b/>
          <w:sz w:val="18"/>
          <w:szCs w:val="18"/>
          <w:lang w:val="nb-NO" w:bidi="en-US"/>
        </w:rPr>
        <w:t>35</w:t>
      </w:r>
      <w:r w:rsidRPr="00D403F5">
        <w:rPr>
          <w:rFonts w:ascii="Arial" w:eastAsia="Times New Roman" w:hAnsi="Arial" w:cs="Times New Roman"/>
          <w:sz w:val="18"/>
          <w:szCs w:val="18"/>
          <w:lang w:val="nb-NO" w:bidi="en-US"/>
        </w:rPr>
        <w:t>, 395–406.</w:t>
      </w:r>
    </w:p>
    <w:p w14:paraId="5DEE168B" w14:textId="77777777" w:rsidR="00C7266C" w:rsidRPr="00D403F5" w:rsidRDefault="00C7266C" w:rsidP="00D403F5">
      <w:pPr>
        <w:spacing w:after="0" w:line="240" w:lineRule="auto"/>
        <w:jc w:val="both"/>
        <w:rPr>
          <w:rFonts w:ascii="Arial" w:eastAsia="Times New Roman" w:hAnsi="Arial" w:cs="Times New Roman"/>
          <w:bCs/>
          <w:sz w:val="18"/>
          <w:szCs w:val="18"/>
          <w:lang w:val="nb-NO"/>
        </w:rPr>
      </w:pPr>
      <w:r w:rsidRPr="00D403F5">
        <w:rPr>
          <w:rFonts w:ascii="Arial" w:eastAsia="Times New Roman" w:hAnsi="Arial" w:cs="Times New Roman"/>
          <w:bCs/>
          <w:smallCaps/>
          <w:sz w:val="18"/>
          <w:szCs w:val="18"/>
          <w:lang w:val="nb-NO"/>
        </w:rPr>
        <w:t>Skall H.F, Jørgensen C. &amp; Olesen N.J.</w:t>
      </w:r>
      <w:r w:rsidRPr="00D403F5">
        <w:rPr>
          <w:rFonts w:ascii="Arial" w:eastAsia="Times New Roman" w:hAnsi="Arial" w:cs="Times New Roman"/>
          <w:bCs/>
          <w:sz w:val="18"/>
          <w:szCs w:val="18"/>
          <w:lang w:val="nb-NO"/>
        </w:rPr>
        <w:t xml:space="preserve"> (2015). </w:t>
      </w:r>
      <w:r w:rsidRPr="00D403F5">
        <w:rPr>
          <w:rFonts w:ascii="Arial" w:eastAsia="Times New Roman" w:hAnsi="Arial" w:cs="Times New Roman"/>
          <w:bCs/>
          <w:sz w:val="18"/>
          <w:szCs w:val="18"/>
          <w:lang w:val="en-IE"/>
        </w:rPr>
        <w:t xml:space="preserve">Evaluation of the effect of percolation and NaCl solutions on viral haemorrhagic septicaemia virus (VHSV) under experimental conditions. </w:t>
      </w:r>
      <w:r w:rsidRPr="00D403F5">
        <w:rPr>
          <w:rFonts w:ascii="Arial" w:eastAsia="Times New Roman" w:hAnsi="Arial" w:cs="Times New Roman"/>
          <w:bCs/>
          <w:i/>
          <w:sz w:val="18"/>
          <w:szCs w:val="18"/>
          <w:lang w:val="nb-NO"/>
        </w:rPr>
        <w:t>Aquaculture</w:t>
      </w:r>
      <w:r w:rsidRPr="00D403F5">
        <w:rPr>
          <w:rFonts w:ascii="Arial" w:eastAsia="Times New Roman" w:hAnsi="Arial" w:cs="Times New Roman"/>
          <w:bCs/>
          <w:sz w:val="18"/>
          <w:szCs w:val="18"/>
          <w:lang w:val="nb-NO"/>
        </w:rPr>
        <w:t xml:space="preserve">, </w:t>
      </w:r>
      <w:r w:rsidRPr="00D403F5">
        <w:rPr>
          <w:rFonts w:ascii="Arial" w:eastAsia="Times New Roman" w:hAnsi="Arial" w:cs="Times New Roman"/>
          <w:b/>
          <w:bCs/>
          <w:sz w:val="18"/>
          <w:szCs w:val="18"/>
          <w:lang w:val="nb-NO"/>
        </w:rPr>
        <w:t>448</w:t>
      </w:r>
      <w:r w:rsidRPr="00D403F5">
        <w:rPr>
          <w:rFonts w:ascii="Arial" w:eastAsia="Times New Roman" w:hAnsi="Arial" w:cs="Times New Roman"/>
          <w:bCs/>
          <w:sz w:val="18"/>
          <w:szCs w:val="18"/>
          <w:lang w:val="nb-NO"/>
        </w:rPr>
        <w:t>, 507–511.</w:t>
      </w:r>
    </w:p>
    <w:p w14:paraId="11E3AC7D"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nb-NO" w:bidi="en-US"/>
        </w:rPr>
        <w:t>Skall H.F., Olesen N.J. &amp; Mellergaard S. (2</w:t>
      </w:r>
      <w:r w:rsidRPr="00D403F5">
        <w:rPr>
          <w:rFonts w:ascii="Arial" w:eastAsia="Times New Roman" w:hAnsi="Arial" w:cs="Arial"/>
          <w:sz w:val="18"/>
          <w:szCs w:val="18"/>
          <w:lang w:val="nb-NO" w:bidi="en-US"/>
        </w:rPr>
        <w:t xml:space="preserve">005a). </w:t>
      </w:r>
      <w:r w:rsidRPr="00D403F5">
        <w:rPr>
          <w:rFonts w:ascii="Arial" w:eastAsia="Times New Roman" w:hAnsi="Arial" w:cs="Arial"/>
          <w:sz w:val="18"/>
          <w:szCs w:val="18"/>
          <w:lang w:bidi="en-US"/>
        </w:rPr>
        <w:t xml:space="preserve">Viral haemorrhagic septicaemia virus in marine fish and its implications for fish farming – a review. </w:t>
      </w:r>
      <w:r w:rsidRPr="00D403F5">
        <w:rPr>
          <w:rFonts w:ascii="Arial" w:eastAsia="Times New Roman" w:hAnsi="Arial" w:cs="Arial"/>
          <w:i/>
          <w:sz w:val="18"/>
          <w:szCs w:val="18"/>
          <w:lang w:val="nb-NO" w:bidi="en-US"/>
        </w:rPr>
        <w:t>J. Fish Dis.,</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28</w:t>
      </w:r>
      <w:r w:rsidRPr="00D403F5">
        <w:rPr>
          <w:rFonts w:ascii="Arial" w:eastAsia="Times New Roman" w:hAnsi="Arial" w:cs="Arial"/>
          <w:sz w:val="18"/>
          <w:szCs w:val="18"/>
          <w:lang w:val="nb-NO" w:bidi="en-US"/>
        </w:rPr>
        <w:t>, 509–529.</w:t>
      </w:r>
    </w:p>
    <w:p w14:paraId="665CF0A7" w14:textId="77777777" w:rsidR="00C7266C" w:rsidRPr="00D403F5" w:rsidRDefault="00C7266C" w:rsidP="00D403F5">
      <w:pPr>
        <w:spacing w:after="0" w:line="240" w:lineRule="auto"/>
        <w:jc w:val="both"/>
        <w:rPr>
          <w:rFonts w:ascii="Arial" w:eastAsia="Times New Roman" w:hAnsi="Arial" w:cs="Arial"/>
          <w:sz w:val="18"/>
          <w:szCs w:val="18"/>
          <w:lang w:val="nb-NO" w:bidi="en-US"/>
        </w:rPr>
      </w:pPr>
      <w:r w:rsidRPr="00D403F5">
        <w:rPr>
          <w:rFonts w:ascii="Arial" w:eastAsia="Times New Roman" w:hAnsi="Arial" w:cs="Arial"/>
          <w:smallCaps/>
          <w:sz w:val="18"/>
          <w:szCs w:val="18"/>
          <w:lang w:val="da-DK" w:bidi="en-US"/>
        </w:rPr>
        <w:t>Skall H.F., Olesen N.J. &amp; Mellergaard S.</w:t>
      </w:r>
      <w:r w:rsidRPr="00D403F5">
        <w:rPr>
          <w:rFonts w:ascii="Arial" w:eastAsia="Times New Roman" w:hAnsi="Arial" w:cs="Arial"/>
          <w:sz w:val="18"/>
          <w:szCs w:val="18"/>
          <w:lang w:val="da-DK" w:bidi="en-US"/>
        </w:rPr>
        <w:t xml:space="preserve"> (2005b). </w:t>
      </w:r>
      <w:r w:rsidRPr="00D403F5">
        <w:rPr>
          <w:rFonts w:ascii="Arial" w:eastAsia="Times New Roman" w:hAnsi="Arial" w:cs="Arial"/>
          <w:sz w:val="18"/>
          <w:szCs w:val="18"/>
          <w:lang w:bidi="en-US"/>
        </w:rPr>
        <w:t xml:space="preserve">Prevalence of viral haemorrhagic septicaemia virus in Danish marine fishes and its occurrence in new host species. </w:t>
      </w:r>
      <w:r w:rsidRPr="00D403F5">
        <w:rPr>
          <w:rFonts w:ascii="Arial" w:eastAsia="Times New Roman" w:hAnsi="Arial" w:cs="Arial"/>
          <w:i/>
          <w:sz w:val="18"/>
          <w:szCs w:val="18"/>
          <w:lang w:val="nb-NO" w:bidi="en-US"/>
        </w:rPr>
        <w:t>Dis. Aquat. Org</w:t>
      </w:r>
      <w:r w:rsidRPr="00D403F5">
        <w:rPr>
          <w:rFonts w:ascii="Arial" w:eastAsia="Times New Roman" w:hAnsi="Arial" w:cs="Arial"/>
          <w:sz w:val="18"/>
          <w:szCs w:val="18"/>
          <w:lang w:val="nb-NO" w:bidi="en-US"/>
        </w:rPr>
        <w:t xml:space="preserve">., </w:t>
      </w:r>
      <w:r w:rsidRPr="00D403F5">
        <w:rPr>
          <w:rFonts w:ascii="Arial" w:eastAsia="Times New Roman" w:hAnsi="Arial" w:cs="Arial"/>
          <w:b/>
          <w:sz w:val="18"/>
          <w:szCs w:val="18"/>
          <w:lang w:val="nb-NO" w:bidi="en-US"/>
        </w:rPr>
        <w:t>66</w:t>
      </w:r>
      <w:r w:rsidRPr="00D403F5">
        <w:rPr>
          <w:rFonts w:ascii="Arial" w:eastAsia="Times New Roman" w:hAnsi="Arial" w:cs="Arial"/>
          <w:sz w:val="18"/>
          <w:szCs w:val="18"/>
          <w:lang w:val="nb-NO" w:bidi="en-US"/>
        </w:rPr>
        <w:t>, 145–151.</w:t>
      </w:r>
    </w:p>
    <w:p w14:paraId="16892E2E"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Arial"/>
          <w:smallCaps/>
          <w:sz w:val="18"/>
          <w:szCs w:val="18"/>
          <w:lang w:val="nb-NO" w:bidi="en-US"/>
        </w:rPr>
        <w:t xml:space="preserve">Skall H.F., Slierendrecht W.J., King J.A. &amp; Olesen N.J. (2004). </w:t>
      </w:r>
      <w:r w:rsidRPr="00D403F5">
        <w:rPr>
          <w:rFonts w:ascii="Arial" w:eastAsia="Times New Roman" w:hAnsi="Arial" w:cs="Arial"/>
          <w:sz w:val="18"/>
          <w:szCs w:val="18"/>
          <w:lang w:bidi="en-US"/>
        </w:rPr>
        <w:t>Experimental infection of rainbow trout (</w:t>
      </w:r>
      <w:r w:rsidRPr="00D403F5">
        <w:rPr>
          <w:rFonts w:ascii="Arial" w:eastAsia="Times New Roman" w:hAnsi="Arial" w:cs="Arial"/>
          <w:i/>
          <w:sz w:val="18"/>
          <w:szCs w:val="18"/>
          <w:lang w:bidi="en-US"/>
        </w:rPr>
        <w:t>Oncorhynchus mykiss</w:t>
      </w:r>
      <w:r w:rsidRPr="00D403F5">
        <w:rPr>
          <w:rFonts w:ascii="Arial" w:eastAsia="Times New Roman" w:hAnsi="Arial" w:cs="Arial"/>
          <w:sz w:val="18"/>
          <w:szCs w:val="18"/>
          <w:lang w:bidi="en-US"/>
        </w:rPr>
        <w:t xml:space="preserve">) with viral haemorrhagic septicaemia virus isolates from European marine and farmed fishes.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58</w:t>
      </w:r>
      <w:r w:rsidRPr="00D403F5">
        <w:rPr>
          <w:rFonts w:ascii="Arial" w:eastAsia="Times New Roman" w:hAnsi="Arial" w:cs="Arial"/>
          <w:sz w:val="18"/>
          <w:szCs w:val="18"/>
          <w:lang w:bidi="en-US"/>
        </w:rPr>
        <w:t>, 99–110.</w:t>
      </w:r>
    </w:p>
    <w:p w14:paraId="27BD69B0"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smallCaps/>
          <w:sz w:val="18"/>
          <w:szCs w:val="18"/>
          <w:lang w:val="en-IE" w:bidi="en-US"/>
        </w:rPr>
        <w:t>Smail D.A. &amp; Snow</w:t>
      </w:r>
      <w:r w:rsidRPr="00D403F5">
        <w:rPr>
          <w:rFonts w:ascii="Arial" w:eastAsia="Times New Roman" w:hAnsi="Arial" w:cs="Times New Roman"/>
          <w:sz w:val="18"/>
          <w:szCs w:val="18"/>
          <w:lang w:val="en-IE" w:bidi="en-US"/>
        </w:rPr>
        <w:t xml:space="preserve"> M. (2011). </w:t>
      </w:r>
      <w:r w:rsidRPr="00D403F5">
        <w:rPr>
          <w:rFonts w:ascii="Arial" w:eastAsia="Times New Roman" w:hAnsi="Arial" w:cs="Times New Roman"/>
          <w:bCs/>
          <w:sz w:val="18"/>
          <w:szCs w:val="18"/>
          <w:lang w:val="en-IE" w:bidi="en-US"/>
        </w:rPr>
        <w:t>Viral Haemorrhagic Septicaemia</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i/>
          <w:sz w:val="18"/>
          <w:szCs w:val="18"/>
          <w:lang w:val="en-IE" w:bidi="en-US"/>
        </w:rPr>
        <w:t>In:</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Cs/>
          <w:sz w:val="18"/>
          <w:szCs w:val="18"/>
          <w:lang w:val="en-IE" w:bidi="en-US"/>
        </w:rPr>
        <w:t>Fish Diseases and Disorders, Volume 3</w:t>
      </w:r>
      <w:r w:rsidRPr="00D403F5">
        <w:rPr>
          <w:rFonts w:ascii="Arial" w:eastAsia="Times New Roman" w:hAnsi="Arial" w:cs="Times New Roman"/>
          <w:sz w:val="18"/>
          <w:szCs w:val="18"/>
          <w:lang w:val="en-IE" w:bidi="en-US"/>
        </w:rPr>
        <w:t xml:space="preserve">: Viral, Bacterial and Fungal Infections, Second Edition, Woo P.T.K. &amp; Bruno D.W. eds. </w:t>
      </w:r>
      <w:r w:rsidRPr="00D403F5">
        <w:rPr>
          <w:rFonts w:ascii="Arial" w:eastAsia="Times New Roman" w:hAnsi="Arial" w:cs="Times New Roman"/>
          <w:iCs/>
          <w:sz w:val="18"/>
          <w:szCs w:val="18"/>
          <w:lang w:val="en-IE" w:bidi="en-US"/>
        </w:rPr>
        <w:t>CABI</w:t>
      </w:r>
      <w:r w:rsidRPr="00D403F5">
        <w:rPr>
          <w:rFonts w:ascii="Arial" w:eastAsia="Times New Roman" w:hAnsi="Arial" w:cs="Times New Roman"/>
          <w:sz w:val="18"/>
          <w:szCs w:val="18"/>
          <w:lang w:val="en-IE" w:bidi="en-US"/>
        </w:rPr>
        <w:t>, Wallingford, UK, 110–142.</w:t>
      </w:r>
    </w:p>
    <w:p w14:paraId="288C49A6"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 xml:space="preserve">Snow M., Bain N., Black J., Taupin V., Cunningham C.O., King J.A., Skall H.F. &amp; Raynard R.S. </w:t>
      </w:r>
      <w:r w:rsidRPr="00D403F5">
        <w:rPr>
          <w:rFonts w:ascii="Arial" w:eastAsia="Times New Roman" w:hAnsi="Arial" w:cs="Arial"/>
          <w:sz w:val="18"/>
          <w:szCs w:val="18"/>
          <w:lang w:bidi="en-US"/>
        </w:rPr>
        <w:t xml:space="preserve">(2004). Genetic population structure of marine viral haemorrhagic septicaemia virus (VHSV).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61</w:t>
      </w:r>
      <w:r w:rsidRPr="00D403F5">
        <w:rPr>
          <w:rFonts w:ascii="Arial" w:eastAsia="Times New Roman" w:hAnsi="Arial" w:cs="Arial"/>
          <w:sz w:val="18"/>
          <w:szCs w:val="18"/>
          <w:lang w:bidi="en-US"/>
        </w:rPr>
        <w:t>, 11–21.</w:t>
      </w:r>
    </w:p>
    <w:p w14:paraId="28F22E70"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Stepien C.A., Pierce L.R., Leaman D.W., Niner M.D. &amp; Shepherd B.S</w:t>
      </w:r>
      <w:r w:rsidRPr="00D403F5">
        <w:rPr>
          <w:rFonts w:ascii="Arial" w:eastAsia="Times New Roman" w:hAnsi="Arial" w:cs="Times New Roman"/>
          <w:bCs/>
          <w:sz w:val="18"/>
          <w:szCs w:val="18"/>
          <w:lang w:val="en-IE" w:bidi="en-US"/>
        </w:rPr>
        <w:t xml:space="preserve">. (2015). Gene Diversification of an Emerging Pathogen: A Decade of Mutation in a Novel Fish Viral Hemorrhagic Septicemia (VHS) Substrain since Its First Appearance in the Laurentian Great Lakes. </w:t>
      </w:r>
      <w:r w:rsidRPr="00D403F5">
        <w:rPr>
          <w:rFonts w:ascii="Arial" w:eastAsia="Times New Roman" w:hAnsi="Arial" w:cs="Times New Roman"/>
          <w:bCs/>
          <w:i/>
          <w:sz w:val="18"/>
          <w:szCs w:val="18"/>
          <w:lang w:val="en-IE" w:bidi="en-US"/>
        </w:rPr>
        <w:t>PLoS one</w:t>
      </w:r>
      <w:r w:rsidRPr="00D403F5">
        <w:rPr>
          <w:rFonts w:ascii="Arial" w:eastAsia="Times New Roman" w:hAnsi="Arial" w:cs="Times New Roman"/>
          <w:bCs/>
          <w:sz w:val="18"/>
          <w:szCs w:val="18"/>
          <w:lang w:val="en-IE" w:bidi="en-US"/>
        </w:rPr>
        <w:t>, 1–25.</w:t>
      </w:r>
    </w:p>
    <w:p w14:paraId="6DEC3CF3" w14:textId="77777777" w:rsidR="00C7266C" w:rsidRPr="00D403F5" w:rsidRDefault="00C7266C" w:rsidP="00D403F5">
      <w:pPr>
        <w:spacing w:after="0" w:line="240" w:lineRule="auto"/>
        <w:jc w:val="both"/>
        <w:rPr>
          <w:rFonts w:ascii="Arial" w:eastAsia="Times New Roman" w:hAnsi="Arial" w:cs="Arial"/>
          <w:smallCaps/>
          <w:sz w:val="18"/>
          <w:szCs w:val="18"/>
          <w:lang w:bidi="en-US"/>
        </w:rPr>
      </w:pPr>
      <w:r w:rsidRPr="00D403F5">
        <w:rPr>
          <w:rFonts w:ascii="Arial" w:eastAsia="Times New Roman" w:hAnsi="Arial" w:cs="Arial"/>
          <w:smallCaps/>
          <w:sz w:val="18"/>
          <w:szCs w:val="18"/>
          <w:lang w:bidi="en-US"/>
        </w:rPr>
        <w:t>Thompson T.M., Batts W.N., Faisal M., Bowser P., Casey J.W., Phillips K., Garver K.A., Winton J. &amp; Kurath G.</w:t>
      </w:r>
      <w:r w:rsidRPr="00D403F5">
        <w:rPr>
          <w:rFonts w:ascii="Arial" w:eastAsia="Times New Roman" w:hAnsi="Arial" w:cs="Arial"/>
          <w:sz w:val="18"/>
          <w:szCs w:val="18"/>
          <w:lang w:bidi="en-US"/>
        </w:rPr>
        <w:t xml:space="preserve"> (2011). Emergence of Viral hemorrhagic septicemia virus in the North American Great Lakes region is associated with low viral genetic diversity. </w:t>
      </w:r>
      <w:r w:rsidRPr="00D403F5">
        <w:rPr>
          <w:rFonts w:ascii="Arial" w:eastAsia="Times New Roman" w:hAnsi="Arial" w:cs="Arial"/>
          <w:i/>
          <w:sz w:val="18"/>
          <w:szCs w:val="18"/>
          <w:lang w:bidi="en-US"/>
        </w:rPr>
        <w:t>Dis. Aquat. Org</w:t>
      </w:r>
      <w:r w:rsidRPr="00D403F5">
        <w:rPr>
          <w:rFonts w:ascii="Arial" w:eastAsia="Times New Roman" w:hAnsi="Arial" w:cs="Arial"/>
          <w:sz w:val="18"/>
          <w:szCs w:val="18"/>
          <w:lang w:bidi="en-US"/>
        </w:rPr>
        <w:t xml:space="preserve">., </w:t>
      </w:r>
      <w:r w:rsidRPr="00D403F5">
        <w:rPr>
          <w:rFonts w:ascii="Arial" w:eastAsia="Times New Roman" w:hAnsi="Arial" w:cs="Arial"/>
          <w:b/>
          <w:sz w:val="18"/>
          <w:szCs w:val="18"/>
          <w:lang w:bidi="en-US"/>
        </w:rPr>
        <w:t>96</w:t>
      </w:r>
      <w:r w:rsidRPr="00D403F5">
        <w:rPr>
          <w:rFonts w:ascii="Arial" w:eastAsia="Times New Roman" w:hAnsi="Arial" w:cs="Arial"/>
          <w:sz w:val="18"/>
          <w:szCs w:val="18"/>
          <w:lang w:bidi="en-US"/>
        </w:rPr>
        <w:t>, 29–43.</w:t>
      </w:r>
    </w:p>
    <w:p w14:paraId="0DB172A2" w14:textId="77777777" w:rsidR="00101F2F" w:rsidRDefault="00101F2F" w:rsidP="00D403F5">
      <w:pPr>
        <w:spacing w:after="0" w:line="240" w:lineRule="auto"/>
        <w:jc w:val="right"/>
        <w:rPr>
          <w:rFonts w:ascii="Times New Roman" w:eastAsia="Times New Roman" w:hAnsi="Times New Roman" w:cs="Times New Roman"/>
          <w:noProof/>
          <w:sz w:val="18"/>
          <w:szCs w:val="18"/>
          <w:u w:val="single"/>
          <w:lang w:val="en-US"/>
        </w:rPr>
      </w:pPr>
      <w:r>
        <w:rPr>
          <w:rFonts w:ascii="Times New Roman" w:eastAsia="Times New Roman" w:hAnsi="Times New Roman" w:cs="Times New Roman"/>
          <w:noProof/>
          <w:sz w:val="18"/>
          <w:szCs w:val="18"/>
          <w:u w:val="single"/>
          <w:lang w:val="en-US"/>
        </w:rPr>
        <w:br w:type="page"/>
      </w:r>
    </w:p>
    <w:p w14:paraId="1AEB344F" w14:textId="7ED35D5B" w:rsidR="00C7266C" w:rsidRPr="00D403F5" w:rsidRDefault="00C7266C" w:rsidP="00D403F5">
      <w:pPr>
        <w:spacing w:after="0" w:line="240" w:lineRule="auto"/>
        <w:jc w:val="right"/>
        <w:rPr>
          <w:rFonts w:ascii="Times New Roman" w:eastAsia="Times New Roman" w:hAnsi="Times New Roman" w:cs="Times New Roman"/>
          <w:sz w:val="18"/>
          <w:szCs w:val="18"/>
        </w:rPr>
      </w:pPr>
      <w:r w:rsidRPr="00D403F5">
        <w:rPr>
          <w:rFonts w:ascii="Times New Roman" w:eastAsia="Times New Roman" w:hAnsi="Times New Roman" w:cs="Times New Roman"/>
          <w:noProof/>
          <w:sz w:val="18"/>
          <w:szCs w:val="18"/>
          <w:u w:val="single"/>
          <w:lang w:val="en-US"/>
        </w:rPr>
        <w:t>Annex 13</w:t>
      </w:r>
      <w:r w:rsidRPr="00D403F5">
        <w:rPr>
          <w:rFonts w:ascii="Times New Roman" w:eastAsia="Times New Roman" w:hAnsi="Times New Roman" w:cs="Times New Roman"/>
          <w:noProof/>
          <w:sz w:val="18"/>
          <w:szCs w:val="18"/>
          <w:lang w:val="en-US"/>
        </w:rPr>
        <w:t xml:space="preserve"> (contd)</w:t>
      </w:r>
    </w:p>
    <w:p w14:paraId="4C42821B" w14:textId="77777777" w:rsidR="00C7266C" w:rsidRPr="00D403F5" w:rsidRDefault="00C7266C" w:rsidP="00D403F5">
      <w:pPr>
        <w:spacing w:after="0" w:line="240" w:lineRule="auto"/>
        <w:jc w:val="both"/>
        <w:rPr>
          <w:rFonts w:ascii="Arial" w:eastAsia="Times New Roman" w:hAnsi="Arial" w:cs="Arial"/>
          <w:color w:val="333333"/>
          <w:sz w:val="18"/>
          <w:szCs w:val="18"/>
          <w:lang w:val="en-IE" w:bidi="en-US"/>
        </w:rPr>
      </w:pPr>
      <w:r w:rsidRPr="00D403F5">
        <w:rPr>
          <w:rFonts w:ascii="Arial" w:eastAsia="Times New Roman" w:hAnsi="Arial" w:cs="Arial"/>
          <w:smallCaps/>
          <w:color w:val="333333"/>
          <w:sz w:val="18"/>
          <w:szCs w:val="18"/>
          <w:lang w:val="en-IE" w:bidi="en-US"/>
        </w:rPr>
        <w:t>Throckmorton E., Brenden T., Peters A.K., Newcomb T.J., Whelan G.E. &amp; Faisal M.</w:t>
      </w:r>
      <w:r w:rsidRPr="00D403F5">
        <w:rPr>
          <w:rFonts w:ascii="Arial" w:eastAsia="Times New Roman" w:hAnsi="Arial" w:cs="Arial"/>
          <w:color w:val="333333"/>
          <w:sz w:val="18"/>
          <w:szCs w:val="18"/>
          <w:lang w:val="en-IE" w:bidi="en-US"/>
        </w:rPr>
        <w:t xml:space="preserve"> (2017). Potential Reservoirs and Risk Factors for VHSV IVb in an Enzootic System: Budd Lake, Michigan. </w:t>
      </w:r>
      <w:r w:rsidRPr="00D403F5">
        <w:rPr>
          <w:rFonts w:ascii="Arial" w:eastAsia="Times New Roman" w:hAnsi="Arial" w:cs="Arial"/>
          <w:i/>
          <w:color w:val="333333"/>
          <w:sz w:val="18"/>
          <w:szCs w:val="18"/>
          <w:lang w:val="en-IE" w:bidi="en-US"/>
        </w:rPr>
        <w:t>J. Aquat. Anim. Health</w:t>
      </w:r>
      <w:r w:rsidRPr="00D403F5">
        <w:rPr>
          <w:rFonts w:ascii="Arial" w:eastAsia="Times New Roman" w:hAnsi="Arial" w:cs="Arial"/>
          <w:color w:val="333333"/>
          <w:sz w:val="18"/>
          <w:szCs w:val="18"/>
          <w:lang w:val="en-IE" w:bidi="en-US"/>
        </w:rPr>
        <w:t xml:space="preserve">, </w:t>
      </w:r>
      <w:r w:rsidRPr="00D403F5">
        <w:rPr>
          <w:rFonts w:ascii="Arial" w:eastAsia="Times New Roman" w:hAnsi="Arial" w:cs="Arial"/>
          <w:b/>
          <w:color w:val="333333"/>
          <w:sz w:val="18"/>
          <w:szCs w:val="18"/>
          <w:lang w:val="en-IE" w:bidi="en-US"/>
        </w:rPr>
        <w:t>29</w:t>
      </w:r>
      <w:r w:rsidRPr="00D403F5">
        <w:rPr>
          <w:rFonts w:ascii="Arial" w:eastAsia="Times New Roman" w:hAnsi="Arial" w:cs="Arial"/>
          <w:color w:val="333333"/>
          <w:sz w:val="18"/>
          <w:szCs w:val="18"/>
          <w:lang w:val="en-IE" w:bidi="en-US"/>
        </w:rPr>
        <w:t xml:space="preserve">, </w:t>
      </w:r>
      <w:r w:rsidRPr="00D403F5">
        <w:rPr>
          <w:rFonts w:ascii="Arial" w:eastAsia="MS Mincho" w:hAnsi="Arial" w:cs="Arial"/>
          <w:color w:val="333333"/>
          <w:sz w:val="18"/>
          <w:szCs w:val="18"/>
          <w:lang w:val="en-IE" w:bidi="en-US"/>
        </w:rPr>
        <w:t>31–42.</w:t>
      </w:r>
      <w:r w:rsidRPr="00D403F5">
        <w:rPr>
          <w:rFonts w:ascii="Arial" w:eastAsia="Times New Roman" w:hAnsi="Arial" w:cs="Arial"/>
          <w:color w:val="333333"/>
          <w:sz w:val="18"/>
          <w:szCs w:val="18"/>
          <w:lang w:val="en-IE" w:bidi="en-US"/>
        </w:rPr>
        <w:t xml:space="preserve"> doi: </w:t>
      </w:r>
      <w:hyperlink r:id="rId149" w:history="1">
        <w:r w:rsidRPr="00D403F5">
          <w:rPr>
            <w:rFonts w:ascii="Arial" w:eastAsia="Times New Roman" w:hAnsi="Arial" w:cs="Arial"/>
            <w:color w:val="333333"/>
            <w:sz w:val="18"/>
            <w:szCs w:val="18"/>
            <w:lang w:val="en-IE" w:bidi="en-US"/>
          </w:rPr>
          <w:t>10.1080/08997659.2016.1254121</w:t>
        </w:r>
      </w:hyperlink>
    </w:p>
    <w:p w14:paraId="2E86239F"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 xml:space="preserve">Toplak I., Hostnik P., Rihtarič D., Olesen N.J., Skall H.F. &amp; Jenčič V. </w:t>
      </w:r>
      <w:r w:rsidRPr="00D403F5">
        <w:rPr>
          <w:rFonts w:ascii="Arial" w:eastAsia="Times New Roman" w:hAnsi="Arial" w:cs="Times New Roman"/>
          <w:bCs/>
          <w:sz w:val="18"/>
          <w:szCs w:val="18"/>
          <w:lang w:val="en-IE" w:bidi="en-US"/>
        </w:rPr>
        <w:t xml:space="preserve">(2010). First isolation and genotyping of viruses from recent outbreaks of viral haemorrhagic septicaemia (VHS) in Slovenia. </w:t>
      </w:r>
      <w:r w:rsidRPr="00D403F5">
        <w:rPr>
          <w:rFonts w:ascii="Arial" w:eastAsia="Times New Roman" w:hAnsi="Arial" w:cs="Times New Roman"/>
          <w:bCs/>
          <w:i/>
          <w:sz w:val="18"/>
          <w:szCs w:val="18"/>
          <w:lang w:val="en-IE" w:bidi="en-US"/>
        </w:rPr>
        <w:t>Dis. Aquat. Org</w:t>
      </w:r>
      <w:r w:rsidRPr="00D403F5">
        <w:rPr>
          <w:rFonts w:ascii="Arial" w:eastAsia="Times New Roman" w:hAnsi="Arial" w:cs="Times New Roman"/>
          <w:bCs/>
          <w:sz w:val="18"/>
          <w:szCs w:val="18"/>
          <w:lang w:val="en-IE" w:bidi="en-US"/>
        </w:rPr>
        <w:t xml:space="preserve">., </w:t>
      </w:r>
      <w:r w:rsidRPr="00D403F5">
        <w:rPr>
          <w:rFonts w:ascii="Arial" w:eastAsia="Times New Roman" w:hAnsi="Arial" w:cs="Times New Roman"/>
          <w:b/>
          <w:bCs/>
          <w:sz w:val="18"/>
          <w:szCs w:val="18"/>
          <w:lang w:val="en-IE" w:bidi="en-US"/>
        </w:rPr>
        <w:t>92</w:t>
      </w:r>
      <w:r w:rsidRPr="00D403F5">
        <w:rPr>
          <w:rFonts w:ascii="Arial" w:eastAsia="Times New Roman" w:hAnsi="Arial" w:cs="Times New Roman"/>
          <w:bCs/>
          <w:sz w:val="18"/>
          <w:szCs w:val="18"/>
          <w:lang w:val="en-IE" w:bidi="en-US"/>
        </w:rPr>
        <w:t>, 21–2.</w:t>
      </w:r>
    </w:p>
    <w:p w14:paraId="6B114E1F"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United States Department of the Interior, US Geological Survey</w:t>
      </w:r>
      <w:r w:rsidRPr="00D403F5">
        <w:rPr>
          <w:rFonts w:ascii="Arial" w:eastAsia="Times New Roman" w:hAnsi="Arial" w:cs="Arial"/>
          <w:sz w:val="18"/>
          <w:szCs w:val="18"/>
          <w:lang w:bidi="en-US"/>
        </w:rPr>
        <w:t xml:space="preserve"> (2007). Detection of viral hemorrhagic septicemia virus. USGS FS 2007-3055. US Department of the Interior, US Geological Survey. Fact Sheets.</w:t>
      </w:r>
    </w:p>
    <w:p w14:paraId="11EEE06B"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Arial"/>
          <w:smallCaps/>
          <w:sz w:val="18"/>
          <w:szCs w:val="18"/>
          <w:lang w:bidi="en-US"/>
        </w:rPr>
        <w:t xml:space="preserve">Walker PJ, Benmansour A, Dietzgen R </w:t>
      </w:r>
      <w:r w:rsidRPr="00D403F5">
        <w:rPr>
          <w:rFonts w:ascii="Arial" w:eastAsia="Times New Roman" w:hAnsi="Arial" w:cs="Arial"/>
          <w:i/>
          <w:smallCaps/>
          <w:sz w:val="18"/>
          <w:szCs w:val="18"/>
          <w:lang w:bidi="en-US"/>
        </w:rPr>
        <w:t>et al</w:t>
      </w:r>
      <w:r w:rsidRPr="00D403F5">
        <w:rPr>
          <w:rFonts w:ascii="Arial" w:eastAsia="Times New Roman" w:hAnsi="Arial" w:cs="Arial"/>
          <w:smallCaps/>
          <w:sz w:val="18"/>
          <w:szCs w:val="18"/>
          <w:lang w:bidi="en-US"/>
        </w:rPr>
        <w:t>.</w:t>
      </w:r>
      <w:r w:rsidRPr="00D403F5">
        <w:rPr>
          <w:rFonts w:ascii="Arial" w:eastAsia="Times New Roman" w:hAnsi="Arial" w:cs="Arial"/>
          <w:sz w:val="18"/>
          <w:szCs w:val="18"/>
          <w:lang w:bidi="en-US"/>
        </w:rPr>
        <w:t xml:space="preserve"> (2000). Family Rhabdoviridae. </w:t>
      </w:r>
      <w:r w:rsidRPr="00D403F5">
        <w:rPr>
          <w:rFonts w:ascii="Arial" w:eastAsia="Times New Roman" w:hAnsi="Arial" w:cs="Arial"/>
          <w:i/>
          <w:sz w:val="18"/>
          <w:szCs w:val="18"/>
          <w:lang w:bidi="en-US"/>
        </w:rPr>
        <w:t xml:space="preserve">In: </w:t>
      </w:r>
      <w:r w:rsidRPr="00D403F5">
        <w:rPr>
          <w:rFonts w:ascii="Arial" w:eastAsia="Times New Roman" w:hAnsi="Arial" w:cs="Arial"/>
          <w:sz w:val="18"/>
          <w:szCs w:val="18"/>
          <w:lang w:bidi="en-US"/>
        </w:rPr>
        <w:t>Virus Taxonomy. Classification and Nomenclature of Viruses. Seventh Report of the International Committee on Taxonomy of Viruses, Van Regenmortel M.H.V., Fauquet C.M., Bishop D.H.L.</w:t>
      </w:r>
      <w:r w:rsidRPr="00D403F5">
        <w:rPr>
          <w:rFonts w:ascii="Arial" w:eastAsia="Times New Roman" w:hAnsi="Arial" w:cs="Arial"/>
          <w:i/>
          <w:sz w:val="18"/>
          <w:szCs w:val="18"/>
          <w:lang w:bidi="en-US"/>
        </w:rPr>
        <w:t xml:space="preserve"> et al.,</w:t>
      </w:r>
      <w:r w:rsidRPr="00D403F5">
        <w:rPr>
          <w:rFonts w:ascii="Arial" w:eastAsia="Times New Roman" w:hAnsi="Arial" w:cs="Arial"/>
          <w:sz w:val="18"/>
          <w:szCs w:val="18"/>
          <w:lang w:bidi="en-US"/>
        </w:rPr>
        <w:t xml:space="preserve"> eds. 563–583.</w:t>
      </w:r>
    </w:p>
    <w:p w14:paraId="14242498"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bCs/>
          <w:smallCaps/>
          <w:sz w:val="18"/>
          <w:szCs w:val="18"/>
          <w:lang w:val="en-IE" w:bidi="en-US"/>
        </w:rPr>
        <w:t>Warg J.V., Clement T., Cornwell E.R., Cruz A., Getchell R.G., Giray C., Goodwin A.E., Groocock G.H., Faisal M., Kim R., Merry G.E., Phelps N.B.D., Reising M.M., Standish I., Zhang Y. &amp; Toohey-Kurth K</w:t>
      </w:r>
      <w:r w:rsidRPr="00D403F5">
        <w:rPr>
          <w:rFonts w:ascii="Arial" w:eastAsia="Times New Roman" w:hAnsi="Arial" w:cs="Times New Roman"/>
          <w:sz w:val="18"/>
          <w:szCs w:val="18"/>
          <w:lang w:val="en-IE" w:bidi="en-US"/>
        </w:rPr>
        <w:t xml:space="preserve">. (2014a). Detection and surveillance of viral hemorrhagic septicemia virus using real-time RT-PCR. I. Initial comparison of four protocols. </w:t>
      </w:r>
      <w:r w:rsidRPr="00D403F5">
        <w:rPr>
          <w:rFonts w:ascii="Arial" w:eastAsia="Times New Roman" w:hAnsi="Arial" w:cs="Times New Roman"/>
          <w:i/>
          <w:sz w:val="18"/>
          <w:szCs w:val="18"/>
          <w:lang w:val="en-IE" w:bidi="en-US"/>
        </w:rPr>
        <w:t>Dis. Aquat. Org</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111</w:t>
      </w:r>
      <w:r w:rsidRPr="00D403F5">
        <w:rPr>
          <w:rFonts w:ascii="Arial" w:eastAsia="Times New Roman" w:hAnsi="Arial" w:cs="Times New Roman"/>
          <w:sz w:val="18"/>
          <w:szCs w:val="18"/>
          <w:lang w:val="en-IE" w:bidi="en-US"/>
        </w:rPr>
        <w:t>, 1–13.</w:t>
      </w:r>
    </w:p>
    <w:p w14:paraId="499C85C7"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Warg J.V., Clement T., Cornwell E.R., Cruz A., Getchell R.G., Giray C., Goodwin A.E., Groocock G.H., Faisal M., Kim R., Merry G.E., Phelps N.B.D., Reising M.M., Standish I., Zhang Y. &amp; Toohey-Kurth K</w:t>
      </w:r>
      <w:r w:rsidRPr="00D403F5">
        <w:rPr>
          <w:rFonts w:ascii="Arial" w:eastAsia="Times New Roman" w:hAnsi="Arial" w:cs="Times New Roman"/>
          <w:sz w:val="18"/>
          <w:szCs w:val="18"/>
          <w:lang w:val="en-IE" w:bidi="en-US"/>
        </w:rPr>
        <w:t xml:space="preserve">. (2014b). Detection and surveillance of viral hemorrhagic septicemia virus using real-time RT-PCR. II. Diagnostic evaluation of two protocols. </w:t>
      </w:r>
      <w:r w:rsidRPr="00D403F5">
        <w:rPr>
          <w:rFonts w:ascii="Arial" w:eastAsia="Times New Roman" w:hAnsi="Arial" w:cs="Times New Roman"/>
          <w:i/>
          <w:sz w:val="18"/>
          <w:szCs w:val="18"/>
          <w:lang w:val="en-IE" w:bidi="en-US"/>
        </w:rPr>
        <w:t>Dis. Aquat. Org</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111</w:t>
      </w:r>
      <w:r w:rsidRPr="00D403F5">
        <w:rPr>
          <w:rFonts w:ascii="Arial" w:eastAsia="Times New Roman" w:hAnsi="Arial" w:cs="Times New Roman"/>
          <w:sz w:val="18"/>
          <w:szCs w:val="18"/>
          <w:lang w:val="en-IE" w:bidi="en-US"/>
        </w:rPr>
        <w:t>, 15–22.</w:t>
      </w:r>
    </w:p>
    <w:p w14:paraId="14C503BB"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Times New Roman"/>
          <w:smallCaps/>
          <w:sz w:val="18"/>
          <w:szCs w:val="18"/>
          <w:lang w:val="da-DK" w:bidi="en-US"/>
        </w:rPr>
        <w:t xml:space="preserve">Verrier E.R., Dorson M., Mauger S., Torhy C., Ciobotaru C., </w:t>
      </w:r>
      <w:r w:rsidRPr="00D403F5">
        <w:rPr>
          <w:rFonts w:ascii="Arial" w:eastAsia="Times New Roman" w:hAnsi="Arial" w:cs="Times New Roman"/>
          <w:smallCaps/>
          <w:sz w:val="18"/>
          <w:szCs w:val="18"/>
          <w:lang w:val="en-IE" w:bidi="en-US"/>
        </w:rPr>
        <w:t>Hervet C., Dechamp N., Genet C., Boudinot P. &amp; Quillet E</w:t>
      </w:r>
      <w:r w:rsidRPr="00D403F5">
        <w:rPr>
          <w:rFonts w:ascii="Arial" w:eastAsia="Times New Roman" w:hAnsi="Arial" w:cs="Times New Roman"/>
          <w:sz w:val="18"/>
          <w:szCs w:val="18"/>
          <w:lang w:val="en-IE" w:bidi="en-US"/>
        </w:rPr>
        <w:t xml:space="preserve">. (2013). Resistance to a Rhabdovirus (VHSV) in Rainbow Trout: Identification of a Major QTL Related to Innate Mechanisms. </w:t>
      </w:r>
      <w:r w:rsidRPr="00D403F5">
        <w:rPr>
          <w:rFonts w:ascii="Arial" w:eastAsia="Times New Roman" w:hAnsi="Arial" w:cs="Times New Roman"/>
          <w:i/>
          <w:sz w:val="18"/>
          <w:szCs w:val="18"/>
          <w:lang w:val="en-IE" w:bidi="en-US"/>
        </w:rPr>
        <w:t>PLoS ONE</w:t>
      </w:r>
      <w:r w:rsidRPr="00D403F5">
        <w:rPr>
          <w:rFonts w:ascii="Arial" w:eastAsia="Times New Roman" w:hAnsi="Arial" w:cs="Times New Roman"/>
          <w:sz w:val="18"/>
          <w:szCs w:val="18"/>
          <w:lang w:val="en-IE" w:bidi="en-US"/>
        </w:rPr>
        <w:t xml:space="preserve"> </w:t>
      </w:r>
      <w:r w:rsidRPr="00D403F5">
        <w:rPr>
          <w:rFonts w:ascii="Arial" w:eastAsia="Times New Roman" w:hAnsi="Arial" w:cs="Times New Roman"/>
          <w:b/>
          <w:sz w:val="18"/>
          <w:szCs w:val="18"/>
          <w:lang w:val="en-IE" w:bidi="en-US"/>
        </w:rPr>
        <w:t>8</w:t>
      </w:r>
      <w:r w:rsidRPr="00D403F5">
        <w:rPr>
          <w:rFonts w:ascii="Arial" w:eastAsia="Times New Roman" w:hAnsi="Arial" w:cs="Times New Roman"/>
          <w:sz w:val="18"/>
          <w:szCs w:val="18"/>
          <w:lang w:val="en-IE" w:bidi="en-US"/>
        </w:rPr>
        <w:t>(2): e55302. doi:10.1371/journal.pone.0055302</w:t>
      </w:r>
    </w:p>
    <w:p w14:paraId="652CC7A4" w14:textId="77777777" w:rsidR="00C7266C" w:rsidRPr="00D403F5" w:rsidRDefault="00C7266C" w:rsidP="00D403F5">
      <w:pPr>
        <w:spacing w:after="0" w:line="240" w:lineRule="auto"/>
        <w:jc w:val="both"/>
        <w:rPr>
          <w:rFonts w:ascii="Arial" w:eastAsia="Times New Roman" w:hAnsi="Arial" w:cs="Arial"/>
          <w:sz w:val="18"/>
          <w:szCs w:val="18"/>
          <w:lang w:bidi="en-US"/>
        </w:rPr>
      </w:pPr>
      <w:r w:rsidRPr="00D403F5">
        <w:rPr>
          <w:rFonts w:ascii="Arial" w:eastAsia="Times New Roman" w:hAnsi="Arial" w:cs="Times New Roman"/>
          <w:bCs/>
          <w:smallCaps/>
          <w:sz w:val="18"/>
          <w:szCs w:val="18"/>
          <w:lang w:val="en-IE" w:bidi="en-US"/>
        </w:rPr>
        <w:t>Winton J., Kurath G. &amp; Batts W</w:t>
      </w:r>
      <w:r w:rsidRPr="00D403F5">
        <w:rPr>
          <w:rFonts w:ascii="Arial" w:eastAsia="Times New Roman" w:hAnsi="Arial" w:cs="Times New Roman"/>
          <w:bCs/>
          <w:sz w:val="18"/>
          <w:szCs w:val="18"/>
          <w:lang w:val="en-IE" w:bidi="en-US"/>
        </w:rPr>
        <w:t xml:space="preserve">. (2008). Molecular epidemiology of viral hemorrhagic septicemia virus in the Great Lakes region (USGS Fact Sheet 2008-3003). Available at </w:t>
      </w:r>
      <w:hyperlink r:id="rId150" w:history="1">
        <w:r w:rsidRPr="00D403F5">
          <w:rPr>
            <w:rFonts w:ascii="Arial" w:eastAsia="Times New Roman" w:hAnsi="Arial" w:cs="Times New Roman"/>
            <w:bCs/>
            <w:color w:val="0000FF"/>
            <w:sz w:val="18"/>
            <w:szCs w:val="18"/>
            <w:lang w:val="en-IE" w:bidi="en-US"/>
          </w:rPr>
          <w:t>http://wfrc.usgs.gov/products/fs20083003.pdf</w:t>
        </w:r>
      </w:hyperlink>
      <w:r w:rsidRPr="00D403F5">
        <w:rPr>
          <w:rFonts w:ascii="Arial" w:eastAsia="Times New Roman" w:hAnsi="Arial" w:cs="Times New Roman"/>
          <w:bCs/>
          <w:sz w:val="18"/>
          <w:szCs w:val="18"/>
          <w:lang w:val="en-IE" w:bidi="en-US"/>
        </w:rPr>
        <w:t xml:space="preserve"> </w:t>
      </w:r>
    </w:p>
    <w:p w14:paraId="01F3CCF4" w14:textId="77777777" w:rsidR="00C7266C" w:rsidRPr="00D403F5" w:rsidRDefault="00C7266C" w:rsidP="00D403F5">
      <w:pPr>
        <w:spacing w:after="0" w:line="240" w:lineRule="auto"/>
        <w:jc w:val="both"/>
        <w:rPr>
          <w:rFonts w:ascii="Arial" w:eastAsia="Times New Roman" w:hAnsi="Arial" w:cs="Times New Roman"/>
          <w:sz w:val="18"/>
          <w:szCs w:val="18"/>
          <w:lang w:val="en-IE" w:bidi="en-US"/>
        </w:rPr>
      </w:pPr>
      <w:r w:rsidRPr="00D403F5">
        <w:rPr>
          <w:rFonts w:ascii="Arial" w:eastAsia="Times New Roman" w:hAnsi="Arial" w:cs="Arial"/>
          <w:smallCaps/>
          <w:sz w:val="18"/>
          <w:szCs w:val="18"/>
          <w:lang w:bidi="en-US"/>
        </w:rPr>
        <w:t>Wolf K</w:t>
      </w:r>
      <w:r w:rsidRPr="00D403F5">
        <w:rPr>
          <w:rFonts w:ascii="Arial" w:eastAsia="Times New Roman" w:hAnsi="Arial" w:cs="Arial"/>
          <w:sz w:val="18"/>
          <w:szCs w:val="18"/>
          <w:lang w:bidi="en-US"/>
        </w:rPr>
        <w:t>. (1988). Viral hemorrhagic septicemia.</w:t>
      </w:r>
      <w:r w:rsidRPr="00D403F5">
        <w:rPr>
          <w:rFonts w:ascii="Arial" w:eastAsia="Times New Roman" w:hAnsi="Arial" w:cs="Arial"/>
          <w:i/>
          <w:sz w:val="18"/>
          <w:szCs w:val="18"/>
          <w:lang w:bidi="en-US"/>
        </w:rPr>
        <w:t xml:space="preserve"> In: </w:t>
      </w:r>
      <w:r w:rsidRPr="00D403F5">
        <w:rPr>
          <w:rFonts w:ascii="Arial" w:eastAsia="Times New Roman" w:hAnsi="Arial" w:cs="Arial"/>
          <w:sz w:val="18"/>
          <w:szCs w:val="18"/>
          <w:lang w:bidi="en-US"/>
        </w:rPr>
        <w:t>Fish Viruses and Fish Viral Diseases. Cornell University Press, Ithaca, New York, USA, 217–249.</w:t>
      </w:r>
    </w:p>
    <w:p w14:paraId="010A4F1D" w14:textId="77777777" w:rsidR="00C7266C" w:rsidRPr="00D403F5" w:rsidRDefault="00C7266C" w:rsidP="00D403F5">
      <w:pPr>
        <w:spacing w:after="0" w:line="240" w:lineRule="auto"/>
        <w:jc w:val="center"/>
        <w:rPr>
          <w:rFonts w:ascii="Arial" w:eastAsia="Times New Roman" w:hAnsi="Arial" w:cs="Arial"/>
          <w:sz w:val="18"/>
          <w:szCs w:val="18"/>
          <w:lang w:val="en-IE" w:bidi="en-US"/>
        </w:rPr>
      </w:pPr>
      <w:r w:rsidRPr="00D403F5">
        <w:rPr>
          <w:rFonts w:ascii="Arial" w:eastAsia="Times New Roman" w:hAnsi="Arial" w:cs="Arial"/>
          <w:sz w:val="18"/>
          <w:szCs w:val="18"/>
          <w:lang w:val="en-IE" w:bidi="en-US"/>
        </w:rPr>
        <w:t>*</w:t>
      </w:r>
      <w:r w:rsidRPr="00D403F5">
        <w:rPr>
          <w:rFonts w:ascii="Arial" w:eastAsia="Times New Roman" w:hAnsi="Arial" w:cs="Arial"/>
          <w:sz w:val="18"/>
          <w:szCs w:val="18"/>
          <w:lang w:val="en-IE" w:bidi="en-US"/>
        </w:rPr>
        <w:br/>
        <w:t>*   *</w:t>
      </w:r>
    </w:p>
    <w:p w14:paraId="0389ADEF" w14:textId="77777777" w:rsidR="00C7266C" w:rsidRPr="00D403F5" w:rsidRDefault="00C7266C" w:rsidP="00D403F5">
      <w:pPr>
        <w:spacing w:after="0"/>
        <w:jc w:val="center"/>
        <w:rPr>
          <w:rFonts w:ascii="Arial" w:eastAsia="Calibri" w:hAnsi="Arial" w:cs="Arial"/>
          <w:sz w:val="18"/>
          <w:szCs w:val="18"/>
          <w:lang w:val="en-IE"/>
        </w:rPr>
      </w:pPr>
      <w:r w:rsidRPr="00D403F5">
        <w:rPr>
          <w:rFonts w:ascii="Arial" w:eastAsia="Calibri" w:hAnsi="Arial" w:cs="Arial"/>
          <w:b/>
          <w:sz w:val="18"/>
          <w:szCs w:val="18"/>
          <w:lang w:val="en-IE" w:eastAsia="fr-FR"/>
        </w:rPr>
        <w:t>NB:</w:t>
      </w:r>
      <w:r w:rsidRPr="00D403F5">
        <w:rPr>
          <w:rFonts w:ascii="Arial" w:eastAsia="Calibri" w:hAnsi="Arial" w:cs="Arial"/>
          <w:sz w:val="18"/>
          <w:szCs w:val="18"/>
          <w:lang w:val="en-IE" w:eastAsia="fr-FR"/>
        </w:rPr>
        <w:t xml:space="preserve"> There </w:t>
      </w:r>
      <w:r w:rsidRPr="00D403F5">
        <w:rPr>
          <w:rFonts w:ascii="Arial" w:eastAsia="Calibri" w:hAnsi="Arial" w:cs="Arial"/>
          <w:sz w:val="18"/>
          <w:szCs w:val="18"/>
          <w:lang w:val="en-IE"/>
        </w:rPr>
        <w:t xml:space="preserve">are OIE Reference Laboratories for </w:t>
      </w:r>
      <w:r w:rsidRPr="00D403F5">
        <w:rPr>
          <w:rFonts w:ascii="Arial" w:eastAsia="Calibri" w:hAnsi="Arial" w:cs="Arial"/>
          <w:sz w:val="18"/>
          <w:szCs w:val="18"/>
          <w:lang w:val="en-NZ"/>
        </w:rPr>
        <w:t xml:space="preserve">Infection with </w:t>
      </w:r>
      <w:r w:rsidRPr="00D403F5">
        <w:rPr>
          <w:rFonts w:ascii="Arial" w:eastAsia="Calibri" w:hAnsi="Arial" w:cs="Arial"/>
          <w:sz w:val="18"/>
          <w:szCs w:val="18"/>
        </w:rPr>
        <w:t xml:space="preserve">viral haemorrhagic septicaemia </w:t>
      </w:r>
      <w:r w:rsidRPr="00D403F5">
        <w:rPr>
          <w:rFonts w:ascii="Arial" w:eastAsia="Calibri" w:hAnsi="Arial" w:cs="Arial"/>
          <w:sz w:val="18"/>
          <w:szCs w:val="18"/>
          <w:lang w:val="en-IE"/>
        </w:rPr>
        <w:t>virus</w:t>
      </w:r>
      <w:r w:rsidRPr="00D403F5">
        <w:rPr>
          <w:rFonts w:ascii="Arial" w:eastAsia="Calibri" w:hAnsi="Arial" w:cs="Arial"/>
          <w:sz w:val="18"/>
          <w:szCs w:val="18"/>
          <w:lang w:val="en-IE" w:eastAsia="fr-FR"/>
        </w:rPr>
        <w:br/>
        <w:t xml:space="preserve">(see </w:t>
      </w:r>
      <w:r w:rsidRPr="00D403F5">
        <w:rPr>
          <w:rFonts w:ascii="Arial" w:eastAsia="Calibri" w:hAnsi="Arial" w:cs="Arial"/>
          <w:sz w:val="18"/>
          <w:szCs w:val="18"/>
          <w:lang w:val="en-IE"/>
        </w:rPr>
        <w:t xml:space="preserve">Table at the end of this </w:t>
      </w:r>
      <w:r w:rsidRPr="00D403F5">
        <w:rPr>
          <w:rFonts w:ascii="Arial" w:eastAsia="Calibri" w:hAnsi="Arial" w:cs="Arial"/>
          <w:i/>
          <w:iCs/>
          <w:sz w:val="18"/>
          <w:szCs w:val="18"/>
          <w:lang w:val="en-IE"/>
        </w:rPr>
        <w:t>Aquatic Manual</w:t>
      </w:r>
      <w:r w:rsidRPr="00D403F5">
        <w:rPr>
          <w:rFonts w:ascii="Arial" w:eastAsia="Calibri" w:hAnsi="Arial" w:cs="Arial"/>
          <w:sz w:val="18"/>
          <w:szCs w:val="18"/>
          <w:lang w:val="en-IE"/>
        </w:rPr>
        <w:t xml:space="preserve"> or </w:t>
      </w:r>
      <w:r w:rsidRPr="00D403F5">
        <w:rPr>
          <w:rFonts w:ascii="Arial" w:eastAsia="Calibri" w:hAnsi="Arial" w:cs="Arial"/>
          <w:sz w:val="18"/>
          <w:szCs w:val="18"/>
          <w:lang w:val="en-IE" w:eastAsia="fr-FR"/>
        </w:rPr>
        <w:t xml:space="preserve">consult the OIE web site for the most up-to-date list: </w:t>
      </w:r>
      <w:hyperlink r:id="rId151" w:history="1">
        <w:r w:rsidRPr="00D403F5">
          <w:rPr>
            <w:rFonts w:ascii="Arial" w:eastAsia="Calibri" w:hAnsi="Arial" w:cs="Arial"/>
            <w:color w:val="0000FF"/>
            <w:sz w:val="18"/>
            <w:szCs w:val="18"/>
            <w:lang w:val="en-IE"/>
          </w:rPr>
          <w:t>http://www.oie.int/en/scientific-expertise/reference-laboratories/list-of-laboratories/</w:t>
        </w:r>
      </w:hyperlink>
      <w:r w:rsidRPr="00D403F5">
        <w:rPr>
          <w:rFonts w:ascii="Arial" w:eastAsia="Calibri" w:hAnsi="Arial" w:cs="Arial"/>
          <w:sz w:val="18"/>
          <w:szCs w:val="18"/>
          <w:lang w:val="en-IE" w:eastAsia="fr-FR"/>
        </w:rPr>
        <w:t xml:space="preserve"> </w:t>
      </w:r>
      <w:hyperlink r:id="rId152" w:history="1"/>
      <w:r w:rsidRPr="00D403F5">
        <w:rPr>
          <w:rFonts w:ascii="Arial" w:eastAsia="Calibri" w:hAnsi="Arial" w:cs="Arial"/>
          <w:sz w:val="18"/>
          <w:szCs w:val="18"/>
          <w:lang w:val="en-IE" w:eastAsia="fr-FR"/>
        </w:rPr>
        <w:t xml:space="preserve">). </w:t>
      </w:r>
      <w:r w:rsidRPr="00D403F5">
        <w:rPr>
          <w:rFonts w:ascii="Arial" w:eastAsia="Calibri" w:hAnsi="Arial" w:cs="Arial"/>
          <w:sz w:val="18"/>
          <w:szCs w:val="18"/>
          <w:lang w:val="en-IE" w:eastAsia="fr-FR"/>
        </w:rPr>
        <w:br/>
      </w:r>
      <w:r w:rsidRPr="00D403F5">
        <w:rPr>
          <w:rFonts w:ascii="Arial" w:eastAsia="Calibri" w:hAnsi="Arial" w:cs="Arial"/>
          <w:sz w:val="18"/>
          <w:szCs w:val="18"/>
          <w:lang w:val="en-IE"/>
        </w:rPr>
        <w:t xml:space="preserve">Please contact the OIE Reference Laboratories for any further information on infection with </w:t>
      </w:r>
      <w:r w:rsidRPr="00D403F5">
        <w:rPr>
          <w:rFonts w:ascii="Arial" w:eastAsia="Calibri" w:hAnsi="Arial" w:cs="Arial"/>
          <w:sz w:val="18"/>
          <w:szCs w:val="18"/>
          <w:lang w:val="en-IE"/>
        </w:rPr>
        <w:br/>
        <w:t>viral haemorrhagic septicaemia virus</w:t>
      </w:r>
    </w:p>
    <w:p w14:paraId="53E25C3F" w14:textId="77777777" w:rsidR="00C7266C" w:rsidRPr="00D403F5" w:rsidRDefault="00C7266C" w:rsidP="00D403F5">
      <w:pPr>
        <w:spacing w:after="0" w:line="240" w:lineRule="auto"/>
        <w:jc w:val="center"/>
        <w:rPr>
          <w:rFonts w:ascii="Arial" w:eastAsia="Times New Roman" w:hAnsi="Arial" w:cs="Arial"/>
          <w:b/>
          <w:bCs/>
          <w:sz w:val="18"/>
          <w:szCs w:val="18"/>
          <w:lang w:val="en-IE"/>
        </w:rPr>
      </w:pPr>
      <w:r w:rsidRPr="00D403F5">
        <w:rPr>
          <w:rFonts w:ascii="Arial" w:eastAsia="Times New Roman" w:hAnsi="Arial" w:cs="Arial"/>
          <w:b/>
          <w:bCs/>
          <w:smallCaps/>
          <w:sz w:val="18"/>
          <w:szCs w:val="18"/>
          <w:lang w:val="en-IE"/>
        </w:rPr>
        <w:t>NB:</w:t>
      </w:r>
      <w:r w:rsidRPr="00D403F5">
        <w:rPr>
          <w:rFonts w:ascii="Arial" w:eastAsia="Times New Roman" w:hAnsi="Arial" w:cs="Arial"/>
          <w:bCs/>
          <w:smallCaps/>
          <w:sz w:val="18"/>
          <w:szCs w:val="18"/>
          <w:lang w:val="en-IE"/>
        </w:rPr>
        <w:t xml:space="preserve"> First adopted in 1995 as viral haemorrhagic septicaemis;</w:t>
      </w:r>
      <w:r w:rsidRPr="00D403F5">
        <w:rPr>
          <w:rFonts w:ascii="Arial" w:eastAsia="Times New Roman" w:hAnsi="Arial" w:cs="Arial"/>
          <w:bCs/>
          <w:smallCaps/>
          <w:sz w:val="18"/>
          <w:szCs w:val="18"/>
          <w:lang w:val="en-IE"/>
        </w:rPr>
        <w:br/>
        <w:t>most recent updates adopted in 2012.</w:t>
      </w:r>
    </w:p>
    <w:p w14:paraId="2DF9ACF8" w14:textId="77777777" w:rsidR="00C7266C" w:rsidRPr="00D403F5" w:rsidRDefault="00C7266C" w:rsidP="00D403F5">
      <w:pPr>
        <w:spacing w:after="0"/>
        <w:jc w:val="center"/>
        <w:rPr>
          <w:rFonts w:ascii="Arial" w:eastAsia="Calibri" w:hAnsi="Arial" w:cs="Arial"/>
          <w:sz w:val="18"/>
          <w:szCs w:val="18"/>
          <w:lang w:val="en-IE" w:bidi="en-US"/>
        </w:rPr>
      </w:pPr>
    </w:p>
    <w:p w14:paraId="65BC1FFB" w14:textId="77777777" w:rsidR="00C7266C" w:rsidRPr="00D403F5" w:rsidRDefault="00C7266C" w:rsidP="00D403F5">
      <w:pPr>
        <w:spacing w:after="0"/>
        <w:ind w:left="107"/>
        <w:jc w:val="both"/>
        <w:rPr>
          <w:rFonts w:ascii="Arial" w:hAnsi="Arial" w:cs="Arial"/>
          <w:sz w:val="18"/>
          <w:szCs w:val="18"/>
          <w:lang w:val="en-IE"/>
        </w:rPr>
        <w:sectPr w:rsidR="00C7266C" w:rsidRPr="00D403F5" w:rsidSect="00A63C15">
          <w:headerReference w:type="even" r:id="rId153"/>
          <w:headerReference w:type="default" r:id="rId154"/>
          <w:footerReference w:type="default" r:id="rId155"/>
          <w:headerReference w:type="first" r:id="rId156"/>
          <w:pgSz w:w="11906" w:h="16838"/>
          <w:pgMar w:top="1440" w:right="1440" w:bottom="1440" w:left="1440" w:header="709" w:footer="709" w:gutter="0"/>
          <w:cols w:space="708"/>
          <w:vAlign w:val="both"/>
          <w:docGrid w:linePitch="360"/>
        </w:sectPr>
      </w:pPr>
    </w:p>
    <w:p w14:paraId="7F26CAF3" w14:textId="77777777" w:rsidR="00C7266C" w:rsidRPr="00D403F5" w:rsidRDefault="00C7266C" w:rsidP="00101F2F">
      <w:pPr>
        <w:pStyle w:val="2"/>
        <w:tabs>
          <w:tab w:val="clear" w:pos="360"/>
        </w:tabs>
        <w:spacing w:after="480"/>
        <w:ind w:left="0" w:firstLine="0"/>
        <w:jc w:val="right"/>
        <w:rPr>
          <w:rFonts w:ascii="Times New Roman" w:hAnsi="Times New Roman"/>
          <w:b w:val="0"/>
          <w:sz w:val="18"/>
          <w:szCs w:val="18"/>
          <w:u w:val="single"/>
        </w:rPr>
      </w:pPr>
      <w:r w:rsidRPr="00D403F5">
        <w:rPr>
          <w:rFonts w:ascii="Times New Roman" w:hAnsi="Times New Roman"/>
          <w:b w:val="0"/>
          <w:sz w:val="18"/>
          <w:szCs w:val="18"/>
          <w:u w:val="single"/>
        </w:rPr>
        <w:t>Annex 14</w:t>
      </w:r>
    </w:p>
    <w:p w14:paraId="0E44D998" w14:textId="77777777" w:rsidR="00C7266C" w:rsidRPr="00D403F5" w:rsidRDefault="00C7266C" w:rsidP="00D403F5">
      <w:pPr>
        <w:spacing w:after="0"/>
        <w:jc w:val="center"/>
        <w:rPr>
          <w:rFonts w:ascii="Times New Roman" w:hAnsi="Times New Roman" w:cs="Times New Roman"/>
          <w:b/>
          <w:caps/>
          <w:sz w:val="18"/>
          <w:szCs w:val="18"/>
        </w:rPr>
      </w:pPr>
      <w:r w:rsidRPr="00D403F5">
        <w:rPr>
          <w:rFonts w:ascii="Times New Roman" w:hAnsi="Times New Roman" w:cs="Times New Roman"/>
          <w:b/>
          <w:caps/>
          <w:sz w:val="18"/>
          <w:szCs w:val="18"/>
        </w:rPr>
        <w:t>Assessment of</w:t>
      </w:r>
      <w:r w:rsidRPr="00D403F5">
        <w:rPr>
          <w:rFonts w:ascii="Times New Roman" w:hAnsi="Times New Roman" w:cs="Times New Roman"/>
          <w:caps/>
          <w:sz w:val="18"/>
          <w:szCs w:val="18"/>
        </w:rPr>
        <w:t xml:space="preserve"> </w:t>
      </w:r>
      <w:r w:rsidRPr="00D403F5">
        <w:rPr>
          <w:rFonts w:ascii="Times New Roman" w:hAnsi="Times New Roman" w:cs="Times New Roman"/>
          <w:b/>
          <w:caps/>
          <w:sz w:val="18"/>
          <w:szCs w:val="18"/>
        </w:rPr>
        <w:t>INFECTION WITH DECAPOD IRIDeSCENT VIRUS-1 (div1)</w:t>
      </w:r>
      <w:r w:rsidRPr="00D403F5">
        <w:rPr>
          <w:rFonts w:ascii="Times New Roman" w:hAnsi="Times New Roman" w:cs="Times New Roman"/>
          <w:b/>
          <w:caps/>
          <w:sz w:val="18"/>
          <w:szCs w:val="18"/>
        </w:rPr>
        <w:br/>
        <w:t>for listing in Chapter 1.3. of the</w:t>
      </w:r>
      <w:r w:rsidRPr="00D403F5">
        <w:rPr>
          <w:rFonts w:ascii="Times New Roman" w:hAnsi="Times New Roman" w:cs="Times New Roman"/>
          <w:b/>
          <w:caps/>
          <w:sz w:val="18"/>
          <w:szCs w:val="18"/>
        </w:rPr>
        <w:br/>
      </w:r>
      <w:r w:rsidRPr="00D403F5">
        <w:rPr>
          <w:rFonts w:ascii="Times New Roman" w:hAnsi="Times New Roman" w:cs="Times New Roman"/>
          <w:b/>
          <w:i/>
          <w:caps/>
          <w:sz w:val="18"/>
          <w:szCs w:val="18"/>
        </w:rPr>
        <w:t>Aquatic Animal Health Code</w:t>
      </w:r>
    </w:p>
    <w:p w14:paraId="025C65BA" w14:textId="77777777" w:rsidR="00C7266C" w:rsidRPr="00D403F5" w:rsidRDefault="00C7266C" w:rsidP="00D403F5">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b/>
          <w:sz w:val="18"/>
          <w:szCs w:val="18"/>
        </w:rPr>
      </w:pPr>
      <w:r w:rsidRPr="00D403F5">
        <w:rPr>
          <w:rFonts w:ascii="Arial" w:hAnsi="Arial" w:cs="Arial"/>
          <w:b/>
          <w:sz w:val="18"/>
          <w:szCs w:val="18"/>
        </w:rPr>
        <w:t>Overall Assessment</w:t>
      </w:r>
    </w:p>
    <w:p w14:paraId="2DB74B51" w14:textId="77777777" w:rsidR="00C7266C" w:rsidRPr="00D403F5" w:rsidRDefault="00C7266C" w:rsidP="00D403F5">
      <w:pPr>
        <w:spacing w:after="0" w:line="240" w:lineRule="auto"/>
        <w:jc w:val="both"/>
        <w:rPr>
          <w:rFonts w:ascii="Arial" w:hAnsi="Arial" w:cs="Arial"/>
          <w:sz w:val="18"/>
          <w:szCs w:val="18"/>
        </w:rPr>
      </w:pPr>
      <w:r w:rsidRPr="00D403F5">
        <w:rPr>
          <w:rFonts w:ascii="Arial" w:hAnsi="Arial" w:cs="Arial"/>
          <w:sz w:val="18"/>
          <w:szCs w:val="18"/>
        </w:rPr>
        <w:t>The OIE Aquatic Animal Health Standards Commission (the Commission) assessed infection with Decapod iridescent virus</w:t>
      </w:r>
      <w:r w:rsidRPr="00D403F5">
        <w:rPr>
          <w:rFonts w:ascii="Arial" w:hAnsi="Arial" w:cs="Arial"/>
          <w:strike/>
          <w:sz w:val="18"/>
          <w:szCs w:val="18"/>
        </w:rPr>
        <w:t>-</w:t>
      </w:r>
      <w:r w:rsidRPr="00D403F5">
        <w:rPr>
          <w:rFonts w:ascii="Arial" w:hAnsi="Arial" w:cs="Arial"/>
          <w:sz w:val="18"/>
          <w:szCs w:val="18"/>
        </w:rPr>
        <w:t xml:space="preserve">1 (DIV1) against the criteria for listing aquatic animal diseases in Article 1.2.2. of the </w:t>
      </w:r>
      <w:r w:rsidRPr="00D403F5">
        <w:rPr>
          <w:rFonts w:ascii="Arial" w:hAnsi="Arial" w:cs="Arial"/>
          <w:i/>
          <w:sz w:val="18"/>
          <w:szCs w:val="18"/>
        </w:rPr>
        <w:t>Aquatic Code</w:t>
      </w:r>
      <w:r w:rsidRPr="00D403F5">
        <w:rPr>
          <w:rFonts w:ascii="Arial" w:hAnsi="Arial" w:cs="Arial"/>
          <w:sz w:val="18"/>
          <w:szCs w:val="18"/>
        </w:rPr>
        <w:t xml:space="preserve"> and agreed that infection with (DIV1) meets the OIE criteria for listing, notably 1.: International spread of the disease is likely; 2.: At least one country may demonstrate country or zone freedom from the disease; 3.: A precise case definition is available and a reliable means of detection and diagnosis exists, and 4b.: The disease has been shown to affect the health of cultured aquatic animals at the level of a country or a zone resulting in significant consequences e.g. production losses, morbidity or mortality at a zone or country level  (see Table 1 below).</w:t>
      </w:r>
    </w:p>
    <w:p w14:paraId="6BD1257D" w14:textId="77777777" w:rsidR="00C7266C" w:rsidRPr="00D403F5" w:rsidRDefault="00C7266C" w:rsidP="00D403F5">
      <w:pPr>
        <w:widowControl w:val="0"/>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line="240" w:lineRule="auto"/>
        <w:jc w:val="both"/>
        <w:rPr>
          <w:rFonts w:ascii="Arial" w:hAnsi="Arial" w:cs="Arial"/>
          <w:strike/>
          <w:sz w:val="18"/>
          <w:szCs w:val="18"/>
        </w:rPr>
      </w:pPr>
      <w:r w:rsidRPr="00D403F5">
        <w:rPr>
          <w:rFonts w:ascii="Arial" w:hAnsi="Arial" w:cs="Arial"/>
          <w:b/>
          <w:sz w:val="18"/>
          <w:szCs w:val="18"/>
        </w:rPr>
        <w:t>Table 1.</w:t>
      </w:r>
      <w:r w:rsidRPr="00D403F5">
        <w:rPr>
          <w:rFonts w:ascii="Arial" w:hAnsi="Arial" w:cs="Arial"/>
          <w:sz w:val="18"/>
          <w:szCs w:val="18"/>
        </w:rPr>
        <w:t xml:space="preserve"> Summary of assessment of infection with (DIV1) </w:t>
      </w:r>
    </w:p>
    <w:tbl>
      <w:tblPr>
        <w:tblW w:w="0" w:type="auto"/>
        <w:tblInd w:w="79" w:type="dxa"/>
        <w:tblLayout w:type="fixed"/>
        <w:tblCellMar>
          <w:left w:w="70" w:type="dxa"/>
          <w:right w:w="70" w:type="dxa"/>
        </w:tblCellMar>
        <w:tblLook w:val="0000" w:firstRow="0" w:lastRow="0" w:firstColumn="0" w:lastColumn="0" w:noHBand="0" w:noVBand="0"/>
      </w:tblPr>
      <w:tblGrid>
        <w:gridCol w:w="2340"/>
        <w:gridCol w:w="618"/>
        <w:gridCol w:w="618"/>
        <w:gridCol w:w="618"/>
        <w:gridCol w:w="618"/>
        <w:gridCol w:w="618"/>
        <w:gridCol w:w="607"/>
        <w:gridCol w:w="3319"/>
      </w:tblGrid>
      <w:tr w:rsidR="00C7266C" w:rsidRPr="00D403F5" w14:paraId="63B0B62D" w14:textId="77777777" w:rsidTr="00951F46">
        <w:trPr>
          <w:cantSplit/>
        </w:trPr>
        <w:tc>
          <w:tcPr>
            <w:tcW w:w="2340" w:type="dxa"/>
            <w:vMerge w:val="restart"/>
            <w:tcBorders>
              <w:top w:val="single" w:sz="3" w:space="0" w:color="000000"/>
              <w:left w:val="single" w:sz="3" w:space="0" w:color="000000"/>
              <w:bottom w:val="single" w:sz="3" w:space="0" w:color="000000"/>
              <w:right w:val="single" w:sz="3" w:space="0" w:color="000000"/>
            </w:tcBorders>
            <w:tcMar>
              <w:left w:w="79" w:type="dxa"/>
              <w:right w:w="70" w:type="dxa"/>
            </w:tcMar>
          </w:tcPr>
          <w:p w14:paraId="51980CB1"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p>
        </w:tc>
        <w:tc>
          <w:tcPr>
            <w:tcW w:w="3697" w:type="dxa"/>
            <w:gridSpan w:val="6"/>
            <w:tcBorders>
              <w:top w:val="single" w:sz="3" w:space="0" w:color="000000"/>
              <w:left w:val="single" w:sz="3" w:space="0" w:color="000000"/>
              <w:bottom w:val="single" w:sz="3" w:space="0" w:color="000000"/>
              <w:right w:val="single" w:sz="3" w:space="0" w:color="000000"/>
            </w:tcBorders>
            <w:tcMar>
              <w:left w:w="79" w:type="dxa"/>
              <w:right w:w="79" w:type="dxa"/>
            </w:tcMar>
          </w:tcPr>
          <w:p w14:paraId="512BCBE0"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Listing criteria</w:t>
            </w:r>
          </w:p>
        </w:tc>
        <w:tc>
          <w:tcPr>
            <w:tcW w:w="3319" w:type="dxa"/>
            <w:tcBorders>
              <w:top w:val="single" w:sz="3" w:space="0" w:color="000000"/>
              <w:left w:val="single" w:sz="3" w:space="0" w:color="000000"/>
              <w:bottom w:val="single" w:sz="3" w:space="0" w:color="000000"/>
              <w:right w:val="single" w:sz="3" w:space="0" w:color="000000"/>
            </w:tcBorders>
          </w:tcPr>
          <w:p w14:paraId="18392798"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Conclusion</w:t>
            </w:r>
          </w:p>
        </w:tc>
      </w:tr>
      <w:tr w:rsidR="00C7266C" w:rsidRPr="00D403F5" w14:paraId="14CAA52F" w14:textId="77777777" w:rsidTr="00951F46">
        <w:trPr>
          <w:cantSplit/>
        </w:trPr>
        <w:tc>
          <w:tcPr>
            <w:tcW w:w="2340" w:type="dxa"/>
            <w:vMerge/>
            <w:tcBorders>
              <w:top w:val="single" w:sz="3" w:space="0" w:color="000000"/>
              <w:left w:val="single" w:sz="3" w:space="0" w:color="000000"/>
              <w:bottom w:val="single" w:sz="3" w:space="0" w:color="000000"/>
              <w:right w:val="single" w:sz="3" w:space="0" w:color="000000"/>
            </w:tcBorders>
            <w:tcMar>
              <w:left w:w="79" w:type="dxa"/>
              <w:right w:w="70" w:type="dxa"/>
            </w:tcMar>
          </w:tcPr>
          <w:p w14:paraId="0D49D2E3"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42C0F93"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1</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095E74B0"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2</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07AF4833"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3</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A719235"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4a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2202F89C"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4b</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7084E17"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4c</w:t>
            </w:r>
          </w:p>
        </w:tc>
        <w:tc>
          <w:tcPr>
            <w:tcW w:w="3319"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14:paraId="44A8A4E4"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p>
        </w:tc>
      </w:tr>
      <w:tr w:rsidR="00C7266C" w:rsidRPr="00D403F5" w14:paraId="26ABCB91" w14:textId="77777777" w:rsidTr="00951F46">
        <w:tc>
          <w:tcPr>
            <w:tcW w:w="2340" w:type="dxa"/>
            <w:tcBorders>
              <w:top w:val="single" w:sz="3" w:space="0" w:color="000000"/>
              <w:left w:val="single" w:sz="3" w:space="0" w:color="000000"/>
              <w:bottom w:val="single" w:sz="3" w:space="0" w:color="000000"/>
              <w:right w:val="single" w:sz="3" w:space="0" w:color="000000"/>
            </w:tcBorders>
            <w:tcMar>
              <w:left w:w="79" w:type="dxa"/>
              <w:right w:w="70" w:type="dxa"/>
            </w:tcMar>
          </w:tcPr>
          <w:p w14:paraId="3D2FB432"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rPr>
                <w:rFonts w:ascii="Arial" w:hAnsi="Arial" w:cs="Arial"/>
                <w:sz w:val="18"/>
                <w:szCs w:val="18"/>
              </w:rPr>
            </w:pPr>
            <w:r w:rsidRPr="00D403F5">
              <w:rPr>
                <w:rFonts w:ascii="Arial" w:hAnsi="Arial" w:cs="Arial"/>
                <w:sz w:val="18"/>
                <w:szCs w:val="18"/>
              </w:rPr>
              <w:t>Infection with DIV1</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A20BDE0"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052120CE"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62F43DEC"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4EF884B0"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NA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2F073ABE"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14:paraId="43654697"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w:t>
            </w:r>
          </w:p>
        </w:tc>
        <w:tc>
          <w:tcPr>
            <w:tcW w:w="3319"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14:paraId="1F51F835"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 xml:space="preserve">The disease meets the criteria for listing </w:t>
            </w:r>
          </w:p>
        </w:tc>
      </w:tr>
    </w:tbl>
    <w:p w14:paraId="27AD4A00" w14:textId="77777777" w:rsidR="00C7266C" w:rsidRPr="00D403F5" w:rsidRDefault="00C7266C" w:rsidP="00D403F5">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0"/>
        <w:jc w:val="both"/>
        <w:rPr>
          <w:rFonts w:ascii="Arial" w:hAnsi="Arial" w:cs="Arial"/>
          <w:sz w:val="18"/>
          <w:szCs w:val="18"/>
        </w:rPr>
      </w:pPr>
      <w:r w:rsidRPr="00D403F5">
        <w:rPr>
          <w:rFonts w:ascii="Arial" w:hAnsi="Arial" w:cs="Arial"/>
          <w:sz w:val="18"/>
          <w:szCs w:val="18"/>
        </w:rPr>
        <w:tab/>
        <w:t>NA = not applicable.</w:t>
      </w:r>
    </w:p>
    <w:p w14:paraId="3DFCB10D" w14:textId="77777777" w:rsidR="00C7266C" w:rsidRPr="00D403F5" w:rsidRDefault="00C7266C" w:rsidP="00D403F5">
      <w:pPr>
        <w:pStyle w:val="1"/>
        <w:spacing w:before="0"/>
        <w:rPr>
          <w:rFonts w:ascii="Arial" w:hAnsi="Arial" w:cs="Arial"/>
          <w:b/>
          <w:color w:val="auto"/>
          <w:sz w:val="18"/>
          <w:szCs w:val="18"/>
        </w:rPr>
      </w:pPr>
      <w:r w:rsidRPr="00D403F5">
        <w:rPr>
          <w:rFonts w:ascii="Arial" w:hAnsi="Arial" w:cs="Arial"/>
          <w:b/>
          <w:color w:val="auto"/>
          <w:sz w:val="18"/>
          <w:szCs w:val="18"/>
        </w:rPr>
        <w:t>Background</w:t>
      </w:r>
    </w:p>
    <w:p w14:paraId="22210B67" w14:textId="77777777" w:rsidR="00C7266C" w:rsidRPr="00D403F5" w:rsidRDefault="00C7266C" w:rsidP="00D403F5">
      <w:pPr>
        <w:pStyle w:val="1"/>
        <w:spacing w:before="0"/>
        <w:jc w:val="both"/>
        <w:rPr>
          <w:rFonts w:ascii="Arial" w:hAnsi="Arial" w:cs="Arial"/>
          <w:color w:val="auto"/>
          <w:sz w:val="18"/>
          <w:szCs w:val="18"/>
        </w:rPr>
      </w:pPr>
      <w:r w:rsidRPr="00D403F5">
        <w:rPr>
          <w:rFonts w:ascii="Arial" w:hAnsi="Arial" w:cs="Arial"/>
          <w:color w:val="auto"/>
          <w:sz w:val="18"/>
          <w:szCs w:val="18"/>
        </w:rPr>
        <w:t xml:space="preserve">A novel member of family </w:t>
      </w:r>
      <w:r w:rsidRPr="00D403F5">
        <w:rPr>
          <w:rFonts w:ascii="Arial" w:hAnsi="Arial" w:cs="Arial"/>
          <w:i/>
          <w:iCs/>
          <w:color w:val="auto"/>
          <w:sz w:val="18"/>
          <w:szCs w:val="18"/>
        </w:rPr>
        <w:t>Iridoviridae</w:t>
      </w:r>
      <w:r w:rsidRPr="00D403F5">
        <w:rPr>
          <w:rFonts w:ascii="Arial" w:hAnsi="Arial" w:cs="Arial"/>
          <w:color w:val="auto"/>
          <w:sz w:val="18"/>
          <w:szCs w:val="18"/>
        </w:rPr>
        <w:t xml:space="preserve">, named as Decapod iridescent virus 1 (DIV1) (ICTV, 2019), with a double-stranded DNA genome about 166K bp (Li </w:t>
      </w:r>
      <w:r w:rsidRPr="00D403F5">
        <w:rPr>
          <w:rFonts w:ascii="Arial" w:hAnsi="Arial" w:cs="Arial"/>
          <w:i/>
          <w:iCs/>
          <w:color w:val="auto"/>
          <w:sz w:val="18"/>
          <w:szCs w:val="18"/>
        </w:rPr>
        <w:t>et al</w:t>
      </w:r>
      <w:r w:rsidRPr="00D403F5">
        <w:rPr>
          <w:rFonts w:ascii="Arial" w:hAnsi="Arial" w:cs="Arial"/>
          <w:color w:val="auto"/>
          <w:sz w:val="18"/>
          <w:szCs w:val="18"/>
        </w:rPr>
        <w:t xml:space="preserve">., 2017; Qiu </w:t>
      </w:r>
      <w:r w:rsidRPr="00D403F5">
        <w:rPr>
          <w:rFonts w:ascii="Arial" w:hAnsi="Arial" w:cs="Arial"/>
          <w:i/>
          <w:iCs/>
          <w:color w:val="auto"/>
          <w:sz w:val="18"/>
          <w:szCs w:val="18"/>
        </w:rPr>
        <w:t>et al</w:t>
      </w:r>
      <w:r w:rsidRPr="00D403F5">
        <w:rPr>
          <w:rFonts w:ascii="Arial" w:hAnsi="Arial" w:cs="Arial"/>
          <w:color w:val="auto"/>
          <w:sz w:val="18"/>
          <w:szCs w:val="18"/>
        </w:rPr>
        <w:t xml:space="preserve">., 2017b), has been identified as the cause of mass mortalities in shrimp, prawn and crayfish productions (Xu </w:t>
      </w:r>
      <w:r w:rsidRPr="00D403F5">
        <w:rPr>
          <w:rFonts w:ascii="Arial" w:hAnsi="Arial" w:cs="Arial"/>
          <w:i/>
          <w:iCs/>
          <w:color w:val="auto"/>
          <w:sz w:val="18"/>
          <w:szCs w:val="18"/>
        </w:rPr>
        <w:t>et al</w:t>
      </w:r>
      <w:r w:rsidRPr="00D403F5">
        <w:rPr>
          <w:rFonts w:ascii="Arial" w:hAnsi="Arial" w:cs="Arial"/>
          <w:color w:val="auto"/>
          <w:sz w:val="18"/>
          <w:szCs w:val="18"/>
        </w:rPr>
        <w:t xml:space="preserve">., 2016; Qiu </w:t>
      </w:r>
      <w:r w:rsidRPr="00D403F5">
        <w:rPr>
          <w:rFonts w:ascii="Arial" w:hAnsi="Arial" w:cs="Arial"/>
          <w:i/>
          <w:iCs/>
          <w:color w:val="auto"/>
          <w:sz w:val="18"/>
          <w:szCs w:val="18"/>
        </w:rPr>
        <w:t>et al</w:t>
      </w:r>
      <w:r w:rsidRPr="00D403F5">
        <w:rPr>
          <w:rFonts w:ascii="Arial" w:hAnsi="Arial" w:cs="Arial"/>
          <w:color w:val="auto"/>
          <w:sz w:val="18"/>
          <w:szCs w:val="18"/>
        </w:rPr>
        <w:t xml:space="preserve">., 2017a; Qiu </w:t>
      </w:r>
      <w:r w:rsidRPr="00D403F5">
        <w:rPr>
          <w:rFonts w:ascii="Arial" w:hAnsi="Arial" w:cs="Arial"/>
          <w:i/>
          <w:iCs/>
          <w:color w:val="auto"/>
          <w:sz w:val="18"/>
          <w:szCs w:val="18"/>
        </w:rPr>
        <w:t>et al</w:t>
      </w:r>
      <w:r w:rsidRPr="00D403F5">
        <w:rPr>
          <w:rFonts w:ascii="Arial" w:hAnsi="Arial" w:cs="Arial"/>
          <w:color w:val="auto"/>
          <w:sz w:val="18"/>
          <w:szCs w:val="18"/>
        </w:rPr>
        <w:t xml:space="preserve">., 2019a). </w:t>
      </w:r>
      <w:r w:rsidRPr="00D403F5">
        <w:rPr>
          <w:rFonts w:ascii="Arial" w:hAnsi="Arial" w:cs="Arial"/>
          <w:strike/>
          <w:color w:val="auto"/>
          <w:sz w:val="18"/>
          <w:szCs w:val="18"/>
        </w:rPr>
        <w:t xml:space="preserve">Shrimp </w:t>
      </w:r>
      <w:r w:rsidRPr="00D403F5">
        <w:rPr>
          <w:rFonts w:ascii="Arial" w:hAnsi="Arial" w:cs="Arial"/>
          <w:color w:val="auto"/>
          <w:sz w:val="18"/>
          <w:szCs w:val="18"/>
        </w:rPr>
        <w:t xml:space="preserve">Infection with DIV1 has so far been detected in red </w:t>
      </w:r>
      <w:r w:rsidRPr="00D403F5">
        <w:rPr>
          <w:rFonts w:ascii="Arial" w:hAnsi="Arial" w:cs="Arial" w:hint="eastAsia"/>
          <w:color w:val="auto"/>
          <w:sz w:val="18"/>
          <w:szCs w:val="18"/>
        </w:rPr>
        <w:t xml:space="preserve">claw </w:t>
      </w:r>
      <w:r w:rsidRPr="00D403F5">
        <w:rPr>
          <w:rFonts w:ascii="Arial" w:hAnsi="Arial" w:cs="Arial"/>
          <w:color w:val="auto"/>
          <w:sz w:val="18"/>
          <w:szCs w:val="18"/>
        </w:rPr>
        <w:t>c</w:t>
      </w:r>
      <w:r w:rsidRPr="00D403F5">
        <w:rPr>
          <w:rFonts w:ascii="Arial" w:hAnsi="Arial" w:cs="Arial" w:hint="eastAsia"/>
          <w:color w:val="auto"/>
          <w:sz w:val="18"/>
          <w:szCs w:val="18"/>
        </w:rPr>
        <w:t>rayfish</w:t>
      </w:r>
      <w:r w:rsidRPr="00D403F5">
        <w:rPr>
          <w:rFonts w:ascii="Arial" w:hAnsi="Arial" w:cs="Arial"/>
          <w:color w:val="auto"/>
          <w:sz w:val="18"/>
          <w:szCs w:val="18"/>
        </w:rPr>
        <w:t xml:space="preserve"> (</w:t>
      </w:r>
      <w:r w:rsidRPr="00D403F5">
        <w:rPr>
          <w:rFonts w:ascii="Arial" w:hAnsi="Arial" w:cs="Arial"/>
          <w:i/>
          <w:color w:val="auto"/>
          <w:sz w:val="18"/>
          <w:szCs w:val="18"/>
        </w:rPr>
        <w:t>Cherax quadricarinatus</w:t>
      </w:r>
      <w:r w:rsidRPr="00D403F5">
        <w:rPr>
          <w:rFonts w:ascii="Arial" w:hAnsi="Arial" w:cs="Arial"/>
          <w:iCs/>
          <w:color w:val="auto"/>
          <w:sz w:val="18"/>
          <w:szCs w:val="18"/>
        </w:rPr>
        <w:t>)</w:t>
      </w:r>
      <w:r w:rsidRPr="00D403F5">
        <w:rPr>
          <w:rFonts w:ascii="Arial" w:hAnsi="Arial" w:cs="Arial"/>
          <w:i/>
          <w:color w:val="auto"/>
          <w:sz w:val="18"/>
          <w:szCs w:val="18"/>
        </w:rPr>
        <w:t xml:space="preserve"> </w:t>
      </w:r>
      <w:r w:rsidRPr="00D403F5">
        <w:rPr>
          <w:rFonts w:ascii="Arial" w:hAnsi="Arial" w:cs="Arial"/>
          <w:iCs/>
          <w:color w:val="auto"/>
          <w:sz w:val="18"/>
          <w:szCs w:val="18"/>
        </w:rPr>
        <w:t xml:space="preserve">(Xu </w:t>
      </w:r>
      <w:r w:rsidRPr="00D403F5">
        <w:rPr>
          <w:rFonts w:ascii="Arial" w:hAnsi="Arial" w:cs="Arial"/>
          <w:i/>
          <w:iCs/>
          <w:color w:val="auto"/>
          <w:sz w:val="18"/>
          <w:szCs w:val="18"/>
        </w:rPr>
        <w:t>et al</w:t>
      </w:r>
      <w:r w:rsidRPr="00D403F5">
        <w:rPr>
          <w:rFonts w:ascii="Arial" w:hAnsi="Arial" w:cs="Arial"/>
          <w:iCs/>
          <w:color w:val="auto"/>
          <w:sz w:val="18"/>
          <w:szCs w:val="18"/>
        </w:rPr>
        <w:t xml:space="preserve">., 2016), </w:t>
      </w:r>
      <w:r w:rsidRPr="00D403F5">
        <w:rPr>
          <w:rFonts w:ascii="Arial" w:hAnsi="Arial" w:cs="Arial"/>
          <w:color w:val="auto"/>
          <w:sz w:val="18"/>
          <w:szCs w:val="18"/>
        </w:rPr>
        <w:t>white-leg shrimp (</w:t>
      </w:r>
      <w:r w:rsidRPr="00D403F5">
        <w:rPr>
          <w:rFonts w:ascii="Arial" w:hAnsi="Arial" w:cs="Arial"/>
          <w:i/>
          <w:color w:val="auto"/>
          <w:sz w:val="18"/>
          <w:szCs w:val="18"/>
        </w:rPr>
        <w:t>Penaeus vannamei</w:t>
      </w:r>
      <w:r w:rsidRPr="00D403F5">
        <w:rPr>
          <w:rFonts w:ascii="Arial" w:hAnsi="Arial" w:cs="Arial"/>
          <w:color w:val="auto"/>
          <w:sz w:val="18"/>
          <w:szCs w:val="18"/>
        </w:rPr>
        <w:t xml:space="preserve">) (Qiu </w:t>
      </w:r>
      <w:r w:rsidRPr="00D403F5">
        <w:rPr>
          <w:rFonts w:ascii="Arial" w:hAnsi="Arial" w:cs="Arial"/>
          <w:i/>
          <w:iCs/>
          <w:color w:val="auto"/>
          <w:sz w:val="18"/>
          <w:szCs w:val="18"/>
        </w:rPr>
        <w:t xml:space="preserve">et al., </w:t>
      </w:r>
      <w:r w:rsidRPr="00D403F5">
        <w:rPr>
          <w:rFonts w:ascii="Arial" w:hAnsi="Arial" w:cs="Arial"/>
          <w:color w:val="auto"/>
          <w:sz w:val="18"/>
          <w:szCs w:val="18"/>
        </w:rPr>
        <w:t xml:space="preserve">2017), </w:t>
      </w:r>
      <w:r w:rsidRPr="00D403F5">
        <w:rPr>
          <w:rFonts w:ascii="Arial" w:hAnsi="Arial" w:cs="Arial" w:hint="eastAsia"/>
          <w:color w:val="auto"/>
          <w:sz w:val="18"/>
          <w:szCs w:val="18"/>
          <w:lang w:eastAsia="zh-CN"/>
        </w:rPr>
        <w:t>g</w:t>
      </w:r>
      <w:r w:rsidRPr="00D403F5">
        <w:rPr>
          <w:rFonts w:ascii="Arial" w:hAnsi="Arial" w:cs="Arial" w:hint="eastAsia"/>
          <w:color w:val="auto"/>
          <w:sz w:val="18"/>
          <w:szCs w:val="18"/>
        </w:rPr>
        <w:t xml:space="preserve">iant freshwater prawn </w:t>
      </w:r>
      <w:r w:rsidRPr="00D403F5">
        <w:rPr>
          <w:rFonts w:ascii="Arial" w:hAnsi="Arial" w:cs="Arial"/>
          <w:color w:val="auto"/>
          <w:sz w:val="18"/>
          <w:szCs w:val="18"/>
        </w:rPr>
        <w:t>(</w:t>
      </w:r>
      <w:r w:rsidRPr="00D403F5">
        <w:rPr>
          <w:rFonts w:ascii="Arial" w:hAnsi="Arial" w:cs="Arial"/>
          <w:i/>
          <w:color w:val="auto"/>
          <w:sz w:val="18"/>
          <w:szCs w:val="18"/>
        </w:rPr>
        <w:t>Macrobrachium rosenbergii</w:t>
      </w:r>
      <w:r w:rsidRPr="00D403F5">
        <w:rPr>
          <w:rFonts w:ascii="Arial" w:hAnsi="Arial" w:cs="Arial"/>
          <w:iCs/>
          <w:color w:val="auto"/>
          <w:sz w:val="18"/>
          <w:szCs w:val="18"/>
        </w:rPr>
        <w:t>)</w:t>
      </w:r>
      <w:r w:rsidRPr="00D403F5">
        <w:rPr>
          <w:rFonts w:ascii="Arial" w:hAnsi="Arial" w:cs="Arial"/>
          <w:i/>
          <w:color w:val="auto"/>
          <w:sz w:val="18"/>
          <w:szCs w:val="18"/>
        </w:rPr>
        <w:t xml:space="preserve"> </w:t>
      </w:r>
      <w:r w:rsidRPr="00D403F5">
        <w:rPr>
          <w:rFonts w:ascii="Arial" w:hAnsi="Arial" w:cs="Arial"/>
          <w:iCs/>
          <w:color w:val="auto"/>
          <w:sz w:val="18"/>
          <w:szCs w:val="18"/>
        </w:rPr>
        <w:t xml:space="preserve">(Qiu </w:t>
      </w:r>
      <w:r w:rsidRPr="00D403F5">
        <w:rPr>
          <w:rFonts w:ascii="Arial" w:hAnsi="Arial" w:cs="Arial"/>
          <w:i/>
          <w:iCs/>
          <w:color w:val="auto"/>
          <w:sz w:val="18"/>
          <w:szCs w:val="18"/>
        </w:rPr>
        <w:t>et al</w:t>
      </w:r>
      <w:r w:rsidRPr="00D403F5">
        <w:rPr>
          <w:rFonts w:ascii="Arial" w:hAnsi="Arial" w:cs="Arial"/>
          <w:iCs/>
          <w:color w:val="auto"/>
          <w:sz w:val="18"/>
          <w:szCs w:val="18"/>
        </w:rPr>
        <w:t>., 2019a)</w:t>
      </w:r>
      <w:r w:rsidRPr="00D403F5">
        <w:rPr>
          <w:rFonts w:ascii="Arial" w:hAnsi="Arial" w:cs="Arial"/>
          <w:color w:val="auto"/>
          <w:sz w:val="18"/>
          <w:szCs w:val="18"/>
        </w:rPr>
        <w:t>, red swamp crayfish (</w:t>
      </w:r>
      <w:r w:rsidRPr="00D403F5">
        <w:rPr>
          <w:rFonts w:ascii="Arial" w:hAnsi="Arial" w:cs="Arial"/>
          <w:i/>
          <w:color w:val="auto"/>
          <w:sz w:val="18"/>
          <w:szCs w:val="18"/>
        </w:rPr>
        <w:t>Procambarus clarkia</w:t>
      </w:r>
      <w:r w:rsidRPr="00D403F5">
        <w:rPr>
          <w:rFonts w:ascii="Arial" w:hAnsi="Arial" w:cs="Arial"/>
          <w:iCs/>
          <w:color w:val="auto"/>
          <w:sz w:val="18"/>
          <w:szCs w:val="18"/>
        </w:rPr>
        <w:t>)</w:t>
      </w:r>
      <w:r w:rsidRPr="00D403F5">
        <w:rPr>
          <w:rFonts w:ascii="Arial" w:hAnsi="Arial" w:cs="Arial"/>
          <w:i/>
          <w:color w:val="auto"/>
          <w:sz w:val="18"/>
          <w:szCs w:val="18"/>
        </w:rPr>
        <w:t xml:space="preserve"> </w:t>
      </w:r>
      <w:r w:rsidRPr="00D403F5">
        <w:rPr>
          <w:rFonts w:ascii="Arial" w:hAnsi="Arial" w:cs="Arial"/>
          <w:iCs/>
          <w:color w:val="auto"/>
          <w:sz w:val="18"/>
          <w:szCs w:val="18"/>
        </w:rPr>
        <w:t xml:space="preserve">(Qiu </w:t>
      </w:r>
      <w:r w:rsidRPr="00D403F5">
        <w:rPr>
          <w:rFonts w:ascii="Arial" w:hAnsi="Arial" w:cs="Arial"/>
          <w:i/>
          <w:iCs/>
          <w:color w:val="auto"/>
          <w:sz w:val="18"/>
          <w:szCs w:val="18"/>
        </w:rPr>
        <w:t>et al</w:t>
      </w:r>
      <w:r w:rsidRPr="00D403F5">
        <w:rPr>
          <w:rFonts w:ascii="Arial" w:hAnsi="Arial" w:cs="Arial"/>
          <w:iCs/>
          <w:color w:val="auto"/>
          <w:sz w:val="18"/>
          <w:szCs w:val="18"/>
        </w:rPr>
        <w:t>., 2019a), oriental river prawn (</w:t>
      </w:r>
      <w:r w:rsidRPr="00D403F5">
        <w:rPr>
          <w:rFonts w:ascii="Arial" w:hAnsi="Arial" w:cs="Arial"/>
          <w:i/>
          <w:color w:val="auto"/>
          <w:sz w:val="18"/>
          <w:szCs w:val="18"/>
        </w:rPr>
        <w:t>Macrobrachium nipponense</w:t>
      </w:r>
      <w:r w:rsidRPr="00D403F5">
        <w:rPr>
          <w:rFonts w:ascii="Arial" w:hAnsi="Arial" w:cs="Arial"/>
          <w:iCs/>
          <w:color w:val="auto"/>
          <w:sz w:val="18"/>
          <w:szCs w:val="18"/>
        </w:rPr>
        <w:t>)</w:t>
      </w:r>
      <w:r w:rsidRPr="00D403F5">
        <w:rPr>
          <w:rFonts w:ascii="Arial" w:hAnsi="Arial" w:cs="Arial"/>
          <w:i/>
          <w:color w:val="auto"/>
          <w:sz w:val="18"/>
          <w:szCs w:val="18"/>
        </w:rPr>
        <w:t xml:space="preserve"> </w:t>
      </w:r>
      <w:r w:rsidRPr="00D403F5">
        <w:rPr>
          <w:rFonts w:ascii="Arial" w:hAnsi="Arial" w:cs="Arial"/>
          <w:iCs/>
          <w:color w:val="auto"/>
          <w:sz w:val="18"/>
          <w:szCs w:val="18"/>
        </w:rPr>
        <w:t xml:space="preserve">(Qiu </w:t>
      </w:r>
      <w:r w:rsidRPr="00D403F5">
        <w:rPr>
          <w:rFonts w:ascii="Arial" w:hAnsi="Arial" w:cs="Arial"/>
          <w:i/>
          <w:iCs/>
          <w:color w:val="auto"/>
          <w:sz w:val="18"/>
          <w:szCs w:val="18"/>
        </w:rPr>
        <w:t>et al</w:t>
      </w:r>
      <w:r w:rsidRPr="00D403F5">
        <w:rPr>
          <w:rFonts w:ascii="Arial" w:hAnsi="Arial" w:cs="Arial"/>
          <w:iCs/>
          <w:color w:val="auto"/>
          <w:sz w:val="18"/>
          <w:szCs w:val="18"/>
        </w:rPr>
        <w:t xml:space="preserve">., 2019a) </w:t>
      </w:r>
      <w:r w:rsidRPr="00D403F5">
        <w:rPr>
          <w:rFonts w:ascii="Arial" w:hAnsi="Arial" w:cs="Arial"/>
          <w:color w:val="auto"/>
          <w:sz w:val="18"/>
          <w:szCs w:val="18"/>
        </w:rPr>
        <w:t>and ridgetail white prawn (</w:t>
      </w:r>
      <w:r w:rsidRPr="00D403F5">
        <w:rPr>
          <w:rFonts w:ascii="Arial" w:hAnsi="Arial" w:cs="Arial"/>
          <w:i/>
          <w:iCs/>
          <w:color w:val="auto"/>
          <w:sz w:val="18"/>
          <w:szCs w:val="18"/>
        </w:rPr>
        <w:t>Exopalaemon carinicauda</w:t>
      </w:r>
      <w:r w:rsidRPr="00D403F5">
        <w:rPr>
          <w:rFonts w:ascii="Arial" w:hAnsi="Arial" w:cs="Arial"/>
          <w:color w:val="auto"/>
          <w:sz w:val="18"/>
          <w:szCs w:val="18"/>
        </w:rPr>
        <w:t>). Two species of crab, Chinese mitten crap (</w:t>
      </w:r>
      <w:r w:rsidRPr="00D403F5">
        <w:rPr>
          <w:rFonts w:ascii="Arial" w:hAnsi="Arial" w:cs="Arial"/>
          <w:i/>
          <w:iCs/>
          <w:color w:val="auto"/>
          <w:sz w:val="18"/>
          <w:szCs w:val="18"/>
        </w:rPr>
        <w:t>Eriocheir sinensis</w:t>
      </w:r>
      <w:r w:rsidRPr="00D403F5">
        <w:rPr>
          <w:rFonts w:ascii="Arial" w:hAnsi="Arial" w:cs="Arial"/>
          <w:color w:val="auto"/>
          <w:sz w:val="18"/>
          <w:szCs w:val="18"/>
        </w:rPr>
        <w:t>) and striped shore crab (</w:t>
      </w:r>
      <w:r w:rsidRPr="00D403F5">
        <w:rPr>
          <w:rFonts w:ascii="Arial" w:hAnsi="Arial" w:cs="Arial"/>
          <w:i/>
          <w:iCs/>
          <w:color w:val="auto"/>
          <w:sz w:val="18"/>
          <w:szCs w:val="18"/>
        </w:rPr>
        <w:t>Pachygrapsus crassipes</w:t>
      </w:r>
      <w:r w:rsidRPr="00D403F5">
        <w:rPr>
          <w:rFonts w:ascii="Arial" w:hAnsi="Arial" w:cs="Arial"/>
          <w:color w:val="auto"/>
          <w:sz w:val="18"/>
          <w:szCs w:val="18"/>
        </w:rPr>
        <w:t xml:space="preserve">) have been shown to become infected with DIV1 in experimental challenge through unnatural pathways (Pan </w:t>
      </w:r>
      <w:r w:rsidRPr="00D403F5">
        <w:rPr>
          <w:rFonts w:ascii="Arial" w:hAnsi="Arial" w:cs="Arial"/>
          <w:i/>
          <w:iCs/>
          <w:color w:val="auto"/>
          <w:sz w:val="18"/>
          <w:szCs w:val="18"/>
        </w:rPr>
        <w:t>et al</w:t>
      </w:r>
      <w:r w:rsidRPr="00D403F5">
        <w:rPr>
          <w:rFonts w:ascii="Arial" w:hAnsi="Arial" w:cs="Arial"/>
          <w:color w:val="auto"/>
          <w:sz w:val="18"/>
          <w:szCs w:val="18"/>
        </w:rPr>
        <w:t xml:space="preserve">., 2017). The Commission has recognised the potential significance of infection with DIV1 to many countries given the worldwide importance of crustacean farming and trade. At the moment, infection with DIV1 is considered an “emerging disease” and, as such, should be reported in accordance with Article 1.1.4. of the </w:t>
      </w:r>
      <w:r w:rsidRPr="00D403F5">
        <w:rPr>
          <w:rFonts w:ascii="Arial" w:hAnsi="Arial" w:cs="Arial"/>
          <w:i/>
          <w:color w:val="auto"/>
          <w:sz w:val="18"/>
          <w:szCs w:val="18"/>
        </w:rPr>
        <w:t>Aquatic Code</w:t>
      </w:r>
      <w:r w:rsidRPr="00D403F5">
        <w:rPr>
          <w:rFonts w:ascii="Arial" w:hAnsi="Arial" w:cs="Arial"/>
          <w:color w:val="auto"/>
          <w:sz w:val="18"/>
          <w:szCs w:val="18"/>
        </w:rPr>
        <w:t xml:space="preserve">. </w:t>
      </w:r>
    </w:p>
    <w:p w14:paraId="68BF336D" w14:textId="77777777" w:rsidR="00C7266C" w:rsidRPr="00D403F5" w:rsidRDefault="00C7266C" w:rsidP="00D403F5">
      <w:pPr>
        <w:pStyle w:val="1"/>
        <w:spacing w:before="0"/>
        <w:jc w:val="both"/>
        <w:rPr>
          <w:rFonts w:ascii="Arial" w:hAnsi="Arial" w:cs="Arial"/>
          <w:color w:val="auto"/>
          <w:sz w:val="18"/>
          <w:szCs w:val="18"/>
        </w:rPr>
      </w:pPr>
      <w:r w:rsidRPr="00D403F5">
        <w:rPr>
          <w:rFonts w:ascii="Arial" w:hAnsi="Arial" w:cs="Arial"/>
          <w:color w:val="auto"/>
          <w:sz w:val="18"/>
          <w:szCs w:val="18"/>
        </w:rPr>
        <w:t xml:space="preserve">Historically, </w:t>
      </w:r>
      <w:r w:rsidRPr="00D403F5">
        <w:rPr>
          <w:rFonts w:ascii="Arial" w:hAnsi="Arial" w:cs="Arial"/>
          <w:i/>
          <w:color w:val="auto"/>
          <w:sz w:val="18"/>
          <w:szCs w:val="18"/>
        </w:rPr>
        <w:t>P. vannamei</w:t>
      </w:r>
      <w:r w:rsidRPr="00D403F5">
        <w:rPr>
          <w:rFonts w:ascii="Arial" w:hAnsi="Arial" w:cs="Arial"/>
          <w:color w:val="auto"/>
          <w:sz w:val="18"/>
          <w:szCs w:val="18"/>
        </w:rPr>
        <w:t xml:space="preserve"> have been traded internationally as broodstock and postlarvae for production in new geographic regions, and shrimp.  </w:t>
      </w:r>
      <w:r w:rsidRPr="00D403F5">
        <w:rPr>
          <w:rFonts w:ascii="Arial" w:hAnsi="Arial" w:cs="Arial"/>
          <w:i/>
          <w:color w:val="auto"/>
          <w:sz w:val="18"/>
          <w:szCs w:val="18"/>
        </w:rPr>
        <w:t>P. vannamei</w:t>
      </w:r>
      <w:r w:rsidRPr="00D403F5">
        <w:rPr>
          <w:rFonts w:ascii="Arial" w:hAnsi="Arial" w:cs="Arial"/>
          <w:color w:val="auto"/>
          <w:sz w:val="18"/>
          <w:szCs w:val="18"/>
        </w:rPr>
        <w:t xml:space="preserve"> products are traded internationally, thus the potential of international spread is likely. </w:t>
      </w:r>
    </w:p>
    <w:p w14:paraId="0A24C19B" w14:textId="77777777" w:rsidR="00C7266C" w:rsidRPr="00D403F5" w:rsidRDefault="00C7266C" w:rsidP="00D403F5">
      <w:pPr>
        <w:pStyle w:val="1"/>
        <w:spacing w:before="0"/>
        <w:jc w:val="both"/>
        <w:rPr>
          <w:rFonts w:ascii="Times New Roman" w:hAnsi="Times New Roman" w:cs="Times New Roman"/>
          <w:b/>
          <w:color w:val="auto"/>
          <w:sz w:val="18"/>
          <w:szCs w:val="18"/>
          <w:u w:val="single"/>
        </w:rPr>
      </w:pPr>
      <w:r w:rsidRPr="00D403F5">
        <w:rPr>
          <w:rFonts w:ascii="Times New Roman" w:hAnsi="Times New Roman" w:cs="Times New Roman"/>
          <w:b/>
          <w:color w:val="auto"/>
          <w:sz w:val="18"/>
          <w:szCs w:val="18"/>
          <w:u w:val="single"/>
        </w:rPr>
        <w:t>Criteria for listing an aquatic animal disease (Article 1.2.2.)</w:t>
      </w:r>
    </w:p>
    <w:p w14:paraId="3F240517" w14:textId="77777777" w:rsidR="00C7266C" w:rsidRPr="00D403F5" w:rsidRDefault="00C7266C" w:rsidP="00D403F5">
      <w:pPr>
        <w:spacing w:after="0"/>
        <w:jc w:val="both"/>
        <w:rPr>
          <w:rFonts w:ascii="Arial" w:hAnsi="Arial" w:cs="Arial"/>
          <w:b/>
          <w:i/>
          <w:sz w:val="18"/>
          <w:szCs w:val="18"/>
        </w:rPr>
      </w:pPr>
      <w:r w:rsidRPr="00D403F5">
        <w:rPr>
          <w:rFonts w:ascii="Arial" w:hAnsi="Arial" w:cs="Arial"/>
          <w:b/>
          <w:sz w:val="18"/>
          <w:szCs w:val="18"/>
        </w:rPr>
        <w:t>C</w:t>
      </w:r>
      <w:r w:rsidRPr="00D403F5">
        <w:rPr>
          <w:rFonts w:ascii="Arial" w:hAnsi="Arial" w:cs="Arial"/>
          <w:b/>
          <w:color w:val="000000"/>
          <w:sz w:val="18"/>
          <w:szCs w:val="18"/>
          <w:shd w:val="clear" w:color="auto" w:fill="FAF9F8"/>
        </w:rPr>
        <w:t xml:space="preserve">riterion No. </w:t>
      </w:r>
      <w:r w:rsidRPr="00D403F5">
        <w:rPr>
          <w:rFonts w:ascii="Arial" w:hAnsi="Arial" w:cs="Arial"/>
          <w:b/>
          <w:sz w:val="18"/>
          <w:szCs w:val="18"/>
        </w:rPr>
        <w:t>1.</w:t>
      </w:r>
      <w:r w:rsidRPr="00D403F5">
        <w:rPr>
          <w:rFonts w:ascii="Arial" w:hAnsi="Arial" w:cs="Arial"/>
          <w:b/>
          <w:i/>
          <w:sz w:val="18"/>
          <w:szCs w:val="18"/>
        </w:rPr>
        <w:t xml:space="preserve"> International spread of the pathogenic agent (via aquatic animals, aquatic animal products, vectors or fomites) is likely.</w:t>
      </w:r>
    </w:p>
    <w:p w14:paraId="63E41C85" w14:textId="77777777" w:rsidR="00C7266C" w:rsidRPr="00D403F5" w:rsidRDefault="00C7266C" w:rsidP="00D403F5">
      <w:pPr>
        <w:spacing w:after="0"/>
        <w:jc w:val="both"/>
        <w:rPr>
          <w:rFonts w:ascii="Arial" w:hAnsi="Arial" w:cs="Arial"/>
          <w:i/>
          <w:sz w:val="18"/>
          <w:szCs w:val="18"/>
          <w:u w:val="single"/>
        </w:rPr>
      </w:pPr>
      <w:r w:rsidRPr="00D403F5">
        <w:rPr>
          <w:rFonts w:ascii="Arial" w:hAnsi="Arial" w:cs="Arial"/>
          <w:i/>
          <w:sz w:val="18"/>
          <w:szCs w:val="18"/>
          <w:u w:val="single"/>
        </w:rPr>
        <w:t>Assessment</w:t>
      </w:r>
    </w:p>
    <w:p w14:paraId="4126FA00"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The virus has been detected by PCR or nested PCR method in white-leg shrimp</w:t>
      </w:r>
      <w:r w:rsidRPr="00D403F5">
        <w:rPr>
          <w:rFonts w:ascii="Arial" w:hAnsi="Arial" w:cs="Arial"/>
          <w:i/>
          <w:sz w:val="18"/>
          <w:szCs w:val="18"/>
        </w:rPr>
        <w:t xml:space="preserve"> (P. vannamei), </w:t>
      </w:r>
      <w:r w:rsidRPr="00D403F5">
        <w:rPr>
          <w:rFonts w:ascii="Arial" w:hAnsi="Arial" w:cs="Arial" w:hint="eastAsia"/>
          <w:sz w:val="18"/>
          <w:szCs w:val="18"/>
          <w:lang w:eastAsia="zh-CN"/>
        </w:rPr>
        <w:t>g</w:t>
      </w:r>
      <w:r w:rsidRPr="00D403F5">
        <w:rPr>
          <w:rFonts w:ascii="Arial" w:hAnsi="Arial" w:cs="Arial" w:hint="eastAsia"/>
          <w:sz w:val="18"/>
          <w:szCs w:val="18"/>
        </w:rPr>
        <w:t xml:space="preserve">iant freshwater prawn </w:t>
      </w:r>
      <w:r w:rsidRPr="00D403F5">
        <w:rPr>
          <w:rFonts w:ascii="Arial" w:hAnsi="Arial" w:cs="Arial"/>
          <w:sz w:val="18"/>
          <w:szCs w:val="18"/>
        </w:rPr>
        <w:t>(</w:t>
      </w:r>
      <w:r w:rsidRPr="00D403F5">
        <w:rPr>
          <w:rFonts w:ascii="Arial" w:hAnsi="Arial" w:cs="Arial"/>
          <w:i/>
          <w:sz w:val="18"/>
          <w:szCs w:val="18"/>
        </w:rPr>
        <w:t>M. rosenbergii</w:t>
      </w:r>
      <w:r w:rsidRPr="00D403F5">
        <w:rPr>
          <w:rFonts w:ascii="Arial" w:hAnsi="Arial" w:cs="Arial"/>
          <w:iCs/>
          <w:sz w:val="18"/>
          <w:szCs w:val="18"/>
        </w:rPr>
        <w:t>)</w:t>
      </w:r>
      <w:r w:rsidRPr="00D403F5">
        <w:rPr>
          <w:rFonts w:ascii="Arial" w:hAnsi="Arial" w:cs="Arial"/>
          <w:sz w:val="18"/>
          <w:szCs w:val="18"/>
        </w:rPr>
        <w:t>, red swamp crayfish (</w:t>
      </w:r>
      <w:r w:rsidRPr="00D403F5">
        <w:rPr>
          <w:rFonts w:ascii="Arial" w:hAnsi="Arial" w:cs="Arial"/>
          <w:i/>
          <w:sz w:val="18"/>
          <w:szCs w:val="18"/>
        </w:rPr>
        <w:t>P. clarkia</w:t>
      </w:r>
      <w:r w:rsidRPr="00D403F5">
        <w:rPr>
          <w:rFonts w:ascii="Arial" w:hAnsi="Arial" w:cs="Arial"/>
          <w:iCs/>
          <w:sz w:val="18"/>
          <w:szCs w:val="18"/>
        </w:rPr>
        <w:t>), oriental river prawn (</w:t>
      </w:r>
      <w:r w:rsidRPr="00D403F5">
        <w:rPr>
          <w:rFonts w:ascii="Arial" w:hAnsi="Arial" w:cs="Arial"/>
          <w:i/>
          <w:sz w:val="18"/>
          <w:szCs w:val="18"/>
        </w:rPr>
        <w:t>M. nipponense</w:t>
      </w:r>
      <w:r w:rsidRPr="00D403F5">
        <w:rPr>
          <w:rFonts w:ascii="Arial" w:hAnsi="Arial" w:cs="Arial"/>
          <w:iCs/>
          <w:sz w:val="18"/>
          <w:szCs w:val="18"/>
        </w:rPr>
        <w:t>)</w:t>
      </w:r>
      <w:r w:rsidRPr="00D403F5">
        <w:rPr>
          <w:rFonts w:ascii="Arial" w:hAnsi="Arial" w:cs="Arial"/>
          <w:i/>
          <w:sz w:val="18"/>
          <w:szCs w:val="18"/>
        </w:rPr>
        <w:t xml:space="preserve"> </w:t>
      </w:r>
      <w:r w:rsidRPr="00D403F5">
        <w:rPr>
          <w:rFonts w:ascii="Arial" w:hAnsi="Arial" w:cs="Arial"/>
          <w:sz w:val="18"/>
          <w:szCs w:val="18"/>
        </w:rPr>
        <w:t>and ridgetail white prawn (</w:t>
      </w:r>
      <w:r w:rsidRPr="00D403F5">
        <w:rPr>
          <w:rFonts w:ascii="Arial" w:hAnsi="Arial" w:cs="Arial"/>
          <w:i/>
          <w:iCs/>
          <w:sz w:val="18"/>
          <w:szCs w:val="18"/>
        </w:rPr>
        <w:t>E. carinicauda</w:t>
      </w:r>
      <w:r w:rsidRPr="00D403F5">
        <w:rPr>
          <w:rFonts w:ascii="Arial" w:hAnsi="Arial" w:cs="Arial"/>
          <w:sz w:val="18"/>
          <w:szCs w:val="18"/>
        </w:rPr>
        <w:t xml:space="preserve">) in farms in China (People’s Rep. of) (Xu </w:t>
      </w:r>
      <w:r w:rsidRPr="00D403F5">
        <w:rPr>
          <w:rFonts w:ascii="Arial" w:hAnsi="Arial" w:cs="Arial"/>
          <w:i/>
          <w:iCs/>
          <w:sz w:val="18"/>
          <w:szCs w:val="18"/>
        </w:rPr>
        <w:t>et al</w:t>
      </w:r>
      <w:r w:rsidRPr="00D403F5">
        <w:rPr>
          <w:rFonts w:ascii="Arial" w:hAnsi="Arial" w:cs="Arial"/>
          <w:sz w:val="18"/>
          <w:szCs w:val="18"/>
        </w:rPr>
        <w:t xml:space="preserve">., 2016; Qiu </w:t>
      </w:r>
      <w:r w:rsidRPr="00D403F5">
        <w:rPr>
          <w:rFonts w:ascii="Arial" w:hAnsi="Arial" w:cs="Arial"/>
          <w:i/>
          <w:iCs/>
          <w:sz w:val="18"/>
          <w:szCs w:val="18"/>
        </w:rPr>
        <w:t>et al</w:t>
      </w:r>
      <w:r w:rsidRPr="00D403F5">
        <w:rPr>
          <w:rFonts w:ascii="Arial" w:hAnsi="Arial" w:cs="Arial"/>
          <w:sz w:val="18"/>
          <w:szCs w:val="18"/>
        </w:rPr>
        <w:t xml:space="preserve">., 2017a; Qiu </w:t>
      </w:r>
      <w:r w:rsidRPr="00D403F5">
        <w:rPr>
          <w:rFonts w:ascii="Arial" w:hAnsi="Arial" w:cs="Arial"/>
          <w:i/>
          <w:iCs/>
          <w:sz w:val="18"/>
          <w:szCs w:val="18"/>
        </w:rPr>
        <w:t>et al</w:t>
      </w:r>
      <w:r w:rsidRPr="00D403F5">
        <w:rPr>
          <w:rFonts w:ascii="Arial" w:hAnsi="Arial" w:cs="Arial"/>
          <w:sz w:val="18"/>
          <w:szCs w:val="18"/>
        </w:rPr>
        <w:t xml:space="preserve">., 2018b; Qiu </w:t>
      </w:r>
      <w:r w:rsidRPr="00D403F5">
        <w:rPr>
          <w:rFonts w:ascii="Arial" w:hAnsi="Arial" w:cs="Arial"/>
          <w:i/>
          <w:iCs/>
          <w:sz w:val="18"/>
          <w:szCs w:val="18"/>
        </w:rPr>
        <w:t>et al</w:t>
      </w:r>
      <w:r w:rsidRPr="00D403F5">
        <w:rPr>
          <w:rFonts w:ascii="Arial" w:hAnsi="Arial" w:cs="Arial"/>
          <w:sz w:val="18"/>
          <w:szCs w:val="18"/>
        </w:rPr>
        <w:t xml:space="preserve">., 2019b). Historically, </w:t>
      </w:r>
      <w:r w:rsidRPr="00D403F5">
        <w:rPr>
          <w:rFonts w:ascii="Arial" w:hAnsi="Arial" w:cs="Arial"/>
          <w:i/>
          <w:sz w:val="18"/>
          <w:szCs w:val="18"/>
        </w:rPr>
        <w:t>P. vannamei</w:t>
      </w:r>
      <w:r w:rsidRPr="00D403F5">
        <w:rPr>
          <w:rFonts w:ascii="Arial" w:hAnsi="Arial" w:cs="Arial"/>
          <w:sz w:val="18"/>
          <w:szCs w:val="18"/>
        </w:rPr>
        <w:t xml:space="preserve"> and other susceptible crustacean species have been traded internationally as </w:t>
      </w:r>
      <w:r w:rsidRPr="00D403F5">
        <w:rPr>
          <w:rFonts w:ascii="Arial" w:hAnsi="Arial" w:cs="Arial"/>
          <w:sz w:val="18"/>
          <w:szCs w:val="18"/>
        </w:rPr>
        <w:br/>
      </w:r>
    </w:p>
    <w:p w14:paraId="3C3D79C7" w14:textId="77777777" w:rsidR="00E22526" w:rsidRPr="00D403F5" w:rsidRDefault="00E22526" w:rsidP="00D403F5">
      <w:pPr>
        <w:pStyle w:val="2"/>
        <w:tabs>
          <w:tab w:val="clear" w:pos="360"/>
        </w:tabs>
        <w:spacing w:after="0"/>
        <w:ind w:left="0" w:firstLine="0"/>
        <w:rPr>
          <w:rFonts w:ascii="Times New Roman" w:hAnsi="Times New Roman"/>
          <w:b w:val="0"/>
          <w:sz w:val="18"/>
          <w:szCs w:val="18"/>
          <w:u w:val="single"/>
        </w:rPr>
      </w:pPr>
      <w:r w:rsidRPr="00D403F5">
        <w:rPr>
          <w:rFonts w:ascii="Times New Roman" w:hAnsi="Times New Roman"/>
          <w:b w:val="0"/>
          <w:sz w:val="18"/>
          <w:szCs w:val="18"/>
          <w:u w:val="single"/>
        </w:rPr>
        <w:br w:type="page"/>
      </w:r>
    </w:p>
    <w:p w14:paraId="0F51AA1E" w14:textId="3FD07C4D" w:rsidR="00C7266C" w:rsidRPr="00D403F5" w:rsidRDefault="00C7266C" w:rsidP="00101F2F">
      <w:pPr>
        <w:pStyle w:val="2"/>
        <w:tabs>
          <w:tab w:val="clear" w:pos="360"/>
        </w:tabs>
        <w:spacing w:after="480"/>
        <w:ind w:left="0" w:firstLine="0"/>
        <w:rPr>
          <w:rFonts w:ascii="Times New Roman" w:hAnsi="Times New Roman"/>
          <w:b w:val="0"/>
          <w:sz w:val="18"/>
          <w:szCs w:val="18"/>
        </w:rPr>
      </w:pPr>
      <w:r w:rsidRPr="00D403F5">
        <w:rPr>
          <w:rFonts w:ascii="Times New Roman" w:hAnsi="Times New Roman"/>
          <w:b w:val="0"/>
          <w:sz w:val="18"/>
          <w:szCs w:val="18"/>
          <w:u w:val="single"/>
        </w:rPr>
        <w:t>Annex 14</w:t>
      </w:r>
      <w:r w:rsidRPr="00D403F5">
        <w:rPr>
          <w:rFonts w:ascii="Times New Roman" w:hAnsi="Times New Roman"/>
          <w:b w:val="0"/>
          <w:sz w:val="18"/>
          <w:szCs w:val="18"/>
        </w:rPr>
        <w:t xml:space="preserve"> (contd)</w:t>
      </w:r>
    </w:p>
    <w:p w14:paraId="4AF80BC0"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 xml:space="preserve">broodstock and postlarvae for production in new geographic regions, and </w:t>
      </w:r>
      <w:r w:rsidRPr="00D403F5">
        <w:rPr>
          <w:rFonts w:ascii="Arial" w:hAnsi="Arial" w:cs="Arial"/>
          <w:i/>
          <w:sz w:val="18"/>
          <w:szCs w:val="18"/>
        </w:rPr>
        <w:t>P. vannamei</w:t>
      </w:r>
      <w:r w:rsidRPr="00D403F5">
        <w:rPr>
          <w:rFonts w:ascii="Arial" w:hAnsi="Arial" w:cs="Arial"/>
          <w:sz w:val="18"/>
          <w:szCs w:val="18"/>
        </w:rPr>
        <w:t xml:space="preserve"> products are traded internationally. Histopathology, visualization under TEM and </w:t>
      </w:r>
      <w:r w:rsidRPr="00D403F5">
        <w:rPr>
          <w:rFonts w:ascii="Arial" w:hAnsi="Arial" w:cs="Arial"/>
          <w:i/>
          <w:sz w:val="18"/>
          <w:szCs w:val="18"/>
        </w:rPr>
        <w:t>in-situ</w:t>
      </w:r>
      <w:r w:rsidRPr="00D403F5">
        <w:rPr>
          <w:rFonts w:ascii="Arial" w:hAnsi="Arial" w:cs="Arial"/>
          <w:sz w:val="18"/>
          <w:szCs w:val="18"/>
        </w:rPr>
        <w:t xml:space="preserve"> hybridisation provide evidence that the virus can be found in haematopoietic tissue, gills, hepatopancreas, periopods and muscle (Qiu </w:t>
      </w:r>
      <w:r w:rsidRPr="00D403F5">
        <w:rPr>
          <w:rFonts w:ascii="Arial" w:hAnsi="Arial" w:cs="Arial"/>
          <w:i/>
          <w:sz w:val="18"/>
          <w:szCs w:val="18"/>
        </w:rPr>
        <w:t>et al.</w:t>
      </w:r>
      <w:r w:rsidRPr="00D403F5">
        <w:rPr>
          <w:rFonts w:ascii="Arial" w:hAnsi="Arial" w:cs="Arial"/>
          <w:sz w:val="18"/>
          <w:szCs w:val="18"/>
        </w:rPr>
        <w:t>, 2017a). Quantitative PCR detection in experimentally infected shrimp showed that haemolymph and haemopoietic tissues had the highest DIV1 load and muscle tissues had the lowest load (Qiu</w:t>
      </w:r>
      <w:r w:rsidRPr="00D403F5">
        <w:rPr>
          <w:rFonts w:ascii="Arial" w:hAnsi="Arial" w:cs="Arial"/>
          <w:i/>
          <w:sz w:val="18"/>
          <w:szCs w:val="18"/>
        </w:rPr>
        <w:t xml:space="preserve"> et al.</w:t>
      </w:r>
      <w:r w:rsidRPr="00D403F5">
        <w:rPr>
          <w:rFonts w:ascii="Arial" w:hAnsi="Arial" w:cs="Arial"/>
          <w:sz w:val="18"/>
          <w:szCs w:val="18"/>
        </w:rPr>
        <w:t xml:space="preserve">, 2018a; Qiu </w:t>
      </w:r>
      <w:r w:rsidRPr="00D403F5">
        <w:rPr>
          <w:rFonts w:ascii="Arial" w:hAnsi="Arial" w:cs="Arial"/>
          <w:i/>
          <w:iCs/>
          <w:sz w:val="18"/>
          <w:szCs w:val="18"/>
        </w:rPr>
        <w:t>et al</w:t>
      </w:r>
      <w:r w:rsidRPr="00D403F5">
        <w:rPr>
          <w:rFonts w:ascii="Arial" w:hAnsi="Arial" w:cs="Arial"/>
          <w:sz w:val="18"/>
          <w:szCs w:val="18"/>
        </w:rPr>
        <w:t>., 2019a).</w:t>
      </w:r>
    </w:p>
    <w:p w14:paraId="28E7B033" w14:textId="77777777" w:rsidR="00C7266C" w:rsidRPr="00D403F5" w:rsidRDefault="00C7266C" w:rsidP="00D403F5">
      <w:pPr>
        <w:spacing w:after="0"/>
        <w:jc w:val="both"/>
        <w:rPr>
          <w:rFonts w:ascii="Arial" w:hAnsi="Arial" w:cs="Arial"/>
          <w:sz w:val="18"/>
          <w:szCs w:val="18"/>
          <w:u w:val="single"/>
        </w:rPr>
      </w:pPr>
      <w:r w:rsidRPr="00D403F5">
        <w:rPr>
          <w:rFonts w:ascii="Arial" w:hAnsi="Arial" w:cs="Arial"/>
          <w:i/>
          <w:sz w:val="18"/>
          <w:szCs w:val="18"/>
          <w:u w:val="single"/>
        </w:rPr>
        <w:t>Conclusion</w:t>
      </w:r>
    </w:p>
    <w:p w14:paraId="5B5F5A22" w14:textId="77777777" w:rsidR="00C7266C" w:rsidRPr="00D403F5" w:rsidRDefault="00C7266C" w:rsidP="00D403F5">
      <w:pPr>
        <w:spacing w:after="0"/>
        <w:jc w:val="both"/>
        <w:rPr>
          <w:rFonts w:ascii="Arial" w:hAnsi="Arial" w:cs="Arial"/>
          <w:b/>
          <w:sz w:val="18"/>
          <w:szCs w:val="18"/>
        </w:rPr>
      </w:pPr>
      <w:r w:rsidRPr="00D403F5">
        <w:rPr>
          <w:rFonts w:ascii="Arial" w:hAnsi="Arial" w:cs="Arial"/>
          <w:sz w:val="18"/>
          <w:szCs w:val="18"/>
        </w:rPr>
        <w:t>The criterion is met.</w:t>
      </w:r>
    </w:p>
    <w:p w14:paraId="7411C0BC" w14:textId="77777777" w:rsidR="00C7266C" w:rsidRPr="00D403F5" w:rsidRDefault="00C7266C" w:rsidP="00D403F5">
      <w:pPr>
        <w:pStyle w:val="1"/>
        <w:spacing w:before="0"/>
        <w:jc w:val="both"/>
        <w:rPr>
          <w:rFonts w:ascii="Arial" w:hAnsi="Arial" w:cs="Arial"/>
          <w:b/>
          <w:color w:val="auto"/>
          <w:sz w:val="18"/>
          <w:szCs w:val="18"/>
        </w:rPr>
      </w:pPr>
      <w:r w:rsidRPr="00D403F5">
        <w:rPr>
          <w:rFonts w:ascii="Arial" w:hAnsi="Arial" w:cs="Arial"/>
          <w:b/>
          <w:color w:val="auto"/>
          <w:sz w:val="18"/>
          <w:szCs w:val="18"/>
        </w:rPr>
        <w:t>AND</w:t>
      </w:r>
    </w:p>
    <w:p w14:paraId="681BEC33" w14:textId="77777777" w:rsidR="00C7266C" w:rsidRPr="00D403F5" w:rsidRDefault="00C7266C" w:rsidP="00D403F5">
      <w:pPr>
        <w:pStyle w:val="1"/>
        <w:spacing w:before="0"/>
        <w:jc w:val="both"/>
        <w:rPr>
          <w:rFonts w:ascii="Times New Roman" w:hAnsi="Times New Roman" w:cs="Times New Roman"/>
          <w:b/>
          <w:sz w:val="18"/>
          <w:szCs w:val="18"/>
        </w:rPr>
      </w:pPr>
      <w:bookmarkStart w:id="96" w:name="_Hlk4593324"/>
      <w:r w:rsidRPr="00D403F5">
        <w:rPr>
          <w:rFonts w:ascii="Arial" w:hAnsi="Arial" w:cs="Arial"/>
          <w:b/>
          <w:color w:val="auto"/>
          <w:sz w:val="18"/>
          <w:szCs w:val="18"/>
        </w:rPr>
        <w:t>C</w:t>
      </w:r>
      <w:r w:rsidRPr="00D403F5">
        <w:rPr>
          <w:rFonts w:ascii="Arial" w:hAnsi="Arial" w:cs="Arial"/>
          <w:b/>
          <w:color w:val="auto"/>
          <w:sz w:val="18"/>
          <w:szCs w:val="18"/>
          <w:shd w:val="clear" w:color="auto" w:fill="FAF9F8"/>
        </w:rPr>
        <w:t>riterion No. 2.</w:t>
      </w:r>
      <w:r w:rsidRPr="00D403F5">
        <w:rPr>
          <w:rFonts w:ascii="Arial" w:hAnsi="Arial" w:cs="Arial"/>
          <w:b/>
          <w:i/>
          <w:color w:val="auto"/>
          <w:sz w:val="18"/>
          <w:szCs w:val="18"/>
          <w:shd w:val="clear" w:color="auto" w:fill="FAF9F8"/>
        </w:rPr>
        <w:t xml:space="preserve"> At least one country may demonstrate country or zone freedom from the disease in susceptible aquatic animals.</w:t>
      </w:r>
    </w:p>
    <w:p w14:paraId="12413CC4" w14:textId="77777777" w:rsidR="00C7266C" w:rsidRPr="00D403F5" w:rsidRDefault="00C7266C" w:rsidP="00D403F5">
      <w:pPr>
        <w:spacing w:after="0"/>
        <w:jc w:val="both"/>
        <w:rPr>
          <w:rFonts w:ascii="Arial" w:hAnsi="Arial" w:cs="Arial"/>
          <w:sz w:val="18"/>
          <w:szCs w:val="18"/>
          <w:u w:val="single"/>
        </w:rPr>
      </w:pPr>
      <w:r w:rsidRPr="00D403F5">
        <w:rPr>
          <w:rFonts w:ascii="Arial" w:hAnsi="Arial" w:cs="Arial"/>
          <w:sz w:val="18"/>
          <w:szCs w:val="18"/>
          <w:u w:val="single"/>
        </w:rPr>
        <w:t>Assessment</w:t>
      </w:r>
    </w:p>
    <w:p w14:paraId="6BC4F5AE" w14:textId="77777777" w:rsidR="00C7266C" w:rsidRPr="00D403F5" w:rsidRDefault="00C7266C" w:rsidP="00D403F5">
      <w:pPr>
        <w:spacing w:after="0"/>
        <w:jc w:val="both"/>
        <w:rPr>
          <w:rFonts w:ascii="Arial" w:hAnsi="Arial" w:cs="Arial"/>
          <w:strike/>
          <w:sz w:val="18"/>
          <w:szCs w:val="18"/>
        </w:rPr>
      </w:pPr>
      <w:r w:rsidRPr="00D403F5">
        <w:rPr>
          <w:rFonts w:ascii="Arial" w:hAnsi="Arial" w:cs="Arial"/>
          <w:sz w:val="18"/>
          <w:szCs w:val="18"/>
        </w:rPr>
        <w:t>Currently, infection with DIV1 has only been detected in China (People’s Rep. of) but the distribution of the virus may be wider than what has been reported if mortality events have not been investigated. However, because of the broad distribution of</w:t>
      </w:r>
      <w:r w:rsidRPr="00D403F5">
        <w:rPr>
          <w:rFonts w:ascii="Arial" w:hAnsi="Arial" w:cs="Arial"/>
          <w:i/>
          <w:sz w:val="18"/>
          <w:szCs w:val="18"/>
        </w:rPr>
        <w:t> P. vannamei</w:t>
      </w:r>
      <w:r w:rsidRPr="00D403F5">
        <w:rPr>
          <w:rFonts w:ascii="Arial" w:hAnsi="Arial" w:cs="Arial"/>
          <w:sz w:val="18"/>
          <w:szCs w:val="18"/>
        </w:rPr>
        <w:t xml:space="preserve">, </w:t>
      </w:r>
      <w:r w:rsidRPr="00D403F5">
        <w:rPr>
          <w:rFonts w:ascii="Arial" w:hAnsi="Arial" w:cs="Arial"/>
          <w:i/>
          <w:sz w:val="18"/>
          <w:szCs w:val="18"/>
        </w:rPr>
        <w:t>M. rosenbergii</w:t>
      </w:r>
      <w:r w:rsidRPr="00D403F5">
        <w:rPr>
          <w:rFonts w:ascii="Arial" w:hAnsi="Arial" w:cs="Arial"/>
          <w:sz w:val="18"/>
          <w:szCs w:val="18"/>
        </w:rPr>
        <w:t xml:space="preserve">, and other susceptible species to infection with DIV1, as well as extensive trade in these species, and likely expression of clinical disease and mortality, it is expected that the disease would have been reported elsewhere if the virus had spread widely. </w:t>
      </w:r>
    </w:p>
    <w:p w14:paraId="7E12032D"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In addition, the disease has been listed as a notifiable disease by the Network of Aquaculture Centres in Asia-Pacific (NACA) in its ‘Quarterly Aquatic Animal Disease report’ (Asia and Pacific Region) since January 2019. It is, therefore, likely that the disease at least one country may demonstrate country or zone freedom from the disease in susceptible aquatic animals.</w:t>
      </w:r>
      <w:r w:rsidRPr="00D403F5" w:rsidDel="00FE59C4">
        <w:rPr>
          <w:rFonts w:ascii="Arial" w:hAnsi="Arial" w:cs="Arial"/>
          <w:sz w:val="18"/>
          <w:szCs w:val="18"/>
        </w:rPr>
        <w:t xml:space="preserve"> </w:t>
      </w:r>
    </w:p>
    <w:bookmarkEnd w:id="96"/>
    <w:p w14:paraId="1410D601" w14:textId="77777777" w:rsidR="00C7266C" w:rsidRPr="00D403F5" w:rsidRDefault="00C7266C" w:rsidP="00D403F5">
      <w:pPr>
        <w:spacing w:after="0"/>
        <w:jc w:val="both"/>
        <w:rPr>
          <w:rStyle w:val="aff2"/>
          <w:rFonts w:ascii="Arial" w:hAnsi="Arial" w:cs="Arial"/>
          <w:sz w:val="18"/>
          <w:szCs w:val="18"/>
        </w:rPr>
      </w:pPr>
      <w:r w:rsidRPr="00D403F5">
        <w:rPr>
          <w:rStyle w:val="aff2"/>
          <w:rFonts w:ascii="Arial" w:hAnsi="Arial" w:cs="Arial"/>
          <w:sz w:val="18"/>
          <w:szCs w:val="18"/>
        </w:rPr>
        <w:t>Conclusion</w:t>
      </w:r>
    </w:p>
    <w:p w14:paraId="64EE9331" w14:textId="77777777" w:rsidR="00C7266C" w:rsidRPr="00D403F5" w:rsidRDefault="00C7266C" w:rsidP="00D403F5">
      <w:pPr>
        <w:spacing w:after="0"/>
        <w:jc w:val="both"/>
        <w:rPr>
          <w:rStyle w:val="aff2"/>
          <w:rFonts w:ascii="Arial" w:hAnsi="Arial" w:cs="Arial"/>
          <w:i w:val="0"/>
          <w:sz w:val="18"/>
          <w:szCs w:val="18"/>
        </w:rPr>
      </w:pPr>
      <w:r w:rsidRPr="00D403F5">
        <w:rPr>
          <w:rStyle w:val="aff2"/>
          <w:rFonts w:ascii="Arial" w:hAnsi="Arial" w:cs="Arial"/>
          <w:sz w:val="18"/>
          <w:szCs w:val="18"/>
        </w:rPr>
        <w:t>The criterion is met.</w:t>
      </w:r>
    </w:p>
    <w:p w14:paraId="2F91ACCC" w14:textId="77777777" w:rsidR="00C7266C" w:rsidRPr="00D403F5" w:rsidRDefault="00C7266C" w:rsidP="00D403F5">
      <w:pPr>
        <w:spacing w:after="0"/>
        <w:jc w:val="both"/>
        <w:rPr>
          <w:rFonts w:ascii="Arial" w:hAnsi="Arial" w:cs="Arial"/>
          <w:b/>
          <w:sz w:val="18"/>
          <w:szCs w:val="18"/>
        </w:rPr>
      </w:pPr>
      <w:r w:rsidRPr="00D403F5">
        <w:rPr>
          <w:rFonts w:ascii="Arial" w:hAnsi="Arial" w:cs="Arial"/>
          <w:b/>
          <w:sz w:val="18"/>
          <w:szCs w:val="18"/>
        </w:rPr>
        <w:t>AND</w:t>
      </w:r>
    </w:p>
    <w:p w14:paraId="029EDA77" w14:textId="77777777" w:rsidR="00C7266C" w:rsidRPr="00D403F5" w:rsidRDefault="00C7266C" w:rsidP="00D403F5">
      <w:pPr>
        <w:spacing w:after="0"/>
        <w:jc w:val="both"/>
        <w:rPr>
          <w:rFonts w:ascii="Arial" w:hAnsi="Arial" w:cs="Arial"/>
          <w:b/>
          <w:i/>
          <w:sz w:val="18"/>
          <w:szCs w:val="18"/>
        </w:rPr>
      </w:pPr>
      <w:r w:rsidRPr="00D403F5">
        <w:rPr>
          <w:rFonts w:ascii="Arial" w:hAnsi="Arial" w:cs="Arial"/>
          <w:b/>
          <w:sz w:val="18"/>
          <w:szCs w:val="18"/>
        </w:rPr>
        <w:t>C</w:t>
      </w:r>
      <w:r w:rsidRPr="00D403F5">
        <w:rPr>
          <w:rFonts w:ascii="Arial" w:hAnsi="Arial" w:cs="Arial"/>
          <w:b/>
          <w:sz w:val="18"/>
          <w:szCs w:val="18"/>
          <w:shd w:val="clear" w:color="auto" w:fill="FAF9F8"/>
        </w:rPr>
        <w:t xml:space="preserve">riterion No. </w:t>
      </w:r>
      <w:r w:rsidRPr="00D403F5">
        <w:rPr>
          <w:rFonts w:ascii="Arial" w:hAnsi="Arial" w:cs="Arial"/>
          <w:b/>
          <w:i/>
          <w:sz w:val="18"/>
          <w:szCs w:val="18"/>
        </w:rPr>
        <w:t>3. A precise case definition is available, and a reliable means of detection and diagnosis exists.</w:t>
      </w:r>
    </w:p>
    <w:p w14:paraId="232FBE3B" w14:textId="77777777" w:rsidR="00C7266C" w:rsidRPr="00D403F5" w:rsidRDefault="00C7266C" w:rsidP="00D403F5">
      <w:pPr>
        <w:pStyle w:val="3"/>
        <w:spacing w:before="0"/>
        <w:ind w:left="0" w:firstLine="0"/>
        <w:jc w:val="both"/>
        <w:rPr>
          <w:rFonts w:ascii="Arial" w:hAnsi="Arial" w:cs="Arial"/>
          <w:i/>
          <w:color w:val="auto"/>
          <w:sz w:val="18"/>
          <w:szCs w:val="18"/>
          <w:u w:val="single"/>
        </w:rPr>
      </w:pPr>
      <w:r w:rsidRPr="00D403F5">
        <w:rPr>
          <w:rFonts w:ascii="Arial" w:hAnsi="Arial" w:cs="Arial"/>
          <w:i/>
          <w:color w:val="auto"/>
          <w:sz w:val="18"/>
          <w:szCs w:val="18"/>
          <w:u w:val="single"/>
        </w:rPr>
        <w:t>Assessment</w:t>
      </w:r>
    </w:p>
    <w:p w14:paraId="79A19D59"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 xml:space="preserve">Infected </w:t>
      </w:r>
      <w:r w:rsidRPr="00D403F5">
        <w:rPr>
          <w:rFonts w:ascii="Arial" w:hAnsi="Arial" w:cs="Arial"/>
          <w:i/>
          <w:sz w:val="18"/>
          <w:szCs w:val="18"/>
        </w:rPr>
        <w:t>P. vannamei</w:t>
      </w:r>
      <w:r w:rsidRPr="00D403F5">
        <w:rPr>
          <w:rFonts w:ascii="Arial" w:hAnsi="Arial" w:cs="Arial"/>
          <w:sz w:val="18"/>
          <w:szCs w:val="18"/>
        </w:rPr>
        <w:t xml:space="preserve"> exhibit empty stomach and guts in all diseased shrimp, slight loss of colour on the surface and in the area of the hepatopancreas, and soft shell. In some individuals slight reddening of the body is observed. Moribund shrimp lose their swimming ability and sink to the bottom of the pond (Qiu </w:t>
      </w:r>
      <w:r w:rsidRPr="00D403F5">
        <w:rPr>
          <w:rFonts w:ascii="Arial" w:hAnsi="Arial" w:cs="Arial"/>
          <w:i/>
          <w:iCs/>
          <w:sz w:val="18"/>
          <w:szCs w:val="18"/>
        </w:rPr>
        <w:t>et al</w:t>
      </w:r>
      <w:r w:rsidRPr="00D403F5">
        <w:rPr>
          <w:rFonts w:ascii="Arial" w:hAnsi="Arial" w:cs="Arial"/>
          <w:sz w:val="18"/>
          <w:szCs w:val="18"/>
        </w:rPr>
        <w:t xml:space="preserve">., 2017a). Diseased </w:t>
      </w:r>
      <w:r w:rsidRPr="00D403F5">
        <w:rPr>
          <w:rFonts w:ascii="Arial" w:hAnsi="Arial" w:cs="Arial"/>
          <w:i/>
          <w:sz w:val="18"/>
          <w:szCs w:val="18"/>
        </w:rPr>
        <w:t>M. rosenbergii</w:t>
      </w:r>
      <w:r w:rsidRPr="00D403F5">
        <w:rPr>
          <w:rFonts w:ascii="Arial" w:hAnsi="Arial" w:cs="Arial"/>
          <w:sz w:val="18"/>
          <w:szCs w:val="18"/>
        </w:rPr>
        <w:t xml:space="preserve"> exhibit a white triangle inside the carapace at the base of rostrum which is the location of hematopoietic tissue (Qiu </w:t>
      </w:r>
      <w:r w:rsidRPr="00D403F5">
        <w:rPr>
          <w:rFonts w:ascii="Arial" w:hAnsi="Arial" w:cs="Arial"/>
          <w:i/>
          <w:iCs/>
          <w:sz w:val="18"/>
          <w:szCs w:val="18"/>
        </w:rPr>
        <w:t>et al</w:t>
      </w:r>
      <w:r w:rsidRPr="00D403F5">
        <w:rPr>
          <w:rFonts w:ascii="Arial" w:hAnsi="Arial" w:cs="Arial"/>
          <w:sz w:val="18"/>
          <w:szCs w:val="18"/>
        </w:rPr>
        <w:t xml:space="preserve">., 2019a). </w:t>
      </w:r>
    </w:p>
    <w:p w14:paraId="481E4DDA"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 xml:space="preserve">To date, a nested PCR method (Qiu </w:t>
      </w:r>
      <w:r w:rsidRPr="00D403F5">
        <w:rPr>
          <w:rFonts w:ascii="Arial" w:hAnsi="Arial" w:cs="Arial"/>
          <w:i/>
          <w:sz w:val="18"/>
          <w:szCs w:val="18"/>
        </w:rPr>
        <w:t>et al.,</w:t>
      </w:r>
      <w:r w:rsidRPr="00D403F5">
        <w:rPr>
          <w:rFonts w:ascii="Arial" w:hAnsi="Arial" w:cs="Arial"/>
          <w:sz w:val="18"/>
          <w:szCs w:val="18"/>
        </w:rPr>
        <w:t xml:space="preserve"> 2017a), a TaqMan probe based real-time PCR (TaqMan qPCR) method (Qiu </w:t>
      </w:r>
      <w:r w:rsidRPr="00D403F5">
        <w:rPr>
          <w:rFonts w:ascii="Arial" w:hAnsi="Arial" w:cs="Arial"/>
          <w:i/>
          <w:sz w:val="18"/>
          <w:szCs w:val="18"/>
        </w:rPr>
        <w:t>et al.,</w:t>
      </w:r>
      <w:r w:rsidRPr="00D403F5">
        <w:rPr>
          <w:rFonts w:ascii="Arial" w:hAnsi="Arial" w:cs="Arial"/>
          <w:sz w:val="18"/>
          <w:szCs w:val="18"/>
        </w:rPr>
        <w:t xml:space="preserve"> 2018a), and </w:t>
      </w:r>
      <w:r w:rsidRPr="00D403F5">
        <w:rPr>
          <w:rFonts w:ascii="Arial" w:hAnsi="Arial" w:cs="Arial"/>
          <w:i/>
          <w:sz w:val="18"/>
          <w:szCs w:val="18"/>
        </w:rPr>
        <w:t>in situ</w:t>
      </w:r>
      <w:r w:rsidRPr="00D403F5">
        <w:rPr>
          <w:rFonts w:ascii="Arial" w:hAnsi="Arial" w:cs="Arial"/>
          <w:sz w:val="18"/>
          <w:szCs w:val="18"/>
        </w:rPr>
        <w:t xml:space="preserve"> hybridization method (Qiu </w:t>
      </w:r>
      <w:r w:rsidRPr="00D403F5">
        <w:rPr>
          <w:rFonts w:ascii="Arial" w:hAnsi="Arial" w:cs="Arial"/>
          <w:i/>
          <w:sz w:val="18"/>
          <w:szCs w:val="18"/>
        </w:rPr>
        <w:t>et al.,</w:t>
      </w:r>
      <w:r w:rsidRPr="00D403F5">
        <w:rPr>
          <w:rFonts w:ascii="Arial" w:hAnsi="Arial" w:cs="Arial"/>
          <w:sz w:val="18"/>
          <w:szCs w:val="18"/>
        </w:rPr>
        <w:t xml:space="preserve"> 2017a) and an </w:t>
      </w:r>
      <w:r w:rsidRPr="00D403F5">
        <w:rPr>
          <w:rFonts w:ascii="Arial" w:hAnsi="Arial" w:cs="Arial"/>
          <w:i/>
          <w:iCs/>
          <w:sz w:val="18"/>
          <w:szCs w:val="18"/>
        </w:rPr>
        <w:t>in situ</w:t>
      </w:r>
      <w:r w:rsidRPr="00D403F5">
        <w:rPr>
          <w:rFonts w:ascii="Arial" w:hAnsi="Arial" w:cs="Arial"/>
          <w:sz w:val="18"/>
          <w:szCs w:val="18"/>
        </w:rPr>
        <w:t xml:space="preserve"> DIG-labeling-loop-mediated DNA amplification (ISDL) method (Chen </w:t>
      </w:r>
      <w:r w:rsidRPr="00D403F5">
        <w:rPr>
          <w:rFonts w:ascii="Arial" w:hAnsi="Arial" w:cs="Arial"/>
          <w:i/>
          <w:iCs/>
          <w:sz w:val="18"/>
          <w:szCs w:val="18"/>
        </w:rPr>
        <w:t>et al</w:t>
      </w:r>
      <w:r w:rsidRPr="00D403F5">
        <w:rPr>
          <w:rFonts w:ascii="Arial" w:hAnsi="Arial" w:cs="Arial"/>
          <w:sz w:val="18"/>
          <w:szCs w:val="18"/>
        </w:rPr>
        <w:t>., 2019) have been published and are available for DIV1 detection. The PCR primers and TaqMan probe have been shown to be specific for DIV1 (no cross-reaction with other shrimp pathogens), with a low detection limit (4 copies per reaction) and high sensitivity and specificity (95.3% and 99.2%, respectively). Validation of the nested PCR method and TaqMan probe based real-time PCR method has occurred.</w:t>
      </w:r>
    </w:p>
    <w:p w14:paraId="4D9D7B09"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br w:type="page"/>
      </w:r>
    </w:p>
    <w:p w14:paraId="2D85F61E" w14:textId="77777777" w:rsidR="00C7266C" w:rsidRPr="00D403F5" w:rsidRDefault="00C7266C" w:rsidP="00101F2F">
      <w:pPr>
        <w:pStyle w:val="2"/>
        <w:tabs>
          <w:tab w:val="clear" w:pos="360"/>
        </w:tabs>
        <w:spacing w:after="480"/>
        <w:ind w:left="0" w:firstLine="0"/>
        <w:jc w:val="right"/>
        <w:rPr>
          <w:rFonts w:ascii="Times New Roman" w:hAnsi="Times New Roman"/>
          <w:b w:val="0"/>
          <w:sz w:val="18"/>
          <w:szCs w:val="18"/>
        </w:rPr>
      </w:pPr>
      <w:r w:rsidRPr="00D403F5">
        <w:rPr>
          <w:rFonts w:ascii="Times New Roman" w:hAnsi="Times New Roman"/>
          <w:b w:val="0"/>
          <w:sz w:val="18"/>
          <w:szCs w:val="18"/>
          <w:u w:val="single"/>
        </w:rPr>
        <w:t>Annex 14</w:t>
      </w:r>
      <w:r w:rsidRPr="00D403F5">
        <w:rPr>
          <w:rFonts w:ascii="Times New Roman" w:hAnsi="Times New Roman"/>
          <w:b w:val="0"/>
          <w:sz w:val="18"/>
          <w:szCs w:val="18"/>
        </w:rPr>
        <w:t xml:space="preserve"> (contd)</w:t>
      </w:r>
    </w:p>
    <w:p w14:paraId="073F9B51"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 xml:space="preserve">It can be concluded that a) reliable means of detection and diagnosis is available, and b) a precise case definition based on clinical signs and the use of the available diagnostic tests can be developed. </w:t>
      </w:r>
    </w:p>
    <w:p w14:paraId="2E3631AB" w14:textId="77777777" w:rsidR="00C7266C" w:rsidRPr="00D403F5" w:rsidRDefault="00C7266C" w:rsidP="00D403F5">
      <w:pPr>
        <w:pStyle w:val="3"/>
        <w:spacing w:before="0"/>
        <w:ind w:left="0" w:firstLine="0"/>
        <w:jc w:val="both"/>
        <w:rPr>
          <w:rFonts w:ascii="Arial" w:hAnsi="Arial" w:cs="Arial"/>
          <w:color w:val="auto"/>
          <w:sz w:val="18"/>
          <w:szCs w:val="18"/>
        </w:rPr>
      </w:pPr>
      <w:r w:rsidRPr="00D403F5">
        <w:rPr>
          <w:rFonts w:ascii="Arial" w:hAnsi="Arial" w:cs="Arial"/>
          <w:i/>
          <w:color w:val="auto"/>
          <w:sz w:val="18"/>
          <w:szCs w:val="18"/>
          <w:u w:val="single"/>
        </w:rPr>
        <w:t>Conclusion</w:t>
      </w:r>
      <w:r w:rsidRPr="00D403F5">
        <w:rPr>
          <w:rFonts w:ascii="Arial" w:hAnsi="Arial" w:cs="Arial"/>
          <w:color w:val="auto"/>
          <w:sz w:val="18"/>
          <w:szCs w:val="18"/>
          <w:u w:val="single"/>
        </w:rPr>
        <w:t>:</w:t>
      </w:r>
      <w:r w:rsidRPr="00D403F5">
        <w:rPr>
          <w:rFonts w:ascii="Arial" w:hAnsi="Arial" w:cs="Arial"/>
          <w:color w:val="auto"/>
          <w:sz w:val="18"/>
          <w:szCs w:val="18"/>
        </w:rPr>
        <w:t xml:space="preserve"> </w:t>
      </w:r>
    </w:p>
    <w:p w14:paraId="701C2C48" w14:textId="77777777" w:rsidR="00C7266C" w:rsidRPr="00D403F5" w:rsidRDefault="00C7266C" w:rsidP="00D403F5">
      <w:pPr>
        <w:pStyle w:val="3"/>
        <w:spacing w:before="0"/>
        <w:ind w:left="0" w:firstLine="0"/>
        <w:jc w:val="both"/>
        <w:rPr>
          <w:rFonts w:ascii="Arial" w:hAnsi="Arial" w:cs="Arial"/>
          <w:color w:val="auto"/>
          <w:sz w:val="18"/>
          <w:szCs w:val="18"/>
        </w:rPr>
      </w:pPr>
      <w:r w:rsidRPr="00D403F5">
        <w:rPr>
          <w:rFonts w:ascii="Arial" w:hAnsi="Arial" w:cs="Arial"/>
          <w:color w:val="auto"/>
          <w:sz w:val="18"/>
          <w:szCs w:val="18"/>
        </w:rPr>
        <w:t xml:space="preserve">Criterion is met. </w:t>
      </w:r>
    </w:p>
    <w:p w14:paraId="03DBCB15" w14:textId="77777777" w:rsidR="00C7266C" w:rsidRPr="00D403F5" w:rsidRDefault="00C7266C" w:rsidP="00D403F5">
      <w:pPr>
        <w:pStyle w:val="1"/>
        <w:spacing w:before="0"/>
        <w:jc w:val="both"/>
        <w:rPr>
          <w:rFonts w:ascii="Arial" w:hAnsi="Arial" w:cs="Arial"/>
          <w:b/>
          <w:color w:val="auto"/>
          <w:sz w:val="18"/>
          <w:szCs w:val="18"/>
        </w:rPr>
      </w:pPr>
      <w:r w:rsidRPr="00D403F5">
        <w:rPr>
          <w:rFonts w:ascii="Arial" w:hAnsi="Arial" w:cs="Arial"/>
          <w:b/>
          <w:color w:val="auto"/>
          <w:sz w:val="18"/>
          <w:szCs w:val="18"/>
        </w:rPr>
        <w:t xml:space="preserve">AND </w:t>
      </w:r>
    </w:p>
    <w:p w14:paraId="220AA0F3" w14:textId="77777777" w:rsidR="00C7266C" w:rsidRPr="00D403F5" w:rsidRDefault="00C7266C" w:rsidP="00D403F5">
      <w:pPr>
        <w:spacing w:after="0"/>
        <w:jc w:val="both"/>
        <w:rPr>
          <w:rFonts w:ascii="Arial" w:hAnsi="Arial" w:cs="Arial"/>
          <w:b/>
          <w:i/>
          <w:sz w:val="18"/>
          <w:szCs w:val="18"/>
          <w:shd w:val="clear" w:color="auto" w:fill="FAF9F8"/>
        </w:rPr>
      </w:pPr>
      <w:r w:rsidRPr="00D403F5">
        <w:rPr>
          <w:rFonts w:ascii="Arial" w:hAnsi="Arial" w:cs="Arial"/>
          <w:b/>
          <w:sz w:val="18"/>
          <w:szCs w:val="18"/>
          <w:shd w:val="clear" w:color="auto" w:fill="FAF9F8"/>
        </w:rPr>
        <w:t xml:space="preserve">Criterion No. 4. a. </w:t>
      </w:r>
      <w:r w:rsidRPr="00D403F5">
        <w:rPr>
          <w:rFonts w:ascii="Arial" w:hAnsi="Arial" w:cs="Arial"/>
          <w:b/>
          <w:i/>
          <w:sz w:val="18"/>
          <w:szCs w:val="18"/>
        </w:rPr>
        <w:t xml:space="preserve"> </w:t>
      </w:r>
      <w:r w:rsidRPr="00D403F5">
        <w:rPr>
          <w:rFonts w:ascii="Arial" w:hAnsi="Arial" w:cs="Arial"/>
          <w:b/>
          <w:i/>
          <w:sz w:val="18"/>
          <w:szCs w:val="18"/>
          <w:shd w:val="clear" w:color="auto" w:fill="FAF9F8"/>
        </w:rPr>
        <w:t>Natural transmission to humans has been proven, and human infection is associated with severe consequences.</w:t>
      </w:r>
    </w:p>
    <w:p w14:paraId="0CCD4639" w14:textId="77777777" w:rsidR="00C7266C" w:rsidRPr="00D403F5" w:rsidRDefault="00C7266C" w:rsidP="00D403F5">
      <w:pPr>
        <w:spacing w:after="0"/>
        <w:jc w:val="both"/>
        <w:rPr>
          <w:rFonts w:ascii="Arial" w:hAnsi="Arial" w:cs="Arial"/>
          <w:i/>
          <w:sz w:val="18"/>
          <w:szCs w:val="18"/>
          <w:u w:val="single"/>
        </w:rPr>
      </w:pPr>
      <w:r w:rsidRPr="00D403F5">
        <w:rPr>
          <w:rFonts w:ascii="Arial" w:hAnsi="Arial" w:cs="Arial"/>
          <w:i/>
          <w:sz w:val="18"/>
          <w:szCs w:val="18"/>
          <w:u w:val="single"/>
        </w:rPr>
        <w:t>Assessment:</w:t>
      </w:r>
    </w:p>
    <w:p w14:paraId="3A0BB82C" w14:textId="77777777" w:rsidR="00C7266C" w:rsidRPr="00D403F5" w:rsidRDefault="00C7266C" w:rsidP="00D403F5">
      <w:pPr>
        <w:spacing w:after="0"/>
        <w:jc w:val="both"/>
        <w:rPr>
          <w:rFonts w:ascii="Arial" w:hAnsi="Arial" w:cs="Arial"/>
          <w:i/>
          <w:sz w:val="18"/>
          <w:szCs w:val="18"/>
          <w:u w:val="single"/>
        </w:rPr>
      </w:pPr>
      <w:r w:rsidRPr="00D403F5">
        <w:rPr>
          <w:rFonts w:ascii="Arial" w:hAnsi="Arial" w:cs="Arial"/>
          <w:sz w:val="18"/>
          <w:szCs w:val="18"/>
        </w:rPr>
        <w:t>No available data to assess.</w:t>
      </w:r>
    </w:p>
    <w:p w14:paraId="6EA5440D" w14:textId="77777777" w:rsidR="00C7266C" w:rsidRPr="00D403F5" w:rsidRDefault="00C7266C" w:rsidP="00D403F5">
      <w:pPr>
        <w:spacing w:after="0"/>
        <w:jc w:val="both"/>
        <w:rPr>
          <w:rStyle w:val="aff2"/>
          <w:rFonts w:ascii="Arial" w:hAnsi="Arial" w:cs="Arial"/>
          <w:sz w:val="18"/>
          <w:szCs w:val="18"/>
        </w:rPr>
      </w:pPr>
      <w:r w:rsidRPr="00D403F5">
        <w:rPr>
          <w:rStyle w:val="aff2"/>
          <w:rFonts w:ascii="Arial" w:hAnsi="Arial" w:cs="Arial"/>
          <w:sz w:val="18"/>
          <w:szCs w:val="18"/>
        </w:rPr>
        <w:t>Conclusion</w:t>
      </w:r>
    </w:p>
    <w:p w14:paraId="55309F48"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 xml:space="preserve">Criterion not applicable. </w:t>
      </w:r>
    </w:p>
    <w:p w14:paraId="455B7109" w14:textId="77777777" w:rsidR="00C7266C" w:rsidRPr="00D403F5" w:rsidRDefault="00C7266C" w:rsidP="00D403F5">
      <w:pPr>
        <w:spacing w:after="0"/>
        <w:jc w:val="both"/>
        <w:rPr>
          <w:rFonts w:ascii="Arial" w:hAnsi="Arial" w:cs="Arial"/>
          <w:b/>
          <w:sz w:val="18"/>
          <w:szCs w:val="18"/>
        </w:rPr>
      </w:pPr>
      <w:r w:rsidRPr="00D403F5">
        <w:rPr>
          <w:rFonts w:ascii="Arial" w:hAnsi="Arial" w:cs="Arial"/>
          <w:b/>
          <w:sz w:val="18"/>
          <w:szCs w:val="18"/>
        </w:rPr>
        <w:t>OR</w:t>
      </w:r>
    </w:p>
    <w:p w14:paraId="600C44FA" w14:textId="77777777" w:rsidR="00C7266C" w:rsidRPr="00D403F5" w:rsidRDefault="00C7266C" w:rsidP="00D403F5">
      <w:pPr>
        <w:tabs>
          <w:tab w:val="left" w:pos="450"/>
        </w:tabs>
        <w:spacing w:after="0"/>
        <w:jc w:val="both"/>
        <w:rPr>
          <w:rFonts w:ascii="Arial" w:hAnsi="Arial" w:cs="Arial"/>
          <w:b/>
          <w:i/>
          <w:sz w:val="18"/>
          <w:szCs w:val="18"/>
        </w:rPr>
      </w:pPr>
      <w:r w:rsidRPr="00D403F5">
        <w:rPr>
          <w:rFonts w:ascii="Arial" w:hAnsi="Arial" w:cs="Arial"/>
          <w:b/>
          <w:sz w:val="18"/>
          <w:szCs w:val="18"/>
        </w:rPr>
        <w:t>C</w:t>
      </w:r>
      <w:r w:rsidRPr="00D403F5">
        <w:rPr>
          <w:rFonts w:ascii="Arial" w:hAnsi="Arial" w:cs="Arial"/>
          <w:b/>
          <w:sz w:val="18"/>
          <w:szCs w:val="18"/>
          <w:shd w:val="clear" w:color="auto" w:fill="FAF9F8"/>
        </w:rPr>
        <w:t xml:space="preserve">riterion No. </w:t>
      </w:r>
      <w:r w:rsidRPr="00D403F5">
        <w:rPr>
          <w:rFonts w:ascii="Arial" w:hAnsi="Arial" w:cs="Arial"/>
          <w:b/>
          <w:sz w:val="18"/>
          <w:szCs w:val="18"/>
        </w:rPr>
        <w:t>4</w:t>
      </w:r>
      <w:r w:rsidRPr="00D403F5">
        <w:rPr>
          <w:rFonts w:ascii="Arial" w:hAnsi="Arial" w:cs="Arial"/>
          <w:b/>
          <w:i/>
          <w:sz w:val="18"/>
          <w:szCs w:val="18"/>
        </w:rPr>
        <w:t>.</w:t>
      </w:r>
      <w:r w:rsidRPr="00D403F5">
        <w:rPr>
          <w:rFonts w:ascii="Arial" w:hAnsi="Arial" w:cs="Arial"/>
          <w:b/>
          <w:sz w:val="18"/>
          <w:szCs w:val="18"/>
        </w:rPr>
        <w:t>b</w:t>
      </w:r>
      <w:r w:rsidRPr="00D403F5">
        <w:rPr>
          <w:rFonts w:ascii="Arial" w:hAnsi="Arial" w:cs="Arial"/>
          <w:b/>
          <w:i/>
          <w:sz w:val="18"/>
          <w:szCs w:val="18"/>
        </w:rPr>
        <w:t>.  The disease has been shown to affect the health of cultured aquatic animals at the level of a country or a zone resulting in significant consequences e.g. production losses, morbidity or mortality at a zone or country level.</w:t>
      </w:r>
    </w:p>
    <w:p w14:paraId="51BF1B70" w14:textId="77777777" w:rsidR="00C7266C" w:rsidRPr="00D403F5" w:rsidRDefault="00C7266C" w:rsidP="00D403F5">
      <w:pPr>
        <w:spacing w:after="0"/>
        <w:jc w:val="both"/>
        <w:rPr>
          <w:rFonts w:ascii="Arial" w:hAnsi="Arial" w:cs="Arial"/>
          <w:sz w:val="18"/>
          <w:szCs w:val="18"/>
        </w:rPr>
      </w:pPr>
      <w:r w:rsidRPr="00D403F5">
        <w:rPr>
          <w:rFonts w:ascii="Arial" w:hAnsi="Arial" w:cs="Arial"/>
          <w:i/>
          <w:sz w:val="18"/>
          <w:szCs w:val="18"/>
          <w:u w:val="single"/>
        </w:rPr>
        <w:t>Assessment</w:t>
      </w:r>
    </w:p>
    <w:p w14:paraId="2B8C71C1"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 xml:space="preserve">High mortality (&gt;80%) have been observed in affected </w:t>
      </w:r>
      <w:r w:rsidRPr="00D403F5">
        <w:rPr>
          <w:rFonts w:ascii="Arial" w:hAnsi="Arial" w:cs="Arial"/>
          <w:i/>
          <w:sz w:val="18"/>
          <w:szCs w:val="18"/>
        </w:rPr>
        <w:t>P. vannamei</w:t>
      </w:r>
      <w:r w:rsidRPr="00D403F5">
        <w:rPr>
          <w:rFonts w:ascii="Arial" w:hAnsi="Arial" w:cs="Arial"/>
          <w:sz w:val="18"/>
          <w:szCs w:val="18"/>
        </w:rPr>
        <w:t xml:space="preserve"> and </w:t>
      </w:r>
      <w:r w:rsidRPr="00D403F5">
        <w:rPr>
          <w:rFonts w:ascii="Arial" w:hAnsi="Arial" w:cs="Arial"/>
          <w:i/>
          <w:sz w:val="18"/>
          <w:szCs w:val="18"/>
        </w:rPr>
        <w:t>M. rosenbergii</w:t>
      </w:r>
      <w:r w:rsidRPr="00D403F5">
        <w:rPr>
          <w:rFonts w:ascii="Arial" w:hAnsi="Arial" w:cs="Arial"/>
          <w:sz w:val="18"/>
          <w:szCs w:val="18"/>
        </w:rPr>
        <w:t xml:space="preserve"> populations in farms in China (People’s Rep. of) (Qiu </w:t>
      </w:r>
      <w:r w:rsidRPr="00D403F5">
        <w:rPr>
          <w:rFonts w:ascii="Arial" w:hAnsi="Arial" w:cs="Arial"/>
          <w:i/>
          <w:iCs/>
          <w:sz w:val="18"/>
          <w:szCs w:val="18"/>
        </w:rPr>
        <w:t>et al</w:t>
      </w:r>
      <w:r w:rsidRPr="00D403F5">
        <w:rPr>
          <w:rFonts w:ascii="Arial" w:hAnsi="Arial" w:cs="Arial"/>
          <w:sz w:val="18"/>
          <w:szCs w:val="18"/>
        </w:rPr>
        <w:t xml:space="preserve">., 2017a; Qiu </w:t>
      </w:r>
      <w:r w:rsidRPr="00D403F5">
        <w:rPr>
          <w:rFonts w:ascii="Arial" w:hAnsi="Arial" w:cs="Arial"/>
          <w:i/>
          <w:iCs/>
          <w:sz w:val="18"/>
          <w:szCs w:val="18"/>
        </w:rPr>
        <w:t>et al</w:t>
      </w:r>
      <w:r w:rsidRPr="00D403F5">
        <w:rPr>
          <w:rFonts w:ascii="Arial" w:hAnsi="Arial" w:cs="Arial"/>
          <w:sz w:val="18"/>
          <w:szCs w:val="18"/>
        </w:rPr>
        <w:t>., 2019a). Experimental infection trials mimicking the natural infection pathway (</w:t>
      </w:r>
      <w:r w:rsidRPr="00D403F5">
        <w:rPr>
          <w:rFonts w:ascii="Arial" w:hAnsi="Arial" w:cs="Arial"/>
          <w:i/>
          <w:sz w:val="18"/>
          <w:szCs w:val="18"/>
        </w:rPr>
        <w:t>per os</w:t>
      </w:r>
      <w:r w:rsidRPr="00D403F5">
        <w:rPr>
          <w:rFonts w:ascii="Arial" w:hAnsi="Arial" w:cs="Arial"/>
          <w:sz w:val="18"/>
          <w:szCs w:val="18"/>
        </w:rPr>
        <w:t xml:space="preserve"> and reverse garvage) in </w:t>
      </w:r>
      <w:r w:rsidRPr="00D403F5">
        <w:rPr>
          <w:rFonts w:ascii="Arial" w:hAnsi="Arial" w:cs="Arial"/>
          <w:i/>
          <w:sz w:val="18"/>
          <w:szCs w:val="18"/>
        </w:rPr>
        <w:t>P. vannamei</w:t>
      </w:r>
      <w:r w:rsidRPr="00D403F5">
        <w:rPr>
          <w:rFonts w:ascii="Arial" w:hAnsi="Arial" w:cs="Arial"/>
          <w:sz w:val="18"/>
          <w:szCs w:val="18"/>
        </w:rPr>
        <w:t xml:space="preserve"> has shown 100% cumulative mortality within 2 weeks (Qiu </w:t>
      </w:r>
      <w:r w:rsidRPr="00D403F5">
        <w:rPr>
          <w:rFonts w:ascii="Arial" w:hAnsi="Arial" w:cs="Arial"/>
          <w:i/>
          <w:sz w:val="18"/>
          <w:szCs w:val="18"/>
        </w:rPr>
        <w:t>et al.,</w:t>
      </w:r>
      <w:r w:rsidRPr="00D403F5">
        <w:rPr>
          <w:rFonts w:ascii="Arial" w:hAnsi="Arial" w:cs="Arial"/>
          <w:sz w:val="18"/>
          <w:szCs w:val="18"/>
        </w:rPr>
        <w:t xml:space="preserve"> 2017a). Injection challenges in </w:t>
      </w:r>
      <w:r w:rsidRPr="00D403F5">
        <w:rPr>
          <w:rFonts w:ascii="Arial" w:hAnsi="Arial" w:cs="Arial"/>
          <w:i/>
          <w:sz w:val="18"/>
          <w:szCs w:val="18"/>
        </w:rPr>
        <w:t>P. vannamei</w:t>
      </w:r>
      <w:r w:rsidRPr="00D403F5">
        <w:rPr>
          <w:rFonts w:ascii="Arial" w:hAnsi="Arial" w:cs="Arial"/>
          <w:sz w:val="18"/>
          <w:szCs w:val="18"/>
        </w:rPr>
        <w:t xml:space="preserve">, </w:t>
      </w:r>
      <w:r w:rsidRPr="00D403F5">
        <w:rPr>
          <w:rFonts w:ascii="Arial" w:hAnsi="Arial" w:cs="Arial"/>
          <w:i/>
          <w:sz w:val="18"/>
          <w:szCs w:val="18"/>
        </w:rPr>
        <w:t>C. quadricarinatus</w:t>
      </w:r>
      <w:r w:rsidRPr="00D403F5">
        <w:rPr>
          <w:rFonts w:ascii="Arial" w:hAnsi="Arial" w:cs="Arial"/>
          <w:sz w:val="18"/>
          <w:szCs w:val="18"/>
        </w:rPr>
        <w:t xml:space="preserve">, and </w:t>
      </w:r>
      <w:r w:rsidRPr="00D403F5">
        <w:rPr>
          <w:rFonts w:ascii="Arial" w:hAnsi="Arial" w:cs="Arial"/>
          <w:i/>
          <w:sz w:val="18"/>
          <w:szCs w:val="18"/>
        </w:rPr>
        <w:t>P. clarkii</w:t>
      </w:r>
      <w:r w:rsidRPr="00D403F5">
        <w:rPr>
          <w:rFonts w:ascii="Arial" w:hAnsi="Arial" w:cs="Arial"/>
          <w:sz w:val="18"/>
          <w:szCs w:val="18"/>
        </w:rPr>
        <w:t xml:space="preserve"> also exhibited 100% cumulative mortalities (Xu </w:t>
      </w:r>
      <w:r w:rsidRPr="00D403F5">
        <w:rPr>
          <w:rFonts w:ascii="Arial" w:hAnsi="Arial" w:cs="Arial"/>
          <w:i/>
          <w:sz w:val="18"/>
          <w:szCs w:val="18"/>
        </w:rPr>
        <w:t>et al.</w:t>
      </w:r>
      <w:r w:rsidRPr="00D403F5">
        <w:rPr>
          <w:rFonts w:ascii="Arial" w:hAnsi="Arial" w:cs="Arial"/>
          <w:sz w:val="18"/>
          <w:szCs w:val="18"/>
        </w:rPr>
        <w:t xml:space="preserve">, 2016; Qiu </w:t>
      </w:r>
      <w:r w:rsidRPr="00D403F5">
        <w:rPr>
          <w:rFonts w:ascii="Arial" w:hAnsi="Arial" w:cs="Arial"/>
          <w:i/>
          <w:sz w:val="18"/>
          <w:szCs w:val="18"/>
        </w:rPr>
        <w:t>et al.</w:t>
      </w:r>
      <w:r w:rsidRPr="00D403F5">
        <w:rPr>
          <w:rFonts w:ascii="Arial" w:hAnsi="Arial" w:cs="Arial"/>
          <w:sz w:val="18"/>
          <w:szCs w:val="18"/>
        </w:rPr>
        <w:t xml:space="preserve">, 2017a). Since 2014, some disease events with massive losses of </w:t>
      </w:r>
      <w:r w:rsidRPr="00D403F5">
        <w:rPr>
          <w:rFonts w:ascii="Arial" w:hAnsi="Arial" w:cs="Arial"/>
          <w:i/>
          <w:sz w:val="18"/>
          <w:szCs w:val="18"/>
        </w:rPr>
        <w:t xml:space="preserve">P. vannamei </w:t>
      </w:r>
      <w:r w:rsidRPr="00D403F5">
        <w:rPr>
          <w:rFonts w:ascii="Arial" w:hAnsi="Arial" w:cs="Arial"/>
          <w:sz w:val="18"/>
          <w:szCs w:val="18"/>
        </w:rPr>
        <w:t xml:space="preserve">and </w:t>
      </w:r>
      <w:r w:rsidRPr="00D403F5">
        <w:rPr>
          <w:rFonts w:ascii="Arial" w:hAnsi="Arial" w:cs="Arial"/>
          <w:i/>
          <w:sz w:val="18"/>
          <w:szCs w:val="18"/>
        </w:rPr>
        <w:t>M. rosenbergii</w:t>
      </w:r>
      <w:r w:rsidRPr="00D403F5">
        <w:rPr>
          <w:rFonts w:ascii="Arial" w:hAnsi="Arial" w:cs="Arial"/>
          <w:sz w:val="18"/>
          <w:szCs w:val="18"/>
        </w:rPr>
        <w:t xml:space="preserve"> in coastal provinces of China (People’s Rep. of) have been associated with infection with DIV1 (Qiu</w:t>
      </w:r>
      <w:r w:rsidRPr="00D403F5">
        <w:rPr>
          <w:rFonts w:ascii="Arial" w:hAnsi="Arial" w:cs="Arial"/>
          <w:i/>
          <w:sz w:val="18"/>
          <w:szCs w:val="18"/>
        </w:rPr>
        <w:t xml:space="preserve"> et al.</w:t>
      </w:r>
      <w:r w:rsidRPr="00D403F5">
        <w:rPr>
          <w:rFonts w:ascii="Arial" w:hAnsi="Arial" w:cs="Arial"/>
          <w:sz w:val="18"/>
          <w:szCs w:val="18"/>
        </w:rPr>
        <w:t xml:space="preserve">, 2017a). Targeted surveillance in China in 2017 and 2018 revealed that DIV1 has been detected in 11 of 16 provinces (Qiu </w:t>
      </w:r>
      <w:r w:rsidRPr="00D403F5">
        <w:rPr>
          <w:rFonts w:ascii="Arial" w:hAnsi="Arial" w:cs="Arial"/>
          <w:i/>
          <w:iCs/>
          <w:sz w:val="18"/>
          <w:szCs w:val="18"/>
        </w:rPr>
        <w:t>et al</w:t>
      </w:r>
      <w:r w:rsidRPr="00D403F5">
        <w:rPr>
          <w:rFonts w:ascii="Arial" w:hAnsi="Arial" w:cs="Arial"/>
          <w:sz w:val="18"/>
          <w:szCs w:val="18"/>
        </w:rPr>
        <w:t xml:space="preserve">., 2018b; Qiu </w:t>
      </w:r>
      <w:r w:rsidRPr="00D403F5">
        <w:rPr>
          <w:rFonts w:ascii="Arial" w:hAnsi="Arial" w:cs="Arial"/>
          <w:i/>
          <w:iCs/>
          <w:sz w:val="18"/>
          <w:szCs w:val="18"/>
        </w:rPr>
        <w:t>et al</w:t>
      </w:r>
      <w:r w:rsidRPr="00D403F5">
        <w:rPr>
          <w:rFonts w:ascii="Arial" w:hAnsi="Arial" w:cs="Arial"/>
          <w:sz w:val="18"/>
          <w:szCs w:val="18"/>
        </w:rPr>
        <w:t xml:space="preserve">., 2019b). Losses are significant at a country level. </w:t>
      </w:r>
    </w:p>
    <w:p w14:paraId="45F4B954" w14:textId="77777777" w:rsidR="00C7266C" w:rsidRPr="00D403F5" w:rsidRDefault="00C7266C" w:rsidP="00D403F5">
      <w:pPr>
        <w:spacing w:after="0"/>
        <w:jc w:val="both"/>
        <w:rPr>
          <w:rFonts w:ascii="Arial" w:hAnsi="Arial" w:cs="Arial"/>
          <w:sz w:val="18"/>
          <w:szCs w:val="18"/>
          <w:u w:val="single"/>
        </w:rPr>
      </w:pPr>
      <w:r w:rsidRPr="00D403F5">
        <w:rPr>
          <w:rFonts w:ascii="Arial" w:hAnsi="Arial" w:cs="Arial"/>
          <w:i/>
          <w:sz w:val="18"/>
          <w:szCs w:val="18"/>
          <w:u w:val="single"/>
        </w:rPr>
        <w:t>Conclusion</w:t>
      </w:r>
    </w:p>
    <w:p w14:paraId="5876988A" w14:textId="77777777" w:rsidR="00C7266C" w:rsidRPr="00D403F5" w:rsidRDefault="00C7266C" w:rsidP="00D403F5">
      <w:pPr>
        <w:spacing w:after="0"/>
        <w:jc w:val="both"/>
        <w:rPr>
          <w:rFonts w:ascii="Arial" w:hAnsi="Arial" w:cs="Arial"/>
          <w:b/>
          <w:sz w:val="18"/>
          <w:szCs w:val="18"/>
        </w:rPr>
      </w:pPr>
      <w:r w:rsidRPr="00D403F5">
        <w:rPr>
          <w:rFonts w:ascii="Arial" w:hAnsi="Arial" w:cs="Arial"/>
          <w:sz w:val="18"/>
          <w:szCs w:val="18"/>
        </w:rPr>
        <w:t xml:space="preserve">Criterion is met. </w:t>
      </w:r>
    </w:p>
    <w:p w14:paraId="58C6DBD8" w14:textId="77777777" w:rsidR="00C7266C" w:rsidRPr="00D403F5" w:rsidRDefault="00C7266C" w:rsidP="00D403F5">
      <w:pPr>
        <w:spacing w:after="0"/>
        <w:jc w:val="both"/>
        <w:rPr>
          <w:rFonts w:ascii="Arial" w:hAnsi="Arial" w:cs="Arial"/>
          <w:b/>
          <w:sz w:val="18"/>
          <w:szCs w:val="18"/>
          <w:shd w:val="clear" w:color="auto" w:fill="FAF9F8"/>
        </w:rPr>
      </w:pPr>
      <w:r w:rsidRPr="00D403F5">
        <w:rPr>
          <w:rFonts w:ascii="Arial" w:hAnsi="Arial" w:cs="Arial"/>
          <w:b/>
          <w:sz w:val="18"/>
          <w:szCs w:val="18"/>
          <w:shd w:val="clear" w:color="auto" w:fill="FAF9F8"/>
        </w:rPr>
        <w:t>OR</w:t>
      </w:r>
    </w:p>
    <w:p w14:paraId="5FECD505" w14:textId="77777777" w:rsidR="00C7266C" w:rsidRPr="00D403F5" w:rsidRDefault="00C7266C" w:rsidP="00D403F5">
      <w:pPr>
        <w:spacing w:after="0"/>
        <w:jc w:val="both"/>
        <w:rPr>
          <w:rFonts w:ascii="Arial" w:hAnsi="Arial" w:cs="Arial"/>
          <w:b/>
          <w:i/>
          <w:sz w:val="18"/>
          <w:szCs w:val="18"/>
          <w:shd w:val="clear" w:color="auto" w:fill="FAF9F8"/>
        </w:rPr>
      </w:pPr>
      <w:r w:rsidRPr="00D403F5">
        <w:rPr>
          <w:rFonts w:ascii="Arial" w:hAnsi="Arial" w:cs="Arial"/>
          <w:b/>
          <w:sz w:val="18"/>
          <w:szCs w:val="18"/>
        </w:rPr>
        <w:t>C</w:t>
      </w:r>
      <w:r w:rsidRPr="00D403F5">
        <w:rPr>
          <w:rFonts w:ascii="Arial" w:hAnsi="Arial" w:cs="Arial"/>
          <w:b/>
          <w:sz w:val="18"/>
          <w:szCs w:val="18"/>
          <w:shd w:val="clear" w:color="auto" w:fill="FAF9F8"/>
        </w:rPr>
        <w:t xml:space="preserve">riterion No. </w:t>
      </w:r>
      <w:r w:rsidRPr="00D403F5">
        <w:rPr>
          <w:rFonts w:ascii="Arial" w:hAnsi="Arial" w:cs="Arial"/>
          <w:b/>
          <w:sz w:val="18"/>
          <w:szCs w:val="18"/>
        </w:rPr>
        <w:t>4</w:t>
      </w:r>
      <w:r w:rsidRPr="00D403F5">
        <w:rPr>
          <w:rFonts w:ascii="Arial" w:hAnsi="Arial" w:cs="Arial"/>
          <w:b/>
          <w:i/>
          <w:sz w:val="18"/>
          <w:szCs w:val="18"/>
        </w:rPr>
        <w:t>.</w:t>
      </w:r>
      <w:r w:rsidRPr="00D403F5">
        <w:rPr>
          <w:rFonts w:ascii="Arial" w:hAnsi="Arial" w:cs="Arial"/>
          <w:b/>
          <w:sz w:val="18"/>
          <w:szCs w:val="18"/>
        </w:rPr>
        <w:t xml:space="preserve">c. </w:t>
      </w:r>
      <w:r w:rsidRPr="00D403F5">
        <w:rPr>
          <w:rFonts w:ascii="Arial" w:hAnsi="Arial" w:cs="Arial"/>
          <w:b/>
          <w:i/>
          <w:sz w:val="18"/>
          <w:szCs w:val="18"/>
          <w:shd w:val="clear" w:color="auto" w:fill="FAF9F8"/>
        </w:rPr>
        <w:t>The disease has been shown to, or scientific evidence indicates that it would affect the health of wild aquatic animals resulting in significant consequences e.g. morbidity or mortality at a population level, reduced productivity or ecological impacts.</w:t>
      </w:r>
    </w:p>
    <w:p w14:paraId="1BB4FBB5" w14:textId="77777777" w:rsidR="00C7266C" w:rsidRPr="00D403F5" w:rsidRDefault="00C7266C" w:rsidP="00D403F5">
      <w:pPr>
        <w:spacing w:after="0"/>
        <w:jc w:val="both"/>
        <w:rPr>
          <w:rFonts w:ascii="Arial" w:hAnsi="Arial" w:cs="Arial"/>
          <w:sz w:val="18"/>
          <w:szCs w:val="18"/>
        </w:rPr>
      </w:pPr>
      <w:r w:rsidRPr="00D403F5">
        <w:rPr>
          <w:rFonts w:ascii="Arial" w:hAnsi="Arial" w:cs="Arial"/>
          <w:i/>
          <w:sz w:val="18"/>
          <w:szCs w:val="18"/>
          <w:u w:val="single"/>
        </w:rPr>
        <w:t>Assessment</w:t>
      </w:r>
    </w:p>
    <w:p w14:paraId="09290EE5"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Infection with DIV1 has been shown to have a significant effect on the health of cultured shrimp, crayfish, or lobsters resulting in significant consequences including morbidity and mortality. It is possible that the disease would affect wild aquatic animals; however, there are no available data to demonstrate impact (e.g. morbidity or mortality) of the disease on wild aquatic animals at a population level.</w:t>
      </w:r>
    </w:p>
    <w:p w14:paraId="072D2D41" w14:textId="77777777" w:rsidR="00C7266C" w:rsidRPr="00D403F5" w:rsidRDefault="00C7266C" w:rsidP="00D403F5">
      <w:pPr>
        <w:spacing w:after="0"/>
        <w:jc w:val="both"/>
        <w:rPr>
          <w:rFonts w:ascii="Arial" w:hAnsi="Arial" w:cs="Arial"/>
          <w:i/>
          <w:sz w:val="18"/>
          <w:szCs w:val="18"/>
          <w:u w:val="single"/>
        </w:rPr>
      </w:pPr>
      <w:r w:rsidRPr="00D403F5">
        <w:rPr>
          <w:rFonts w:ascii="Arial" w:hAnsi="Arial" w:cs="Arial"/>
          <w:i/>
          <w:sz w:val="18"/>
          <w:szCs w:val="18"/>
          <w:u w:val="single"/>
        </w:rPr>
        <w:br w:type="page"/>
      </w:r>
    </w:p>
    <w:p w14:paraId="6B2DC3B8" w14:textId="77777777" w:rsidR="00C7266C" w:rsidRPr="00D403F5" w:rsidRDefault="00C7266C" w:rsidP="00101F2F">
      <w:pPr>
        <w:pStyle w:val="2"/>
        <w:tabs>
          <w:tab w:val="clear" w:pos="360"/>
        </w:tabs>
        <w:spacing w:after="480"/>
        <w:ind w:left="0" w:firstLine="0"/>
        <w:rPr>
          <w:rFonts w:ascii="Times New Roman" w:hAnsi="Times New Roman"/>
          <w:b w:val="0"/>
          <w:sz w:val="18"/>
          <w:szCs w:val="18"/>
        </w:rPr>
      </w:pPr>
      <w:r w:rsidRPr="00D403F5">
        <w:rPr>
          <w:rFonts w:ascii="Times New Roman" w:hAnsi="Times New Roman"/>
          <w:b w:val="0"/>
          <w:sz w:val="18"/>
          <w:szCs w:val="18"/>
          <w:u w:val="single"/>
        </w:rPr>
        <w:t>Annex 14</w:t>
      </w:r>
      <w:r w:rsidRPr="00D403F5">
        <w:rPr>
          <w:rFonts w:ascii="Times New Roman" w:hAnsi="Times New Roman"/>
          <w:b w:val="0"/>
          <w:sz w:val="18"/>
          <w:szCs w:val="18"/>
        </w:rPr>
        <w:t xml:space="preserve"> (contd)</w:t>
      </w:r>
    </w:p>
    <w:p w14:paraId="55BA5105" w14:textId="77777777" w:rsidR="00C7266C" w:rsidRPr="00D403F5" w:rsidRDefault="00C7266C" w:rsidP="00D403F5">
      <w:pPr>
        <w:spacing w:after="0"/>
        <w:jc w:val="both"/>
        <w:rPr>
          <w:rFonts w:ascii="Arial" w:hAnsi="Arial" w:cs="Arial"/>
          <w:sz w:val="18"/>
          <w:szCs w:val="18"/>
          <w:u w:val="single"/>
        </w:rPr>
      </w:pPr>
      <w:r w:rsidRPr="00D403F5">
        <w:rPr>
          <w:rFonts w:ascii="Arial" w:hAnsi="Arial" w:cs="Arial"/>
          <w:i/>
          <w:sz w:val="18"/>
          <w:szCs w:val="18"/>
          <w:u w:val="single"/>
        </w:rPr>
        <w:t>Conclusion</w:t>
      </w:r>
    </w:p>
    <w:p w14:paraId="67C30B4D" w14:textId="77777777" w:rsidR="00C7266C" w:rsidRPr="00D403F5" w:rsidRDefault="00C7266C" w:rsidP="00D403F5">
      <w:pPr>
        <w:spacing w:after="0"/>
        <w:jc w:val="both"/>
        <w:rPr>
          <w:rFonts w:ascii="Arial" w:hAnsi="Arial" w:cs="Arial"/>
          <w:b/>
          <w:sz w:val="18"/>
          <w:szCs w:val="18"/>
        </w:rPr>
      </w:pPr>
      <w:r w:rsidRPr="00D403F5">
        <w:rPr>
          <w:rFonts w:ascii="Arial" w:hAnsi="Arial" w:cs="Arial"/>
          <w:sz w:val="18"/>
          <w:szCs w:val="18"/>
        </w:rPr>
        <w:t xml:space="preserve">Criterion is not met. </w:t>
      </w:r>
    </w:p>
    <w:p w14:paraId="409564AF" w14:textId="77777777" w:rsidR="00C7266C" w:rsidRPr="00D403F5" w:rsidRDefault="00C7266C" w:rsidP="00D403F5">
      <w:pPr>
        <w:spacing w:after="0"/>
        <w:jc w:val="both"/>
        <w:rPr>
          <w:rFonts w:ascii="Arial" w:hAnsi="Arial" w:cs="Arial"/>
          <w:b/>
          <w:sz w:val="18"/>
          <w:szCs w:val="18"/>
        </w:rPr>
      </w:pPr>
      <w:r w:rsidRPr="00D403F5">
        <w:rPr>
          <w:rFonts w:ascii="Arial" w:hAnsi="Arial" w:cs="Arial"/>
          <w:b/>
          <w:sz w:val="18"/>
          <w:szCs w:val="18"/>
        </w:rPr>
        <w:t>References</w:t>
      </w:r>
    </w:p>
    <w:p w14:paraId="3E447400" w14:textId="77777777" w:rsidR="00C7266C" w:rsidRPr="00D403F5" w:rsidRDefault="00C7266C" w:rsidP="00D403F5">
      <w:pPr>
        <w:spacing w:after="0"/>
        <w:jc w:val="both"/>
        <w:rPr>
          <w:rFonts w:ascii="Arial" w:hAnsi="Arial" w:cs="Arial"/>
          <w:sz w:val="18"/>
          <w:szCs w:val="18"/>
          <w:lang w:val="en-US"/>
        </w:rPr>
      </w:pPr>
      <w:r w:rsidRPr="00D403F5">
        <w:rPr>
          <w:rFonts w:ascii="Arial" w:hAnsi="Arial" w:cs="Arial"/>
          <w:sz w:val="18"/>
          <w:szCs w:val="18"/>
          <w:lang w:val="en-US"/>
        </w:rPr>
        <w:t>CHEN, X., QIU, L.</w:t>
      </w:r>
      <w:r w:rsidRPr="00D403F5">
        <w:rPr>
          <w:rFonts w:ascii="Arial" w:hAnsi="Arial" w:cs="Arial" w:hint="eastAsia"/>
          <w:sz w:val="18"/>
          <w:szCs w:val="18"/>
          <w:lang w:val="en-US" w:eastAsia="zh-CN"/>
        </w:rPr>
        <w:t xml:space="preserve">, </w:t>
      </w:r>
      <w:r w:rsidRPr="00D403F5">
        <w:rPr>
          <w:rFonts w:ascii="Arial" w:hAnsi="Arial" w:cs="Arial"/>
          <w:sz w:val="18"/>
          <w:szCs w:val="18"/>
          <w:lang w:val="en-US"/>
        </w:rPr>
        <w:t xml:space="preserve">WANG, H.L. </w:t>
      </w:r>
      <w:r w:rsidRPr="00D403F5">
        <w:rPr>
          <w:rFonts w:ascii="Arial" w:hAnsi="Arial" w:cs="Arial" w:hint="eastAsia"/>
          <w:sz w:val="18"/>
          <w:szCs w:val="18"/>
          <w:lang w:val="en-US" w:eastAsia="zh-CN"/>
        </w:rPr>
        <w:t>(2019) .</w:t>
      </w:r>
      <w:r w:rsidRPr="00D403F5">
        <w:rPr>
          <w:rFonts w:ascii="Arial" w:hAnsi="Arial" w:cs="Arial"/>
          <w:sz w:val="18"/>
          <w:szCs w:val="18"/>
          <w:lang w:val="en-US"/>
        </w:rPr>
        <w:t xml:space="preserve"> Susceptibility of </w:t>
      </w:r>
      <w:r w:rsidRPr="00D403F5">
        <w:rPr>
          <w:rFonts w:ascii="Arial" w:hAnsi="Arial" w:cs="Arial"/>
          <w:i/>
          <w:iCs/>
          <w:sz w:val="18"/>
          <w:szCs w:val="18"/>
          <w:lang w:val="en-US"/>
        </w:rPr>
        <w:t>Exopalaemon carinicauda</w:t>
      </w:r>
      <w:r w:rsidRPr="00D403F5">
        <w:rPr>
          <w:rFonts w:ascii="Arial" w:hAnsi="Arial" w:cs="Arial"/>
          <w:sz w:val="18"/>
          <w:szCs w:val="18"/>
          <w:lang w:val="en-US"/>
        </w:rPr>
        <w:t xml:space="preserve"> to the infection with Shrimp hemocyte iridescent virus (SHIV 20141215), a strain of Decapod iridescent virus 1 (DIV1). </w:t>
      </w:r>
      <w:r w:rsidRPr="00D403F5">
        <w:rPr>
          <w:rFonts w:ascii="Arial" w:hAnsi="Arial" w:cs="Arial"/>
          <w:i/>
          <w:iCs/>
          <w:sz w:val="18"/>
          <w:szCs w:val="18"/>
          <w:lang w:val="en-US"/>
        </w:rPr>
        <w:t>Viruses</w:t>
      </w:r>
      <w:r w:rsidRPr="00D403F5">
        <w:rPr>
          <w:rFonts w:ascii="Arial" w:hAnsi="Arial" w:cs="Arial"/>
          <w:sz w:val="18"/>
          <w:szCs w:val="18"/>
          <w:lang w:val="en-US"/>
        </w:rPr>
        <w:t xml:space="preserve">, </w:t>
      </w:r>
      <w:r w:rsidRPr="00D403F5">
        <w:rPr>
          <w:rFonts w:ascii="Arial" w:hAnsi="Arial" w:cs="Arial"/>
          <w:b/>
          <w:bCs/>
          <w:sz w:val="18"/>
          <w:szCs w:val="18"/>
          <w:lang w:val="en-US"/>
        </w:rPr>
        <w:t>11(4)</w:t>
      </w:r>
      <w:r w:rsidRPr="00D403F5">
        <w:rPr>
          <w:rFonts w:ascii="Arial" w:hAnsi="Arial" w:cs="Arial"/>
          <w:sz w:val="18"/>
          <w:szCs w:val="18"/>
          <w:lang w:val="en-US"/>
        </w:rPr>
        <w:t>: 387. doi: 10.3390/v11040387.</w:t>
      </w:r>
    </w:p>
    <w:p w14:paraId="63230973" w14:textId="77777777" w:rsidR="00C7266C" w:rsidRPr="00D403F5" w:rsidRDefault="00C7266C" w:rsidP="00D403F5">
      <w:pPr>
        <w:spacing w:after="0"/>
        <w:jc w:val="both"/>
        <w:rPr>
          <w:rFonts w:ascii="Arial" w:hAnsi="Arial" w:cs="Arial"/>
          <w:sz w:val="18"/>
          <w:szCs w:val="18"/>
          <w:lang w:val="en-US"/>
        </w:rPr>
      </w:pPr>
      <w:r w:rsidRPr="00D403F5">
        <w:rPr>
          <w:rFonts w:ascii="Arial" w:hAnsi="Arial" w:cs="Arial"/>
          <w:sz w:val="18"/>
          <w:szCs w:val="18"/>
        </w:rPr>
        <w:t>ICTV. (2019). One New Genus with One New Species in the Subfamily Betairidovirinae. Available online: https://talk.ictvonline.org/files/ictv_official_taxonomy_updates_since_the_8th_report/m/animal-dna-viruses-and-retroviruses/8051.</w:t>
      </w:r>
    </w:p>
    <w:p w14:paraId="522E7EBB" w14:textId="77777777" w:rsidR="00C7266C" w:rsidRPr="00D403F5" w:rsidRDefault="00C7266C" w:rsidP="00D403F5">
      <w:pPr>
        <w:spacing w:after="0"/>
        <w:jc w:val="both"/>
        <w:rPr>
          <w:rFonts w:ascii="Arial" w:hAnsi="Arial" w:cs="Arial"/>
          <w:b/>
          <w:sz w:val="18"/>
          <w:szCs w:val="18"/>
        </w:rPr>
      </w:pPr>
      <w:r w:rsidRPr="00D403F5">
        <w:rPr>
          <w:rFonts w:ascii="Arial" w:hAnsi="Arial" w:cs="Arial"/>
          <w:caps/>
          <w:sz w:val="18"/>
          <w:szCs w:val="18"/>
          <w:lang w:val="nb-NO"/>
        </w:rPr>
        <w:t>Li, F., Xu, L. &amp; Yang, F.</w:t>
      </w:r>
      <w:r w:rsidRPr="00D403F5">
        <w:rPr>
          <w:rFonts w:ascii="Arial" w:hAnsi="Arial" w:cs="Arial"/>
          <w:sz w:val="18"/>
          <w:szCs w:val="18"/>
          <w:lang w:val="nb-NO"/>
        </w:rPr>
        <w:t xml:space="preserve"> (2017). </w:t>
      </w:r>
      <w:r w:rsidRPr="00D403F5">
        <w:rPr>
          <w:rFonts w:ascii="Arial" w:hAnsi="Arial" w:cs="Arial"/>
          <w:sz w:val="18"/>
          <w:szCs w:val="18"/>
        </w:rPr>
        <w:t xml:space="preserve">Genomic characterization of a novel iridovirus from redclaw crayfish </w:t>
      </w:r>
      <w:r w:rsidRPr="00D403F5">
        <w:rPr>
          <w:rFonts w:ascii="Arial" w:hAnsi="Arial" w:cs="Arial"/>
          <w:i/>
          <w:sz w:val="18"/>
          <w:szCs w:val="18"/>
        </w:rPr>
        <w:t>Cherax quadricarinatus</w:t>
      </w:r>
      <w:r w:rsidRPr="00D403F5">
        <w:rPr>
          <w:rFonts w:ascii="Arial" w:hAnsi="Arial" w:cs="Arial"/>
          <w:sz w:val="18"/>
          <w:szCs w:val="18"/>
        </w:rPr>
        <w:t xml:space="preserve">: evidence for a new genus within the family </w:t>
      </w:r>
      <w:r w:rsidRPr="00D403F5">
        <w:rPr>
          <w:rFonts w:ascii="Arial" w:hAnsi="Arial" w:cs="Arial"/>
          <w:i/>
          <w:sz w:val="18"/>
          <w:szCs w:val="18"/>
        </w:rPr>
        <w:t>Iridoviridae</w:t>
      </w:r>
      <w:r w:rsidRPr="00D403F5">
        <w:rPr>
          <w:rFonts w:ascii="Arial" w:hAnsi="Arial" w:cs="Arial"/>
          <w:sz w:val="18"/>
          <w:szCs w:val="18"/>
        </w:rPr>
        <w:t xml:space="preserve">. </w:t>
      </w:r>
      <w:r w:rsidRPr="00D403F5">
        <w:rPr>
          <w:rFonts w:ascii="Arial" w:hAnsi="Arial" w:cs="Arial"/>
          <w:i/>
          <w:sz w:val="18"/>
          <w:szCs w:val="18"/>
        </w:rPr>
        <w:t>Journal of General Virology</w:t>
      </w:r>
      <w:r w:rsidRPr="00D403F5">
        <w:rPr>
          <w:rFonts w:ascii="Arial" w:hAnsi="Arial" w:cs="Arial"/>
          <w:sz w:val="18"/>
          <w:szCs w:val="18"/>
        </w:rPr>
        <w:t xml:space="preserve">, </w:t>
      </w:r>
      <w:r w:rsidRPr="00D403F5">
        <w:rPr>
          <w:rFonts w:ascii="Arial" w:hAnsi="Arial" w:cs="Arial"/>
          <w:b/>
          <w:sz w:val="18"/>
          <w:szCs w:val="18"/>
        </w:rPr>
        <w:t>98(10).</w:t>
      </w:r>
    </w:p>
    <w:p w14:paraId="5CC0B2BC" w14:textId="77777777" w:rsidR="00C7266C" w:rsidRPr="00D403F5" w:rsidRDefault="00C7266C" w:rsidP="00D403F5">
      <w:pPr>
        <w:spacing w:after="0"/>
        <w:jc w:val="both"/>
        <w:rPr>
          <w:rFonts w:ascii="Arial" w:hAnsi="Arial" w:cs="Arial"/>
          <w:sz w:val="18"/>
          <w:szCs w:val="18"/>
        </w:rPr>
      </w:pPr>
      <w:bookmarkStart w:id="97" w:name="_Hlk22754220"/>
      <w:r w:rsidRPr="00D403F5">
        <w:rPr>
          <w:rFonts w:ascii="Arial" w:hAnsi="Arial" w:cs="Arial"/>
          <w:sz w:val="18"/>
          <w:szCs w:val="18"/>
        </w:rPr>
        <w:t>PAN, C. K., YUAN, H. F.</w:t>
      </w:r>
      <w:r w:rsidRPr="00D403F5">
        <w:rPr>
          <w:rFonts w:ascii="Arial" w:hAnsi="Arial" w:cs="Arial" w:hint="eastAsia"/>
          <w:sz w:val="18"/>
          <w:szCs w:val="18"/>
          <w:lang w:val="en-US" w:eastAsia="zh-CN"/>
        </w:rPr>
        <w:t xml:space="preserve">, </w:t>
      </w:r>
      <w:r w:rsidRPr="00D403F5">
        <w:rPr>
          <w:rFonts w:ascii="Arial" w:hAnsi="Arial" w:cs="Arial"/>
          <w:sz w:val="18"/>
          <w:szCs w:val="18"/>
        </w:rPr>
        <w:t xml:space="preserve">WANG, T. T., YANG, F., CHEN, J. M. (2017). Study of </w:t>
      </w:r>
      <w:r w:rsidRPr="00D403F5">
        <w:rPr>
          <w:rFonts w:ascii="Arial" w:hAnsi="Arial" w:cs="Arial"/>
          <w:i/>
          <w:sz w:val="18"/>
          <w:szCs w:val="18"/>
        </w:rPr>
        <w:t>Cherax quadricarinatus</w:t>
      </w:r>
      <w:r w:rsidRPr="00D403F5">
        <w:rPr>
          <w:rFonts w:ascii="Arial" w:hAnsi="Arial" w:cs="Arial"/>
          <w:sz w:val="18"/>
          <w:szCs w:val="18"/>
        </w:rPr>
        <w:t xml:space="preserve"> iridovirus in two crab. Journal of Applied Oceanography, 36(1): 82-86 (in Chinese).</w:t>
      </w:r>
      <w:bookmarkEnd w:id="97"/>
    </w:p>
    <w:p w14:paraId="6795B83A" w14:textId="77777777" w:rsidR="00C7266C" w:rsidRPr="00D403F5" w:rsidRDefault="00C7266C" w:rsidP="00D403F5">
      <w:pPr>
        <w:spacing w:after="0"/>
        <w:jc w:val="both"/>
        <w:rPr>
          <w:rFonts w:ascii="Arial" w:hAnsi="Arial" w:cs="Arial"/>
          <w:sz w:val="18"/>
          <w:szCs w:val="18"/>
        </w:rPr>
      </w:pPr>
      <w:r w:rsidRPr="00D403F5">
        <w:rPr>
          <w:rFonts w:ascii="Arial" w:hAnsi="Arial" w:cs="Arial"/>
          <w:caps/>
          <w:sz w:val="18"/>
          <w:szCs w:val="18"/>
        </w:rPr>
        <w:t>Qiu, L., Chen, M. M. &amp; Wan, X. Y.,</w:t>
      </w:r>
      <w:r w:rsidRPr="00D403F5">
        <w:rPr>
          <w:rFonts w:ascii="Arial" w:hAnsi="Arial" w:cs="Arial"/>
          <w:sz w:val="18"/>
          <w:szCs w:val="18"/>
        </w:rPr>
        <w:t xml:space="preserve"> (2017a). Characterization of a new member of </w:t>
      </w:r>
      <w:r w:rsidRPr="00D403F5">
        <w:rPr>
          <w:rFonts w:ascii="Arial" w:hAnsi="Arial" w:cs="Arial"/>
          <w:i/>
          <w:sz w:val="18"/>
          <w:szCs w:val="18"/>
        </w:rPr>
        <w:t>Iridoviridae</w:t>
      </w:r>
      <w:r w:rsidRPr="00D403F5">
        <w:rPr>
          <w:rFonts w:ascii="Arial" w:hAnsi="Arial" w:cs="Arial"/>
          <w:sz w:val="18"/>
          <w:szCs w:val="18"/>
        </w:rPr>
        <w:t>, Shrimp hemocyte iridescent virus (SHIV), found in white leg shrimp (</w:t>
      </w:r>
      <w:r w:rsidRPr="00D403F5">
        <w:rPr>
          <w:rFonts w:ascii="Arial" w:hAnsi="Arial" w:cs="Arial"/>
          <w:i/>
          <w:sz w:val="18"/>
          <w:szCs w:val="18"/>
        </w:rPr>
        <w:t>Litopenaeus vannamei</w:t>
      </w:r>
      <w:r w:rsidRPr="00D403F5">
        <w:rPr>
          <w:rFonts w:ascii="Arial" w:hAnsi="Arial" w:cs="Arial"/>
          <w:sz w:val="18"/>
          <w:szCs w:val="18"/>
        </w:rPr>
        <w:t xml:space="preserve">). </w:t>
      </w:r>
      <w:r w:rsidRPr="00D403F5">
        <w:rPr>
          <w:rFonts w:ascii="Arial" w:hAnsi="Arial" w:cs="Arial"/>
          <w:i/>
          <w:sz w:val="18"/>
          <w:szCs w:val="18"/>
        </w:rPr>
        <w:t>Scientific Reports</w:t>
      </w:r>
      <w:r w:rsidRPr="00D403F5">
        <w:rPr>
          <w:rFonts w:ascii="Arial" w:hAnsi="Arial" w:cs="Arial"/>
          <w:sz w:val="18"/>
          <w:szCs w:val="18"/>
        </w:rPr>
        <w:t xml:space="preserve">, </w:t>
      </w:r>
      <w:r w:rsidRPr="00D403F5">
        <w:rPr>
          <w:rFonts w:ascii="Arial" w:hAnsi="Arial" w:cs="Arial"/>
          <w:b/>
          <w:sz w:val="18"/>
          <w:szCs w:val="18"/>
        </w:rPr>
        <w:t>7(1)</w:t>
      </w:r>
      <w:r w:rsidRPr="00D403F5">
        <w:rPr>
          <w:rFonts w:ascii="Arial" w:hAnsi="Arial" w:cs="Arial"/>
          <w:sz w:val="18"/>
          <w:szCs w:val="18"/>
        </w:rPr>
        <w:t>:11834.</w:t>
      </w:r>
    </w:p>
    <w:p w14:paraId="75C9726B" w14:textId="77777777" w:rsidR="00C7266C" w:rsidRPr="00D403F5" w:rsidRDefault="00C7266C" w:rsidP="00D403F5">
      <w:pPr>
        <w:spacing w:after="0"/>
        <w:jc w:val="both"/>
        <w:rPr>
          <w:rFonts w:ascii="Arial" w:hAnsi="Arial" w:cs="Arial"/>
          <w:sz w:val="18"/>
          <w:szCs w:val="18"/>
        </w:rPr>
      </w:pPr>
      <w:r w:rsidRPr="00D403F5">
        <w:rPr>
          <w:rFonts w:ascii="Arial" w:hAnsi="Arial" w:cs="Arial"/>
          <w:caps/>
          <w:sz w:val="18"/>
          <w:szCs w:val="18"/>
        </w:rPr>
        <w:t>Qiu, L., Chen, M. M. &amp; Wang, R. Y.,</w:t>
      </w:r>
      <w:r w:rsidRPr="00D403F5">
        <w:rPr>
          <w:rFonts w:ascii="Arial" w:hAnsi="Arial" w:cs="Arial"/>
          <w:sz w:val="18"/>
          <w:szCs w:val="18"/>
        </w:rPr>
        <w:t xml:space="preserve"> (2017b). Complete genome sequence of shrimp hemocyte iridescent virus (SHIV) isolated from white leg shrimp, </w:t>
      </w:r>
      <w:r w:rsidRPr="00D403F5">
        <w:rPr>
          <w:rFonts w:ascii="Arial" w:hAnsi="Arial" w:cs="Arial"/>
          <w:i/>
          <w:sz w:val="18"/>
          <w:szCs w:val="18"/>
        </w:rPr>
        <w:t>Litopenaeus vannamei</w:t>
      </w:r>
      <w:r w:rsidRPr="00D403F5">
        <w:rPr>
          <w:rFonts w:ascii="Arial" w:hAnsi="Arial" w:cs="Arial"/>
          <w:sz w:val="18"/>
          <w:szCs w:val="18"/>
        </w:rPr>
        <w:t xml:space="preserve">. </w:t>
      </w:r>
      <w:r w:rsidRPr="00D403F5">
        <w:rPr>
          <w:rFonts w:ascii="Arial" w:hAnsi="Arial" w:cs="Arial"/>
          <w:i/>
          <w:sz w:val="18"/>
          <w:szCs w:val="18"/>
        </w:rPr>
        <w:t>Archives of Virology</w:t>
      </w:r>
      <w:r w:rsidRPr="00D403F5">
        <w:rPr>
          <w:rFonts w:ascii="Arial" w:hAnsi="Arial" w:cs="Arial"/>
          <w:sz w:val="18"/>
          <w:szCs w:val="18"/>
        </w:rPr>
        <w:t xml:space="preserve">, </w:t>
      </w:r>
      <w:r w:rsidRPr="00D403F5">
        <w:rPr>
          <w:rFonts w:ascii="Arial" w:hAnsi="Arial" w:cs="Arial"/>
          <w:b/>
          <w:sz w:val="18"/>
          <w:szCs w:val="18"/>
        </w:rPr>
        <w:t>130(9),</w:t>
      </w:r>
      <w:r w:rsidRPr="00D403F5">
        <w:rPr>
          <w:rFonts w:ascii="Arial" w:hAnsi="Arial" w:cs="Arial"/>
          <w:sz w:val="18"/>
          <w:szCs w:val="18"/>
        </w:rPr>
        <w:t xml:space="preserve"> 1-5.</w:t>
      </w:r>
    </w:p>
    <w:p w14:paraId="4C375B8C" w14:textId="77777777" w:rsidR="00C7266C" w:rsidRPr="00D403F5" w:rsidRDefault="00C7266C" w:rsidP="00D403F5">
      <w:pPr>
        <w:spacing w:after="0"/>
        <w:jc w:val="both"/>
        <w:rPr>
          <w:rFonts w:ascii="Arial" w:hAnsi="Arial" w:cs="Arial"/>
          <w:b/>
          <w:sz w:val="18"/>
          <w:szCs w:val="18"/>
        </w:rPr>
      </w:pPr>
      <w:r w:rsidRPr="00D403F5">
        <w:rPr>
          <w:rFonts w:ascii="Arial" w:hAnsi="Arial" w:cs="Arial"/>
          <w:caps/>
          <w:sz w:val="18"/>
          <w:szCs w:val="18"/>
        </w:rPr>
        <w:t>Qiu, L., Chen, M. M. &amp; Wan, X. Y.</w:t>
      </w:r>
      <w:r w:rsidRPr="00D403F5">
        <w:rPr>
          <w:rFonts w:ascii="Arial" w:hAnsi="Arial" w:cs="Arial"/>
          <w:sz w:val="18"/>
          <w:szCs w:val="18"/>
        </w:rPr>
        <w:t xml:space="preserve"> (2018a). Detection and quantification of Shrimp hemocyte iridescent virus by TaqMan probe based real-time PCR. </w:t>
      </w:r>
      <w:r w:rsidRPr="00D403F5">
        <w:rPr>
          <w:rFonts w:ascii="Arial" w:hAnsi="Arial" w:cs="Arial"/>
          <w:i/>
          <w:sz w:val="18"/>
          <w:szCs w:val="18"/>
        </w:rPr>
        <w:t>Journal of Invertebrate Pathology</w:t>
      </w:r>
      <w:r w:rsidRPr="00D403F5">
        <w:rPr>
          <w:rFonts w:ascii="Arial" w:hAnsi="Arial" w:cs="Arial"/>
          <w:sz w:val="18"/>
          <w:szCs w:val="18"/>
        </w:rPr>
        <w:t xml:space="preserve">, </w:t>
      </w:r>
      <w:r w:rsidRPr="00D403F5">
        <w:rPr>
          <w:rFonts w:ascii="Arial" w:hAnsi="Arial" w:cs="Arial"/>
          <w:b/>
          <w:sz w:val="18"/>
          <w:szCs w:val="18"/>
        </w:rPr>
        <w:t xml:space="preserve">154: </w:t>
      </w:r>
      <w:r w:rsidRPr="00D403F5">
        <w:rPr>
          <w:rFonts w:ascii="Arial" w:hAnsi="Arial" w:cs="Arial"/>
          <w:sz w:val="18"/>
          <w:szCs w:val="18"/>
        </w:rPr>
        <w:t>95-101</w:t>
      </w:r>
    </w:p>
    <w:p w14:paraId="02BFDA43" w14:textId="77777777" w:rsidR="00C7266C" w:rsidRPr="00D403F5" w:rsidRDefault="00C7266C" w:rsidP="00D403F5">
      <w:pPr>
        <w:spacing w:after="0"/>
        <w:jc w:val="both"/>
        <w:rPr>
          <w:rFonts w:ascii="Arial" w:hAnsi="Arial" w:cs="Arial"/>
          <w:bCs/>
          <w:sz w:val="18"/>
          <w:szCs w:val="18"/>
        </w:rPr>
      </w:pPr>
      <w:r w:rsidRPr="00D403F5">
        <w:rPr>
          <w:rFonts w:ascii="Arial" w:hAnsi="Arial" w:cs="Arial"/>
          <w:bCs/>
          <w:sz w:val="18"/>
          <w:szCs w:val="18"/>
        </w:rPr>
        <w:t>QIU, L., DONG, X.</w:t>
      </w:r>
      <w:r w:rsidRPr="00D403F5">
        <w:rPr>
          <w:rFonts w:ascii="Arial" w:hAnsi="Arial" w:cs="Arial" w:hint="eastAsia"/>
          <w:bCs/>
          <w:sz w:val="18"/>
          <w:szCs w:val="18"/>
          <w:lang w:eastAsia="zh-CN"/>
        </w:rPr>
        <w:t xml:space="preserve">, </w:t>
      </w:r>
      <w:r w:rsidRPr="00D403F5">
        <w:rPr>
          <w:rFonts w:ascii="Arial" w:hAnsi="Arial" w:cs="Arial"/>
          <w:bCs/>
          <w:sz w:val="18"/>
          <w:szCs w:val="18"/>
        </w:rPr>
        <w:t>WAN, X.Y. (2018b). Analysis of iridescent viral disease of shrimp (SHID) in 2017. In Analysis of Important Diseases of Aquatic Animals in China in 2017. Fishery and Fishery Administration Bureau under the Ministry of Agriculture and Rural Affairs, National Fishery Technical Extension Center, Eds., China Agriculture Press, Beijing, pp. 187-204, ISBN 978-7-109-24522-8 (in Chinese).</w:t>
      </w:r>
    </w:p>
    <w:p w14:paraId="1524EBFF"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Q</w:t>
      </w:r>
      <w:r w:rsidRPr="00D403F5">
        <w:rPr>
          <w:rFonts w:ascii="Arial" w:hAnsi="Arial" w:cs="Arial"/>
          <w:caps/>
          <w:sz w:val="18"/>
          <w:szCs w:val="18"/>
        </w:rPr>
        <w:t>iu</w:t>
      </w:r>
      <w:r w:rsidRPr="00D403F5">
        <w:rPr>
          <w:rFonts w:ascii="Arial" w:hAnsi="Arial" w:cs="Arial"/>
          <w:sz w:val="18"/>
          <w:szCs w:val="18"/>
        </w:rPr>
        <w:t>, L., C</w:t>
      </w:r>
      <w:r w:rsidRPr="00D403F5">
        <w:rPr>
          <w:rFonts w:ascii="Arial" w:hAnsi="Arial" w:cs="Arial"/>
          <w:caps/>
          <w:sz w:val="18"/>
          <w:szCs w:val="18"/>
        </w:rPr>
        <w:t>hen</w:t>
      </w:r>
      <w:r w:rsidRPr="00D403F5">
        <w:rPr>
          <w:rFonts w:ascii="Arial" w:hAnsi="Arial" w:cs="Arial"/>
          <w:sz w:val="18"/>
          <w:szCs w:val="18"/>
        </w:rPr>
        <w:t>, X</w:t>
      </w:r>
      <w:r w:rsidRPr="00D403F5">
        <w:rPr>
          <w:rFonts w:ascii="Arial" w:hAnsi="Arial" w:cs="Arial" w:hint="eastAsia"/>
          <w:sz w:val="18"/>
          <w:szCs w:val="18"/>
          <w:lang w:eastAsia="zh-CN"/>
        </w:rPr>
        <w:t>.</w:t>
      </w:r>
      <w:r w:rsidRPr="00D403F5">
        <w:rPr>
          <w:rFonts w:ascii="Arial" w:hAnsi="Arial" w:cs="Arial"/>
          <w:sz w:val="18"/>
          <w:szCs w:val="18"/>
          <w:lang w:eastAsia="zh-CN"/>
        </w:rPr>
        <w:t xml:space="preserve"> and</w:t>
      </w:r>
      <w:r w:rsidRPr="00D403F5">
        <w:rPr>
          <w:rFonts w:ascii="Arial" w:hAnsi="Arial" w:cs="Arial" w:hint="eastAsia"/>
          <w:sz w:val="18"/>
          <w:szCs w:val="18"/>
          <w:lang w:eastAsia="zh-CN"/>
        </w:rPr>
        <w:t xml:space="preserve"> </w:t>
      </w:r>
      <w:r w:rsidRPr="00D403F5">
        <w:rPr>
          <w:rFonts w:ascii="Arial" w:hAnsi="Arial" w:cs="Arial"/>
          <w:sz w:val="18"/>
          <w:szCs w:val="18"/>
        </w:rPr>
        <w:t>Z</w:t>
      </w:r>
      <w:r w:rsidRPr="00D403F5">
        <w:rPr>
          <w:rFonts w:ascii="Arial" w:hAnsi="Arial" w:cs="Arial"/>
          <w:caps/>
          <w:sz w:val="18"/>
          <w:szCs w:val="18"/>
        </w:rPr>
        <w:t>hao</w:t>
      </w:r>
      <w:r w:rsidRPr="00D403F5">
        <w:rPr>
          <w:rFonts w:ascii="Arial" w:hAnsi="Arial" w:cs="Arial"/>
          <w:sz w:val="18"/>
          <w:szCs w:val="18"/>
        </w:rPr>
        <w:t xml:space="preserve">, R.H. (2019a). Description of a Natural Infection with Decapod Iridescent Virus 1 in Farmed Giant Freshwater Prawn, </w:t>
      </w:r>
      <w:r w:rsidRPr="00D403F5">
        <w:rPr>
          <w:rFonts w:ascii="Arial" w:hAnsi="Arial" w:cs="Arial"/>
          <w:i/>
          <w:iCs/>
          <w:sz w:val="18"/>
          <w:szCs w:val="18"/>
        </w:rPr>
        <w:t>Macrobrachiumrosenbergii</w:t>
      </w:r>
      <w:r w:rsidRPr="00D403F5">
        <w:rPr>
          <w:rFonts w:ascii="Arial" w:hAnsi="Arial" w:cs="Arial"/>
          <w:sz w:val="18"/>
          <w:szCs w:val="18"/>
        </w:rPr>
        <w:t xml:space="preserve">. </w:t>
      </w:r>
      <w:r w:rsidRPr="00D403F5">
        <w:rPr>
          <w:rFonts w:ascii="Arial" w:hAnsi="Arial" w:cs="Arial"/>
          <w:i/>
          <w:iCs/>
          <w:sz w:val="18"/>
          <w:szCs w:val="18"/>
        </w:rPr>
        <w:t>Viruses</w:t>
      </w:r>
      <w:r w:rsidRPr="00D403F5">
        <w:rPr>
          <w:rFonts w:ascii="Arial" w:hAnsi="Arial" w:cs="Arial"/>
          <w:sz w:val="18"/>
          <w:szCs w:val="18"/>
        </w:rPr>
        <w:t xml:space="preserve">, </w:t>
      </w:r>
      <w:r w:rsidRPr="00D403F5">
        <w:rPr>
          <w:rFonts w:ascii="Arial" w:hAnsi="Arial" w:cs="Arial"/>
          <w:b/>
          <w:bCs/>
          <w:sz w:val="18"/>
          <w:szCs w:val="18"/>
        </w:rPr>
        <w:t>11(4)</w:t>
      </w:r>
      <w:r w:rsidRPr="00D403F5">
        <w:rPr>
          <w:rFonts w:ascii="Arial" w:hAnsi="Arial" w:cs="Arial"/>
          <w:sz w:val="18"/>
          <w:szCs w:val="18"/>
        </w:rPr>
        <w:t>, 354. doi: 10.3390/v11040354.</w:t>
      </w:r>
    </w:p>
    <w:p w14:paraId="447E5D32" w14:textId="77777777" w:rsidR="00C7266C" w:rsidRPr="00D403F5" w:rsidRDefault="00C7266C" w:rsidP="00D403F5">
      <w:pPr>
        <w:spacing w:after="0"/>
        <w:jc w:val="both"/>
        <w:rPr>
          <w:rFonts w:ascii="Arial" w:hAnsi="Arial" w:cs="Arial"/>
          <w:sz w:val="18"/>
          <w:szCs w:val="18"/>
        </w:rPr>
      </w:pPr>
      <w:r w:rsidRPr="00D403F5">
        <w:rPr>
          <w:rFonts w:ascii="Arial" w:hAnsi="Arial" w:cs="Arial"/>
          <w:sz w:val="18"/>
          <w:szCs w:val="18"/>
        </w:rPr>
        <w:t>QIU, L., DONG, X</w:t>
      </w:r>
      <w:r w:rsidRPr="00D403F5">
        <w:rPr>
          <w:rFonts w:ascii="Arial" w:hAnsi="Arial" w:cs="Arial" w:hint="eastAsia"/>
          <w:sz w:val="18"/>
          <w:szCs w:val="18"/>
          <w:lang w:eastAsia="zh-CN"/>
        </w:rPr>
        <w:t>.,</w:t>
      </w:r>
      <w:r w:rsidRPr="00D403F5">
        <w:rPr>
          <w:rFonts w:ascii="Arial" w:hAnsi="Arial" w:cs="Arial"/>
          <w:sz w:val="18"/>
          <w:szCs w:val="18"/>
        </w:rPr>
        <w:t xml:space="preserve"> WAN, X.Y. (2019b). Analysis of iridescent viral disease of shrimp (SHID) in 2018. In Analysis of Important Diseases of Aquatic Animals in China in 2018. Fishery and Fishery Administration Bureau under the Ministry of Agriculture and Rural Affairs, National Fishery Technical Extension Center, Eds., (in press) (in Chinese).</w:t>
      </w:r>
    </w:p>
    <w:p w14:paraId="3ECA238D" w14:textId="77777777" w:rsidR="00C7266C" w:rsidRPr="00D403F5" w:rsidRDefault="00C7266C" w:rsidP="00D403F5">
      <w:pPr>
        <w:spacing w:after="0"/>
        <w:jc w:val="both"/>
        <w:rPr>
          <w:rFonts w:ascii="Arial" w:hAnsi="Arial" w:cs="Arial"/>
          <w:sz w:val="18"/>
          <w:szCs w:val="18"/>
        </w:rPr>
      </w:pPr>
      <w:r w:rsidRPr="00D403F5">
        <w:rPr>
          <w:rFonts w:ascii="Arial" w:hAnsi="Arial" w:cs="Arial"/>
          <w:caps/>
          <w:sz w:val="18"/>
          <w:szCs w:val="18"/>
          <w:lang w:val="nb-NO"/>
        </w:rPr>
        <w:t xml:space="preserve">Xu, L., Wang, T. &amp; Li, F. </w:t>
      </w:r>
      <w:r w:rsidRPr="00D403F5">
        <w:rPr>
          <w:rFonts w:ascii="Arial" w:hAnsi="Arial" w:cs="Arial"/>
          <w:sz w:val="18"/>
          <w:szCs w:val="18"/>
          <w:lang w:val="nb-NO"/>
        </w:rPr>
        <w:t xml:space="preserve">(2016).  </w:t>
      </w:r>
      <w:r w:rsidRPr="00D403F5">
        <w:rPr>
          <w:rFonts w:ascii="Arial" w:hAnsi="Arial" w:cs="Arial"/>
          <w:sz w:val="18"/>
          <w:szCs w:val="18"/>
        </w:rPr>
        <w:t xml:space="preserve">Isolation and preliminary characterization of a new pathogenic iridovirus from redclaw crayfish </w:t>
      </w:r>
      <w:r w:rsidRPr="00D403F5">
        <w:rPr>
          <w:rFonts w:ascii="Arial" w:hAnsi="Arial" w:cs="Arial"/>
          <w:i/>
          <w:sz w:val="18"/>
          <w:szCs w:val="18"/>
        </w:rPr>
        <w:t>Cherax quadricarinatus</w:t>
      </w:r>
      <w:r w:rsidRPr="00D403F5">
        <w:rPr>
          <w:rFonts w:ascii="Arial" w:hAnsi="Arial" w:cs="Arial"/>
          <w:sz w:val="18"/>
          <w:szCs w:val="18"/>
        </w:rPr>
        <w:t xml:space="preserve">. </w:t>
      </w:r>
      <w:r w:rsidRPr="00D403F5">
        <w:rPr>
          <w:rFonts w:ascii="Arial" w:hAnsi="Arial" w:cs="Arial"/>
          <w:i/>
          <w:sz w:val="18"/>
          <w:szCs w:val="18"/>
        </w:rPr>
        <w:t>Diseases of Aquatic Organisms</w:t>
      </w:r>
      <w:r w:rsidRPr="00D403F5">
        <w:rPr>
          <w:rFonts w:ascii="Arial" w:hAnsi="Arial" w:cs="Arial"/>
          <w:sz w:val="18"/>
          <w:szCs w:val="18"/>
        </w:rPr>
        <w:t xml:space="preserve">, </w:t>
      </w:r>
      <w:r w:rsidRPr="00D403F5">
        <w:rPr>
          <w:rFonts w:ascii="Arial" w:hAnsi="Arial" w:cs="Arial"/>
          <w:b/>
          <w:sz w:val="18"/>
          <w:szCs w:val="18"/>
        </w:rPr>
        <w:t>120(1),</w:t>
      </w:r>
      <w:r w:rsidRPr="00D403F5">
        <w:rPr>
          <w:rFonts w:ascii="Arial" w:hAnsi="Arial" w:cs="Arial"/>
          <w:sz w:val="18"/>
          <w:szCs w:val="18"/>
        </w:rPr>
        <w:t>17.</w:t>
      </w:r>
    </w:p>
    <w:p w14:paraId="480C568E" w14:textId="77777777" w:rsidR="00A26A4C" w:rsidRPr="00D403F5" w:rsidRDefault="00A26A4C"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3790CE15" w14:textId="77777777" w:rsidR="00C7266C" w:rsidRPr="00D403F5" w:rsidRDefault="00C7266C" w:rsidP="00D403F5">
      <w:pPr>
        <w:spacing w:after="0"/>
        <w:ind w:left="107"/>
        <w:jc w:val="both"/>
        <w:rPr>
          <w:rFonts w:ascii="Arial" w:hAnsi="Arial" w:cs="Arial"/>
          <w:sz w:val="18"/>
          <w:szCs w:val="18"/>
          <w:lang w:val="en-IE"/>
        </w:rPr>
        <w:sectPr w:rsidR="00C7266C" w:rsidRPr="00D403F5" w:rsidSect="00C7266C">
          <w:headerReference w:type="even" r:id="rId157"/>
          <w:headerReference w:type="default" r:id="rId158"/>
          <w:footerReference w:type="even" r:id="rId159"/>
          <w:footerReference w:type="default" r:id="rId160"/>
          <w:headerReference w:type="first" r:id="rId161"/>
          <w:type w:val="oddPage"/>
          <w:pgSz w:w="12240" w:h="15840" w:code="1"/>
          <w:pgMar w:top="1418" w:right="1418" w:bottom="1418" w:left="1418" w:header="709" w:footer="709" w:gutter="0"/>
          <w:cols w:space="720"/>
          <w:vAlign w:val="both"/>
          <w:docGrid w:linePitch="360"/>
        </w:sectPr>
      </w:pPr>
    </w:p>
    <w:p w14:paraId="21D064A5" w14:textId="77777777" w:rsidR="00C7266C" w:rsidRPr="00D403F5" w:rsidRDefault="00C7266C" w:rsidP="00D403F5">
      <w:pPr>
        <w:spacing w:after="0"/>
        <w:ind w:hanging="425"/>
        <w:jc w:val="right"/>
        <w:rPr>
          <w:rFonts w:eastAsia="Calibri"/>
          <w:sz w:val="18"/>
          <w:szCs w:val="18"/>
          <w:lang w:val="en-US"/>
        </w:rPr>
      </w:pPr>
      <w:bookmarkStart w:id="98" w:name="_Hlk23955250"/>
      <w:r w:rsidRPr="00D403F5">
        <w:rPr>
          <w:noProof/>
          <w:sz w:val="18"/>
          <w:szCs w:val="18"/>
          <w:lang w:val="en-US" w:eastAsia="zh-TW"/>
        </w:rPr>
        <w:drawing>
          <wp:inline distT="0" distB="0" distL="0" distR="0" wp14:anchorId="2ABCE8CA" wp14:editId="2C3B4DD3">
            <wp:extent cx="5756910" cy="810895"/>
            <wp:effectExtent l="0" t="0" r="0" b="825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910" cy="810895"/>
                    </a:xfrm>
                    <a:prstGeom prst="rect">
                      <a:avLst/>
                    </a:prstGeom>
                    <a:noFill/>
                    <a:ln>
                      <a:noFill/>
                    </a:ln>
                  </pic:spPr>
                </pic:pic>
              </a:graphicData>
            </a:graphic>
          </wp:inline>
        </w:drawing>
      </w:r>
    </w:p>
    <w:p w14:paraId="52B1CF94" w14:textId="77777777" w:rsidR="00C7266C" w:rsidRPr="00D403F5" w:rsidRDefault="00C7266C" w:rsidP="00101F2F">
      <w:pPr>
        <w:spacing w:after="480"/>
        <w:ind w:hanging="425"/>
        <w:jc w:val="right"/>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p>
    <w:p w14:paraId="0A753F1B" w14:textId="77777777" w:rsidR="00C7266C" w:rsidRPr="00D403F5" w:rsidRDefault="00C7266C" w:rsidP="00D403F5">
      <w:pPr>
        <w:spacing w:after="0"/>
        <w:ind w:hanging="425"/>
        <w:jc w:val="right"/>
        <w:rPr>
          <w:rFonts w:ascii="Times New Roman" w:eastAsia="Calibri" w:hAnsi="Times New Roman" w:cs="Times New Roman"/>
          <w:sz w:val="18"/>
          <w:szCs w:val="18"/>
          <w:lang w:val="en-US"/>
        </w:rPr>
      </w:pPr>
      <w:r w:rsidRPr="00D403F5">
        <w:rPr>
          <w:rFonts w:ascii="Times New Roman" w:eastAsia="Calibri" w:hAnsi="Times New Roman" w:cs="Times New Roman"/>
          <w:sz w:val="18"/>
          <w:szCs w:val="18"/>
          <w:lang w:val="en-US"/>
        </w:rPr>
        <w:t>Original: English</w:t>
      </w:r>
    </w:p>
    <w:p w14:paraId="4F029638" w14:textId="77777777" w:rsidR="00C7266C" w:rsidRPr="00D403F5" w:rsidRDefault="00C7266C" w:rsidP="00D403F5">
      <w:pPr>
        <w:spacing w:after="0"/>
        <w:jc w:val="right"/>
        <w:rPr>
          <w:rFonts w:ascii="Times New Roman" w:eastAsia="Calibri" w:hAnsi="Times New Roman" w:cs="Times New Roman"/>
          <w:sz w:val="18"/>
          <w:szCs w:val="18"/>
          <w:lang w:val="en-US"/>
        </w:rPr>
      </w:pPr>
      <w:r w:rsidRPr="00D403F5">
        <w:rPr>
          <w:rFonts w:ascii="Times New Roman" w:eastAsia="Calibri" w:hAnsi="Times New Roman" w:cs="Times New Roman"/>
          <w:sz w:val="18"/>
          <w:szCs w:val="18"/>
          <w:lang w:val="en-US"/>
        </w:rPr>
        <w:t>September 2019</w:t>
      </w:r>
    </w:p>
    <w:p w14:paraId="3149D104" w14:textId="77777777" w:rsidR="00C7266C" w:rsidRPr="00D403F5" w:rsidRDefault="00C7266C" w:rsidP="00D403F5">
      <w:pPr>
        <w:keepNext/>
        <w:keepLines/>
        <w:pBdr>
          <w:top w:val="nil"/>
          <w:left w:val="nil"/>
          <w:bottom w:val="nil"/>
          <w:right w:val="nil"/>
          <w:between w:val="nil"/>
          <w:bar w:val="nil"/>
        </w:pBdr>
        <w:tabs>
          <w:tab w:val="left" w:pos="567"/>
          <w:tab w:val="left" w:pos="1134"/>
          <w:tab w:val="left" w:pos="1701"/>
          <w:tab w:val="left" w:pos="2268"/>
          <w:tab w:val="left" w:pos="2835"/>
        </w:tabs>
        <w:suppressAutoHyphens/>
        <w:spacing w:after="0"/>
        <w:jc w:val="center"/>
        <w:outlineLvl w:val="0"/>
        <w:rPr>
          <w:rFonts w:ascii="Arial" w:eastAsia="Calibri" w:hAnsi="Arial" w:cs="Arial"/>
          <w:b/>
          <w:bCs/>
          <w:caps/>
          <w:noProof/>
          <w:sz w:val="18"/>
          <w:szCs w:val="18"/>
          <w:bdr w:val="nil"/>
        </w:rPr>
      </w:pPr>
      <w:r w:rsidRPr="00D403F5">
        <w:rPr>
          <w:rFonts w:ascii="Arial" w:eastAsia="Calibri" w:hAnsi="Arial" w:cs="Arial"/>
          <w:b/>
          <w:bCs/>
          <w:caps/>
          <w:noProof/>
          <w:sz w:val="18"/>
          <w:szCs w:val="18"/>
          <w:bdr w:val="nil"/>
        </w:rPr>
        <w:t xml:space="preserve">report of THE OIE </w:t>
      </w:r>
      <w:r w:rsidRPr="00D403F5">
        <w:rPr>
          <w:rFonts w:ascii="Arial" w:eastAsia="Calibri" w:hAnsi="Arial" w:cs="Arial"/>
          <w:b/>
          <w:bCs/>
          <w:i/>
          <w:caps/>
          <w:noProof/>
          <w:sz w:val="18"/>
          <w:szCs w:val="18"/>
          <w:bdr w:val="nil"/>
        </w:rPr>
        <w:t xml:space="preserve">AD HOC </w:t>
      </w:r>
      <w:r w:rsidRPr="00D403F5">
        <w:rPr>
          <w:rFonts w:ascii="Arial" w:eastAsia="Calibri" w:hAnsi="Arial" w:cs="Arial"/>
          <w:b/>
          <w:bCs/>
          <w:caps/>
          <w:noProof/>
          <w:sz w:val="18"/>
          <w:szCs w:val="18"/>
          <w:bdr w:val="nil"/>
        </w:rPr>
        <w:t xml:space="preserve">GROUP ON SUSCEPTIBILITY </w:t>
      </w:r>
      <w:r w:rsidRPr="00D403F5">
        <w:rPr>
          <w:rFonts w:ascii="Arial" w:eastAsia="Calibri" w:hAnsi="Arial" w:cs="Arial"/>
          <w:b/>
          <w:bCs/>
          <w:caps/>
          <w:noProof/>
          <w:sz w:val="18"/>
          <w:szCs w:val="18"/>
          <w:bdr w:val="nil"/>
        </w:rPr>
        <w:br/>
        <w:t>OF FISH SPECIES TO INFECTION WITH OIE LISTED DISEASES</w:t>
      </w:r>
    </w:p>
    <w:p w14:paraId="77E444CA" w14:textId="77777777" w:rsidR="00C7266C" w:rsidRPr="00D403F5" w:rsidRDefault="00C7266C" w:rsidP="00D403F5">
      <w:pPr>
        <w:pBdr>
          <w:top w:val="nil"/>
          <w:left w:val="nil"/>
          <w:bottom w:val="nil"/>
          <w:right w:val="nil"/>
          <w:between w:val="nil"/>
          <w:bar w:val="nil"/>
        </w:pBdr>
        <w:suppressAutoHyphens/>
        <w:spacing w:after="0"/>
        <w:jc w:val="center"/>
        <w:rPr>
          <w:rFonts w:ascii="Arial" w:eastAsia="Calibri" w:hAnsi="Arial" w:cs="Arial"/>
          <w:sz w:val="18"/>
          <w:szCs w:val="18"/>
        </w:rPr>
      </w:pPr>
      <w:r w:rsidRPr="00D403F5">
        <w:rPr>
          <w:rFonts w:ascii="Arial" w:eastAsia="Calibri" w:hAnsi="Arial" w:cs="Arial"/>
          <w:b/>
          <w:noProof/>
          <w:sz w:val="18"/>
          <w:szCs w:val="18"/>
          <w:bdr w:val="nil"/>
        </w:rPr>
        <w:t>November 2018-September 2019</w:t>
      </w:r>
    </w:p>
    <w:p w14:paraId="0B2FFE62" w14:textId="77777777" w:rsidR="00C7266C" w:rsidRPr="00D403F5" w:rsidRDefault="00C7266C" w:rsidP="00D403F5">
      <w:pPr>
        <w:spacing w:after="0"/>
        <w:jc w:val="center"/>
        <w:rPr>
          <w:rFonts w:ascii="Arial" w:eastAsia="Calibri" w:hAnsi="Arial" w:cs="Arial"/>
          <w:sz w:val="18"/>
          <w:szCs w:val="18"/>
        </w:rPr>
      </w:pPr>
      <w:r w:rsidRPr="00D403F5">
        <w:rPr>
          <w:rFonts w:ascii="Arial" w:eastAsia="Calibri" w:hAnsi="Arial" w:cs="Arial"/>
          <w:sz w:val="18"/>
          <w:szCs w:val="18"/>
        </w:rPr>
        <w:t>_______</w:t>
      </w:r>
    </w:p>
    <w:p w14:paraId="4B3EB8F6" w14:textId="77777777" w:rsidR="00C7266C" w:rsidRPr="00D403F5" w:rsidRDefault="00C7266C" w:rsidP="00D403F5">
      <w:pPr>
        <w:widowControl w:val="0"/>
        <w:overflowPunct w:val="0"/>
        <w:autoSpaceDE w:val="0"/>
        <w:autoSpaceDN w:val="0"/>
        <w:adjustRightInd w:val="0"/>
        <w:spacing w:after="0"/>
        <w:jc w:val="both"/>
        <w:textAlignment w:val="baseline"/>
        <w:rPr>
          <w:rFonts w:ascii="Times New Roman" w:eastAsia="SimSun" w:hAnsi="Times New Roman" w:cs="Times New Roman"/>
          <w:noProof/>
          <w:sz w:val="18"/>
          <w:szCs w:val="18"/>
          <w:bdr w:val="nil"/>
          <w:lang w:eastAsia="zh-CN"/>
        </w:rPr>
      </w:pPr>
      <w:r w:rsidRPr="00D403F5">
        <w:rPr>
          <w:rFonts w:ascii="Times New Roman" w:eastAsia="SimSun" w:hAnsi="Times New Roman" w:cs="Times New Roman"/>
          <w:noProof/>
          <w:sz w:val="18"/>
          <w:szCs w:val="18"/>
          <w:bdr w:val="nil"/>
          <w:lang w:eastAsia="zh-CN"/>
        </w:rPr>
        <w:t xml:space="preserve">This report covers the work of the OIE </w:t>
      </w:r>
      <w:r w:rsidRPr="00D403F5">
        <w:rPr>
          <w:rFonts w:ascii="Times New Roman" w:eastAsia="SimSun" w:hAnsi="Times New Roman" w:cs="Times New Roman"/>
          <w:i/>
          <w:noProof/>
          <w:sz w:val="18"/>
          <w:szCs w:val="18"/>
          <w:bdr w:val="nil"/>
          <w:lang w:eastAsia="zh-CN"/>
        </w:rPr>
        <w:t>ad hoc</w:t>
      </w:r>
      <w:r w:rsidRPr="00D403F5">
        <w:rPr>
          <w:rFonts w:ascii="Times New Roman" w:eastAsia="SimSun" w:hAnsi="Times New Roman" w:cs="Times New Roman"/>
          <w:noProof/>
          <w:sz w:val="18"/>
          <w:szCs w:val="18"/>
          <w:bdr w:val="nil"/>
          <w:lang w:eastAsia="zh-CN"/>
        </w:rPr>
        <w:t xml:space="preserve"> Group on Susceptibility of fish species to infection with OIE listed diseases (the </w:t>
      </w:r>
      <w:r w:rsidRPr="00D403F5">
        <w:rPr>
          <w:rFonts w:ascii="Times New Roman" w:eastAsia="SimSun" w:hAnsi="Times New Roman" w:cs="Times New Roman"/>
          <w:i/>
          <w:noProof/>
          <w:sz w:val="18"/>
          <w:szCs w:val="18"/>
          <w:bdr w:val="nil"/>
          <w:lang w:eastAsia="zh-CN"/>
        </w:rPr>
        <w:t>ad hoc</w:t>
      </w:r>
      <w:r w:rsidRPr="00D403F5">
        <w:rPr>
          <w:rFonts w:ascii="Times New Roman" w:eastAsia="SimSun" w:hAnsi="Times New Roman" w:cs="Times New Roman"/>
          <w:noProof/>
          <w:sz w:val="18"/>
          <w:szCs w:val="18"/>
          <w:bdr w:val="nil"/>
          <w:lang w:eastAsia="zh-CN"/>
        </w:rPr>
        <w:t xml:space="preserve"> Group) between November 2018 and September 2019.    </w:t>
      </w:r>
    </w:p>
    <w:p w14:paraId="404A9A85" w14:textId="77777777" w:rsidR="00C7266C" w:rsidRPr="00D403F5" w:rsidRDefault="00C7266C" w:rsidP="00D403F5">
      <w:pPr>
        <w:widowControl w:val="0"/>
        <w:overflowPunct w:val="0"/>
        <w:autoSpaceDE w:val="0"/>
        <w:autoSpaceDN w:val="0"/>
        <w:adjustRightInd w:val="0"/>
        <w:spacing w:after="0"/>
        <w:jc w:val="both"/>
        <w:textAlignment w:val="baseline"/>
        <w:rPr>
          <w:rFonts w:ascii="Times New Roman" w:hAnsi="Times New Roman" w:cs="Times New Roman"/>
          <w:noProof/>
          <w:color w:val="000000"/>
          <w:sz w:val="18"/>
          <w:szCs w:val="18"/>
          <w:bdr w:val="nil"/>
          <w:lang w:val="en-US" w:eastAsia="en-GB"/>
        </w:rPr>
      </w:pPr>
      <w:r w:rsidRPr="00D403F5">
        <w:rPr>
          <w:rFonts w:ascii="Times New Roman" w:hAnsi="Times New Roman" w:cs="Times New Roman"/>
          <w:noProof/>
          <w:color w:val="000000"/>
          <w:sz w:val="18"/>
          <w:szCs w:val="18"/>
          <w:u w:color="000000"/>
          <w:bdr w:val="nil"/>
          <w:lang w:val="en-US" w:eastAsia="en-GB"/>
        </w:rPr>
        <w:t xml:space="preserve">The list of participants and the Terms of Reference are presented in </w:t>
      </w:r>
      <w:r w:rsidRPr="00D403F5">
        <w:rPr>
          <w:rFonts w:ascii="Times New Roman" w:hAnsi="Times New Roman" w:cs="Times New Roman"/>
          <w:noProof/>
          <w:color w:val="000000"/>
          <w:sz w:val="18"/>
          <w:szCs w:val="18"/>
          <w:u w:val="single" w:color="000000"/>
          <w:bdr w:val="nil"/>
          <w:lang w:val="en-US" w:eastAsia="en-GB"/>
        </w:rPr>
        <w:t xml:space="preserve">Annex II </w:t>
      </w:r>
      <w:r w:rsidRPr="00D403F5">
        <w:rPr>
          <w:rFonts w:ascii="Times New Roman" w:hAnsi="Times New Roman" w:cs="Times New Roman"/>
          <w:noProof/>
          <w:color w:val="000000"/>
          <w:sz w:val="18"/>
          <w:szCs w:val="18"/>
          <w:bdr w:val="nil"/>
          <w:lang w:val="en-US" w:eastAsia="en-GB"/>
        </w:rPr>
        <w:t xml:space="preserve">and </w:t>
      </w:r>
      <w:r w:rsidRPr="00D403F5">
        <w:rPr>
          <w:rFonts w:ascii="Times New Roman" w:hAnsi="Times New Roman" w:cs="Times New Roman"/>
          <w:noProof/>
          <w:color w:val="000000"/>
          <w:sz w:val="18"/>
          <w:szCs w:val="18"/>
          <w:u w:val="single"/>
          <w:bdr w:val="nil"/>
          <w:lang w:val="en-US" w:eastAsia="en-GB"/>
        </w:rPr>
        <w:t>Annex III</w:t>
      </w:r>
      <w:r w:rsidRPr="00D403F5">
        <w:rPr>
          <w:rFonts w:ascii="Times New Roman" w:hAnsi="Times New Roman" w:cs="Times New Roman"/>
          <w:noProof/>
          <w:color w:val="000000"/>
          <w:sz w:val="18"/>
          <w:szCs w:val="18"/>
          <w:bdr w:val="nil"/>
          <w:lang w:val="en-US" w:eastAsia="en-GB"/>
        </w:rPr>
        <w:t xml:space="preserve">, respectively. </w:t>
      </w:r>
    </w:p>
    <w:p w14:paraId="0916C267" w14:textId="77777777" w:rsidR="00C7266C" w:rsidRPr="00D403F5" w:rsidRDefault="00C7266C" w:rsidP="00D403F5">
      <w:pPr>
        <w:widowControl w:val="0"/>
        <w:overflowPunct w:val="0"/>
        <w:autoSpaceDE w:val="0"/>
        <w:autoSpaceDN w:val="0"/>
        <w:adjustRightInd w:val="0"/>
        <w:spacing w:after="0"/>
        <w:jc w:val="both"/>
        <w:textAlignment w:val="baseline"/>
        <w:rPr>
          <w:rFonts w:ascii="Times New Roman" w:eastAsia="SimSun" w:hAnsi="Times New Roman" w:cs="Times New Roman"/>
          <w:noProof/>
          <w:sz w:val="18"/>
          <w:szCs w:val="18"/>
          <w:lang w:val="en-US" w:eastAsia="fr-FR"/>
        </w:rPr>
      </w:pPr>
      <w:r w:rsidRPr="00D403F5">
        <w:rPr>
          <w:rFonts w:ascii="Times New Roman" w:hAnsi="Times New Roman" w:cs="Times New Roman"/>
          <w:noProof/>
          <w:color w:val="000000"/>
          <w:sz w:val="18"/>
          <w:szCs w:val="18"/>
          <w:u w:color="000000"/>
          <w:bdr w:val="nil"/>
          <w:lang w:val="en-US" w:eastAsia="en-GB"/>
        </w:rPr>
        <w:t xml:space="preserve">During this period the </w:t>
      </w:r>
      <w:bookmarkStart w:id="99" w:name="_Hlk517857865"/>
      <w:r w:rsidRPr="00D403F5">
        <w:rPr>
          <w:rFonts w:ascii="Times New Roman" w:hAnsi="Times New Roman" w:cs="Times New Roman"/>
          <w:i/>
          <w:noProof/>
          <w:sz w:val="18"/>
          <w:szCs w:val="18"/>
          <w:bdr w:val="nil"/>
          <w:lang w:eastAsia="zh-CN"/>
        </w:rPr>
        <w:t>ad hoc</w:t>
      </w:r>
      <w:r w:rsidRPr="00D403F5">
        <w:rPr>
          <w:rFonts w:ascii="Times New Roman" w:hAnsi="Times New Roman" w:cs="Times New Roman"/>
          <w:noProof/>
          <w:sz w:val="18"/>
          <w:szCs w:val="18"/>
          <w:bdr w:val="nil"/>
          <w:lang w:eastAsia="zh-CN"/>
        </w:rPr>
        <w:t xml:space="preserve"> Group</w:t>
      </w:r>
      <w:bookmarkEnd w:id="99"/>
      <w:r w:rsidRPr="00D403F5">
        <w:rPr>
          <w:rFonts w:ascii="Times New Roman" w:hAnsi="Times New Roman" w:cs="Times New Roman"/>
          <w:noProof/>
          <w:sz w:val="18"/>
          <w:szCs w:val="18"/>
          <w:bdr w:val="nil"/>
          <w:lang w:eastAsia="zh-CN"/>
        </w:rPr>
        <w:t xml:space="preserve"> had worked electronically and had applied</w:t>
      </w:r>
      <w:r w:rsidRPr="00D403F5">
        <w:rPr>
          <w:rFonts w:ascii="Times New Roman" w:hAnsi="Times New Roman" w:cs="Times New Roman"/>
          <w:bCs/>
          <w:kern w:val="1"/>
          <w:sz w:val="18"/>
          <w:szCs w:val="18"/>
          <w:lang w:eastAsia="ar-SA"/>
        </w:rPr>
        <w:t xml:space="preserve"> the criteria to host species to determine susceptibility to infection with viral haemorrhagic septicaemia virus (VHSV). This was done by </w:t>
      </w:r>
      <w:r w:rsidRPr="00D403F5">
        <w:rPr>
          <w:rFonts w:ascii="Times New Roman" w:eastAsia="SimSun" w:hAnsi="Times New Roman" w:cs="Times New Roman"/>
          <w:noProof/>
          <w:sz w:val="18"/>
          <w:szCs w:val="18"/>
          <w:lang w:val="en-US" w:eastAsia="fr-FR"/>
        </w:rPr>
        <w:t xml:space="preserve">the three-stage approach, outlined in Article 1.5.3. </w:t>
      </w:r>
      <w:r w:rsidRPr="00D403F5">
        <w:rPr>
          <w:rFonts w:ascii="Times New Roman" w:eastAsia="Arial Unicode MS" w:hAnsi="Times New Roman" w:cs="Times New Roman"/>
          <w:color w:val="000000"/>
          <w:sz w:val="18"/>
          <w:szCs w:val="18"/>
          <w:u w:color="000000"/>
          <w:bdr w:val="nil"/>
          <w:lang w:val="en-US" w:eastAsia="en-GB"/>
        </w:rPr>
        <w:t xml:space="preserve">of the </w:t>
      </w:r>
      <w:r w:rsidRPr="00D403F5">
        <w:rPr>
          <w:rFonts w:ascii="Times New Roman" w:eastAsia="Arial Unicode MS" w:hAnsi="Times New Roman" w:cs="Times New Roman"/>
          <w:i/>
          <w:color w:val="000000"/>
          <w:sz w:val="18"/>
          <w:szCs w:val="18"/>
          <w:u w:color="000000"/>
          <w:bdr w:val="nil"/>
          <w:lang w:val="en-US" w:eastAsia="en-GB"/>
        </w:rPr>
        <w:t>Aquatic Code</w:t>
      </w:r>
      <w:r w:rsidRPr="00D403F5">
        <w:rPr>
          <w:rFonts w:ascii="Times New Roman" w:eastAsia="Arial Unicode MS" w:hAnsi="Times New Roman" w:cs="Times New Roman"/>
          <w:color w:val="000000"/>
          <w:sz w:val="18"/>
          <w:szCs w:val="18"/>
          <w:u w:color="000000"/>
          <w:bdr w:val="nil"/>
          <w:lang w:val="en-US" w:eastAsia="en-GB"/>
        </w:rPr>
        <w:t xml:space="preserve">, </w:t>
      </w:r>
      <w:r w:rsidRPr="00D403F5">
        <w:rPr>
          <w:rFonts w:ascii="Times New Roman" w:eastAsia="SimSun" w:hAnsi="Times New Roman" w:cs="Times New Roman"/>
          <w:noProof/>
          <w:sz w:val="18"/>
          <w:szCs w:val="18"/>
          <w:lang w:val="en-US" w:eastAsia="fr-FR"/>
        </w:rPr>
        <w:t xml:space="preserve">to assess susceptibility of a species to infection with VHSV, as </w:t>
      </w:r>
      <w:r w:rsidRPr="00D403F5">
        <w:rPr>
          <w:rFonts w:ascii="Times New Roman" w:eastAsia="Arial Unicode MS" w:hAnsi="Times New Roman" w:cs="Times New Roman"/>
          <w:color w:val="000000"/>
          <w:sz w:val="18"/>
          <w:szCs w:val="18"/>
          <w:u w:color="000000"/>
          <w:bdr w:val="nil"/>
          <w:lang w:val="en-US" w:eastAsia="en-GB"/>
        </w:rPr>
        <w:t>described below</w:t>
      </w:r>
      <w:r w:rsidRPr="00D403F5">
        <w:rPr>
          <w:rFonts w:ascii="Times New Roman" w:eastAsia="SimSun" w:hAnsi="Times New Roman" w:cs="Times New Roman"/>
          <w:noProof/>
          <w:sz w:val="18"/>
          <w:szCs w:val="18"/>
          <w:lang w:val="en-US" w:eastAsia="fr-FR"/>
        </w:rPr>
        <w:t xml:space="preserve">: </w:t>
      </w:r>
    </w:p>
    <w:p w14:paraId="492C93FA" w14:textId="77777777" w:rsidR="00C7266C" w:rsidRPr="00D403F5" w:rsidRDefault="00C7266C" w:rsidP="00D403F5">
      <w:pPr>
        <w:keepNext/>
        <w:keepLines/>
        <w:pBdr>
          <w:top w:val="nil"/>
          <w:left w:val="nil"/>
          <w:bottom w:val="nil"/>
          <w:right w:val="nil"/>
          <w:between w:val="nil"/>
          <w:bar w:val="nil"/>
        </w:pBdr>
        <w:suppressAutoHyphens/>
        <w:spacing w:after="0"/>
        <w:ind w:left="432" w:hanging="432"/>
        <w:jc w:val="both"/>
        <w:rPr>
          <w:rFonts w:ascii="Times New Roman" w:eastAsia="Calibri" w:hAnsi="Times New Roman" w:cs="Times New Roman"/>
          <w:sz w:val="18"/>
          <w:szCs w:val="18"/>
          <w:lang w:val="en-US"/>
        </w:rPr>
      </w:pPr>
      <w:r w:rsidRPr="00D403F5">
        <w:rPr>
          <w:rFonts w:ascii="Times New Roman" w:eastAsia="Calibri" w:hAnsi="Times New Roman" w:cs="Times New Roman"/>
          <w:noProof/>
          <w:sz w:val="18"/>
          <w:szCs w:val="18"/>
          <w:lang w:val="en-US" w:eastAsia="fr-FR"/>
        </w:rPr>
        <w:t>1)</w:t>
      </w:r>
      <w:r w:rsidRPr="00D403F5">
        <w:rPr>
          <w:rFonts w:ascii="Times New Roman" w:eastAsia="Calibri" w:hAnsi="Times New Roman" w:cs="Times New Roman"/>
          <w:noProof/>
          <w:sz w:val="18"/>
          <w:szCs w:val="18"/>
          <w:lang w:val="en-US" w:eastAsia="fr-FR"/>
        </w:rPr>
        <w:tab/>
      </w:r>
      <w:r w:rsidRPr="00D403F5">
        <w:rPr>
          <w:rFonts w:ascii="Times New Roman" w:eastAsia="Calibri" w:hAnsi="Times New Roman" w:cs="Times New Roman"/>
          <w:sz w:val="18"/>
          <w:szCs w:val="18"/>
          <w:lang w:val="en-US"/>
        </w:rPr>
        <w:t xml:space="preserve">criteria to determine whether the route of transmission is consistent with natural pathways for the </w:t>
      </w:r>
      <w:r w:rsidRPr="00D403F5">
        <w:rPr>
          <w:rFonts w:ascii="Times New Roman" w:eastAsia="Calibri" w:hAnsi="Times New Roman" w:cs="Times New Roman"/>
          <w:iCs/>
          <w:sz w:val="18"/>
          <w:szCs w:val="18"/>
          <w:lang w:val="en-US"/>
        </w:rPr>
        <w:t>infection</w:t>
      </w:r>
      <w:r w:rsidRPr="00D403F5">
        <w:rPr>
          <w:rFonts w:ascii="Times New Roman" w:eastAsia="Calibri" w:hAnsi="Times New Roman" w:cs="Times New Roman"/>
          <w:sz w:val="18"/>
          <w:szCs w:val="18"/>
          <w:lang w:val="en-US"/>
        </w:rPr>
        <w:t xml:space="preserve"> (as described in Article 1.5.4.);</w:t>
      </w:r>
    </w:p>
    <w:p w14:paraId="4E35BE41" w14:textId="77777777" w:rsidR="00C7266C" w:rsidRPr="00D403F5" w:rsidRDefault="00C7266C" w:rsidP="00D403F5">
      <w:pPr>
        <w:keepNext/>
        <w:keepLines/>
        <w:pBdr>
          <w:top w:val="nil"/>
          <w:left w:val="nil"/>
          <w:bottom w:val="nil"/>
          <w:right w:val="nil"/>
          <w:between w:val="nil"/>
          <w:bar w:val="nil"/>
        </w:pBdr>
        <w:suppressAutoHyphens/>
        <w:spacing w:after="0"/>
        <w:ind w:left="432" w:hanging="432"/>
        <w:jc w:val="both"/>
        <w:rPr>
          <w:rFonts w:ascii="Times New Roman" w:eastAsia="Calibri" w:hAnsi="Times New Roman" w:cs="Times New Roman"/>
          <w:sz w:val="18"/>
          <w:szCs w:val="18"/>
          <w:lang w:val="en-US"/>
        </w:rPr>
      </w:pPr>
      <w:r w:rsidRPr="00D403F5">
        <w:rPr>
          <w:rFonts w:ascii="Times New Roman" w:eastAsia="Calibri" w:hAnsi="Times New Roman" w:cs="Times New Roman"/>
          <w:sz w:val="18"/>
          <w:szCs w:val="18"/>
          <w:lang w:val="en-US"/>
        </w:rPr>
        <w:t>2)</w:t>
      </w:r>
      <w:r w:rsidRPr="00D403F5">
        <w:rPr>
          <w:rFonts w:ascii="Times New Roman" w:eastAsia="Calibri" w:hAnsi="Times New Roman" w:cs="Times New Roman"/>
          <w:sz w:val="18"/>
          <w:szCs w:val="18"/>
          <w:lang w:val="en-US"/>
        </w:rPr>
        <w:tab/>
        <w:t xml:space="preserve">criteria to determine whether the </w:t>
      </w:r>
      <w:r w:rsidRPr="00D403F5">
        <w:rPr>
          <w:rFonts w:ascii="Times New Roman" w:eastAsia="Calibri" w:hAnsi="Times New Roman" w:cs="Times New Roman"/>
          <w:iCs/>
          <w:sz w:val="18"/>
          <w:szCs w:val="18"/>
          <w:lang w:val="en-US"/>
        </w:rPr>
        <w:t>pathogenic agent</w:t>
      </w:r>
      <w:r w:rsidRPr="00D403F5">
        <w:rPr>
          <w:rFonts w:ascii="Times New Roman" w:eastAsia="Calibri" w:hAnsi="Times New Roman" w:cs="Times New Roman"/>
          <w:sz w:val="18"/>
          <w:szCs w:val="18"/>
          <w:lang w:val="en-US"/>
        </w:rPr>
        <w:t xml:space="preserve"> has been adequately identified (as described in Article 1.5.5.);</w:t>
      </w:r>
    </w:p>
    <w:p w14:paraId="7ED094AF" w14:textId="77777777" w:rsidR="00C7266C" w:rsidRPr="00D403F5" w:rsidRDefault="00C7266C" w:rsidP="00D403F5">
      <w:pPr>
        <w:keepNext/>
        <w:keepLines/>
        <w:pBdr>
          <w:top w:val="nil"/>
          <w:left w:val="nil"/>
          <w:bottom w:val="nil"/>
          <w:right w:val="nil"/>
          <w:between w:val="nil"/>
          <w:bar w:val="nil"/>
        </w:pBdr>
        <w:suppressAutoHyphens/>
        <w:spacing w:after="0"/>
        <w:ind w:left="432" w:hanging="432"/>
        <w:jc w:val="both"/>
        <w:rPr>
          <w:rFonts w:ascii="Times New Roman" w:eastAsia="Calibri" w:hAnsi="Times New Roman" w:cs="Times New Roman"/>
          <w:sz w:val="18"/>
          <w:szCs w:val="18"/>
          <w:lang w:val="en-US"/>
        </w:rPr>
      </w:pPr>
      <w:r w:rsidRPr="00D403F5">
        <w:rPr>
          <w:rFonts w:ascii="Times New Roman" w:eastAsia="Calibri" w:hAnsi="Times New Roman" w:cs="Times New Roman"/>
          <w:sz w:val="18"/>
          <w:szCs w:val="18"/>
          <w:lang w:val="en-US"/>
        </w:rPr>
        <w:t xml:space="preserve">3) </w:t>
      </w:r>
      <w:r w:rsidRPr="00D403F5">
        <w:rPr>
          <w:rFonts w:ascii="Times New Roman" w:eastAsia="Calibri" w:hAnsi="Times New Roman" w:cs="Times New Roman"/>
          <w:sz w:val="18"/>
          <w:szCs w:val="18"/>
          <w:lang w:val="en-US"/>
        </w:rPr>
        <w:tab/>
        <w:t xml:space="preserve">criteria to determine whether the evidence indicates that presence of the </w:t>
      </w:r>
      <w:r w:rsidRPr="00D403F5">
        <w:rPr>
          <w:rFonts w:ascii="Times New Roman" w:eastAsia="Calibri" w:hAnsi="Times New Roman" w:cs="Times New Roman"/>
          <w:iCs/>
          <w:sz w:val="18"/>
          <w:szCs w:val="18"/>
          <w:lang w:val="en-US"/>
        </w:rPr>
        <w:t>pathogenic agent</w:t>
      </w:r>
      <w:r w:rsidRPr="00D403F5">
        <w:rPr>
          <w:rFonts w:ascii="Times New Roman" w:eastAsia="Calibri" w:hAnsi="Times New Roman" w:cs="Times New Roman"/>
          <w:sz w:val="18"/>
          <w:szCs w:val="18"/>
          <w:lang w:val="en-US"/>
        </w:rPr>
        <w:t xml:space="preserve"> constitutes an </w:t>
      </w:r>
      <w:r w:rsidRPr="00D403F5">
        <w:rPr>
          <w:rFonts w:ascii="Times New Roman" w:eastAsia="Calibri" w:hAnsi="Times New Roman" w:cs="Times New Roman"/>
          <w:iCs/>
          <w:sz w:val="18"/>
          <w:szCs w:val="18"/>
          <w:lang w:val="en-US"/>
        </w:rPr>
        <w:t>infection</w:t>
      </w:r>
      <w:r w:rsidRPr="00D403F5">
        <w:rPr>
          <w:rFonts w:ascii="Times New Roman" w:eastAsia="Calibri" w:hAnsi="Times New Roman" w:cs="Times New Roman"/>
          <w:sz w:val="18"/>
          <w:szCs w:val="18"/>
          <w:lang w:val="en-US"/>
        </w:rPr>
        <w:t xml:space="preserve"> (as described in Article 1.5.6.)</w:t>
      </w:r>
    </w:p>
    <w:p w14:paraId="22E4EBF2" w14:textId="77777777" w:rsidR="00C7266C" w:rsidRPr="00D403F5" w:rsidRDefault="00C7266C" w:rsidP="00D403F5">
      <w:pPr>
        <w:spacing w:after="0"/>
        <w:ind w:left="851" w:hanging="851"/>
        <w:jc w:val="both"/>
        <w:rPr>
          <w:rFonts w:ascii="Times New Roman" w:eastAsia="Calibri" w:hAnsi="Times New Roman" w:cs="Times New Roman"/>
          <w:b/>
          <w:caps/>
          <w:sz w:val="18"/>
          <w:szCs w:val="18"/>
        </w:rPr>
      </w:pPr>
      <w:r w:rsidRPr="00D403F5">
        <w:rPr>
          <w:rFonts w:ascii="Times New Roman" w:eastAsia="Calibri" w:hAnsi="Times New Roman" w:cs="Times New Roman"/>
          <w:b/>
          <w:sz w:val="18"/>
          <w:szCs w:val="18"/>
        </w:rPr>
        <w:t xml:space="preserve">Stage 1: </w:t>
      </w:r>
      <w:r w:rsidRPr="00D403F5">
        <w:rPr>
          <w:rFonts w:ascii="Times New Roman" w:eastAsia="Calibri" w:hAnsi="Times New Roman" w:cs="Times New Roman"/>
          <w:b/>
          <w:sz w:val="18"/>
          <w:szCs w:val="18"/>
        </w:rPr>
        <w:tab/>
        <w:t xml:space="preserve">criteria to determine whether the route of transmission is consistent with natural pathways for the infection (as described in Article 1.5.4.)  </w:t>
      </w:r>
    </w:p>
    <w:p w14:paraId="433C6BD2" w14:textId="77777777" w:rsidR="00C7266C" w:rsidRPr="00D403F5" w:rsidRDefault="00C7266C" w:rsidP="00D403F5">
      <w:pPr>
        <w:spacing w:after="0"/>
        <w:jc w:val="both"/>
        <w:rPr>
          <w:rFonts w:ascii="Times New Roman" w:eastAsia="Calibri" w:hAnsi="Times New Roman" w:cs="Times New Roman"/>
          <w:sz w:val="18"/>
          <w:szCs w:val="18"/>
          <w:u w:val="single"/>
        </w:rPr>
      </w:pPr>
      <w:r w:rsidRPr="00D403F5">
        <w:rPr>
          <w:rFonts w:ascii="Times New Roman" w:eastAsia="Calibri" w:hAnsi="Times New Roman" w:cs="Times New Roman"/>
          <w:sz w:val="18"/>
          <w:szCs w:val="18"/>
          <w:u w:val="single"/>
        </w:rPr>
        <w:t>Route of infection Key</w:t>
      </w:r>
    </w:p>
    <w:p w14:paraId="00012704" w14:textId="77777777" w:rsidR="00C7266C" w:rsidRPr="00D403F5" w:rsidRDefault="00C7266C" w:rsidP="00D403F5">
      <w:pPr>
        <w:tabs>
          <w:tab w:val="left" w:pos="426"/>
        </w:tabs>
        <w:spacing w:after="0"/>
        <w:jc w:val="both"/>
        <w:rPr>
          <w:rFonts w:ascii="Times New Roman" w:eastAsia="Calibri" w:hAnsi="Times New Roman" w:cs="Times New Roman"/>
          <w:i/>
          <w:sz w:val="18"/>
          <w:szCs w:val="18"/>
        </w:rPr>
      </w:pPr>
      <w:r w:rsidRPr="00D403F5">
        <w:rPr>
          <w:rFonts w:ascii="Times New Roman" w:eastAsia="Calibri" w:hAnsi="Times New Roman" w:cs="Times New Roman"/>
          <w:i/>
          <w:sz w:val="18"/>
          <w:szCs w:val="18"/>
        </w:rPr>
        <w:t xml:space="preserve">N: </w:t>
      </w:r>
      <w:r w:rsidRPr="00D403F5">
        <w:rPr>
          <w:rFonts w:ascii="Times New Roman" w:eastAsia="Calibri" w:hAnsi="Times New Roman" w:cs="Times New Roman"/>
          <w:i/>
          <w:sz w:val="18"/>
          <w:szCs w:val="18"/>
        </w:rPr>
        <w:tab/>
        <w:t>Natural infection.</w:t>
      </w:r>
    </w:p>
    <w:p w14:paraId="4742821E" w14:textId="77777777" w:rsidR="00C7266C" w:rsidRPr="00D403F5" w:rsidRDefault="00C7266C" w:rsidP="00D403F5">
      <w:pPr>
        <w:tabs>
          <w:tab w:val="left" w:pos="426"/>
        </w:tabs>
        <w:spacing w:after="0"/>
        <w:jc w:val="both"/>
        <w:rPr>
          <w:rFonts w:ascii="Times New Roman" w:eastAsia="Calibri" w:hAnsi="Times New Roman" w:cs="Times New Roman"/>
          <w:i/>
          <w:sz w:val="18"/>
          <w:szCs w:val="18"/>
        </w:rPr>
      </w:pPr>
      <w:r w:rsidRPr="00D403F5">
        <w:rPr>
          <w:rFonts w:ascii="Times New Roman" w:eastAsia="Calibri" w:hAnsi="Times New Roman" w:cs="Times New Roman"/>
          <w:i/>
          <w:sz w:val="18"/>
          <w:szCs w:val="18"/>
        </w:rPr>
        <w:t xml:space="preserve">E: </w:t>
      </w:r>
      <w:r w:rsidRPr="00D403F5">
        <w:rPr>
          <w:rFonts w:ascii="Times New Roman" w:eastAsia="Calibri" w:hAnsi="Times New Roman" w:cs="Times New Roman"/>
          <w:i/>
          <w:sz w:val="18"/>
          <w:szCs w:val="18"/>
        </w:rPr>
        <w:tab/>
        <w:t>Experimental (non-invasive).</w:t>
      </w:r>
    </w:p>
    <w:p w14:paraId="5D86A58B" w14:textId="77777777" w:rsidR="00C7266C" w:rsidRPr="00D403F5" w:rsidRDefault="00C7266C" w:rsidP="00D403F5">
      <w:pPr>
        <w:tabs>
          <w:tab w:val="left" w:pos="426"/>
        </w:tabs>
        <w:spacing w:after="0"/>
        <w:jc w:val="both"/>
        <w:rPr>
          <w:rFonts w:ascii="Times New Roman" w:eastAsia="Calibri" w:hAnsi="Times New Roman" w:cs="Times New Roman"/>
          <w:i/>
          <w:sz w:val="18"/>
          <w:szCs w:val="18"/>
        </w:rPr>
      </w:pPr>
      <w:r w:rsidRPr="00D403F5">
        <w:rPr>
          <w:rFonts w:ascii="Times New Roman" w:eastAsia="Calibri" w:hAnsi="Times New Roman" w:cs="Times New Roman"/>
          <w:i/>
          <w:sz w:val="18"/>
          <w:szCs w:val="18"/>
        </w:rPr>
        <w:t xml:space="preserve">EI: </w:t>
      </w:r>
      <w:r w:rsidRPr="00D403F5">
        <w:rPr>
          <w:rFonts w:ascii="Times New Roman" w:eastAsia="Calibri" w:hAnsi="Times New Roman" w:cs="Times New Roman"/>
          <w:i/>
          <w:sz w:val="18"/>
          <w:szCs w:val="18"/>
        </w:rPr>
        <w:tab/>
        <w:t>Experimental (invasive).</w:t>
      </w:r>
    </w:p>
    <w:p w14:paraId="1189BBBC" w14:textId="77777777" w:rsidR="00C7266C" w:rsidRPr="00D403F5" w:rsidRDefault="00C7266C" w:rsidP="00D403F5">
      <w:pPr>
        <w:spacing w:after="0"/>
        <w:jc w:val="both"/>
        <w:rPr>
          <w:rFonts w:ascii="Times New Roman" w:eastAsia="Calibri" w:hAnsi="Times New Roman" w:cs="Times New Roman"/>
          <w:sz w:val="18"/>
          <w:szCs w:val="18"/>
          <w:lang w:eastAsia="fr-FR"/>
        </w:rPr>
      </w:pPr>
      <w:r w:rsidRPr="00D403F5">
        <w:rPr>
          <w:rFonts w:ascii="Times New Roman" w:eastAsia="Calibri" w:hAnsi="Times New Roman" w:cs="Times New Roman"/>
          <w:sz w:val="18"/>
          <w:szCs w:val="18"/>
          <w:lang w:eastAsia="fr-FR"/>
        </w:rPr>
        <w:t xml:space="preserve">References that reported invasive experimental procedures as the route of transmission were not used as evidence for infection (i.e. Article 1.5.4.). </w:t>
      </w:r>
    </w:p>
    <w:p w14:paraId="6BF3E6E6" w14:textId="77777777" w:rsidR="00C7266C" w:rsidRPr="00D403F5" w:rsidRDefault="00C7266C" w:rsidP="00D403F5">
      <w:pPr>
        <w:spacing w:after="0"/>
        <w:ind w:left="851" w:hanging="851"/>
        <w:jc w:val="both"/>
        <w:rPr>
          <w:rFonts w:ascii="Times New Roman" w:eastAsia="Calibri" w:hAnsi="Times New Roman" w:cs="Times New Roman"/>
          <w:b/>
          <w:sz w:val="18"/>
          <w:szCs w:val="18"/>
        </w:rPr>
      </w:pPr>
      <w:r w:rsidRPr="00D403F5">
        <w:rPr>
          <w:rFonts w:ascii="Times New Roman" w:eastAsia="Calibri" w:hAnsi="Times New Roman" w:cs="Times New Roman"/>
          <w:b/>
          <w:sz w:val="18"/>
          <w:szCs w:val="18"/>
        </w:rPr>
        <w:t xml:space="preserve">Stage 2: </w:t>
      </w:r>
      <w:r w:rsidRPr="00D403F5">
        <w:rPr>
          <w:rFonts w:ascii="Times New Roman" w:eastAsia="Calibri" w:hAnsi="Times New Roman" w:cs="Times New Roman"/>
          <w:b/>
          <w:sz w:val="18"/>
          <w:szCs w:val="18"/>
        </w:rPr>
        <w:tab/>
        <w:t>criteria to determine whether the pathogenic agent has been adequately identified as described in Article 1.5.5.</w:t>
      </w:r>
    </w:p>
    <w:p w14:paraId="06EDE9F6" w14:textId="77777777" w:rsidR="00C7266C" w:rsidRPr="00D403F5" w:rsidRDefault="00C7266C" w:rsidP="00D403F5">
      <w:pPr>
        <w:spacing w:after="0"/>
        <w:jc w:val="both"/>
        <w:rPr>
          <w:rFonts w:ascii="Times New Roman" w:eastAsia="Calibri" w:hAnsi="Times New Roman" w:cs="Times New Roman"/>
          <w:sz w:val="18"/>
          <w:szCs w:val="18"/>
          <w:bdr w:val="nil"/>
          <w:lang w:eastAsia="ja-JP"/>
        </w:rPr>
      </w:pPr>
      <w:r w:rsidRPr="00D403F5">
        <w:rPr>
          <w:rFonts w:ascii="Times New Roman" w:eastAsia="Calibri" w:hAnsi="Times New Roman" w:cs="Times New Roman"/>
          <w:sz w:val="18"/>
          <w:szCs w:val="18"/>
          <w:bdr w:val="nil"/>
          <w:lang w:eastAsia="ja-JP"/>
        </w:rPr>
        <w:t>Accurate pathogenic agent identification might not have been carried out in older publications because molecular typing techniques were not available at the time. In these circumstances a weight of evidence approach, using combined data from relevant studies, were considered and used to assess susceptibility.</w:t>
      </w:r>
    </w:p>
    <w:p w14:paraId="70354520" w14:textId="77777777" w:rsidR="00C7266C" w:rsidRPr="00D403F5" w:rsidRDefault="00C7266C" w:rsidP="00D403F5">
      <w:pPr>
        <w:spacing w:after="0"/>
        <w:ind w:hanging="425"/>
        <w:jc w:val="right"/>
        <w:rPr>
          <w:rFonts w:eastAsia="Calibri"/>
          <w:sz w:val="18"/>
          <w:szCs w:val="18"/>
          <w:u w:val="single"/>
        </w:rPr>
      </w:pPr>
      <w:r w:rsidRPr="00D403F5">
        <w:rPr>
          <w:rFonts w:eastAsia="Calibri"/>
          <w:sz w:val="18"/>
          <w:szCs w:val="18"/>
          <w:u w:val="single"/>
        </w:rPr>
        <w:br w:type="page"/>
      </w:r>
    </w:p>
    <w:p w14:paraId="46A9D6C2" w14:textId="77777777" w:rsidR="00C7266C" w:rsidRPr="00D403F5" w:rsidRDefault="00C7266C" w:rsidP="00101F2F">
      <w:pPr>
        <w:spacing w:after="480"/>
        <w:ind w:hanging="425"/>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7CA0AD29" w14:textId="77777777" w:rsidR="00C7266C" w:rsidRPr="00D403F5" w:rsidRDefault="00C7266C" w:rsidP="00D403F5">
      <w:pPr>
        <w:spacing w:after="0"/>
        <w:ind w:left="851" w:hanging="851"/>
        <w:jc w:val="both"/>
        <w:rPr>
          <w:rFonts w:ascii="Times New Roman" w:eastAsia="Calibri" w:hAnsi="Times New Roman" w:cs="Times New Roman"/>
          <w:b/>
          <w:sz w:val="18"/>
          <w:szCs w:val="18"/>
        </w:rPr>
      </w:pPr>
      <w:r w:rsidRPr="00D403F5">
        <w:rPr>
          <w:rFonts w:ascii="Times New Roman" w:eastAsia="Calibri" w:hAnsi="Times New Roman" w:cs="Times New Roman"/>
          <w:b/>
          <w:sz w:val="18"/>
          <w:szCs w:val="18"/>
        </w:rPr>
        <w:t xml:space="preserve">Stage 3: </w:t>
      </w:r>
      <w:r w:rsidRPr="00D403F5">
        <w:rPr>
          <w:rFonts w:ascii="Times New Roman" w:eastAsia="Calibri" w:hAnsi="Times New Roman" w:cs="Times New Roman"/>
          <w:b/>
          <w:sz w:val="18"/>
          <w:szCs w:val="18"/>
        </w:rPr>
        <w:tab/>
        <w:t>criteria to determine whether the evidence indicates that presence of the pathogenic agent constitutes an infection as described in Article 1.5.6.</w:t>
      </w:r>
    </w:p>
    <w:p w14:paraId="3B1FF22F" w14:textId="77777777" w:rsidR="00C7266C" w:rsidRPr="00D403F5" w:rsidRDefault="00C7266C" w:rsidP="00D403F5">
      <w:pPr>
        <w:spacing w:after="0"/>
        <w:jc w:val="both"/>
        <w:rPr>
          <w:rFonts w:ascii="Times New Roman" w:eastAsia="Calibri" w:hAnsi="Times New Roman" w:cs="Times New Roman"/>
          <w:sz w:val="18"/>
          <w:szCs w:val="18"/>
          <w:lang w:val="en-IE"/>
        </w:rPr>
      </w:pPr>
      <w:r w:rsidRPr="00D403F5">
        <w:rPr>
          <w:rFonts w:ascii="Times New Roman" w:eastAsia="Calibri" w:hAnsi="Times New Roman" w:cs="Times New Roman"/>
          <w:sz w:val="18"/>
          <w:szCs w:val="18"/>
          <w:lang w:val="en-IE"/>
        </w:rPr>
        <w:t>Criteria A to D in Article 1.5.6. were used to determine if there was sufficient evidence for infection with the pathogenic agent in the suspect host species. Evidence to support criterion A alone was sufficient to determine infection. In the absence of evidence to meet criterion A, satisfying at least two of criteria B, C or D were required to determine infection.</w:t>
      </w:r>
    </w:p>
    <w:p w14:paraId="539ACB51" w14:textId="77777777" w:rsidR="00C7266C" w:rsidRPr="00D403F5" w:rsidRDefault="00C7266C" w:rsidP="00D403F5">
      <w:pPr>
        <w:spacing w:after="0"/>
        <w:ind w:left="426" w:hanging="426"/>
        <w:jc w:val="both"/>
        <w:rPr>
          <w:rFonts w:ascii="Times New Roman" w:eastAsia="Calibri" w:hAnsi="Times New Roman" w:cs="Times New Roman"/>
          <w:sz w:val="18"/>
          <w:szCs w:val="18"/>
          <w:lang w:val="en-IE"/>
        </w:rPr>
      </w:pPr>
      <w:r w:rsidRPr="00D403F5">
        <w:rPr>
          <w:rFonts w:ascii="Times New Roman" w:eastAsia="Calibri" w:hAnsi="Times New Roman" w:cs="Times New Roman"/>
          <w:sz w:val="18"/>
          <w:szCs w:val="18"/>
          <w:lang w:val="en-IE"/>
        </w:rPr>
        <w:t xml:space="preserve">A. </w:t>
      </w:r>
      <w:r w:rsidRPr="00D403F5">
        <w:rPr>
          <w:rFonts w:ascii="Times New Roman" w:eastAsia="Calibri" w:hAnsi="Times New Roman" w:cs="Times New Roman"/>
          <w:sz w:val="18"/>
          <w:szCs w:val="18"/>
          <w:lang w:val="en-IE"/>
        </w:rPr>
        <w:tab/>
        <w:t>The pathogenic agent is multiplying in the host, or developing stages of the pathogenic agent are present in or on the host;</w:t>
      </w:r>
    </w:p>
    <w:p w14:paraId="7476BEE2" w14:textId="77777777" w:rsidR="00C7266C" w:rsidRPr="00D403F5" w:rsidRDefault="00C7266C" w:rsidP="00D403F5">
      <w:pPr>
        <w:spacing w:after="0"/>
        <w:ind w:left="426" w:hanging="426"/>
        <w:jc w:val="both"/>
        <w:rPr>
          <w:rFonts w:ascii="Times New Roman" w:eastAsia="Calibri" w:hAnsi="Times New Roman" w:cs="Times New Roman"/>
          <w:sz w:val="18"/>
          <w:szCs w:val="18"/>
          <w:lang w:val="en-IE"/>
        </w:rPr>
      </w:pPr>
      <w:r w:rsidRPr="00D403F5">
        <w:rPr>
          <w:rFonts w:ascii="Times New Roman" w:eastAsia="Calibri" w:hAnsi="Times New Roman" w:cs="Times New Roman"/>
          <w:sz w:val="18"/>
          <w:szCs w:val="18"/>
          <w:lang w:val="en-IE"/>
        </w:rPr>
        <w:t xml:space="preserve">B. </w:t>
      </w:r>
      <w:r w:rsidRPr="00D403F5">
        <w:rPr>
          <w:rFonts w:ascii="Times New Roman" w:eastAsia="Calibri" w:hAnsi="Times New Roman" w:cs="Times New Roman"/>
          <w:sz w:val="18"/>
          <w:szCs w:val="18"/>
          <w:lang w:val="en-IE"/>
        </w:rPr>
        <w:tab/>
        <w:t>Viable pathogenic agent is isolated from the proposed susceptible species, or infectivity is demonstrated by way of transmission to naïve individuals;</w:t>
      </w:r>
    </w:p>
    <w:p w14:paraId="0A85E9DA" w14:textId="77777777" w:rsidR="00C7266C" w:rsidRPr="00D403F5" w:rsidRDefault="00C7266C" w:rsidP="00D403F5">
      <w:pPr>
        <w:spacing w:after="0"/>
        <w:ind w:left="426" w:hanging="426"/>
        <w:jc w:val="both"/>
        <w:rPr>
          <w:rFonts w:ascii="Times New Roman" w:eastAsia="Calibri" w:hAnsi="Times New Roman" w:cs="Times New Roman"/>
          <w:sz w:val="18"/>
          <w:szCs w:val="18"/>
          <w:u w:val="double"/>
          <w:lang w:val="en-IE"/>
        </w:rPr>
      </w:pPr>
      <w:r w:rsidRPr="00D403F5">
        <w:rPr>
          <w:rFonts w:ascii="Times New Roman" w:eastAsia="Calibri" w:hAnsi="Times New Roman" w:cs="Times New Roman"/>
          <w:sz w:val="18"/>
          <w:szCs w:val="18"/>
          <w:lang w:val="en-IE"/>
        </w:rPr>
        <w:t xml:space="preserve">C. </w:t>
      </w:r>
      <w:r w:rsidRPr="00D403F5">
        <w:rPr>
          <w:rFonts w:ascii="Times New Roman" w:eastAsia="Calibri" w:hAnsi="Times New Roman" w:cs="Times New Roman"/>
          <w:sz w:val="18"/>
          <w:szCs w:val="18"/>
          <w:lang w:val="en-IE"/>
        </w:rPr>
        <w:tab/>
        <w:t>Clinical or pathological changes are associated with the infection;</w:t>
      </w:r>
    </w:p>
    <w:p w14:paraId="4E690C83" w14:textId="77777777" w:rsidR="00C7266C" w:rsidRPr="00D403F5" w:rsidRDefault="00C7266C" w:rsidP="00D403F5">
      <w:pPr>
        <w:spacing w:after="0"/>
        <w:ind w:left="432" w:hanging="432"/>
        <w:jc w:val="both"/>
        <w:rPr>
          <w:rFonts w:ascii="Times New Roman" w:eastAsia="Calibri" w:hAnsi="Times New Roman" w:cs="Times New Roman"/>
          <w:sz w:val="18"/>
          <w:szCs w:val="18"/>
          <w:lang w:val="en-IE"/>
        </w:rPr>
      </w:pPr>
      <w:r w:rsidRPr="00D403F5">
        <w:rPr>
          <w:rFonts w:ascii="Times New Roman" w:eastAsia="Calibri" w:hAnsi="Times New Roman" w:cs="Times New Roman"/>
          <w:sz w:val="18"/>
          <w:szCs w:val="18"/>
          <w:lang w:val="en-IE"/>
        </w:rPr>
        <w:t xml:space="preserve">D. </w:t>
      </w:r>
      <w:r w:rsidRPr="00D403F5">
        <w:rPr>
          <w:rFonts w:ascii="Times New Roman" w:eastAsia="Calibri" w:hAnsi="Times New Roman" w:cs="Times New Roman"/>
          <w:sz w:val="18"/>
          <w:szCs w:val="18"/>
          <w:lang w:val="en-IE"/>
        </w:rPr>
        <w:tab/>
        <w:t>The specific location of the pathogen corresponds with the expected target tissues.</w:t>
      </w:r>
    </w:p>
    <w:p w14:paraId="5BC73A05" w14:textId="77777777" w:rsidR="00C7266C" w:rsidRPr="00D403F5" w:rsidRDefault="00C7266C" w:rsidP="00D403F5">
      <w:pPr>
        <w:widowControl w:val="0"/>
        <w:suppressAutoHyphens/>
        <w:spacing w:after="0"/>
        <w:jc w:val="center"/>
        <w:rPr>
          <w:rFonts w:ascii="Times New Roman" w:eastAsia="Arial Unicode MS" w:hAnsi="Times New Roman" w:cs="Times New Roman"/>
          <w:kern w:val="1"/>
          <w:sz w:val="18"/>
          <w:szCs w:val="18"/>
          <w:bdr w:val="nil"/>
          <w:lang w:val="en-US" w:eastAsia="ar-SA"/>
        </w:rPr>
      </w:pPr>
      <w:r w:rsidRPr="00D403F5">
        <w:rPr>
          <w:rFonts w:ascii="Times New Roman" w:eastAsia="MS Mincho" w:hAnsi="Times New Roman" w:cs="Times New Roman"/>
          <w:b/>
          <w:i/>
          <w:kern w:val="1"/>
          <w:sz w:val="18"/>
          <w:szCs w:val="18"/>
          <w:lang w:eastAsia="ar-SA"/>
        </w:rPr>
        <w:t xml:space="preserve">Table 1. </w:t>
      </w:r>
      <w:r w:rsidRPr="00D403F5">
        <w:rPr>
          <w:rFonts w:ascii="Times New Roman" w:eastAsia="MS Mincho" w:hAnsi="Times New Roman" w:cs="Times New Roman"/>
          <w:i/>
          <w:kern w:val="1"/>
          <w:sz w:val="18"/>
          <w:szCs w:val="18"/>
          <w:lang w:eastAsia="ar-SA"/>
        </w:rPr>
        <w:t>Criteria for susceptibility to infection with VHSV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329"/>
        <w:gridCol w:w="4371"/>
        <w:gridCol w:w="1051"/>
      </w:tblGrid>
      <w:tr w:rsidR="00C7266C" w:rsidRPr="00D403F5" w14:paraId="2BE94371" w14:textId="77777777" w:rsidTr="00C7266C">
        <w:trPr>
          <w:cantSplit/>
          <w:trHeight w:val="564"/>
          <w:jc w:val="center"/>
        </w:trPr>
        <w:tc>
          <w:tcPr>
            <w:tcW w:w="0" w:type="auto"/>
            <w:tcBorders>
              <w:top w:val="single" w:sz="4" w:space="0" w:color="auto"/>
              <w:left w:val="single" w:sz="4" w:space="0" w:color="auto"/>
              <w:bottom w:val="single" w:sz="4" w:space="0" w:color="auto"/>
              <w:right w:val="single" w:sz="4" w:space="0" w:color="auto"/>
            </w:tcBorders>
            <w:hideMark/>
          </w:tcPr>
          <w:p w14:paraId="0509A5E4" w14:textId="77777777" w:rsidR="00C7266C" w:rsidRPr="00D403F5" w:rsidRDefault="00C7266C" w:rsidP="00D403F5">
            <w:pPr>
              <w:keepNext/>
              <w:spacing w:after="0"/>
              <w:jc w:val="center"/>
              <w:rPr>
                <w:rFonts w:ascii="Times New Roman" w:eastAsia="Calibri" w:hAnsi="Times New Roman" w:cs="Times New Roman"/>
                <w:sz w:val="18"/>
                <w:szCs w:val="18"/>
              </w:rPr>
            </w:pPr>
            <w:r w:rsidRPr="00D403F5">
              <w:rPr>
                <w:rFonts w:ascii="Times New Roman" w:eastAsia="Calibri" w:hAnsi="Times New Roman" w:cs="Times New Roman"/>
                <w:sz w:val="18"/>
                <w:szCs w:val="18"/>
              </w:rPr>
              <w:t>A: Replication</w:t>
            </w:r>
          </w:p>
        </w:tc>
        <w:tc>
          <w:tcPr>
            <w:tcW w:w="0" w:type="auto"/>
            <w:tcBorders>
              <w:top w:val="single" w:sz="4" w:space="0" w:color="auto"/>
              <w:left w:val="single" w:sz="4" w:space="0" w:color="auto"/>
              <w:bottom w:val="single" w:sz="4" w:space="0" w:color="auto"/>
              <w:right w:val="single" w:sz="4" w:space="0" w:color="auto"/>
            </w:tcBorders>
            <w:hideMark/>
          </w:tcPr>
          <w:p w14:paraId="5E2DC7A9" w14:textId="77777777" w:rsidR="00C7266C" w:rsidRPr="00D403F5" w:rsidRDefault="00C7266C" w:rsidP="00D403F5">
            <w:pPr>
              <w:keepNext/>
              <w:spacing w:after="0"/>
              <w:jc w:val="center"/>
              <w:rPr>
                <w:rFonts w:ascii="Times New Roman" w:eastAsia="Calibri" w:hAnsi="Times New Roman" w:cs="Times New Roman"/>
                <w:sz w:val="18"/>
                <w:szCs w:val="18"/>
              </w:rPr>
            </w:pPr>
            <w:r w:rsidRPr="00D403F5">
              <w:rPr>
                <w:rFonts w:ascii="Times New Roman" w:eastAsia="Calibri" w:hAnsi="Times New Roman" w:cs="Times New Roman"/>
                <w:sz w:val="18"/>
                <w:szCs w:val="18"/>
              </w:rPr>
              <w:t>B: Viability / Infectivity</w:t>
            </w:r>
          </w:p>
        </w:tc>
        <w:tc>
          <w:tcPr>
            <w:tcW w:w="0" w:type="auto"/>
            <w:tcBorders>
              <w:top w:val="single" w:sz="4" w:space="0" w:color="auto"/>
              <w:left w:val="single" w:sz="4" w:space="0" w:color="auto"/>
              <w:bottom w:val="single" w:sz="4" w:space="0" w:color="auto"/>
              <w:right w:val="single" w:sz="4" w:space="0" w:color="auto"/>
            </w:tcBorders>
            <w:hideMark/>
          </w:tcPr>
          <w:p w14:paraId="1D518234" w14:textId="77777777" w:rsidR="00C7266C" w:rsidRPr="00D403F5" w:rsidRDefault="00C7266C" w:rsidP="00D403F5">
            <w:pPr>
              <w:keepNext/>
              <w:spacing w:after="0"/>
              <w:jc w:val="center"/>
              <w:rPr>
                <w:rFonts w:ascii="Times New Roman" w:eastAsia="Calibri" w:hAnsi="Times New Roman" w:cs="Times New Roman"/>
                <w:sz w:val="18"/>
                <w:szCs w:val="18"/>
              </w:rPr>
            </w:pPr>
            <w:r w:rsidRPr="00D403F5">
              <w:rPr>
                <w:rFonts w:ascii="Times New Roman" w:eastAsia="Calibri" w:hAnsi="Times New Roman" w:cs="Times New Roman"/>
                <w:sz w:val="18"/>
                <w:szCs w:val="18"/>
              </w:rPr>
              <w:t>C: Pathology / Clinical signs</w:t>
            </w:r>
          </w:p>
        </w:tc>
        <w:tc>
          <w:tcPr>
            <w:tcW w:w="0" w:type="auto"/>
            <w:tcBorders>
              <w:top w:val="single" w:sz="4" w:space="0" w:color="auto"/>
              <w:left w:val="single" w:sz="4" w:space="0" w:color="auto"/>
              <w:bottom w:val="single" w:sz="4" w:space="0" w:color="auto"/>
              <w:right w:val="single" w:sz="4" w:space="0" w:color="auto"/>
            </w:tcBorders>
            <w:hideMark/>
          </w:tcPr>
          <w:p w14:paraId="5AFCB644" w14:textId="77777777" w:rsidR="00C7266C" w:rsidRPr="00D403F5" w:rsidRDefault="00C7266C" w:rsidP="00D403F5">
            <w:pPr>
              <w:keepNext/>
              <w:spacing w:after="0"/>
              <w:jc w:val="center"/>
              <w:rPr>
                <w:rFonts w:ascii="Times New Roman" w:eastAsia="Calibri" w:hAnsi="Times New Roman" w:cs="Times New Roman"/>
                <w:sz w:val="18"/>
                <w:szCs w:val="18"/>
              </w:rPr>
            </w:pPr>
            <w:r w:rsidRPr="00D403F5">
              <w:rPr>
                <w:rFonts w:ascii="Times New Roman" w:eastAsia="Calibri" w:hAnsi="Times New Roman" w:cs="Times New Roman"/>
                <w:sz w:val="18"/>
                <w:szCs w:val="18"/>
              </w:rPr>
              <w:t>D: Location</w:t>
            </w:r>
          </w:p>
        </w:tc>
      </w:tr>
      <w:tr w:rsidR="00C7266C" w:rsidRPr="00D403F5" w14:paraId="48E489CF" w14:textId="77777777" w:rsidTr="00C7266C">
        <w:trPr>
          <w:cantSplit/>
          <w:jc w:val="center"/>
        </w:trPr>
        <w:tc>
          <w:tcPr>
            <w:tcW w:w="0" w:type="auto"/>
            <w:tcBorders>
              <w:top w:val="single" w:sz="4" w:space="0" w:color="auto"/>
              <w:left w:val="single" w:sz="4" w:space="0" w:color="auto"/>
              <w:bottom w:val="single" w:sz="4" w:space="0" w:color="auto"/>
              <w:right w:val="single" w:sz="4" w:space="0" w:color="auto"/>
            </w:tcBorders>
          </w:tcPr>
          <w:p w14:paraId="2ECD1FBE" w14:textId="77777777" w:rsidR="00C7266C" w:rsidRPr="00D403F5" w:rsidRDefault="00C7266C" w:rsidP="00D403F5">
            <w:pPr>
              <w:adjustRightInd w:val="0"/>
              <w:spacing w:after="0"/>
              <w:rPr>
                <w:rFonts w:ascii="Times New Roman" w:hAnsi="Times New Roman" w:cs="Times New Roman"/>
                <w:sz w:val="18"/>
                <w:szCs w:val="18"/>
              </w:rPr>
            </w:pPr>
            <w:r w:rsidRPr="00D403F5">
              <w:rPr>
                <w:rFonts w:ascii="Times New Roman" w:hAnsi="Times New Roman" w:cs="Times New Roman"/>
                <w:sz w:val="18"/>
                <w:szCs w:val="18"/>
                <w:lang w:val="en-AU"/>
              </w:rPr>
              <w:t>Sequential virus titration showing increase in viral titres or high virus titres in internal organs (&gt;10</w:t>
            </w:r>
            <w:r w:rsidRPr="00D403F5">
              <w:rPr>
                <w:rFonts w:ascii="Times New Roman" w:hAnsi="Times New Roman" w:cs="Times New Roman"/>
                <w:sz w:val="18"/>
                <w:szCs w:val="18"/>
                <w:vertAlign w:val="superscript"/>
                <w:lang w:val="en-AU"/>
              </w:rPr>
              <w:t>5</w:t>
            </w:r>
            <w:r w:rsidRPr="00D403F5">
              <w:rPr>
                <w:rFonts w:ascii="Times New Roman" w:hAnsi="Times New Roman" w:cs="Times New Roman"/>
                <w:sz w:val="18"/>
                <w:szCs w:val="18"/>
                <w:lang w:val="en-AU"/>
              </w:rPr>
              <w:t xml:space="preserve"> TCID</w:t>
            </w:r>
            <w:r w:rsidRPr="00D403F5">
              <w:rPr>
                <w:rFonts w:ascii="Times New Roman" w:hAnsi="Times New Roman" w:cs="Times New Roman"/>
                <w:sz w:val="18"/>
                <w:szCs w:val="18"/>
                <w:vertAlign w:val="subscript"/>
                <w:lang w:val="en-AU"/>
              </w:rPr>
              <w:t>50</w:t>
            </w:r>
            <w:r w:rsidRPr="00D403F5">
              <w:rPr>
                <w:rFonts w:ascii="Times New Roman" w:hAnsi="Times New Roman" w:cs="Times New Roman"/>
                <w:sz w:val="18"/>
                <w:szCs w:val="18"/>
                <w:lang w:val="en-AU"/>
              </w:rPr>
              <w:t>/g)</w:t>
            </w:r>
          </w:p>
          <w:p w14:paraId="0E477FC3" w14:textId="77777777" w:rsidR="00C7266C" w:rsidRPr="00D403F5" w:rsidRDefault="00C7266C" w:rsidP="00D403F5">
            <w:pPr>
              <w:pStyle w:val="a4"/>
              <w:autoSpaceDE w:val="0"/>
              <w:autoSpaceDN w:val="0"/>
              <w:adjustRightInd w:val="0"/>
              <w:spacing w:after="0" w:line="256" w:lineRule="auto"/>
              <w:ind w:left="0"/>
              <w:contextualSpacing w:val="0"/>
              <w:rPr>
                <w:rFonts w:ascii="Times New Roman" w:eastAsia="Calibri" w:hAnsi="Times New Roman" w:cs="Times New Roman"/>
                <w:color w:val="231F20"/>
                <w:sz w:val="18"/>
                <w:szCs w:val="18"/>
              </w:rPr>
            </w:pPr>
          </w:p>
          <w:p w14:paraId="67FD171B" w14:textId="77777777" w:rsidR="00C7266C" w:rsidRPr="00D403F5" w:rsidRDefault="00C7266C" w:rsidP="00D403F5">
            <w:pPr>
              <w:pStyle w:val="a4"/>
              <w:autoSpaceDE w:val="0"/>
              <w:autoSpaceDN w:val="0"/>
              <w:adjustRightInd w:val="0"/>
              <w:spacing w:after="0" w:line="256" w:lineRule="auto"/>
              <w:ind w:left="0"/>
              <w:contextualSpacing w:val="0"/>
              <w:rPr>
                <w:rFonts w:ascii="Times New Roman" w:eastAsia="Calibri" w:hAnsi="Times New Roman" w:cs="Times New Roman"/>
                <w:b/>
                <w:color w:val="231F20"/>
                <w:sz w:val="18"/>
                <w:szCs w:val="18"/>
              </w:rPr>
            </w:pPr>
            <w:r w:rsidRPr="00D403F5">
              <w:rPr>
                <w:rFonts w:ascii="Times New Roman" w:eastAsia="Calibri" w:hAnsi="Times New Roman" w:cs="Times New Roman"/>
                <w:b/>
                <w:color w:val="231F20"/>
                <w:sz w:val="18"/>
                <w:szCs w:val="18"/>
              </w:rPr>
              <w:t>OR</w:t>
            </w:r>
          </w:p>
          <w:p w14:paraId="736C5AA5" w14:textId="77777777" w:rsidR="00C7266C" w:rsidRPr="00D403F5" w:rsidRDefault="00C7266C" w:rsidP="00D403F5">
            <w:pPr>
              <w:adjustRightInd w:val="0"/>
              <w:spacing w:after="0" w:line="256" w:lineRule="auto"/>
              <w:rPr>
                <w:rFonts w:ascii="Times New Roman" w:eastAsia="Calibri" w:hAnsi="Times New Roman" w:cs="Times New Roman"/>
                <w:color w:val="231F20"/>
                <w:sz w:val="18"/>
                <w:szCs w:val="18"/>
              </w:rPr>
            </w:pPr>
            <w:r w:rsidRPr="00D403F5">
              <w:rPr>
                <w:rFonts w:ascii="Times New Roman" w:eastAsia="Calibri" w:hAnsi="Times New Roman" w:cs="Times New Roman"/>
                <w:color w:val="231F20"/>
                <w:sz w:val="18"/>
                <w:szCs w:val="18"/>
              </w:rPr>
              <w:t xml:space="preserve">TEM </w:t>
            </w:r>
          </w:p>
          <w:p w14:paraId="1EDE651A" w14:textId="77777777" w:rsidR="00C7266C" w:rsidRPr="00D403F5" w:rsidRDefault="00C7266C" w:rsidP="00D403F5">
            <w:pPr>
              <w:pStyle w:val="a4"/>
              <w:autoSpaceDE w:val="0"/>
              <w:autoSpaceDN w:val="0"/>
              <w:adjustRightInd w:val="0"/>
              <w:spacing w:after="0" w:line="256" w:lineRule="auto"/>
              <w:ind w:left="0"/>
              <w:contextualSpacing w:val="0"/>
              <w:rPr>
                <w:rFonts w:ascii="Times New Roman" w:eastAsia="Calibri" w:hAnsi="Times New Roman" w:cs="Times New Roman"/>
                <w:b/>
                <w:color w:val="231F20"/>
                <w:sz w:val="18"/>
                <w:szCs w:val="18"/>
              </w:rPr>
            </w:pPr>
          </w:p>
          <w:p w14:paraId="54D96558" w14:textId="77777777" w:rsidR="00C7266C" w:rsidRPr="00D403F5" w:rsidRDefault="00C7266C" w:rsidP="00D403F5">
            <w:pPr>
              <w:pStyle w:val="a4"/>
              <w:autoSpaceDE w:val="0"/>
              <w:autoSpaceDN w:val="0"/>
              <w:adjustRightInd w:val="0"/>
              <w:spacing w:after="0" w:line="256" w:lineRule="auto"/>
              <w:ind w:left="0"/>
              <w:contextualSpacing w:val="0"/>
              <w:rPr>
                <w:rFonts w:ascii="Times New Roman" w:eastAsia="Calibri" w:hAnsi="Times New Roman" w:cs="Times New Roman"/>
                <w:b/>
                <w:color w:val="231F20"/>
                <w:sz w:val="18"/>
                <w:szCs w:val="18"/>
              </w:rPr>
            </w:pPr>
            <w:r w:rsidRPr="00D403F5">
              <w:rPr>
                <w:rFonts w:ascii="Times New Roman" w:eastAsia="Calibri" w:hAnsi="Times New Roman" w:cs="Times New Roman"/>
                <w:b/>
                <w:color w:val="231F20"/>
                <w:sz w:val="18"/>
                <w:szCs w:val="18"/>
              </w:rPr>
              <w:t>OR</w:t>
            </w:r>
          </w:p>
          <w:p w14:paraId="3311C513" w14:textId="77777777" w:rsidR="00C7266C" w:rsidRPr="00D403F5" w:rsidRDefault="00C7266C" w:rsidP="00D403F5">
            <w:pPr>
              <w:adjustRightInd w:val="0"/>
              <w:spacing w:after="0" w:line="256" w:lineRule="auto"/>
              <w:rPr>
                <w:rFonts w:ascii="Times New Roman" w:eastAsia="Calibri" w:hAnsi="Times New Roman" w:cs="Times New Roman"/>
                <w:color w:val="231F20"/>
                <w:sz w:val="18"/>
                <w:szCs w:val="18"/>
              </w:rPr>
            </w:pPr>
            <w:r w:rsidRPr="00D403F5">
              <w:rPr>
                <w:rFonts w:ascii="Times New Roman" w:eastAsia="Calibri" w:hAnsi="Times New Roman" w:cs="Times New Roman"/>
                <w:color w:val="231F20"/>
                <w:sz w:val="18"/>
                <w:szCs w:val="18"/>
              </w:rPr>
              <w:t>Immunohistochemistry</w:t>
            </w:r>
          </w:p>
          <w:p w14:paraId="4BC23727" w14:textId="77777777" w:rsidR="00C7266C" w:rsidRPr="00D403F5" w:rsidRDefault="00C7266C" w:rsidP="00D403F5">
            <w:pPr>
              <w:pStyle w:val="a4"/>
              <w:autoSpaceDE w:val="0"/>
              <w:autoSpaceDN w:val="0"/>
              <w:adjustRightInd w:val="0"/>
              <w:spacing w:after="0" w:line="256" w:lineRule="auto"/>
              <w:ind w:left="0"/>
              <w:contextualSpacing w:val="0"/>
              <w:rPr>
                <w:rFonts w:ascii="Times New Roman" w:eastAsia="Calibri" w:hAnsi="Times New Roman" w:cs="Times New Roman"/>
                <w:color w:val="231F20"/>
                <w:sz w:val="18"/>
                <w:szCs w:val="18"/>
              </w:rPr>
            </w:pPr>
          </w:p>
          <w:p w14:paraId="74CAB76B" w14:textId="77777777" w:rsidR="00C7266C" w:rsidRPr="00D403F5" w:rsidRDefault="00C7266C" w:rsidP="00D403F5">
            <w:pPr>
              <w:pStyle w:val="a4"/>
              <w:autoSpaceDE w:val="0"/>
              <w:autoSpaceDN w:val="0"/>
              <w:adjustRightInd w:val="0"/>
              <w:spacing w:after="0" w:line="256" w:lineRule="auto"/>
              <w:ind w:left="0"/>
              <w:contextualSpacing w:val="0"/>
              <w:rPr>
                <w:rFonts w:ascii="Times New Roman" w:eastAsia="Calibri" w:hAnsi="Times New Roman" w:cs="Times New Roman"/>
                <w:b/>
                <w:color w:val="231F20"/>
                <w:sz w:val="18"/>
                <w:szCs w:val="18"/>
              </w:rPr>
            </w:pPr>
            <w:r w:rsidRPr="00D403F5">
              <w:rPr>
                <w:rFonts w:ascii="Times New Roman" w:eastAsia="Calibri" w:hAnsi="Times New Roman" w:cs="Times New Roman"/>
                <w:b/>
                <w:color w:val="231F20"/>
                <w:sz w:val="18"/>
                <w:szCs w:val="18"/>
              </w:rPr>
              <w:t>OR</w:t>
            </w:r>
          </w:p>
          <w:p w14:paraId="1FEB856D" w14:textId="77777777" w:rsidR="00C7266C" w:rsidRPr="00D403F5" w:rsidRDefault="00C7266C" w:rsidP="00D403F5">
            <w:pPr>
              <w:adjustRightInd w:val="0"/>
              <w:spacing w:after="0" w:line="256" w:lineRule="auto"/>
              <w:rPr>
                <w:rFonts w:ascii="Times New Roman" w:eastAsia="Calibri" w:hAnsi="Times New Roman" w:cs="Times New Roman"/>
                <w:color w:val="231F20"/>
                <w:sz w:val="18"/>
                <w:szCs w:val="18"/>
              </w:rPr>
            </w:pPr>
            <w:r w:rsidRPr="00D403F5">
              <w:rPr>
                <w:rFonts w:ascii="Times New Roman" w:eastAsia="Calibri" w:hAnsi="Times New Roman" w:cs="Times New Roman"/>
                <w:color w:val="231F20"/>
                <w:sz w:val="18"/>
                <w:szCs w:val="18"/>
              </w:rPr>
              <w:t xml:space="preserve">Product of virus replication detected </w:t>
            </w:r>
          </w:p>
        </w:tc>
        <w:tc>
          <w:tcPr>
            <w:tcW w:w="0" w:type="auto"/>
            <w:tcBorders>
              <w:top w:val="single" w:sz="4" w:space="0" w:color="auto"/>
              <w:left w:val="single" w:sz="4" w:space="0" w:color="auto"/>
              <w:bottom w:val="single" w:sz="4" w:space="0" w:color="auto"/>
              <w:right w:val="single" w:sz="4" w:space="0" w:color="auto"/>
            </w:tcBorders>
          </w:tcPr>
          <w:p w14:paraId="296A5C53" w14:textId="77777777" w:rsidR="00C7266C" w:rsidRPr="00D403F5" w:rsidRDefault="00C7266C" w:rsidP="00D403F5">
            <w:pPr>
              <w:keepNext/>
              <w:adjustRightInd w:val="0"/>
              <w:spacing w:after="0"/>
              <w:rPr>
                <w:rFonts w:ascii="Times New Roman" w:eastAsia="Calibri" w:hAnsi="Times New Roman" w:cs="Times New Roman"/>
                <w:sz w:val="18"/>
                <w:szCs w:val="18"/>
              </w:rPr>
            </w:pPr>
            <w:r w:rsidRPr="00D403F5">
              <w:rPr>
                <w:rFonts w:ascii="Times New Roman" w:eastAsia="Calibri" w:hAnsi="Times New Roman" w:cs="Times New Roman"/>
                <w:sz w:val="18"/>
                <w:szCs w:val="18"/>
              </w:rPr>
              <w:t xml:space="preserve">Isolation of virus from internal organs by cell culture </w:t>
            </w:r>
          </w:p>
          <w:p w14:paraId="706498B1" w14:textId="77777777" w:rsidR="00C7266C" w:rsidRPr="00D403F5" w:rsidRDefault="00C7266C" w:rsidP="00D403F5">
            <w:pPr>
              <w:keepNext/>
              <w:adjustRightInd w:val="0"/>
              <w:spacing w:after="0"/>
              <w:rPr>
                <w:rFonts w:ascii="Times New Roman" w:eastAsia="Calibri" w:hAnsi="Times New Roman" w:cs="Times New Roman"/>
                <w:b/>
                <w:sz w:val="18"/>
                <w:szCs w:val="18"/>
              </w:rPr>
            </w:pPr>
          </w:p>
          <w:p w14:paraId="5E42B583" w14:textId="77777777" w:rsidR="00C7266C" w:rsidRPr="00D403F5" w:rsidRDefault="00C7266C" w:rsidP="00D403F5">
            <w:pPr>
              <w:keepNext/>
              <w:adjustRightInd w:val="0"/>
              <w:spacing w:after="0"/>
              <w:rPr>
                <w:rFonts w:ascii="Times New Roman" w:eastAsia="Calibri" w:hAnsi="Times New Roman" w:cs="Times New Roman"/>
                <w:b/>
                <w:sz w:val="18"/>
                <w:szCs w:val="18"/>
              </w:rPr>
            </w:pPr>
            <w:r w:rsidRPr="00D403F5">
              <w:rPr>
                <w:rFonts w:ascii="Times New Roman" w:eastAsia="Calibri" w:hAnsi="Times New Roman" w:cs="Times New Roman"/>
                <w:b/>
                <w:sz w:val="18"/>
                <w:szCs w:val="18"/>
              </w:rPr>
              <w:t xml:space="preserve">OR </w:t>
            </w:r>
          </w:p>
          <w:p w14:paraId="403A3C21" w14:textId="77777777" w:rsidR="00C7266C" w:rsidRPr="00D403F5" w:rsidRDefault="00C7266C" w:rsidP="00D403F5">
            <w:pPr>
              <w:keepNext/>
              <w:adjustRightInd w:val="0"/>
              <w:spacing w:after="0"/>
              <w:rPr>
                <w:rFonts w:ascii="Times New Roman" w:eastAsia="Calibri" w:hAnsi="Times New Roman" w:cs="Times New Roman"/>
                <w:sz w:val="18"/>
                <w:szCs w:val="18"/>
              </w:rPr>
            </w:pPr>
          </w:p>
          <w:p w14:paraId="15219A27" w14:textId="77777777" w:rsidR="00C7266C" w:rsidRPr="00D403F5" w:rsidRDefault="00C7266C" w:rsidP="00D403F5">
            <w:pPr>
              <w:keepNext/>
              <w:adjustRightInd w:val="0"/>
              <w:spacing w:after="0"/>
              <w:rPr>
                <w:rFonts w:ascii="Times New Roman" w:eastAsia="Calibri" w:hAnsi="Times New Roman" w:cs="Times New Roman"/>
                <w:sz w:val="18"/>
                <w:szCs w:val="18"/>
              </w:rPr>
            </w:pPr>
            <w:r w:rsidRPr="00D403F5">
              <w:rPr>
                <w:rFonts w:ascii="Times New Roman" w:eastAsia="Calibri" w:hAnsi="Times New Roman" w:cs="Times New Roman"/>
                <w:sz w:val="18"/>
                <w:szCs w:val="18"/>
              </w:rPr>
              <w:t>Passage to a susceptible host</w:t>
            </w:r>
          </w:p>
        </w:tc>
        <w:tc>
          <w:tcPr>
            <w:tcW w:w="0" w:type="auto"/>
            <w:tcBorders>
              <w:top w:val="single" w:sz="4" w:space="0" w:color="auto"/>
              <w:left w:val="single" w:sz="4" w:space="0" w:color="auto"/>
              <w:bottom w:val="single" w:sz="4" w:space="0" w:color="auto"/>
              <w:right w:val="single" w:sz="4" w:space="0" w:color="auto"/>
            </w:tcBorders>
          </w:tcPr>
          <w:p w14:paraId="45238DAE" w14:textId="77777777" w:rsidR="00C7266C" w:rsidRPr="00D403F5" w:rsidRDefault="00C7266C" w:rsidP="00D403F5">
            <w:pPr>
              <w:pStyle w:val="TableParagraph"/>
              <w:spacing w:line="217" w:lineRule="exact"/>
              <w:jc w:val="both"/>
              <w:rPr>
                <w:sz w:val="18"/>
                <w:szCs w:val="18"/>
                <w:lang w:val="en-GB"/>
              </w:rPr>
            </w:pPr>
            <w:r w:rsidRPr="00D403F5">
              <w:rPr>
                <w:sz w:val="18"/>
                <w:szCs w:val="18"/>
                <w:lang w:val="en-GB"/>
              </w:rPr>
              <w:t xml:space="preserve">The occurrence of the following signs should lead to extended clinical examination for VHS: rapid onset of mortality, lethargy, darkening of the skin, exophthalmia, anaemia (pale gills), haemorrhages at the base of the fins, gills, eyes and skin, petechial haemorrhages in muscle, abnormal swimming such as flashing and spiralling, and a distended abdomen due to oedema in the peritoneal cavity (from the </w:t>
            </w:r>
            <w:r w:rsidRPr="00D403F5">
              <w:rPr>
                <w:i/>
                <w:sz w:val="18"/>
                <w:szCs w:val="18"/>
                <w:lang w:val="en-GB"/>
              </w:rPr>
              <w:t>Aquatic Manual</w:t>
            </w:r>
            <w:r w:rsidRPr="00D403F5">
              <w:rPr>
                <w:sz w:val="18"/>
                <w:szCs w:val="18"/>
                <w:lang w:val="en-GB"/>
              </w:rPr>
              <w:t>)*</w:t>
            </w:r>
          </w:p>
          <w:p w14:paraId="7FFF18EF" w14:textId="77777777" w:rsidR="00C7266C" w:rsidRPr="00D403F5" w:rsidRDefault="00C7266C" w:rsidP="00D403F5">
            <w:pPr>
              <w:pStyle w:val="TableParagraph"/>
              <w:spacing w:line="217" w:lineRule="exact"/>
              <w:jc w:val="both"/>
              <w:rPr>
                <w:sz w:val="18"/>
                <w:szCs w:val="18"/>
                <w:lang w:val="en-GB"/>
              </w:rPr>
            </w:pPr>
          </w:p>
          <w:p w14:paraId="786C8906" w14:textId="77777777" w:rsidR="00C7266C" w:rsidRPr="00D403F5" w:rsidRDefault="00C7266C" w:rsidP="00D403F5">
            <w:pPr>
              <w:pStyle w:val="TableParagraph"/>
              <w:spacing w:line="217" w:lineRule="exact"/>
              <w:jc w:val="both"/>
              <w:rPr>
                <w:sz w:val="18"/>
                <w:szCs w:val="18"/>
                <w:u w:val="single"/>
                <w:lang w:val="en-GB"/>
              </w:rPr>
            </w:pPr>
            <w:r w:rsidRPr="00D403F5">
              <w:rPr>
                <w:sz w:val="18"/>
                <w:szCs w:val="18"/>
                <w:u w:val="single"/>
                <w:lang w:val="en-GB"/>
              </w:rPr>
              <w:t>Microscopic methods</w:t>
            </w:r>
          </w:p>
          <w:p w14:paraId="76D1A349" w14:textId="77777777" w:rsidR="00C7266C" w:rsidRPr="00D403F5" w:rsidRDefault="00C7266C" w:rsidP="00D403F5">
            <w:pPr>
              <w:pStyle w:val="TableParagraph"/>
              <w:spacing w:line="217" w:lineRule="exact"/>
              <w:jc w:val="both"/>
              <w:rPr>
                <w:sz w:val="18"/>
                <w:szCs w:val="18"/>
                <w:lang w:val="en-GB"/>
              </w:rPr>
            </w:pPr>
          </w:p>
          <w:p w14:paraId="63722E50" w14:textId="77777777" w:rsidR="00C7266C" w:rsidRPr="00D403F5" w:rsidRDefault="00C7266C" w:rsidP="00D403F5">
            <w:pPr>
              <w:pStyle w:val="TableParagraph"/>
              <w:spacing w:line="217" w:lineRule="exact"/>
              <w:jc w:val="both"/>
              <w:rPr>
                <w:sz w:val="18"/>
                <w:szCs w:val="18"/>
                <w:lang w:val="en-GB"/>
              </w:rPr>
            </w:pPr>
            <w:r w:rsidRPr="00D403F5">
              <w:rPr>
                <w:sz w:val="18"/>
                <w:szCs w:val="18"/>
                <w:lang w:val="en-GB"/>
              </w:rPr>
              <w:t>The kidney and liver are prime targets and examination of histological sections from diseased fish reveals degeneration and necrosis of haematopoietic tissues of the kidney (and the spleen) with focal degeneration and necrosis of the liver. Sections of the skeletal muscle may show many foci of red blood cells, while the muscle fibres remain undamaged.</w:t>
            </w:r>
          </w:p>
        </w:tc>
        <w:tc>
          <w:tcPr>
            <w:tcW w:w="0" w:type="auto"/>
            <w:tcBorders>
              <w:top w:val="single" w:sz="4" w:space="0" w:color="auto"/>
              <w:left w:val="single" w:sz="4" w:space="0" w:color="auto"/>
              <w:bottom w:val="single" w:sz="4" w:space="0" w:color="auto"/>
              <w:right w:val="single" w:sz="4" w:space="0" w:color="auto"/>
            </w:tcBorders>
          </w:tcPr>
          <w:p w14:paraId="2E67AA93" w14:textId="77777777" w:rsidR="00C7266C" w:rsidRPr="00D403F5" w:rsidRDefault="00C7266C" w:rsidP="00D403F5">
            <w:pPr>
              <w:adjustRightInd w:val="0"/>
              <w:spacing w:after="0"/>
              <w:rPr>
                <w:rFonts w:ascii="Times New Roman" w:eastAsia="Calibri" w:hAnsi="Times New Roman" w:cs="Times New Roman"/>
                <w:sz w:val="18"/>
                <w:szCs w:val="18"/>
              </w:rPr>
            </w:pPr>
            <w:r w:rsidRPr="00D403F5">
              <w:rPr>
                <w:rFonts w:ascii="Times New Roman" w:eastAsia="Calibri" w:hAnsi="Times New Roman" w:cs="Times New Roman"/>
                <w:sz w:val="18"/>
                <w:szCs w:val="18"/>
              </w:rPr>
              <w:t>Recover virus from internal organs</w:t>
            </w:r>
          </w:p>
          <w:p w14:paraId="5A079860" w14:textId="77777777" w:rsidR="00C7266C" w:rsidRPr="00D403F5" w:rsidRDefault="00C7266C" w:rsidP="00D403F5">
            <w:pPr>
              <w:adjustRightInd w:val="0"/>
              <w:spacing w:after="0"/>
              <w:rPr>
                <w:rFonts w:ascii="Times New Roman" w:eastAsia="Calibri" w:hAnsi="Times New Roman" w:cs="Times New Roman"/>
                <w:sz w:val="18"/>
                <w:szCs w:val="18"/>
              </w:rPr>
            </w:pPr>
          </w:p>
          <w:p w14:paraId="706D85F2" w14:textId="77777777" w:rsidR="00C7266C" w:rsidRPr="00D403F5" w:rsidRDefault="00C7266C" w:rsidP="00D403F5">
            <w:pPr>
              <w:adjustRightInd w:val="0"/>
              <w:spacing w:after="0"/>
              <w:rPr>
                <w:rFonts w:ascii="Times New Roman" w:eastAsia="Calibri" w:hAnsi="Times New Roman" w:cs="Times New Roman"/>
                <w:b/>
                <w:sz w:val="18"/>
                <w:szCs w:val="18"/>
              </w:rPr>
            </w:pPr>
            <w:r w:rsidRPr="00D403F5">
              <w:rPr>
                <w:rFonts w:ascii="Times New Roman" w:eastAsia="Calibri" w:hAnsi="Times New Roman" w:cs="Times New Roman"/>
                <w:b/>
                <w:sz w:val="18"/>
                <w:szCs w:val="18"/>
              </w:rPr>
              <w:t>OR</w:t>
            </w:r>
          </w:p>
          <w:p w14:paraId="34B88469" w14:textId="77777777" w:rsidR="00C7266C" w:rsidRPr="00D403F5" w:rsidRDefault="00C7266C" w:rsidP="00D403F5">
            <w:pPr>
              <w:adjustRightInd w:val="0"/>
              <w:spacing w:after="0"/>
              <w:rPr>
                <w:rFonts w:ascii="Times New Roman" w:eastAsia="Calibri" w:hAnsi="Times New Roman" w:cs="Times New Roman"/>
                <w:sz w:val="18"/>
                <w:szCs w:val="18"/>
              </w:rPr>
            </w:pPr>
          </w:p>
          <w:p w14:paraId="25BC6E69" w14:textId="77777777" w:rsidR="00C7266C" w:rsidRPr="00D403F5" w:rsidRDefault="00C7266C" w:rsidP="00D403F5">
            <w:pPr>
              <w:adjustRightInd w:val="0"/>
              <w:spacing w:after="0"/>
              <w:rPr>
                <w:rFonts w:ascii="Times New Roman" w:eastAsia="Calibri" w:hAnsi="Times New Roman" w:cs="Times New Roman"/>
                <w:sz w:val="18"/>
                <w:szCs w:val="18"/>
              </w:rPr>
            </w:pPr>
            <w:r w:rsidRPr="00D403F5">
              <w:rPr>
                <w:rFonts w:ascii="Times New Roman" w:eastAsia="Calibri" w:hAnsi="Times New Roman" w:cs="Times New Roman"/>
                <w:sz w:val="18"/>
                <w:szCs w:val="18"/>
              </w:rPr>
              <w:t xml:space="preserve">RT-PCR from internal organs </w:t>
            </w:r>
          </w:p>
        </w:tc>
      </w:tr>
    </w:tbl>
    <w:p w14:paraId="0287B7F9" w14:textId="77777777" w:rsidR="00C7266C" w:rsidRPr="00D403F5" w:rsidRDefault="00C7266C" w:rsidP="00D403F5">
      <w:pPr>
        <w:spacing w:after="0"/>
        <w:rPr>
          <w:rFonts w:ascii="Times New Roman" w:hAnsi="Times New Roman" w:cs="Times New Roman"/>
          <w:sz w:val="18"/>
          <w:szCs w:val="18"/>
        </w:rPr>
      </w:pPr>
      <w:r w:rsidRPr="00D403F5">
        <w:rPr>
          <w:rFonts w:ascii="Times New Roman" w:hAnsi="Times New Roman" w:cs="Times New Roman"/>
          <w:sz w:val="18"/>
          <w:szCs w:val="18"/>
        </w:rPr>
        <w:t>*not all the clinical signs will be found in all species</w:t>
      </w:r>
    </w:p>
    <w:p w14:paraId="210FC1A5" w14:textId="77777777" w:rsidR="00C7266C" w:rsidRPr="00D403F5" w:rsidRDefault="00C7266C" w:rsidP="00D403F5">
      <w:pPr>
        <w:spacing w:after="0"/>
        <w:jc w:val="both"/>
        <w:rPr>
          <w:rFonts w:ascii="Times New Roman" w:hAnsi="Times New Roman" w:cs="Times New Roman"/>
          <w:b/>
          <w:i/>
          <w:caps/>
          <w:sz w:val="18"/>
          <w:szCs w:val="18"/>
        </w:rPr>
      </w:pPr>
      <w:r w:rsidRPr="00D403F5">
        <w:rPr>
          <w:rFonts w:ascii="Times New Roman" w:hAnsi="Times New Roman" w:cs="Times New Roman"/>
          <w:b/>
          <w:i/>
          <w:sz w:val="18"/>
          <w:szCs w:val="18"/>
        </w:rPr>
        <w:t xml:space="preserve">Pathogen identification for VHSV: </w:t>
      </w:r>
    </w:p>
    <w:p w14:paraId="7484ACBB" w14:textId="77777777" w:rsidR="00C7266C" w:rsidRPr="00D403F5" w:rsidRDefault="00C7266C" w:rsidP="00D403F5">
      <w:pPr>
        <w:spacing w:after="0" w:line="276" w:lineRule="auto"/>
        <w:jc w:val="both"/>
        <w:rPr>
          <w:rFonts w:ascii="Times New Roman" w:hAnsi="Times New Roman" w:cs="Times New Roman"/>
          <w:sz w:val="18"/>
          <w:szCs w:val="18"/>
        </w:rPr>
      </w:pPr>
      <w:r w:rsidRPr="00D403F5">
        <w:rPr>
          <w:rFonts w:ascii="Times New Roman" w:hAnsi="Times New Roman" w:cs="Times New Roman"/>
          <w:sz w:val="18"/>
          <w:szCs w:val="18"/>
        </w:rPr>
        <w:t xml:space="preserve">Pathogen isolation on BF-2, EPC, FHM, or CHSE cell lines with confirmation using immunological or molecular test. Immunological test could include virus neutralization, IFAT, or ELISA. Molecular tools include RT-PCR, DNA probes, sequencing. RT-PCR could also be done directly on infected tissues. </w:t>
      </w:r>
    </w:p>
    <w:p w14:paraId="52E4ABCF" w14:textId="77777777" w:rsidR="00C7266C" w:rsidRPr="00D403F5" w:rsidRDefault="00C7266C" w:rsidP="00D403F5">
      <w:pPr>
        <w:spacing w:after="0"/>
        <w:ind w:left="432" w:hanging="432"/>
        <w:jc w:val="both"/>
        <w:rPr>
          <w:rFonts w:ascii="Times New Roman" w:eastAsia="Calibri" w:hAnsi="Times New Roman" w:cs="Times New Roman"/>
          <w:sz w:val="18"/>
          <w:szCs w:val="18"/>
          <w:u w:val="single"/>
          <w:lang w:val="en-IE"/>
        </w:rPr>
      </w:pPr>
      <w:r w:rsidRPr="00D403F5">
        <w:rPr>
          <w:rFonts w:ascii="Times New Roman" w:eastAsia="Calibri" w:hAnsi="Times New Roman" w:cs="Times New Roman"/>
          <w:sz w:val="18"/>
          <w:szCs w:val="18"/>
          <w:u w:val="single"/>
          <w:lang w:val="en-IE"/>
        </w:rPr>
        <w:t>Evidence of infection Key Stage 3</w:t>
      </w:r>
    </w:p>
    <w:p w14:paraId="29A0048F" w14:textId="77777777" w:rsidR="00C7266C" w:rsidRPr="00D403F5" w:rsidRDefault="00C7266C" w:rsidP="00D403F5">
      <w:pPr>
        <w:spacing w:after="0"/>
        <w:ind w:left="432" w:hanging="432"/>
        <w:jc w:val="both"/>
        <w:rPr>
          <w:rFonts w:ascii="Times New Roman" w:hAnsi="Times New Roman" w:cs="Times New Roman"/>
          <w:sz w:val="18"/>
          <w:szCs w:val="18"/>
        </w:rPr>
      </w:pPr>
      <w:r w:rsidRPr="00D403F5">
        <w:rPr>
          <w:rFonts w:ascii="Times New Roman" w:hAnsi="Times New Roman" w:cs="Times New Roman"/>
          <w:sz w:val="18"/>
          <w:szCs w:val="18"/>
        </w:rPr>
        <w:t xml:space="preserve">Y: </w:t>
      </w:r>
      <w:r w:rsidRPr="00D403F5">
        <w:rPr>
          <w:rFonts w:ascii="Times New Roman" w:hAnsi="Times New Roman" w:cs="Times New Roman"/>
          <w:sz w:val="18"/>
          <w:szCs w:val="18"/>
        </w:rPr>
        <w:tab/>
        <w:t>Demonstrates criterion is met.</w:t>
      </w:r>
    </w:p>
    <w:p w14:paraId="7ADBAC0D" w14:textId="77777777" w:rsidR="00C7266C" w:rsidRPr="00D403F5" w:rsidRDefault="00C7266C" w:rsidP="00D403F5">
      <w:pPr>
        <w:spacing w:after="0"/>
        <w:ind w:left="432" w:hanging="432"/>
        <w:jc w:val="both"/>
        <w:rPr>
          <w:rFonts w:ascii="Times New Roman" w:hAnsi="Times New Roman" w:cs="Times New Roman"/>
          <w:sz w:val="18"/>
          <w:szCs w:val="18"/>
        </w:rPr>
      </w:pPr>
      <w:r w:rsidRPr="00D403F5">
        <w:rPr>
          <w:rFonts w:ascii="Times New Roman" w:hAnsi="Times New Roman" w:cs="Times New Roman"/>
          <w:sz w:val="18"/>
          <w:szCs w:val="18"/>
        </w:rPr>
        <w:t xml:space="preserve">N: </w:t>
      </w:r>
      <w:r w:rsidRPr="00D403F5">
        <w:rPr>
          <w:rFonts w:ascii="Times New Roman" w:hAnsi="Times New Roman" w:cs="Times New Roman"/>
          <w:sz w:val="18"/>
          <w:szCs w:val="18"/>
        </w:rPr>
        <w:tab/>
        <w:t>Criterion is not met or was not assessed.</w:t>
      </w:r>
    </w:p>
    <w:p w14:paraId="58646136" w14:textId="77777777" w:rsidR="00C7266C" w:rsidRPr="00D403F5" w:rsidRDefault="00C7266C" w:rsidP="00D403F5">
      <w:pPr>
        <w:widowControl w:val="0"/>
        <w:overflowPunct w:val="0"/>
        <w:autoSpaceDE w:val="0"/>
        <w:autoSpaceDN w:val="0"/>
        <w:adjustRightInd w:val="0"/>
        <w:spacing w:after="0"/>
        <w:jc w:val="both"/>
        <w:textAlignment w:val="baseline"/>
        <w:rPr>
          <w:rFonts w:ascii="Times New Roman" w:eastAsia="SimSun" w:hAnsi="Times New Roman" w:cs="Times New Roman"/>
          <w:sz w:val="18"/>
          <w:szCs w:val="18"/>
          <w:bdr w:val="nil"/>
          <w:lang w:val="en-US" w:eastAsia="zh-CN"/>
        </w:rPr>
      </w:pPr>
      <w:r w:rsidRPr="00D403F5">
        <w:rPr>
          <w:rFonts w:ascii="Times New Roman" w:eastAsia="SimSun" w:hAnsi="Times New Roman" w:cs="Times New Roman"/>
          <w:sz w:val="18"/>
          <w:szCs w:val="18"/>
          <w:bdr w:val="nil"/>
          <w:lang w:val="en-US" w:eastAsia="zh-CN"/>
        </w:rPr>
        <w:t>ND: Not determined</w:t>
      </w:r>
    </w:p>
    <w:p w14:paraId="06F0F2ED" w14:textId="77777777" w:rsidR="00A26A4C" w:rsidRPr="00D403F5" w:rsidRDefault="00A26A4C" w:rsidP="00D403F5">
      <w:pPr>
        <w:spacing w:after="0"/>
        <w:ind w:hanging="425"/>
        <w:jc w:val="right"/>
        <w:rPr>
          <w:rFonts w:eastAsia="Calibri"/>
          <w:sz w:val="18"/>
          <w:szCs w:val="18"/>
          <w:u w:val="single"/>
          <w:lang w:val="en-US"/>
        </w:rPr>
      </w:pPr>
      <w:bookmarkStart w:id="100" w:name="_Hlk14946104"/>
      <w:r w:rsidRPr="00D403F5">
        <w:rPr>
          <w:rFonts w:eastAsia="Calibri"/>
          <w:sz w:val="18"/>
          <w:szCs w:val="18"/>
          <w:u w:val="single"/>
          <w:lang w:val="en-US"/>
        </w:rPr>
        <w:br w:type="page"/>
      </w:r>
    </w:p>
    <w:p w14:paraId="1DF24370" w14:textId="55ADC87B" w:rsidR="00C7266C" w:rsidRPr="00D403F5" w:rsidRDefault="00C7266C" w:rsidP="00101F2F">
      <w:pPr>
        <w:spacing w:after="480"/>
        <w:ind w:hanging="425"/>
        <w:jc w:val="right"/>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7211EBF6" w14:textId="77777777" w:rsidR="00C7266C" w:rsidRPr="00D403F5" w:rsidRDefault="00C7266C" w:rsidP="00951F46">
      <w:pPr>
        <w:pStyle w:val="2"/>
        <w:tabs>
          <w:tab w:val="clear" w:pos="360"/>
        </w:tabs>
        <w:spacing w:after="0"/>
        <w:ind w:left="0" w:firstLine="0"/>
        <w:rPr>
          <w:rFonts w:ascii="Times New Roman" w:hAnsi="Times New Roman"/>
          <w:noProof/>
          <w:sz w:val="18"/>
          <w:szCs w:val="18"/>
          <w:bdr w:val="nil"/>
          <w:lang w:val="en-US"/>
        </w:rPr>
      </w:pPr>
      <w:r w:rsidRPr="00D403F5">
        <w:rPr>
          <w:rFonts w:ascii="Times New Roman" w:hAnsi="Times New Roman"/>
          <w:noProof/>
          <w:sz w:val="18"/>
          <w:szCs w:val="18"/>
          <w:bdr w:val="nil"/>
        </w:rPr>
        <w:t>O</w:t>
      </w:r>
      <w:r w:rsidRPr="00D403F5">
        <w:rPr>
          <w:rFonts w:ascii="Times New Roman" w:hAnsi="Times New Roman"/>
          <w:noProof/>
          <w:sz w:val="18"/>
          <w:szCs w:val="18"/>
          <w:bdr w:val="nil"/>
          <w:lang w:val="en-US"/>
        </w:rPr>
        <w:t xml:space="preserve">utcome key used by the </w:t>
      </w:r>
      <w:r w:rsidRPr="00D403F5">
        <w:rPr>
          <w:rFonts w:ascii="Times New Roman" w:eastAsia="SimSun" w:hAnsi="Times New Roman"/>
          <w:i/>
          <w:sz w:val="18"/>
          <w:szCs w:val="18"/>
          <w:bdr w:val="nil"/>
          <w:lang w:val="en-US" w:eastAsia="zh-CN"/>
        </w:rPr>
        <w:t>ad hoc</w:t>
      </w:r>
      <w:r w:rsidRPr="00D403F5">
        <w:rPr>
          <w:rFonts w:ascii="Times New Roman" w:eastAsia="SimSun" w:hAnsi="Times New Roman"/>
          <w:sz w:val="18"/>
          <w:szCs w:val="18"/>
          <w:bdr w:val="nil"/>
          <w:lang w:val="en-US" w:eastAsia="zh-CN"/>
        </w:rPr>
        <w:t xml:space="preserve"> Group</w:t>
      </w:r>
      <w:r w:rsidRPr="00D403F5">
        <w:rPr>
          <w:rFonts w:ascii="Times New Roman" w:hAnsi="Times New Roman"/>
          <w:noProof/>
          <w:sz w:val="18"/>
          <w:szCs w:val="18"/>
          <w:bdr w:val="nil"/>
          <w:lang w:val="en-US"/>
        </w:rPr>
        <w:t xml:space="preserve"> when assessing the susceptibility of the species: </w:t>
      </w:r>
    </w:p>
    <w:tbl>
      <w:tblPr>
        <w:tblStyle w:val="af2"/>
        <w:tblW w:w="9072" w:type="dxa"/>
        <w:tblInd w:w="108" w:type="dxa"/>
        <w:tblLook w:val="04A0" w:firstRow="1" w:lastRow="0" w:firstColumn="1" w:lastColumn="0" w:noHBand="0" w:noVBand="1"/>
      </w:tblPr>
      <w:tblGrid>
        <w:gridCol w:w="351"/>
        <w:gridCol w:w="8721"/>
      </w:tblGrid>
      <w:tr w:rsidR="00C7266C" w:rsidRPr="00D403F5" w14:paraId="57547B04" w14:textId="77777777" w:rsidTr="00951F46">
        <w:tc>
          <w:tcPr>
            <w:tcW w:w="0" w:type="auto"/>
          </w:tcPr>
          <w:p w14:paraId="021A44BD" w14:textId="77777777" w:rsidR="00C7266C" w:rsidRPr="00D403F5" w:rsidRDefault="00C7266C" w:rsidP="00D403F5">
            <w:pPr>
              <w:rPr>
                <w:rFonts w:ascii="Times New Roman" w:hAnsi="Times New Roman" w:cs="Times New Roman"/>
                <w:b/>
                <w:sz w:val="18"/>
                <w:szCs w:val="18"/>
                <w:lang w:val="en-US"/>
              </w:rPr>
            </w:pPr>
            <w:r w:rsidRPr="00D403F5">
              <w:rPr>
                <w:rFonts w:ascii="Times New Roman" w:hAnsi="Times New Roman" w:cs="Times New Roman"/>
                <w:b/>
                <w:sz w:val="18"/>
                <w:szCs w:val="18"/>
                <w:lang w:val="en-US"/>
              </w:rPr>
              <w:t>1.</w:t>
            </w:r>
          </w:p>
        </w:tc>
        <w:tc>
          <w:tcPr>
            <w:tcW w:w="8721" w:type="dxa"/>
          </w:tcPr>
          <w:p w14:paraId="44CBBE68" w14:textId="77777777" w:rsidR="00C7266C" w:rsidRPr="00D403F5" w:rsidRDefault="00C7266C" w:rsidP="00D403F5">
            <w:pPr>
              <w:pBdr>
                <w:top w:val="nil"/>
                <w:left w:val="nil"/>
                <w:bottom w:val="nil"/>
                <w:right w:val="nil"/>
                <w:between w:val="nil"/>
                <w:bar w:val="nil"/>
              </w:pBdr>
              <w:suppressAutoHyphens/>
              <w:rPr>
                <w:rFonts w:ascii="Times New Roman" w:hAnsi="Times New Roman" w:cs="Times New Roman"/>
                <w:i/>
                <w:sz w:val="18"/>
                <w:szCs w:val="18"/>
                <w:lang w:val="en-US"/>
              </w:rPr>
            </w:pPr>
            <w:r w:rsidRPr="00D403F5">
              <w:rPr>
                <w:rFonts w:ascii="Times New Roman" w:hAnsi="Times New Roman" w:cs="Times New Roman"/>
                <w:i/>
                <w:sz w:val="18"/>
                <w:szCs w:val="18"/>
                <w:lang w:val="en-US"/>
              </w:rPr>
              <w:t>S</w:t>
            </w:r>
            <w:r w:rsidRPr="00D403F5">
              <w:rPr>
                <w:rFonts w:ascii="Times New Roman" w:hAnsi="Times New Roman" w:cs="Times New Roman"/>
                <w:i/>
                <w:sz w:val="18"/>
                <w:szCs w:val="18"/>
              </w:rPr>
              <w:t xml:space="preserve">pecies that were </w:t>
            </w:r>
            <w:r w:rsidRPr="00D403F5">
              <w:rPr>
                <w:rFonts w:ascii="Times New Roman" w:eastAsia="SimSun" w:hAnsi="Times New Roman" w:cs="Times New Roman"/>
                <w:i/>
                <w:sz w:val="18"/>
                <w:szCs w:val="18"/>
                <w:bdr w:val="nil"/>
                <w:lang w:val="en-US" w:eastAsia="zh-CN"/>
              </w:rPr>
              <w:t xml:space="preserve">classified as susceptible (as described in Article 1.5.7.) were proposed for </w:t>
            </w:r>
            <w:r w:rsidRPr="00D403F5">
              <w:rPr>
                <w:rFonts w:ascii="Times New Roman" w:hAnsi="Times New Roman" w:cs="Times New Roman"/>
                <w:i/>
                <w:sz w:val="18"/>
                <w:szCs w:val="18"/>
              </w:rPr>
              <w:t xml:space="preserve">inclusion in </w:t>
            </w:r>
            <w:r w:rsidRPr="00D403F5">
              <w:rPr>
                <w:rFonts w:ascii="Times New Roman" w:eastAsia="SimSun" w:hAnsi="Times New Roman" w:cs="Times New Roman"/>
                <w:i/>
                <w:sz w:val="18"/>
                <w:szCs w:val="18"/>
                <w:bdr w:val="nil"/>
                <w:lang w:val="en-US" w:eastAsia="zh-CN"/>
              </w:rPr>
              <w:t xml:space="preserve">Article 10.10.2. of Chapter 10.10. </w:t>
            </w:r>
            <w:r w:rsidRPr="00D403F5">
              <w:rPr>
                <w:rFonts w:ascii="Times New Roman" w:hAnsi="Times New Roman" w:cs="Times New Roman"/>
                <w:bCs/>
                <w:i/>
                <w:kern w:val="1"/>
                <w:sz w:val="18"/>
                <w:szCs w:val="18"/>
                <w:lang w:eastAsia="ar-SA"/>
              </w:rPr>
              <w:t>Infection with viral haemorrhagic septicaemia virus (VHSV)</w:t>
            </w:r>
            <w:r w:rsidRPr="00D403F5">
              <w:rPr>
                <w:rFonts w:ascii="Times New Roman" w:eastAsia="SimSun" w:hAnsi="Times New Roman" w:cs="Times New Roman"/>
                <w:i/>
                <w:sz w:val="18"/>
                <w:szCs w:val="18"/>
                <w:bdr w:val="nil"/>
                <w:lang w:val="en-US" w:eastAsia="zh-CN"/>
              </w:rPr>
              <w:t xml:space="preserve"> of the Aquatic Code and Section 2.2.1. of Chapter 2.3.10. </w:t>
            </w:r>
            <w:r w:rsidRPr="00D403F5">
              <w:rPr>
                <w:rFonts w:ascii="Times New Roman" w:hAnsi="Times New Roman" w:cs="Times New Roman"/>
                <w:bCs/>
                <w:i/>
                <w:kern w:val="1"/>
                <w:sz w:val="18"/>
                <w:szCs w:val="18"/>
                <w:lang w:eastAsia="ar-SA"/>
              </w:rPr>
              <w:t>Viral haemorrhagic septicaemia (VHSV)</w:t>
            </w:r>
            <w:r w:rsidRPr="00D403F5">
              <w:rPr>
                <w:rFonts w:ascii="Times New Roman" w:eastAsia="SimSun" w:hAnsi="Times New Roman" w:cs="Times New Roman"/>
                <w:i/>
                <w:sz w:val="18"/>
                <w:szCs w:val="18"/>
                <w:bdr w:val="nil"/>
                <w:lang w:val="en-US" w:eastAsia="zh-CN"/>
              </w:rPr>
              <w:t xml:space="preserve"> of the Aquatic Manual.</w:t>
            </w:r>
          </w:p>
        </w:tc>
      </w:tr>
      <w:tr w:rsidR="00C7266C" w:rsidRPr="00D403F5" w14:paraId="18AC4ABE" w14:textId="77777777" w:rsidTr="00951F46">
        <w:tc>
          <w:tcPr>
            <w:tcW w:w="0" w:type="auto"/>
          </w:tcPr>
          <w:p w14:paraId="5F003420" w14:textId="77777777" w:rsidR="00C7266C" w:rsidRPr="00D403F5" w:rsidRDefault="00C7266C" w:rsidP="00D403F5">
            <w:pPr>
              <w:rPr>
                <w:rFonts w:ascii="Times New Roman" w:hAnsi="Times New Roman" w:cs="Times New Roman"/>
                <w:b/>
                <w:sz w:val="18"/>
                <w:szCs w:val="18"/>
                <w:lang w:val="en-US"/>
              </w:rPr>
            </w:pPr>
            <w:r w:rsidRPr="00D403F5">
              <w:rPr>
                <w:rFonts w:ascii="Times New Roman" w:hAnsi="Times New Roman" w:cs="Times New Roman"/>
                <w:b/>
                <w:sz w:val="18"/>
                <w:szCs w:val="18"/>
                <w:lang w:val="en-US"/>
              </w:rPr>
              <w:t>2.</w:t>
            </w:r>
          </w:p>
        </w:tc>
        <w:tc>
          <w:tcPr>
            <w:tcW w:w="8721" w:type="dxa"/>
          </w:tcPr>
          <w:p w14:paraId="25DC8A24" w14:textId="77777777" w:rsidR="00C7266C" w:rsidRPr="00D403F5" w:rsidRDefault="00C7266C" w:rsidP="00D403F5">
            <w:pPr>
              <w:widowControl w:val="0"/>
              <w:overflowPunct w:val="0"/>
              <w:autoSpaceDE w:val="0"/>
              <w:autoSpaceDN w:val="0"/>
              <w:adjustRightInd w:val="0"/>
              <w:jc w:val="both"/>
              <w:textAlignment w:val="baseline"/>
              <w:rPr>
                <w:rFonts w:ascii="Times New Roman" w:eastAsia="SimSun" w:hAnsi="Times New Roman" w:cs="Times New Roman"/>
                <w:i/>
                <w:sz w:val="18"/>
                <w:szCs w:val="18"/>
                <w:bdr w:val="nil"/>
                <w:lang w:val="en-US" w:eastAsia="zh-CN"/>
              </w:rPr>
            </w:pPr>
            <w:r w:rsidRPr="00D403F5">
              <w:rPr>
                <w:rFonts w:ascii="Times New Roman" w:hAnsi="Times New Roman" w:cs="Times New Roman"/>
                <w:i/>
                <w:sz w:val="18"/>
                <w:szCs w:val="18"/>
              </w:rPr>
              <w:t xml:space="preserve">Species that </w:t>
            </w:r>
            <w:r w:rsidRPr="00D403F5">
              <w:rPr>
                <w:rFonts w:ascii="Times New Roman" w:eastAsia="SimSun" w:hAnsi="Times New Roman" w:cs="Times New Roman"/>
                <w:i/>
                <w:sz w:val="18"/>
                <w:szCs w:val="18"/>
                <w:bdr w:val="nil"/>
                <w:lang w:val="en-US" w:eastAsia="zh-CN"/>
              </w:rPr>
              <w:t xml:space="preserve">were classified as species for which there is partial evidence for susceptibility (as described in Article 1.5.8.) were proposed for inclusion in Section 2.2.2. Species with incomplete evidence for susceptibility of Chapter 2.3.10. </w:t>
            </w:r>
            <w:r w:rsidRPr="00D403F5">
              <w:rPr>
                <w:rFonts w:ascii="Times New Roman" w:hAnsi="Times New Roman" w:cs="Times New Roman"/>
                <w:bCs/>
                <w:i/>
                <w:kern w:val="1"/>
                <w:sz w:val="18"/>
                <w:szCs w:val="18"/>
                <w:lang w:eastAsia="ar-SA"/>
              </w:rPr>
              <w:t>Viral haemorrhagic septicaemia (VHSV)</w:t>
            </w:r>
            <w:r w:rsidRPr="00D403F5">
              <w:rPr>
                <w:rFonts w:ascii="Times New Roman" w:eastAsia="SimSun" w:hAnsi="Times New Roman" w:cs="Times New Roman"/>
                <w:i/>
                <w:sz w:val="18"/>
                <w:szCs w:val="18"/>
                <w:bdr w:val="nil"/>
                <w:lang w:val="en-US" w:eastAsia="zh-CN"/>
              </w:rPr>
              <w:t xml:space="preserve"> of the Aquatic Manual. </w:t>
            </w:r>
          </w:p>
        </w:tc>
      </w:tr>
      <w:tr w:rsidR="00C7266C" w:rsidRPr="00D403F5" w14:paraId="12B6FC2D" w14:textId="77777777" w:rsidTr="00951F46">
        <w:tc>
          <w:tcPr>
            <w:tcW w:w="0" w:type="auto"/>
          </w:tcPr>
          <w:p w14:paraId="24BC0F53" w14:textId="77777777" w:rsidR="00C7266C" w:rsidRPr="00D403F5" w:rsidRDefault="00C7266C" w:rsidP="00D403F5">
            <w:pPr>
              <w:rPr>
                <w:rFonts w:ascii="Times New Roman" w:hAnsi="Times New Roman" w:cs="Times New Roman"/>
                <w:b/>
                <w:sz w:val="18"/>
                <w:szCs w:val="18"/>
                <w:lang w:val="en-US"/>
              </w:rPr>
            </w:pPr>
            <w:r w:rsidRPr="00D403F5">
              <w:rPr>
                <w:rFonts w:ascii="Times New Roman" w:hAnsi="Times New Roman" w:cs="Times New Roman"/>
                <w:b/>
                <w:sz w:val="18"/>
                <w:szCs w:val="18"/>
                <w:lang w:val="en-US"/>
              </w:rPr>
              <w:t>3.</w:t>
            </w:r>
          </w:p>
        </w:tc>
        <w:tc>
          <w:tcPr>
            <w:tcW w:w="8721" w:type="dxa"/>
          </w:tcPr>
          <w:p w14:paraId="5DA4B4BF" w14:textId="77777777" w:rsidR="00C7266C" w:rsidRPr="00D403F5" w:rsidRDefault="00C7266C" w:rsidP="00D403F5">
            <w:pPr>
              <w:pBdr>
                <w:top w:val="nil"/>
                <w:left w:val="nil"/>
                <w:bottom w:val="nil"/>
                <w:right w:val="nil"/>
                <w:between w:val="nil"/>
                <w:bar w:val="nil"/>
              </w:pBdr>
              <w:suppressAutoHyphens/>
              <w:rPr>
                <w:rFonts w:ascii="Times New Roman" w:hAnsi="Times New Roman" w:cs="Times New Roman"/>
                <w:sz w:val="18"/>
                <w:szCs w:val="18"/>
                <w:lang w:val="en-US"/>
              </w:rPr>
            </w:pPr>
            <w:r w:rsidRPr="00D403F5">
              <w:rPr>
                <w:rFonts w:ascii="Times New Roman" w:hAnsi="Times New Roman" w:cs="Times New Roman"/>
                <w:i/>
                <w:sz w:val="18"/>
                <w:szCs w:val="18"/>
              </w:rPr>
              <w:t>Species that were found not to meet the criteria were not proposed for inclusion in either the Aquatic Code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 xml:space="preserve">Aquatic Manual. The exception were species were there had been reported pathogen-specific positive PCR results. These species were included in a separate paragraph in </w:t>
            </w:r>
            <w:r w:rsidRPr="00D403F5">
              <w:rPr>
                <w:rFonts w:ascii="Times New Roman" w:eastAsia="SimSun" w:hAnsi="Times New Roman" w:cs="Times New Roman"/>
                <w:i/>
                <w:sz w:val="18"/>
                <w:szCs w:val="18"/>
                <w:bdr w:val="nil"/>
                <w:lang w:val="en-US" w:eastAsia="zh-CN"/>
              </w:rPr>
              <w:t xml:space="preserve">Section 2.2.2. Species with incomplete evidence for susceptibility of Chapter 2.3.10. </w:t>
            </w:r>
            <w:r w:rsidRPr="00D403F5">
              <w:rPr>
                <w:rFonts w:ascii="Times New Roman" w:hAnsi="Times New Roman" w:cs="Times New Roman"/>
                <w:bCs/>
                <w:i/>
                <w:kern w:val="1"/>
                <w:sz w:val="18"/>
                <w:szCs w:val="18"/>
                <w:lang w:eastAsia="ar-SA"/>
              </w:rPr>
              <w:t>Viral haemorrhagic septicaemia (VHSV)</w:t>
            </w:r>
            <w:r w:rsidRPr="00D403F5">
              <w:rPr>
                <w:rFonts w:ascii="Times New Roman" w:eastAsia="SimSun" w:hAnsi="Times New Roman" w:cs="Times New Roman"/>
                <w:i/>
                <w:sz w:val="18"/>
                <w:szCs w:val="18"/>
                <w:bdr w:val="nil"/>
                <w:lang w:val="en-US" w:eastAsia="zh-CN"/>
              </w:rPr>
              <w:t xml:space="preserve"> of the Aquatic Manual.</w:t>
            </w:r>
          </w:p>
        </w:tc>
      </w:tr>
      <w:tr w:rsidR="00C7266C" w:rsidRPr="00D403F5" w14:paraId="71804179" w14:textId="77777777" w:rsidTr="00951F46">
        <w:tc>
          <w:tcPr>
            <w:tcW w:w="0" w:type="auto"/>
          </w:tcPr>
          <w:p w14:paraId="10F4F655" w14:textId="77777777" w:rsidR="00C7266C" w:rsidRPr="00D403F5" w:rsidRDefault="00C7266C" w:rsidP="00D403F5">
            <w:pPr>
              <w:rPr>
                <w:rFonts w:ascii="Times New Roman" w:hAnsi="Times New Roman" w:cs="Times New Roman"/>
                <w:b/>
                <w:sz w:val="18"/>
                <w:szCs w:val="18"/>
                <w:lang w:val="en-US"/>
              </w:rPr>
            </w:pPr>
            <w:r w:rsidRPr="00D403F5">
              <w:rPr>
                <w:rFonts w:ascii="Times New Roman" w:hAnsi="Times New Roman" w:cs="Times New Roman"/>
                <w:b/>
                <w:sz w:val="18"/>
                <w:szCs w:val="18"/>
                <w:lang w:val="en-US"/>
              </w:rPr>
              <w:t>4.</w:t>
            </w:r>
          </w:p>
        </w:tc>
        <w:tc>
          <w:tcPr>
            <w:tcW w:w="8721" w:type="dxa"/>
          </w:tcPr>
          <w:p w14:paraId="209AE642" w14:textId="77777777" w:rsidR="00C7266C" w:rsidRPr="00D403F5" w:rsidRDefault="00C7266C" w:rsidP="00D403F5">
            <w:pPr>
              <w:pBdr>
                <w:top w:val="nil"/>
                <w:left w:val="nil"/>
                <w:bottom w:val="nil"/>
                <w:right w:val="nil"/>
                <w:between w:val="nil"/>
                <w:bar w:val="nil"/>
              </w:pBdr>
              <w:suppressAutoHyphens/>
              <w:rPr>
                <w:rFonts w:ascii="Times New Roman" w:hAnsi="Times New Roman" w:cs="Times New Roman"/>
                <w:sz w:val="18"/>
                <w:szCs w:val="18"/>
                <w:lang w:val="en-US"/>
              </w:rPr>
            </w:pPr>
            <w:r w:rsidRPr="00D403F5">
              <w:rPr>
                <w:rFonts w:ascii="Times New Roman" w:hAnsi="Times New Roman" w:cs="Times New Roman"/>
                <w:i/>
                <w:sz w:val="18"/>
                <w:szCs w:val="18"/>
              </w:rPr>
              <w:t>There is evidence of non-susceptibility and the species is not proposed for inclusion in either the Aquatic Code</w:t>
            </w:r>
            <w:r w:rsidRPr="00D403F5">
              <w:rPr>
                <w:rFonts w:ascii="Times New Roman" w:hAnsi="Times New Roman" w:cs="Times New Roman"/>
                <w:sz w:val="18"/>
                <w:szCs w:val="18"/>
              </w:rPr>
              <w:t xml:space="preserve"> or </w:t>
            </w:r>
            <w:r w:rsidRPr="00D403F5">
              <w:rPr>
                <w:rFonts w:ascii="Times New Roman" w:hAnsi="Times New Roman" w:cs="Times New Roman"/>
                <w:i/>
                <w:sz w:val="18"/>
                <w:szCs w:val="18"/>
              </w:rPr>
              <w:t>Aquatic Manual.</w:t>
            </w:r>
            <w:r w:rsidRPr="00D403F5">
              <w:rPr>
                <w:rFonts w:ascii="Times New Roman" w:hAnsi="Times New Roman" w:cs="Times New Roman"/>
                <w:sz w:val="18"/>
                <w:szCs w:val="18"/>
              </w:rPr>
              <w:t xml:space="preserve"> </w:t>
            </w:r>
          </w:p>
        </w:tc>
      </w:tr>
    </w:tbl>
    <w:p w14:paraId="5F834C0F" w14:textId="77777777" w:rsidR="00C7266C" w:rsidRPr="00D403F5" w:rsidRDefault="00C7266C" w:rsidP="00D403F5">
      <w:pPr>
        <w:spacing w:after="0" w:line="240" w:lineRule="auto"/>
        <w:jc w:val="both"/>
        <w:rPr>
          <w:rFonts w:ascii="Times New Roman" w:hAnsi="Times New Roman" w:cs="Times New Roman"/>
          <w:i/>
          <w:iCs/>
          <w:color w:val="FF0000"/>
          <w:sz w:val="18"/>
          <w:szCs w:val="18"/>
          <w:bdr w:val="nil"/>
          <w:lang w:val="en-US" w:eastAsia="ja-JP"/>
        </w:rPr>
      </w:pPr>
      <w:r w:rsidRPr="00D403F5">
        <w:rPr>
          <w:rFonts w:ascii="Times New Roman" w:hAnsi="Times New Roman" w:cs="Times New Roman"/>
          <w:sz w:val="18"/>
          <w:szCs w:val="18"/>
          <w:lang w:val="en-US"/>
        </w:rPr>
        <w:t xml:space="preserve">The </w:t>
      </w:r>
      <w:r w:rsidRPr="00D403F5">
        <w:rPr>
          <w:rFonts w:ascii="Times New Roman" w:hAnsi="Times New Roman" w:cs="Times New Roman"/>
          <w:i/>
          <w:sz w:val="18"/>
          <w:szCs w:val="18"/>
          <w:lang w:val="en-US"/>
        </w:rPr>
        <w:t xml:space="preserve">ad hoc </w:t>
      </w:r>
      <w:r w:rsidRPr="00D403F5">
        <w:rPr>
          <w:rFonts w:ascii="Times New Roman" w:hAnsi="Times New Roman" w:cs="Times New Roman"/>
          <w:sz w:val="18"/>
          <w:szCs w:val="18"/>
          <w:lang w:val="en-US"/>
        </w:rPr>
        <w:t>Group recommended that i</w:t>
      </w:r>
      <w:r w:rsidRPr="00D403F5">
        <w:rPr>
          <w:rFonts w:ascii="Times New Roman" w:hAnsi="Times New Roman" w:cs="Times New Roman"/>
          <w:sz w:val="18"/>
          <w:szCs w:val="18"/>
          <w:bdr w:val="nil"/>
          <w:lang w:val="en-US" w:eastAsia="ja-JP"/>
        </w:rPr>
        <w:t xml:space="preserve">nvertebrate species and turtle species </w:t>
      </w:r>
      <w:r w:rsidRPr="00D403F5">
        <w:rPr>
          <w:rFonts w:ascii="Times New Roman" w:hAnsi="Times New Roman" w:cs="Times New Roman"/>
          <w:sz w:val="18"/>
          <w:szCs w:val="18"/>
          <w:lang w:val="en-US"/>
        </w:rPr>
        <w:t xml:space="preserve">assessed and listed in Table 2 be included in </w:t>
      </w:r>
      <w:r w:rsidRPr="00D403F5">
        <w:rPr>
          <w:rFonts w:ascii="Times New Roman" w:hAnsi="Times New Roman" w:cs="Times New Roman"/>
          <w:sz w:val="18"/>
          <w:szCs w:val="18"/>
          <w:bdr w:val="nil"/>
          <w:lang w:val="en-US" w:eastAsia="ja-JP"/>
        </w:rPr>
        <w:t xml:space="preserve">Section 2.2.6. Vectors of Chapter 2.3.10. Viral haemorrhagic septicaemia (VHSV) in the </w:t>
      </w:r>
      <w:r w:rsidRPr="00D403F5">
        <w:rPr>
          <w:rFonts w:ascii="Times New Roman" w:hAnsi="Times New Roman" w:cs="Times New Roman"/>
          <w:i/>
          <w:iCs/>
          <w:sz w:val="18"/>
          <w:szCs w:val="18"/>
          <w:bdr w:val="nil"/>
          <w:lang w:val="en-US" w:eastAsia="ja-JP"/>
        </w:rPr>
        <w:t>Aquatic Manual.</w:t>
      </w:r>
      <w:r w:rsidRPr="00D403F5">
        <w:rPr>
          <w:rFonts w:ascii="Times New Roman" w:hAnsi="Times New Roman" w:cs="Times New Roman"/>
          <w:sz w:val="18"/>
          <w:szCs w:val="18"/>
          <w:lang w:val="en-US"/>
        </w:rPr>
        <w:t xml:space="preserve"> These species were considered to be vectors for transmission of VHSV rather than true susceptible species because it was difficult to determine viral replication within the invertebrate and turtle species.  </w:t>
      </w:r>
    </w:p>
    <w:p w14:paraId="4B09C2B3" w14:textId="77777777" w:rsidR="00C7266C" w:rsidRPr="00D403F5" w:rsidRDefault="00C7266C" w:rsidP="00D403F5">
      <w:pPr>
        <w:spacing w:after="0" w:line="240" w:lineRule="auto"/>
        <w:jc w:val="both"/>
        <w:rPr>
          <w:rFonts w:ascii="Times New Roman" w:eastAsia="Calibri" w:hAnsi="Times New Roman" w:cs="Times New Roman"/>
          <w:bCs/>
          <w:sz w:val="18"/>
          <w:szCs w:val="18"/>
          <w:lang w:val="en-US"/>
        </w:rPr>
      </w:pPr>
      <w:r w:rsidRPr="00D403F5">
        <w:rPr>
          <w:rFonts w:ascii="Times New Roman" w:eastAsia="Calibri" w:hAnsi="Times New Roman" w:cs="Times New Roman"/>
          <w:bCs/>
          <w:sz w:val="18"/>
          <w:szCs w:val="18"/>
          <w:lang w:val="en-US"/>
        </w:rPr>
        <w:t xml:space="preserve">Where there is conflicting evidence in the scientific literature for the same host species, or assessments differed (e.g. assessments ranging between ‘1’ and ‘3’), the </w:t>
      </w:r>
      <w:r w:rsidRPr="00D403F5">
        <w:rPr>
          <w:rFonts w:ascii="Times New Roman" w:hAnsi="Times New Roman" w:cs="Times New Roman"/>
          <w:i/>
          <w:noProof/>
          <w:sz w:val="18"/>
          <w:szCs w:val="18"/>
          <w:bdr w:val="nil"/>
          <w:lang w:val="en-US"/>
        </w:rPr>
        <w:t xml:space="preserve">ad hoc </w:t>
      </w:r>
      <w:r w:rsidRPr="00D403F5">
        <w:rPr>
          <w:rFonts w:ascii="Times New Roman" w:hAnsi="Times New Roman" w:cs="Times New Roman"/>
          <w:noProof/>
          <w:sz w:val="18"/>
          <w:szCs w:val="18"/>
          <w:bdr w:val="nil"/>
          <w:lang w:val="en-US"/>
        </w:rPr>
        <w:t>Group</w:t>
      </w:r>
      <w:r w:rsidRPr="00D403F5">
        <w:rPr>
          <w:rFonts w:ascii="Times New Roman" w:hAnsi="Times New Roman" w:cs="Times New Roman"/>
          <w:sz w:val="18"/>
          <w:szCs w:val="18"/>
          <w:bdr w:val="nil"/>
          <w:lang w:val="en-US" w:eastAsia="ja-JP"/>
        </w:rPr>
        <w:t xml:space="preserve"> </w:t>
      </w:r>
      <w:r w:rsidRPr="00D403F5">
        <w:rPr>
          <w:rFonts w:ascii="Times New Roman" w:eastAsia="Calibri" w:hAnsi="Times New Roman" w:cs="Times New Roman"/>
          <w:bCs/>
          <w:sz w:val="18"/>
          <w:szCs w:val="18"/>
          <w:lang w:val="en-US"/>
        </w:rPr>
        <w:t>provided some explanatory text in the relevant Annex as to their rationale for the final outcome.</w:t>
      </w:r>
    </w:p>
    <w:p w14:paraId="507F3268" w14:textId="77777777" w:rsidR="00C7266C" w:rsidRPr="00D403F5" w:rsidRDefault="00C7266C" w:rsidP="00D403F5">
      <w:pPr>
        <w:spacing w:after="0" w:line="240" w:lineRule="auto"/>
        <w:jc w:val="both"/>
        <w:rPr>
          <w:rFonts w:ascii="Times New Roman" w:hAnsi="Times New Roman" w:cs="Times New Roman"/>
          <w:sz w:val="18"/>
          <w:szCs w:val="18"/>
          <w:bdr w:val="nil"/>
          <w:lang w:val="en-US" w:eastAsia="ja-JP"/>
        </w:rPr>
      </w:pPr>
      <w:r w:rsidRPr="00D403F5">
        <w:rPr>
          <w:rFonts w:ascii="Times New Roman" w:hAnsi="Times New Roman" w:cs="Times New Roman"/>
          <w:sz w:val="18"/>
          <w:szCs w:val="18"/>
        </w:rPr>
        <w:t xml:space="preserve">The </w:t>
      </w:r>
      <w:r w:rsidRPr="00D403F5">
        <w:rPr>
          <w:rFonts w:ascii="Times New Roman" w:hAnsi="Times New Roman" w:cs="Times New Roman"/>
          <w:i/>
          <w:iCs/>
          <w:sz w:val="18"/>
          <w:szCs w:val="18"/>
        </w:rPr>
        <w:t xml:space="preserve">ad hoc </w:t>
      </w:r>
      <w:r w:rsidRPr="00D403F5">
        <w:rPr>
          <w:rFonts w:ascii="Times New Roman" w:hAnsi="Times New Roman" w:cs="Times New Roman"/>
          <w:sz w:val="18"/>
          <w:szCs w:val="18"/>
        </w:rPr>
        <w:t>Group considered that if only a single publication provided evidence for a score of 1, some form of corroborating evidence was required in addition, specifically:</w:t>
      </w:r>
    </w:p>
    <w:p w14:paraId="3ABD9068" w14:textId="77777777" w:rsidR="00C7266C" w:rsidRPr="00D403F5" w:rsidRDefault="00C7266C" w:rsidP="00D403F5">
      <w:pPr>
        <w:pStyle w:val="a4"/>
        <w:numPr>
          <w:ilvl w:val="0"/>
          <w:numId w:val="31"/>
        </w:numPr>
        <w:spacing w:after="0" w:line="240" w:lineRule="auto"/>
        <w:ind w:left="426" w:hanging="426"/>
        <w:contextualSpacing w:val="0"/>
        <w:jc w:val="both"/>
        <w:rPr>
          <w:rFonts w:ascii="Times New Roman" w:hAnsi="Times New Roman" w:cs="Times New Roman"/>
          <w:sz w:val="18"/>
          <w:szCs w:val="18"/>
        </w:rPr>
      </w:pPr>
      <w:r w:rsidRPr="00D403F5">
        <w:rPr>
          <w:rFonts w:ascii="Times New Roman" w:hAnsi="Times New Roman" w:cs="Times New Roman"/>
          <w:sz w:val="18"/>
          <w:szCs w:val="18"/>
        </w:rPr>
        <w:t>Internal corroboration in the published study. Multiple lines of evidence within the same publication.  This could result from i) a research cruise that amasses positive fish from multiple dates and locations or ii) an experimental study testing several isolates or routes of exposure (e.g. immersion and cohab).  In these instances, assuming the research is sound, the species was scored a 1 from a single peer-reviewed publication.</w:t>
      </w:r>
    </w:p>
    <w:p w14:paraId="1559AA58" w14:textId="77777777" w:rsidR="00C7266C" w:rsidRPr="00D403F5" w:rsidRDefault="00C7266C" w:rsidP="00D403F5">
      <w:pPr>
        <w:pStyle w:val="a4"/>
        <w:numPr>
          <w:ilvl w:val="0"/>
          <w:numId w:val="31"/>
        </w:numPr>
        <w:spacing w:after="0" w:line="240" w:lineRule="auto"/>
        <w:ind w:left="426" w:hanging="426"/>
        <w:contextualSpacing w:val="0"/>
        <w:jc w:val="both"/>
        <w:rPr>
          <w:rFonts w:ascii="Times New Roman" w:hAnsi="Times New Roman" w:cs="Times New Roman"/>
          <w:sz w:val="18"/>
          <w:szCs w:val="18"/>
        </w:rPr>
      </w:pPr>
      <w:r w:rsidRPr="00D403F5">
        <w:rPr>
          <w:rFonts w:ascii="Times New Roman" w:hAnsi="Times New Roman" w:cs="Times New Roman"/>
          <w:sz w:val="18"/>
          <w:szCs w:val="18"/>
        </w:rPr>
        <w:t>External corroboration:  evidence from other publications or sources.  Examples might include data found in a government website, a separate publication that scores a 2 or better, or evidence of expert judgement (e.g., source for a permissive cell line, or records from a reference lab).</w:t>
      </w:r>
    </w:p>
    <w:bookmarkEnd w:id="100"/>
    <w:p w14:paraId="2BE8AD2A" w14:textId="77777777" w:rsidR="00C7266C" w:rsidRPr="00D403F5" w:rsidRDefault="00C7266C" w:rsidP="00D403F5">
      <w:pPr>
        <w:widowControl w:val="0"/>
        <w:overflowPunct w:val="0"/>
        <w:autoSpaceDE w:val="0"/>
        <w:autoSpaceDN w:val="0"/>
        <w:adjustRightInd w:val="0"/>
        <w:spacing w:after="0" w:line="240" w:lineRule="auto"/>
        <w:jc w:val="both"/>
        <w:textAlignment w:val="baseline"/>
        <w:rPr>
          <w:rFonts w:ascii="Times New Roman" w:eastAsia="SimSun" w:hAnsi="Times New Roman" w:cs="Times New Roman"/>
          <w:sz w:val="18"/>
          <w:szCs w:val="18"/>
          <w:bdr w:val="nil"/>
          <w:lang w:eastAsia="zh-CN"/>
        </w:rPr>
      </w:pPr>
      <w:r w:rsidRPr="00D403F5">
        <w:rPr>
          <w:rFonts w:ascii="Times New Roman" w:eastAsia="SimSun" w:hAnsi="Times New Roman" w:cs="Times New Roman"/>
          <w:sz w:val="18"/>
          <w:szCs w:val="18"/>
          <w:bdr w:val="nil"/>
          <w:lang w:eastAsia="zh-CN"/>
        </w:rPr>
        <w:t xml:space="preserve">The detailed assessments for VHSV assessed by the </w:t>
      </w:r>
      <w:bookmarkStart w:id="101" w:name="_Hlk14442935"/>
      <w:r w:rsidRPr="00D403F5">
        <w:rPr>
          <w:rFonts w:ascii="Times New Roman" w:eastAsia="SimSun" w:hAnsi="Times New Roman" w:cs="Times New Roman"/>
          <w:i/>
          <w:sz w:val="18"/>
          <w:szCs w:val="18"/>
          <w:bdr w:val="nil"/>
          <w:lang w:eastAsia="zh-CN"/>
        </w:rPr>
        <w:t>ad hoc</w:t>
      </w:r>
      <w:r w:rsidRPr="00D403F5">
        <w:rPr>
          <w:rFonts w:ascii="Times New Roman" w:eastAsia="SimSun" w:hAnsi="Times New Roman" w:cs="Times New Roman"/>
          <w:sz w:val="18"/>
          <w:szCs w:val="18"/>
          <w:bdr w:val="nil"/>
          <w:lang w:eastAsia="zh-CN"/>
        </w:rPr>
        <w:t xml:space="preserve"> Group </w:t>
      </w:r>
      <w:bookmarkEnd w:id="101"/>
      <w:r w:rsidRPr="00D403F5">
        <w:rPr>
          <w:rFonts w:ascii="Times New Roman" w:eastAsia="SimSun" w:hAnsi="Times New Roman" w:cs="Times New Roman"/>
          <w:sz w:val="18"/>
          <w:szCs w:val="18"/>
          <w:bdr w:val="nil"/>
          <w:lang w:eastAsia="zh-CN"/>
        </w:rPr>
        <w:t xml:space="preserve">are provided in </w:t>
      </w:r>
      <w:r w:rsidRPr="00D403F5">
        <w:rPr>
          <w:rFonts w:ascii="Times New Roman" w:eastAsia="SimSun" w:hAnsi="Times New Roman" w:cs="Times New Roman"/>
          <w:sz w:val="18"/>
          <w:szCs w:val="18"/>
          <w:u w:val="single"/>
          <w:bdr w:val="nil"/>
          <w:lang w:eastAsia="zh-CN"/>
        </w:rPr>
        <w:t>Annex I</w:t>
      </w:r>
      <w:r w:rsidRPr="00D403F5">
        <w:rPr>
          <w:rFonts w:ascii="Times New Roman" w:eastAsia="SimSun" w:hAnsi="Times New Roman" w:cs="Times New Roman"/>
          <w:sz w:val="18"/>
          <w:szCs w:val="18"/>
          <w:bdr w:val="nil"/>
          <w:lang w:eastAsia="zh-CN"/>
        </w:rPr>
        <w:t>.</w:t>
      </w:r>
    </w:p>
    <w:p w14:paraId="01D18E90" w14:textId="77777777" w:rsidR="00A26A4C" w:rsidRPr="00D403F5" w:rsidRDefault="00A26A4C" w:rsidP="00D403F5">
      <w:pPr>
        <w:spacing w:after="0"/>
        <w:ind w:right="51"/>
        <w:jc w:val="center"/>
        <w:rPr>
          <w:rFonts w:ascii="Times New Roman" w:eastAsia="MS Mincho" w:hAnsi="Times New Roman" w:cs="Times New Roman"/>
          <w:kern w:val="2"/>
          <w:sz w:val="18"/>
          <w:szCs w:val="18"/>
        </w:rPr>
      </w:pPr>
      <w:r w:rsidRPr="00D403F5">
        <w:rPr>
          <w:rFonts w:ascii="Times New Roman" w:eastAsia="MS Mincho" w:hAnsi="Times New Roman" w:cs="Times New Roman"/>
          <w:kern w:val="2"/>
          <w:sz w:val="18"/>
          <w:szCs w:val="18"/>
        </w:rPr>
        <w:t>____________________________</w:t>
      </w:r>
    </w:p>
    <w:p w14:paraId="1847EAC5" w14:textId="62BCD8AF" w:rsidR="00C7266C" w:rsidRPr="00D403F5" w:rsidRDefault="00C7266C" w:rsidP="00D403F5">
      <w:pPr>
        <w:spacing w:after="0"/>
        <w:ind w:left="1145" w:hanging="1145"/>
        <w:jc w:val="center"/>
        <w:rPr>
          <w:rFonts w:eastAsia="Calibri"/>
          <w:sz w:val="18"/>
          <w:szCs w:val="18"/>
        </w:rPr>
      </w:pPr>
    </w:p>
    <w:p w14:paraId="5F56EDBF" w14:textId="77777777" w:rsidR="00A26A4C" w:rsidRDefault="00A26A4C" w:rsidP="00D403F5">
      <w:pPr>
        <w:spacing w:after="0"/>
        <w:ind w:left="1145" w:hanging="1145"/>
        <w:jc w:val="center"/>
        <w:rPr>
          <w:rFonts w:eastAsia="Calibri"/>
          <w:sz w:val="18"/>
          <w:szCs w:val="18"/>
        </w:rPr>
      </w:pPr>
    </w:p>
    <w:p w14:paraId="2370EDBF" w14:textId="77777777" w:rsidR="00951F46" w:rsidRDefault="00951F46" w:rsidP="00D403F5">
      <w:pPr>
        <w:spacing w:after="0"/>
        <w:ind w:left="1145" w:hanging="1145"/>
        <w:jc w:val="center"/>
        <w:rPr>
          <w:rFonts w:eastAsia="Calibri"/>
          <w:sz w:val="18"/>
          <w:szCs w:val="18"/>
        </w:rPr>
      </w:pPr>
    </w:p>
    <w:p w14:paraId="53AE2DFF" w14:textId="77777777" w:rsidR="00951F46" w:rsidRDefault="00951F46" w:rsidP="00D403F5">
      <w:pPr>
        <w:spacing w:after="0"/>
        <w:ind w:left="1145" w:hanging="1145"/>
        <w:jc w:val="center"/>
        <w:rPr>
          <w:rFonts w:eastAsia="Calibri"/>
          <w:sz w:val="18"/>
          <w:szCs w:val="18"/>
        </w:rPr>
      </w:pPr>
    </w:p>
    <w:p w14:paraId="5C276308" w14:textId="77777777" w:rsidR="00951F46" w:rsidRDefault="00951F46" w:rsidP="00D403F5">
      <w:pPr>
        <w:spacing w:after="0"/>
        <w:ind w:left="1145" w:hanging="1145"/>
        <w:jc w:val="center"/>
        <w:rPr>
          <w:rFonts w:eastAsia="Calibri"/>
          <w:sz w:val="18"/>
          <w:szCs w:val="18"/>
        </w:rPr>
      </w:pPr>
    </w:p>
    <w:p w14:paraId="3E5D8916" w14:textId="77777777" w:rsidR="00951F46" w:rsidRDefault="00951F46" w:rsidP="00D403F5">
      <w:pPr>
        <w:spacing w:after="0"/>
        <w:ind w:left="1145" w:hanging="1145"/>
        <w:jc w:val="center"/>
        <w:rPr>
          <w:rFonts w:eastAsia="Calibri"/>
          <w:sz w:val="18"/>
          <w:szCs w:val="18"/>
        </w:rPr>
      </w:pPr>
    </w:p>
    <w:p w14:paraId="2560DC86" w14:textId="77777777" w:rsidR="00951F46" w:rsidRDefault="00951F46" w:rsidP="00D403F5">
      <w:pPr>
        <w:spacing w:after="0"/>
        <w:ind w:left="1145" w:hanging="1145"/>
        <w:jc w:val="center"/>
        <w:rPr>
          <w:rFonts w:eastAsia="Calibri"/>
          <w:sz w:val="18"/>
          <w:szCs w:val="18"/>
        </w:rPr>
      </w:pPr>
    </w:p>
    <w:p w14:paraId="0FF8B7C1" w14:textId="77777777" w:rsidR="00951F46" w:rsidRDefault="00951F46" w:rsidP="00D403F5">
      <w:pPr>
        <w:spacing w:after="0"/>
        <w:ind w:left="1145" w:hanging="1145"/>
        <w:jc w:val="center"/>
        <w:rPr>
          <w:rFonts w:eastAsia="Calibri"/>
          <w:sz w:val="18"/>
          <w:szCs w:val="18"/>
        </w:rPr>
      </w:pPr>
    </w:p>
    <w:p w14:paraId="439125C9" w14:textId="77777777" w:rsidR="00951F46" w:rsidRDefault="00951F46" w:rsidP="00D403F5">
      <w:pPr>
        <w:spacing w:after="0"/>
        <w:ind w:left="1145" w:hanging="1145"/>
        <w:jc w:val="center"/>
        <w:rPr>
          <w:rFonts w:eastAsia="Calibri"/>
          <w:sz w:val="18"/>
          <w:szCs w:val="18"/>
        </w:rPr>
      </w:pPr>
    </w:p>
    <w:p w14:paraId="32637600" w14:textId="77777777" w:rsidR="00951F46" w:rsidRDefault="00951F46" w:rsidP="00D403F5">
      <w:pPr>
        <w:spacing w:after="0"/>
        <w:ind w:left="1145" w:hanging="1145"/>
        <w:jc w:val="center"/>
        <w:rPr>
          <w:rFonts w:eastAsia="Calibri"/>
          <w:sz w:val="18"/>
          <w:szCs w:val="18"/>
        </w:rPr>
      </w:pPr>
    </w:p>
    <w:p w14:paraId="2CB299A5" w14:textId="77777777" w:rsidR="00951F46" w:rsidRDefault="00951F46" w:rsidP="00D403F5">
      <w:pPr>
        <w:spacing w:after="0"/>
        <w:ind w:left="1145" w:hanging="1145"/>
        <w:jc w:val="center"/>
        <w:rPr>
          <w:rFonts w:eastAsia="Calibri"/>
          <w:sz w:val="18"/>
          <w:szCs w:val="18"/>
        </w:rPr>
      </w:pPr>
    </w:p>
    <w:p w14:paraId="5ABD18E5" w14:textId="77777777" w:rsidR="00951F46" w:rsidRPr="00D403F5" w:rsidRDefault="00951F46" w:rsidP="00D403F5">
      <w:pPr>
        <w:spacing w:after="0"/>
        <w:ind w:left="1145" w:hanging="1145"/>
        <w:jc w:val="center"/>
        <w:rPr>
          <w:rFonts w:eastAsia="Calibri"/>
          <w:sz w:val="18"/>
          <w:szCs w:val="18"/>
        </w:rPr>
      </w:pPr>
    </w:p>
    <w:p w14:paraId="24EBA483" w14:textId="77777777" w:rsidR="00A26A4C" w:rsidRPr="00D403F5" w:rsidRDefault="00A26A4C" w:rsidP="00D403F5">
      <w:pPr>
        <w:spacing w:after="0"/>
        <w:ind w:left="1145" w:hanging="1145"/>
        <w:jc w:val="center"/>
        <w:rPr>
          <w:rFonts w:eastAsia="Calibri"/>
          <w:sz w:val="18"/>
          <w:szCs w:val="18"/>
        </w:rPr>
      </w:pPr>
    </w:p>
    <w:p w14:paraId="7F130430" w14:textId="77777777" w:rsidR="00A26A4C" w:rsidRPr="00D403F5" w:rsidRDefault="00A26A4C" w:rsidP="00D403F5">
      <w:pPr>
        <w:spacing w:after="0"/>
        <w:ind w:left="1145" w:hanging="1145"/>
        <w:jc w:val="center"/>
        <w:rPr>
          <w:rFonts w:eastAsia="Calibri"/>
          <w:sz w:val="18"/>
          <w:szCs w:val="18"/>
        </w:rPr>
      </w:pPr>
    </w:p>
    <w:p w14:paraId="17949409" w14:textId="77777777" w:rsidR="00A26A4C" w:rsidRPr="00D403F5" w:rsidRDefault="00A26A4C" w:rsidP="00D403F5">
      <w:pPr>
        <w:spacing w:after="0"/>
        <w:ind w:left="1145" w:hanging="1145"/>
        <w:jc w:val="center"/>
        <w:rPr>
          <w:rFonts w:eastAsia="Calibri"/>
          <w:sz w:val="18"/>
          <w:szCs w:val="18"/>
        </w:rPr>
        <w:sectPr w:rsidR="00A26A4C" w:rsidRPr="00D403F5" w:rsidSect="00C7266C">
          <w:headerReference w:type="even" r:id="rId162"/>
          <w:headerReference w:type="default" r:id="rId163"/>
          <w:footerReference w:type="even" r:id="rId164"/>
          <w:footerReference w:type="default" r:id="rId165"/>
          <w:headerReference w:type="first" r:id="rId166"/>
          <w:type w:val="oddPage"/>
          <w:pgSz w:w="11906" w:h="16838" w:code="9"/>
          <w:pgMar w:top="1418" w:right="1418" w:bottom="1418" w:left="1418" w:header="709" w:footer="709" w:gutter="0"/>
          <w:cols w:space="708"/>
          <w:vAlign w:val="both"/>
          <w:docGrid w:linePitch="360"/>
        </w:sectPr>
      </w:pPr>
    </w:p>
    <w:p w14:paraId="1A06381F" w14:textId="77777777" w:rsidR="00C7266C" w:rsidRPr="00D403F5" w:rsidRDefault="00C7266C" w:rsidP="00D403F5">
      <w:pPr>
        <w:spacing w:after="0"/>
        <w:ind w:hanging="425"/>
        <w:jc w:val="right"/>
        <w:rPr>
          <w:rFonts w:eastAsia="Calibri"/>
          <w:sz w:val="18"/>
          <w:szCs w:val="18"/>
          <w:u w:val="single"/>
          <w:lang w:val="en-US"/>
        </w:rPr>
        <w:sectPr w:rsidR="00C7266C" w:rsidRPr="00D403F5" w:rsidSect="00C7266C">
          <w:headerReference w:type="even" r:id="rId167"/>
          <w:headerReference w:type="default" r:id="rId168"/>
          <w:footerReference w:type="even" r:id="rId169"/>
          <w:footerReference w:type="default" r:id="rId170"/>
          <w:headerReference w:type="first" r:id="rId171"/>
          <w:footerReference w:type="first" r:id="rId172"/>
          <w:pgSz w:w="16838" w:h="11906" w:orient="landscape"/>
          <w:pgMar w:top="1418" w:right="1418" w:bottom="1418" w:left="1418" w:header="709" w:footer="709" w:gutter="0"/>
          <w:cols w:space="708"/>
          <w:titlePg/>
          <w:docGrid w:linePitch="360"/>
        </w:sectPr>
      </w:pPr>
    </w:p>
    <w:p w14:paraId="7BA3CBB5" w14:textId="77777777" w:rsidR="00C7266C" w:rsidRPr="00D403F5" w:rsidRDefault="00C7266C" w:rsidP="00D403F5">
      <w:pPr>
        <w:spacing w:after="240" w:line="240" w:lineRule="auto"/>
        <w:ind w:hanging="425"/>
        <w:jc w:val="right"/>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55CAE5C6" w14:textId="77777777" w:rsidR="00C7266C" w:rsidRPr="00D403F5" w:rsidRDefault="00C7266C" w:rsidP="00D403F5">
      <w:pPr>
        <w:spacing w:after="240"/>
        <w:jc w:val="right"/>
        <w:rPr>
          <w:rFonts w:ascii="Times New Roman" w:hAnsi="Times New Roman" w:cs="Times New Roman"/>
          <w:sz w:val="18"/>
          <w:szCs w:val="18"/>
          <w:u w:val="single"/>
        </w:rPr>
      </w:pPr>
      <w:r w:rsidRPr="00D403F5">
        <w:rPr>
          <w:rFonts w:ascii="Times New Roman" w:hAnsi="Times New Roman" w:cs="Times New Roman"/>
          <w:sz w:val="18"/>
          <w:szCs w:val="18"/>
          <w:u w:val="single"/>
        </w:rPr>
        <w:t>Annex I</w:t>
      </w:r>
    </w:p>
    <w:p w14:paraId="63DDC2E8" w14:textId="77777777" w:rsidR="00C7266C" w:rsidRPr="00D403F5" w:rsidRDefault="00C7266C" w:rsidP="00D403F5">
      <w:pPr>
        <w:spacing w:after="240"/>
        <w:jc w:val="center"/>
        <w:rPr>
          <w:rFonts w:ascii="Times New Roman" w:hAnsi="Times New Roman" w:cs="Times New Roman"/>
          <w:b/>
          <w:caps/>
          <w:sz w:val="18"/>
          <w:szCs w:val="18"/>
        </w:rPr>
      </w:pPr>
      <w:r w:rsidRPr="00D403F5">
        <w:rPr>
          <w:rFonts w:ascii="Times New Roman" w:hAnsi="Times New Roman" w:cs="Times New Roman"/>
          <w:b/>
          <w:caps/>
          <w:sz w:val="18"/>
          <w:szCs w:val="18"/>
        </w:rPr>
        <w:t>Assessment of host susceptibility to Infection with viral haemorrhagic septicaemia virus (VHSV)</w:t>
      </w:r>
    </w:p>
    <w:p w14:paraId="4D8B2049" w14:textId="77777777" w:rsidR="00C7266C" w:rsidRPr="00D403F5" w:rsidRDefault="00C7266C" w:rsidP="00D403F5">
      <w:pPr>
        <w:spacing w:after="240"/>
        <w:rPr>
          <w:rFonts w:ascii="Times New Roman" w:hAnsi="Times New Roman" w:cs="Times New Roman"/>
          <w:sz w:val="18"/>
          <w:szCs w:val="18"/>
        </w:rPr>
      </w:pPr>
      <w:r w:rsidRPr="00D403F5">
        <w:rPr>
          <w:rFonts w:ascii="Times New Roman" w:hAnsi="Times New Roman" w:cs="Times New Roman"/>
          <w:sz w:val="18"/>
          <w:szCs w:val="18"/>
        </w:rPr>
        <w:t xml:space="preserve">The assessments for host susceptibility to infection with VHSV are provided in </w:t>
      </w:r>
      <w:r w:rsidRPr="00D403F5">
        <w:rPr>
          <w:rFonts w:ascii="Times New Roman" w:hAnsi="Times New Roman" w:cs="Times New Roman"/>
          <w:sz w:val="18"/>
          <w:szCs w:val="18"/>
          <w:u w:val="single"/>
        </w:rPr>
        <w:t>Table 2.</w:t>
      </w:r>
    </w:p>
    <w:p w14:paraId="6D6280D6" w14:textId="77777777" w:rsidR="00C7266C" w:rsidRPr="00D403F5" w:rsidRDefault="00C7266C" w:rsidP="00D403F5">
      <w:pPr>
        <w:spacing w:after="240"/>
        <w:rPr>
          <w:rFonts w:ascii="Times New Roman" w:hAnsi="Times New Roman" w:cs="Times New Roman"/>
          <w:sz w:val="18"/>
          <w:szCs w:val="18"/>
        </w:rPr>
      </w:pPr>
      <w:r w:rsidRPr="00D403F5">
        <w:rPr>
          <w:rFonts w:ascii="Times New Roman" w:hAnsi="Times New Roman" w:cs="Times New Roman"/>
          <w:b/>
          <w:sz w:val="18"/>
          <w:szCs w:val="18"/>
        </w:rPr>
        <w:t>Table 2.</w:t>
      </w:r>
      <w:r w:rsidRPr="00D403F5">
        <w:rPr>
          <w:rFonts w:ascii="Times New Roman" w:hAnsi="Times New Roman" w:cs="Times New Roman"/>
          <w:sz w:val="18"/>
          <w:szCs w:val="18"/>
        </w:rPr>
        <w:t xml:space="preserve"> </w:t>
      </w:r>
      <w:r w:rsidRPr="00D403F5">
        <w:rPr>
          <w:rFonts w:ascii="Times New Roman" w:hAnsi="Times New Roman" w:cs="Times New Roman"/>
          <w:i/>
          <w:sz w:val="18"/>
          <w:szCs w:val="18"/>
        </w:rPr>
        <w:t>Outcome of assessments for host susceptibility to infection with VHSV</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4AD23956" w14:textId="77777777" w:rsidTr="00C7266C">
        <w:trPr>
          <w:cantSplit/>
          <w:tblHeader/>
        </w:trPr>
        <w:tc>
          <w:tcPr>
            <w:tcW w:w="1794" w:type="dxa"/>
            <w:shd w:val="clear" w:color="auto" w:fill="BFBFBF" w:themeFill="background1" w:themeFillShade="BF"/>
          </w:tcPr>
          <w:p w14:paraId="76F5764B"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Common name</w:t>
            </w:r>
          </w:p>
        </w:tc>
        <w:tc>
          <w:tcPr>
            <w:tcW w:w="1705" w:type="dxa"/>
            <w:shd w:val="clear" w:color="auto" w:fill="BFBFBF" w:themeFill="background1" w:themeFillShade="BF"/>
          </w:tcPr>
          <w:p w14:paraId="41C8124F"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Genus</w:t>
            </w:r>
          </w:p>
        </w:tc>
        <w:tc>
          <w:tcPr>
            <w:tcW w:w="1626" w:type="dxa"/>
            <w:shd w:val="clear" w:color="auto" w:fill="BFBFBF" w:themeFill="background1" w:themeFillShade="BF"/>
          </w:tcPr>
          <w:p w14:paraId="33732C4E"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Species</w:t>
            </w:r>
          </w:p>
        </w:tc>
        <w:tc>
          <w:tcPr>
            <w:tcW w:w="1080" w:type="dxa"/>
            <w:shd w:val="clear" w:color="auto" w:fill="BFBFBF" w:themeFill="background1" w:themeFillShade="BF"/>
          </w:tcPr>
          <w:p w14:paraId="64776A60"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Genotype</w:t>
            </w:r>
          </w:p>
        </w:tc>
        <w:tc>
          <w:tcPr>
            <w:tcW w:w="1530" w:type="dxa"/>
            <w:shd w:val="clear" w:color="auto" w:fill="BFBFBF" w:themeFill="background1" w:themeFillShade="BF"/>
          </w:tcPr>
          <w:p w14:paraId="5438CE00" w14:textId="77777777" w:rsidR="00C7266C" w:rsidRPr="00D403F5" w:rsidRDefault="00C7266C" w:rsidP="00D403F5">
            <w:pPr>
              <w:spacing w:after="0"/>
              <w:jc w:val="center"/>
              <w:rPr>
                <w:rFonts w:ascii="Arial" w:hAnsi="Arial" w:cs="Arial"/>
                <w:b/>
                <w:sz w:val="18"/>
                <w:szCs w:val="18"/>
                <w:vertAlign w:val="superscript"/>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BFBFBF" w:themeFill="background1" w:themeFillShade="BF"/>
          </w:tcPr>
          <w:p w14:paraId="2243A9C6"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BFBFBF" w:themeFill="background1" w:themeFillShade="BF"/>
          </w:tcPr>
          <w:p w14:paraId="18D4C741" w14:textId="77777777" w:rsidR="00C7266C" w:rsidRPr="00D403F5" w:rsidRDefault="00C7266C" w:rsidP="00D403F5">
            <w:pPr>
              <w:spacing w:after="0"/>
              <w:jc w:val="center"/>
              <w:rPr>
                <w:rFonts w:ascii="Arial" w:hAnsi="Arial" w:cs="Arial"/>
                <w:b/>
                <w:sz w:val="18"/>
                <w:szCs w:val="18"/>
                <w:vertAlign w:val="superscript"/>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shd w:val="clear" w:color="auto" w:fill="BFBFBF" w:themeFill="background1" w:themeFillShade="BF"/>
          </w:tcPr>
          <w:p w14:paraId="35ECD68A"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Outcome</w:t>
            </w:r>
          </w:p>
        </w:tc>
        <w:tc>
          <w:tcPr>
            <w:tcW w:w="2070" w:type="dxa"/>
            <w:shd w:val="clear" w:color="auto" w:fill="BFBFBF" w:themeFill="background1" w:themeFillShade="BF"/>
          </w:tcPr>
          <w:p w14:paraId="59EF4260"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References</w:t>
            </w:r>
          </w:p>
        </w:tc>
      </w:tr>
      <w:tr w:rsidR="00C7266C" w:rsidRPr="00D403F5" w14:paraId="62DB4C2B" w14:textId="77777777" w:rsidTr="00C7266C">
        <w:trPr>
          <w:cantSplit/>
          <w:tblHeader/>
        </w:trPr>
        <w:tc>
          <w:tcPr>
            <w:tcW w:w="1794" w:type="dxa"/>
          </w:tcPr>
          <w:p w14:paraId="7DEE779F" w14:textId="77777777" w:rsidR="00C7266C" w:rsidRPr="00D403F5" w:rsidRDefault="00C7266C" w:rsidP="00D403F5">
            <w:pPr>
              <w:spacing w:after="0"/>
              <w:rPr>
                <w:rFonts w:ascii="Arial" w:hAnsi="Arial" w:cs="Arial"/>
                <w:color w:val="000000"/>
                <w:sz w:val="18"/>
                <w:szCs w:val="18"/>
                <w:lang w:val="en-US"/>
              </w:rPr>
            </w:pPr>
          </w:p>
        </w:tc>
        <w:tc>
          <w:tcPr>
            <w:tcW w:w="1705" w:type="dxa"/>
            <w:vAlign w:val="center"/>
          </w:tcPr>
          <w:p w14:paraId="407017BB" w14:textId="77777777" w:rsidR="00C7266C" w:rsidRPr="00D403F5" w:rsidRDefault="00C7266C" w:rsidP="00D403F5">
            <w:pPr>
              <w:spacing w:after="0"/>
              <w:jc w:val="center"/>
              <w:rPr>
                <w:rFonts w:ascii="Arial" w:hAnsi="Arial" w:cs="Arial"/>
                <w:sz w:val="18"/>
                <w:szCs w:val="18"/>
              </w:rPr>
            </w:pPr>
          </w:p>
        </w:tc>
        <w:tc>
          <w:tcPr>
            <w:tcW w:w="1626" w:type="dxa"/>
            <w:vAlign w:val="center"/>
          </w:tcPr>
          <w:p w14:paraId="274B3C46" w14:textId="77777777" w:rsidR="00C7266C" w:rsidRPr="00D403F5" w:rsidRDefault="00C7266C" w:rsidP="00D403F5">
            <w:pPr>
              <w:spacing w:after="0"/>
              <w:jc w:val="center"/>
              <w:rPr>
                <w:rFonts w:ascii="Arial" w:hAnsi="Arial" w:cs="Arial"/>
                <w:sz w:val="18"/>
                <w:szCs w:val="18"/>
              </w:rPr>
            </w:pPr>
          </w:p>
        </w:tc>
        <w:tc>
          <w:tcPr>
            <w:tcW w:w="1080" w:type="dxa"/>
          </w:tcPr>
          <w:p w14:paraId="0C540D05" w14:textId="77777777" w:rsidR="00C7266C" w:rsidRPr="00D403F5" w:rsidRDefault="00C7266C" w:rsidP="00D403F5">
            <w:pPr>
              <w:spacing w:after="0"/>
              <w:jc w:val="center"/>
              <w:rPr>
                <w:rFonts w:ascii="Arial" w:hAnsi="Arial" w:cs="Arial"/>
                <w:sz w:val="18"/>
                <w:szCs w:val="18"/>
              </w:rPr>
            </w:pPr>
          </w:p>
        </w:tc>
        <w:tc>
          <w:tcPr>
            <w:tcW w:w="1530" w:type="dxa"/>
            <w:shd w:val="clear" w:color="auto" w:fill="auto"/>
            <w:vAlign w:val="center"/>
          </w:tcPr>
          <w:p w14:paraId="0F842627" w14:textId="77777777" w:rsidR="00C7266C" w:rsidRPr="00D403F5" w:rsidRDefault="00C7266C" w:rsidP="00D403F5">
            <w:pPr>
              <w:spacing w:after="0"/>
              <w:jc w:val="center"/>
              <w:rPr>
                <w:rFonts w:ascii="Arial" w:hAnsi="Arial" w:cs="Arial"/>
                <w:sz w:val="18"/>
                <w:szCs w:val="18"/>
              </w:rPr>
            </w:pPr>
          </w:p>
        </w:tc>
        <w:tc>
          <w:tcPr>
            <w:tcW w:w="1620" w:type="dxa"/>
            <w:shd w:val="clear" w:color="auto" w:fill="auto"/>
            <w:vAlign w:val="center"/>
          </w:tcPr>
          <w:p w14:paraId="5BB85585" w14:textId="77777777" w:rsidR="00C7266C" w:rsidRPr="00D403F5" w:rsidRDefault="00C7266C" w:rsidP="00D403F5">
            <w:pPr>
              <w:spacing w:after="0"/>
              <w:rPr>
                <w:rFonts w:ascii="Arial" w:hAnsi="Arial" w:cs="Arial"/>
                <w:sz w:val="18"/>
                <w:szCs w:val="18"/>
              </w:rPr>
            </w:pPr>
          </w:p>
        </w:tc>
        <w:tc>
          <w:tcPr>
            <w:tcW w:w="715" w:type="dxa"/>
            <w:shd w:val="clear" w:color="auto" w:fill="auto"/>
            <w:vAlign w:val="center"/>
          </w:tcPr>
          <w:p w14:paraId="49B5C7BA"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A</w:t>
            </w:r>
          </w:p>
        </w:tc>
        <w:tc>
          <w:tcPr>
            <w:tcW w:w="540" w:type="dxa"/>
            <w:shd w:val="clear" w:color="auto" w:fill="auto"/>
            <w:vAlign w:val="center"/>
          </w:tcPr>
          <w:p w14:paraId="5DBC0070"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B</w:t>
            </w:r>
          </w:p>
        </w:tc>
        <w:tc>
          <w:tcPr>
            <w:tcW w:w="540" w:type="dxa"/>
            <w:shd w:val="clear" w:color="auto" w:fill="auto"/>
            <w:vAlign w:val="center"/>
          </w:tcPr>
          <w:p w14:paraId="1069A8AD"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C</w:t>
            </w:r>
          </w:p>
        </w:tc>
        <w:tc>
          <w:tcPr>
            <w:tcW w:w="455" w:type="dxa"/>
            <w:shd w:val="clear" w:color="auto" w:fill="auto"/>
            <w:vAlign w:val="center"/>
          </w:tcPr>
          <w:p w14:paraId="40789C1C" w14:textId="77777777" w:rsidR="00C7266C" w:rsidRPr="00D403F5" w:rsidRDefault="00C7266C" w:rsidP="00D403F5">
            <w:pPr>
              <w:spacing w:after="0"/>
              <w:jc w:val="center"/>
              <w:rPr>
                <w:rFonts w:ascii="Arial" w:hAnsi="Arial" w:cs="Arial"/>
                <w:sz w:val="18"/>
                <w:szCs w:val="18"/>
                <w:vertAlign w:val="superscript"/>
              </w:rPr>
            </w:pPr>
            <w:r w:rsidRPr="00D403F5">
              <w:rPr>
                <w:rFonts w:ascii="Arial" w:hAnsi="Arial" w:cs="Arial"/>
                <w:sz w:val="18"/>
                <w:szCs w:val="18"/>
              </w:rPr>
              <w:t>D</w:t>
            </w:r>
          </w:p>
        </w:tc>
        <w:tc>
          <w:tcPr>
            <w:tcW w:w="1170" w:type="dxa"/>
          </w:tcPr>
          <w:p w14:paraId="6E09BEE7" w14:textId="77777777" w:rsidR="00C7266C" w:rsidRPr="00D403F5" w:rsidRDefault="00C7266C" w:rsidP="00D403F5">
            <w:pPr>
              <w:spacing w:after="0"/>
              <w:jc w:val="center"/>
              <w:rPr>
                <w:rFonts w:ascii="Arial" w:hAnsi="Arial" w:cs="Arial"/>
                <w:sz w:val="18"/>
                <w:szCs w:val="18"/>
              </w:rPr>
            </w:pPr>
          </w:p>
        </w:tc>
        <w:tc>
          <w:tcPr>
            <w:tcW w:w="2070" w:type="dxa"/>
            <w:shd w:val="clear" w:color="auto" w:fill="auto"/>
            <w:vAlign w:val="center"/>
          </w:tcPr>
          <w:p w14:paraId="06ED90DE" w14:textId="77777777" w:rsidR="00C7266C" w:rsidRPr="00D403F5" w:rsidRDefault="00C7266C" w:rsidP="00D403F5">
            <w:pPr>
              <w:spacing w:after="0"/>
              <w:rPr>
                <w:rFonts w:ascii="Arial" w:hAnsi="Arial" w:cs="Arial"/>
                <w:sz w:val="18"/>
                <w:szCs w:val="18"/>
              </w:rPr>
            </w:pPr>
          </w:p>
        </w:tc>
      </w:tr>
      <w:tr w:rsidR="00C7266C" w:rsidRPr="00D403F5" w14:paraId="39478F2D" w14:textId="77777777" w:rsidTr="00C7266C">
        <w:trPr>
          <w:cantSplit/>
        </w:trPr>
        <w:tc>
          <w:tcPr>
            <w:tcW w:w="1794" w:type="dxa"/>
            <w:shd w:val="clear" w:color="auto" w:fill="F2F2F2" w:themeFill="background1" w:themeFillShade="F2"/>
          </w:tcPr>
          <w:p w14:paraId="1205FE51" w14:textId="77777777" w:rsidR="00C7266C" w:rsidRPr="00D403F5" w:rsidRDefault="00C7266C" w:rsidP="00D403F5">
            <w:pPr>
              <w:spacing w:after="0"/>
              <w:jc w:val="center"/>
              <w:rPr>
                <w:rFonts w:ascii="Arial" w:hAnsi="Arial" w:cs="Arial"/>
                <w:b/>
                <w:bCs/>
                <w:i/>
                <w:sz w:val="18"/>
                <w:szCs w:val="18"/>
              </w:rPr>
            </w:pPr>
          </w:p>
        </w:tc>
        <w:tc>
          <w:tcPr>
            <w:tcW w:w="13051" w:type="dxa"/>
            <w:gridSpan w:val="11"/>
            <w:shd w:val="clear" w:color="auto" w:fill="F2F2F2" w:themeFill="background1" w:themeFillShade="F2"/>
            <w:vAlign w:val="center"/>
          </w:tcPr>
          <w:p w14:paraId="0AFA2419" w14:textId="77777777" w:rsidR="00C7266C" w:rsidRPr="00D403F5" w:rsidRDefault="00C7266C" w:rsidP="00D403F5">
            <w:pPr>
              <w:spacing w:after="0"/>
              <w:jc w:val="center"/>
              <w:rPr>
                <w:rFonts w:ascii="Arial" w:hAnsi="Arial" w:cs="Arial"/>
                <w:b/>
                <w:bCs/>
                <w:i/>
                <w:sz w:val="18"/>
                <w:szCs w:val="18"/>
              </w:rPr>
            </w:pPr>
            <w:r w:rsidRPr="00D403F5">
              <w:rPr>
                <w:rFonts w:ascii="Arial" w:hAnsi="Arial" w:cs="Arial"/>
                <w:b/>
                <w:bCs/>
                <w:i/>
                <w:sz w:val="18"/>
                <w:szCs w:val="18"/>
              </w:rPr>
              <w:t xml:space="preserve">Score 1 </w:t>
            </w:r>
          </w:p>
        </w:tc>
      </w:tr>
      <w:tr w:rsidR="00C7266C" w:rsidRPr="00D403F5" w14:paraId="75502F69" w14:textId="77777777" w:rsidTr="00C7266C">
        <w:trPr>
          <w:cantSplit/>
        </w:trPr>
        <w:tc>
          <w:tcPr>
            <w:tcW w:w="1794" w:type="dxa"/>
            <w:vAlign w:val="center"/>
          </w:tcPr>
          <w:p w14:paraId="094C7EC1" w14:textId="77777777" w:rsidR="00C7266C" w:rsidRPr="00D403F5" w:rsidRDefault="00C7266C" w:rsidP="00D403F5">
            <w:pPr>
              <w:spacing w:after="0"/>
              <w:rPr>
                <w:rFonts w:ascii="Arial" w:hAnsi="Arial" w:cs="Arial"/>
                <w:sz w:val="18"/>
                <w:szCs w:val="18"/>
                <w:lang w:val="en-US"/>
              </w:rPr>
            </w:pPr>
            <w:bookmarkStart w:id="102" w:name="_Hlk19523884"/>
            <w:r w:rsidRPr="00D403F5">
              <w:rPr>
                <w:rFonts w:ascii="Arial" w:hAnsi="Arial" w:cs="Arial"/>
                <w:color w:val="000000"/>
                <w:sz w:val="18"/>
                <w:szCs w:val="18"/>
              </w:rPr>
              <w:t>American gizzard shad</w:t>
            </w:r>
          </w:p>
        </w:tc>
        <w:tc>
          <w:tcPr>
            <w:tcW w:w="1705" w:type="dxa"/>
            <w:vAlign w:val="center"/>
          </w:tcPr>
          <w:p w14:paraId="56A75794"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i/>
                <w:iCs/>
                <w:color w:val="000000"/>
                <w:sz w:val="18"/>
                <w:szCs w:val="18"/>
              </w:rPr>
              <w:t xml:space="preserve">Dorosoma </w:t>
            </w:r>
          </w:p>
        </w:tc>
        <w:tc>
          <w:tcPr>
            <w:tcW w:w="1626" w:type="dxa"/>
            <w:vAlign w:val="center"/>
          </w:tcPr>
          <w:p w14:paraId="6CD79BB5"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i/>
                <w:iCs/>
                <w:color w:val="000000"/>
                <w:sz w:val="18"/>
                <w:szCs w:val="18"/>
              </w:rPr>
              <w:t>cepedianum</w:t>
            </w:r>
          </w:p>
        </w:tc>
        <w:tc>
          <w:tcPr>
            <w:tcW w:w="1080" w:type="dxa"/>
            <w:vAlign w:val="center"/>
          </w:tcPr>
          <w:p w14:paraId="267D71E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IVb</w:t>
            </w:r>
          </w:p>
          <w:p w14:paraId="358699A2" w14:textId="77777777" w:rsidR="00C7266C" w:rsidRPr="00D403F5" w:rsidRDefault="00C7266C" w:rsidP="00D403F5">
            <w:pPr>
              <w:spacing w:after="0"/>
              <w:jc w:val="center"/>
              <w:rPr>
                <w:rFonts w:ascii="Arial" w:hAnsi="Arial" w:cs="Arial"/>
                <w:sz w:val="18"/>
                <w:szCs w:val="18"/>
              </w:rPr>
            </w:pPr>
          </w:p>
        </w:tc>
        <w:tc>
          <w:tcPr>
            <w:tcW w:w="1530" w:type="dxa"/>
            <w:shd w:val="clear" w:color="auto" w:fill="auto"/>
            <w:vAlign w:val="center"/>
          </w:tcPr>
          <w:p w14:paraId="07C0ADF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p w14:paraId="05DF064C" w14:textId="77777777" w:rsidR="00C7266C" w:rsidRPr="00D403F5" w:rsidRDefault="00C7266C" w:rsidP="00D403F5">
            <w:pPr>
              <w:spacing w:after="0"/>
              <w:jc w:val="center"/>
              <w:rPr>
                <w:rFonts w:ascii="Arial" w:hAnsi="Arial" w:cs="Arial"/>
                <w:color w:val="000000"/>
                <w:sz w:val="18"/>
                <w:szCs w:val="18"/>
              </w:rPr>
            </w:pPr>
          </w:p>
        </w:tc>
        <w:tc>
          <w:tcPr>
            <w:tcW w:w="1620" w:type="dxa"/>
            <w:shd w:val="clear" w:color="auto" w:fill="auto"/>
            <w:vAlign w:val="center"/>
          </w:tcPr>
          <w:p w14:paraId="5801471B"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RT-PCR, sequencing</w:t>
            </w:r>
          </w:p>
        </w:tc>
        <w:tc>
          <w:tcPr>
            <w:tcW w:w="715" w:type="dxa"/>
            <w:shd w:val="clear" w:color="auto" w:fill="auto"/>
            <w:vAlign w:val="center"/>
          </w:tcPr>
          <w:p w14:paraId="4411CB2C"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ND</w:t>
            </w:r>
          </w:p>
        </w:tc>
        <w:tc>
          <w:tcPr>
            <w:tcW w:w="540" w:type="dxa"/>
            <w:shd w:val="clear" w:color="auto" w:fill="auto"/>
            <w:vAlign w:val="center"/>
          </w:tcPr>
          <w:p w14:paraId="79AC3431"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540" w:type="dxa"/>
            <w:shd w:val="clear" w:color="auto" w:fill="auto"/>
            <w:vAlign w:val="center"/>
          </w:tcPr>
          <w:p w14:paraId="5E5B3A81"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455" w:type="dxa"/>
            <w:shd w:val="clear" w:color="auto" w:fill="auto"/>
            <w:vAlign w:val="center"/>
          </w:tcPr>
          <w:p w14:paraId="6CE046B2"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1170" w:type="dxa"/>
            <w:vAlign w:val="center"/>
          </w:tcPr>
          <w:p w14:paraId="730500B7"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1</w:t>
            </w:r>
          </w:p>
        </w:tc>
        <w:tc>
          <w:tcPr>
            <w:tcW w:w="2070" w:type="dxa"/>
            <w:shd w:val="clear" w:color="auto" w:fill="auto"/>
            <w:vAlign w:val="center"/>
          </w:tcPr>
          <w:p w14:paraId="21F95575" w14:textId="77777777" w:rsidR="00C7266C" w:rsidRPr="00D403F5" w:rsidRDefault="00C7266C" w:rsidP="00D403F5">
            <w:pPr>
              <w:spacing w:after="0"/>
              <w:rPr>
                <w:rFonts w:ascii="Arial" w:hAnsi="Arial" w:cs="Arial"/>
                <w:color w:val="000000"/>
                <w:sz w:val="18"/>
                <w:szCs w:val="18"/>
                <w:lang w:val="da-DK"/>
              </w:rPr>
            </w:pPr>
            <w:r w:rsidRPr="00D403F5">
              <w:rPr>
                <w:rFonts w:ascii="Arial" w:hAnsi="Arial" w:cs="Arial"/>
                <w:sz w:val="18"/>
                <w:szCs w:val="18"/>
              </w:rPr>
              <w:t xml:space="preserve">Faisal 2012; </w:t>
            </w:r>
            <w:r w:rsidRPr="00D403F5">
              <w:rPr>
                <w:rFonts w:ascii="Arial" w:hAnsi="Arial" w:cs="Arial"/>
                <w:color w:val="000000"/>
                <w:sz w:val="18"/>
                <w:szCs w:val="18"/>
                <w:lang w:val="da-DK"/>
              </w:rPr>
              <w:t xml:space="preserve">USGS/NACSE database </w:t>
            </w:r>
          </w:p>
        </w:tc>
      </w:tr>
      <w:tr w:rsidR="00C7266C" w:rsidRPr="00D403F5" w14:paraId="328C8558" w14:textId="77777777" w:rsidTr="00C7266C">
        <w:trPr>
          <w:cantSplit/>
        </w:trPr>
        <w:tc>
          <w:tcPr>
            <w:tcW w:w="1794" w:type="dxa"/>
            <w:vAlign w:val="center"/>
          </w:tcPr>
          <w:p w14:paraId="2037BB0B"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rPr>
              <w:t>Atlantic cod</w:t>
            </w:r>
          </w:p>
        </w:tc>
        <w:tc>
          <w:tcPr>
            <w:tcW w:w="1705" w:type="dxa"/>
            <w:vAlign w:val="center"/>
          </w:tcPr>
          <w:p w14:paraId="150F5E0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 xml:space="preserve">Gadus </w:t>
            </w:r>
          </w:p>
        </w:tc>
        <w:tc>
          <w:tcPr>
            <w:tcW w:w="1626" w:type="dxa"/>
            <w:vAlign w:val="center"/>
          </w:tcPr>
          <w:p w14:paraId="0997F66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morhua</w:t>
            </w:r>
          </w:p>
        </w:tc>
        <w:tc>
          <w:tcPr>
            <w:tcW w:w="1080" w:type="dxa"/>
            <w:vAlign w:val="center"/>
          </w:tcPr>
          <w:p w14:paraId="25D3E964"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Ib, III</w:t>
            </w:r>
          </w:p>
        </w:tc>
        <w:tc>
          <w:tcPr>
            <w:tcW w:w="1530" w:type="dxa"/>
            <w:shd w:val="clear" w:color="auto" w:fill="auto"/>
            <w:vAlign w:val="center"/>
          </w:tcPr>
          <w:p w14:paraId="4DAD685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p w14:paraId="108972C2" w14:textId="77777777" w:rsidR="00C7266C" w:rsidRPr="00D403F5" w:rsidRDefault="00C7266C" w:rsidP="00D403F5">
            <w:pPr>
              <w:spacing w:after="0"/>
              <w:jc w:val="center"/>
              <w:rPr>
                <w:rFonts w:ascii="Arial" w:hAnsi="Arial" w:cs="Arial"/>
                <w:color w:val="000000"/>
                <w:sz w:val="18"/>
                <w:szCs w:val="18"/>
                <w:lang w:val="nb-NO"/>
              </w:rPr>
            </w:pPr>
          </w:p>
        </w:tc>
        <w:tc>
          <w:tcPr>
            <w:tcW w:w="1620" w:type="dxa"/>
            <w:shd w:val="clear" w:color="auto" w:fill="auto"/>
            <w:vAlign w:val="center"/>
          </w:tcPr>
          <w:p w14:paraId="04042E15"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Viral isolation, cell culture and ELISA</w:t>
            </w:r>
          </w:p>
        </w:tc>
        <w:tc>
          <w:tcPr>
            <w:tcW w:w="715" w:type="dxa"/>
            <w:shd w:val="clear" w:color="auto" w:fill="auto"/>
            <w:vAlign w:val="center"/>
          </w:tcPr>
          <w:p w14:paraId="2F68988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AB1002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5360F64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49D598A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224F013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4BEF3336" w14:textId="77777777" w:rsidR="00C7266C" w:rsidRPr="00D403F5" w:rsidRDefault="00C7266C" w:rsidP="00D403F5">
            <w:pPr>
              <w:spacing w:after="0"/>
              <w:rPr>
                <w:rFonts w:ascii="Arial" w:hAnsi="Arial" w:cs="Arial"/>
                <w:color w:val="000000"/>
                <w:sz w:val="18"/>
                <w:szCs w:val="18"/>
                <w:lang w:val="da-DK"/>
              </w:rPr>
            </w:pPr>
            <w:r w:rsidRPr="00D403F5">
              <w:rPr>
                <w:rFonts w:ascii="Arial" w:hAnsi="Arial" w:cs="Arial"/>
                <w:color w:val="000000"/>
                <w:sz w:val="18"/>
                <w:szCs w:val="18"/>
              </w:rPr>
              <w:t xml:space="preserve">Smail, 2000; Skall </w:t>
            </w:r>
            <w:r w:rsidRPr="00D403F5">
              <w:rPr>
                <w:rFonts w:ascii="Arial" w:hAnsi="Arial" w:cs="Arial"/>
                <w:i/>
                <w:iCs/>
                <w:color w:val="000000"/>
                <w:sz w:val="18"/>
                <w:szCs w:val="18"/>
                <w:lang w:val="nb-NO"/>
              </w:rPr>
              <w:t>et al</w:t>
            </w:r>
            <w:r w:rsidRPr="00D403F5">
              <w:rPr>
                <w:rFonts w:ascii="Arial" w:hAnsi="Arial" w:cs="Arial"/>
                <w:color w:val="000000"/>
                <w:sz w:val="18"/>
                <w:szCs w:val="18"/>
              </w:rPr>
              <w:t>., 2005</w:t>
            </w:r>
          </w:p>
        </w:tc>
      </w:tr>
      <w:tr w:rsidR="00C7266C" w:rsidRPr="00D403F5" w14:paraId="663E67CE" w14:textId="77777777" w:rsidTr="00C7266C">
        <w:trPr>
          <w:cantSplit/>
        </w:trPr>
        <w:tc>
          <w:tcPr>
            <w:tcW w:w="1794" w:type="dxa"/>
            <w:vAlign w:val="center"/>
          </w:tcPr>
          <w:p w14:paraId="53E45BEE"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Atlantic herring</w:t>
            </w:r>
          </w:p>
        </w:tc>
        <w:tc>
          <w:tcPr>
            <w:tcW w:w="1705" w:type="dxa"/>
            <w:vAlign w:val="center"/>
          </w:tcPr>
          <w:p w14:paraId="7AA7A6E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Clupea</w:t>
            </w:r>
          </w:p>
        </w:tc>
        <w:tc>
          <w:tcPr>
            <w:tcW w:w="1626" w:type="dxa"/>
            <w:vAlign w:val="center"/>
          </w:tcPr>
          <w:p w14:paraId="0CBBE0C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 harengus</w:t>
            </w:r>
          </w:p>
        </w:tc>
        <w:tc>
          <w:tcPr>
            <w:tcW w:w="1080" w:type="dxa"/>
            <w:vAlign w:val="center"/>
          </w:tcPr>
          <w:p w14:paraId="1EAA6CB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Ib, III</w:t>
            </w:r>
          </w:p>
        </w:tc>
        <w:tc>
          <w:tcPr>
            <w:tcW w:w="1530" w:type="dxa"/>
            <w:shd w:val="clear" w:color="auto" w:fill="auto"/>
            <w:vAlign w:val="center"/>
          </w:tcPr>
          <w:p w14:paraId="0B18593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4023F63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RT-PCR</w:t>
            </w:r>
          </w:p>
          <w:p w14:paraId="3EAA58C7" w14:textId="77777777" w:rsidR="00C7266C" w:rsidRPr="00D403F5" w:rsidRDefault="00C7266C" w:rsidP="00D403F5">
            <w:pPr>
              <w:spacing w:after="0"/>
              <w:rPr>
                <w:rFonts w:ascii="Arial" w:hAnsi="Arial" w:cs="Arial"/>
                <w:color w:val="000000"/>
                <w:sz w:val="18"/>
                <w:szCs w:val="18"/>
                <w:lang w:val="fr-FR"/>
              </w:rPr>
            </w:pPr>
          </w:p>
        </w:tc>
        <w:tc>
          <w:tcPr>
            <w:tcW w:w="715" w:type="dxa"/>
            <w:shd w:val="clear" w:color="auto" w:fill="auto"/>
            <w:vAlign w:val="center"/>
          </w:tcPr>
          <w:p w14:paraId="281CA33C"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ND</w:t>
            </w:r>
          </w:p>
        </w:tc>
        <w:tc>
          <w:tcPr>
            <w:tcW w:w="540" w:type="dxa"/>
            <w:shd w:val="clear" w:color="auto" w:fill="auto"/>
            <w:vAlign w:val="center"/>
          </w:tcPr>
          <w:p w14:paraId="6DAEFF93"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540" w:type="dxa"/>
            <w:shd w:val="clear" w:color="auto" w:fill="auto"/>
            <w:vAlign w:val="center"/>
          </w:tcPr>
          <w:p w14:paraId="6D8F8EE1"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N</w:t>
            </w:r>
          </w:p>
        </w:tc>
        <w:tc>
          <w:tcPr>
            <w:tcW w:w="455" w:type="dxa"/>
            <w:shd w:val="clear" w:color="auto" w:fill="auto"/>
            <w:vAlign w:val="center"/>
          </w:tcPr>
          <w:p w14:paraId="37693DE8"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1170" w:type="dxa"/>
            <w:vAlign w:val="center"/>
          </w:tcPr>
          <w:p w14:paraId="5B78C3F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4303075E" w14:textId="77777777" w:rsidR="00C7266C" w:rsidRPr="00D403F5" w:rsidRDefault="00C7266C" w:rsidP="00D403F5">
            <w:pPr>
              <w:spacing w:after="0"/>
              <w:rPr>
                <w:rFonts w:ascii="Arial" w:hAnsi="Arial" w:cs="Arial"/>
                <w:color w:val="000000"/>
                <w:sz w:val="18"/>
                <w:szCs w:val="18"/>
                <w:lang w:val="da-DK"/>
              </w:rPr>
            </w:pPr>
            <w:r w:rsidRPr="00D403F5">
              <w:rPr>
                <w:rFonts w:ascii="Arial" w:hAnsi="Arial" w:cs="Arial"/>
                <w:color w:val="000000"/>
                <w:sz w:val="18"/>
                <w:szCs w:val="18"/>
                <w:lang w:val="nb-NO"/>
              </w:rPr>
              <w:t xml:space="preserve">Dixon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1997; Mortensen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1999; King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2001a</w:t>
            </w:r>
          </w:p>
        </w:tc>
      </w:tr>
      <w:tr w:rsidR="00C7266C" w:rsidRPr="00D403F5" w14:paraId="09353FA9" w14:textId="77777777" w:rsidTr="00C7266C">
        <w:trPr>
          <w:cantSplit/>
        </w:trPr>
        <w:tc>
          <w:tcPr>
            <w:tcW w:w="1794" w:type="dxa"/>
            <w:vAlign w:val="center"/>
          </w:tcPr>
          <w:p w14:paraId="03212EB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Atlantic salmon</w:t>
            </w:r>
          </w:p>
        </w:tc>
        <w:tc>
          <w:tcPr>
            <w:tcW w:w="1705" w:type="dxa"/>
            <w:vAlign w:val="center"/>
          </w:tcPr>
          <w:p w14:paraId="2B09028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Salmo </w:t>
            </w:r>
          </w:p>
        </w:tc>
        <w:tc>
          <w:tcPr>
            <w:tcW w:w="1626" w:type="dxa"/>
            <w:vAlign w:val="center"/>
          </w:tcPr>
          <w:p w14:paraId="13B216A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salar</w:t>
            </w:r>
          </w:p>
        </w:tc>
        <w:tc>
          <w:tcPr>
            <w:tcW w:w="1080" w:type="dxa"/>
            <w:vAlign w:val="center"/>
          </w:tcPr>
          <w:p w14:paraId="321B3ACA" w14:textId="77777777" w:rsidR="00C7266C" w:rsidRPr="00D403F5" w:rsidRDefault="00C7266C" w:rsidP="00D403F5">
            <w:pPr>
              <w:spacing w:after="0"/>
              <w:jc w:val="center"/>
              <w:rPr>
                <w:rFonts w:ascii="Arial" w:hAnsi="Arial" w:cs="Arial"/>
                <w:color w:val="000000"/>
                <w:sz w:val="18"/>
                <w:szCs w:val="18"/>
                <w:lang w:val="es-ES"/>
              </w:rPr>
            </w:pPr>
            <w:r w:rsidRPr="00D403F5">
              <w:rPr>
                <w:rFonts w:ascii="Arial" w:hAnsi="Arial" w:cs="Arial"/>
                <w:color w:val="000000"/>
                <w:sz w:val="18"/>
                <w:szCs w:val="18"/>
                <w:lang w:val="es-ES"/>
              </w:rPr>
              <w:t>Ia, Ib, II, III, IVa</w:t>
            </w:r>
          </w:p>
        </w:tc>
        <w:tc>
          <w:tcPr>
            <w:tcW w:w="1530" w:type="dxa"/>
            <w:shd w:val="clear" w:color="auto" w:fill="auto"/>
            <w:vAlign w:val="center"/>
          </w:tcPr>
          <w:p w14:paraId="59AB2D7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 E</w:t>
            </w:r>
          </w:p>
        </w:tc>
        <w:tc>
          <w:tcPr>
            <w:tcW w:w="1620" w:type="dxa"/>
            <w:shd w:val="clear" w:color="auto" w:fill="auto"/>
            <w:vAlign w:val="center"/>
          </w:tcPr>
          <w:p w14:paraId="16FC6FD9"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lang w:val="en-US"/>
              </w:rPr>
              <w:t>Cell culture, ELISA and RT-PCR, IHC</w:t>
            </w:r>
          </w:p>
        </w:tc>
        <w:tc>
          <w:tcPr>
            <w:tcW w:w="715" w:type="dxa"/>
            <w:shd w:val="clear" w:color="auto" w:fill="auto"/>
            <w:vAlign w:val="center"/>
          </w:tcPr>
          <w:p w14:paraId="6D5B991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6E0D0F9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061B5CC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62C3518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7A1B7EF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0BE271D2"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color w:val="000000"/>
                <w:sz w:val="18"/>
                <w:szCs w:val="18"/>
                <w:lang w:val="nb-NO"/>
              </w:rPr>
              <w:t xml:space="preserve">King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2001b, Lovy </w:t>
            </w:r>
            <w:r w:rsidRPr="00D403F5">
              <w:rPr>
                <w:rFonts w:ascii="Arial" w:hAnsi="Arial" w:cs="Arial"/>
                <w:i/>
                <w:iCs/>
                <w:color w:val="000000"/>
                <w:sz w:val="18"/>
                <w:szCs w:val="18"/>
                <w:lang w:val="nb-NO"/>
              </w:rPr>
              <w:t xml:space="preserve">et al., </w:t>
            </w:r>
            <w:r w:rsidRPr="00D403F5">
              <w:rPr>
                <w:rFonts w:ascii="Arial" w:hAnsi="Arial" w:cs="Arial"/>
                <w:color w:val="000000"/>
                <w:sz w:val="18"/>
                <w:szCs w:val="18"/>
                <w:lang w:val="nb-NO"/>
              </w:rPr>
              <w:t>2013</w:t>
            </w:r>
          </w:p>
        </w:tc>
      </w:tr>
      <w:tr w:rsidR="00C7266C" w:rsidRPr="00D403F5" w14:paraId="45BF59E9" w14:textId="77777777" w:rsidTr="00C7266C">
        <w:trPr>
          <w:cantSplit/>
        </w:trPr>
        <w:tc>
          <w:tcPr>
            <w:tcW w:w="1794" w:type="dxa"/>
            <w:vAlign w:val="center"/>
          </w:tcPr>
          <w:p w14:paraId="5AD7FCFA" w14:textId="77777777" w:rsidR="00C7266C" w:rsidRPr="00D403F5" w:rsidRDefault="00C7266C" w:rsidP="00D403F5">
            <w:pPr>
              <w:spacing w:after="0"/>
              <w:rPr>
                <w:rFonts w:ascii="Arial" w:hAnsi="Arial" w:cs="Arial"/>
                <w:color w:val="333333"/>
                <w:sz w:val="18"/>
                <w:szCs w:val="18"/>
                <w:lang w:val="en-US"/>
              </w:rPr>
            </w:pPr>
            <w:r w:rsidRPr="00D403F5">
              <w:rPr>
                <w:rFonts w:ascii="Arial" w:hAnsi="Arial" w:cs="Arial"/>
                <w:color w:val="333333"/>
                <w:sz w:val="18"/>
                <w:szCs w:val="18"/>
              </w:rPr>
              <w:t xml:space="preserve">Atlantic stargazer </w:t>
            </w:r>
          </w:p>
        </w:tc>
        <w:tc>
          <w:tcPr>
            <w:tcW w:w="1705" w:type="dxa"/>
            <w:vAlign w:val="center"/>
          </w:tcPr>
          <w:p w14:paraId="2B10E0B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Uranoscopus </w:t>
            </w:r>
          </w:p>
        </w:tc>
        <w:tc>
          <w:tcPr>
            <w:tcW w:w="1626" w:type="dxa"/>
            <w:vAlign w:val="center"/>
          </w:tcPr>
          <w:p w14:paraId="41894A1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scaber</w:t>
            </w:r>
          </w:p>
        </w:tc>
        <w:tc>
          <w:tcPr>
            <w:tcW w:w="1080" w:type="dxa"/>
            <w:vAlign w:val="center"/>
          </w:tcPr>
          <w:p w14:paraId="4AEBE8A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Ie</w:t>
            </w:r>
          </w:p>
        </w:tc>
        <w:tc>
          <w:tcPr>
            <w:tcW w:w="1530" w:type="dxa"/>
            <w:shd w:val="clear" w:color="auto" w:fill="auto"/>
            <w:vAlign w:val="center"/>
          </w:tcPr>
          <w:p w14:paraId="57497DD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396DE199"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and PCR</w:t>
            </w:r>
          </w:p>
        </w:tc>
        <w:tc>
          <w:tcPr>
            <w:tcW w:w="715" w:type="dxa"/>
            <w:shd w:val="clear" w:color="auto" w:fill="auto"/>
            <w:vAlign w:val="center"/>
          </w:tcPr>
          <w:p w14:paraId="4774766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9EF6D1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5138E81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0F2D9BC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63BE8CD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202EFD7D" w14:textId="77777777" w:rsidR="00C7266C" w:rsidRPr="00D403F5" w:rsidRDefault="00C7266C" w:rsidP="00D403F5">
            <w:pPr>
              <w:spacing w:after="0"/>
              <w:rPr>
                <w:rFonts w:ascii="Arial" w:hAnsi="Arial" w:cs="Arial"/>
                <w:color w:val="333333"/>
                <w:sz w:val="18"/>
                <w:szCs w:val="18"/>
                <w:lang w:val="nb-NO"/>
              </w:rPr>
            </w:pPr>
            <w:r w:rsidRPr="00D403F5">
              <w:rPr>
                <w:rFonts w:ascii="Arial" w:hAnsi="Arial" w:cs="Arial"/>
                <w:color w:val="333333"/>
                <w:sz w:val="18"/>
                <w:szCs w:val="18"/>
                <w:lang w:val="nb-NO"/>
              </w:rPr>
              <w:t>Ogut &amp; Altuntas, 2014</w:t>
            </w:r>
          </w:p>
        </w:tc>
      </w:tr>
      <w:tr w:rsidR="00C7266C" w:rsidRPr="00D403F5" w14:paraId="32B05C2A" w14:textId="77777777" w:rsidTr="00C7266C">
        <w:trPr>
          <w:cantSplit/>
        </w:trPr>
        <w:tc>
          <w:tcPr>
            <w:tcW w:w="1794" w:type="dxa"/>
            <w:vAlign w:val="center"/>
          </w:tcPr>
          <w:p w14:paraId="58E90DA5"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Ballan wrasse</w:t>
            </w:r>
          </w:p>
        </w:tc>
        <w:tc>
          <w:tcPr>
            <w:tcW w:w="1705" w:type="dxa"/>
            <w:vAlign w:val="center"/>
          </w:tcPr>
          <w:p w14:paraId="7FBD502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 xml:space="preserve">Labrus </w:t>
            </w:r>
          </w:p>
        </w:tc>
        <w:tc>
          <w:tcPr>
            <w:tcW w:w="1626" w:type="dxa"/>
            <w:vAlign w:val="center"/>
          </w:tcPr>
          <w:p w14:paraId="1CB8C08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bergylta</w:t>
            </w:r>
          </w:p>
        </w:tc>
        <w:tc>
          <w:tcPr>
            <w:tcW w:w="1080" w:type="dxa"/>
            <w:vAlign w:val="center"/>
          </w:tcPr>
          <w:p w14:paraId="76BE1B0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III</w:t>
            </w:r>
          </w:p>
        </w:tc>
        <w:tc>
          <w:tcPr>
            <w:tcW w:w="1530" w:type="dxa"/>
            <w:shd w:val="clear" w:color="auto" w:fill="auto"/>
            <w:vAlign w:val="center"/>
          </w:tcPr>
          <w:p w14:paraId="7620F48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6950BB7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ELISA, RT-PCR and sequencing</w:t>
            </w:r>
          </w:p>
        </w:tc>
        <w:tc>
          <w:tcPr>
            <w:tcW w:w="715" w:type="dxa"/>
            <w:shd w:val="clear" w:color="auto" w:fill="auto"/>
            <w:vAlign w:val="center"/>
          </w:tcPr>
          <w:p w14:paraId="5934FD3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ND</w:t>
            </w:r>
          </w:p>
        </w:tc>
        <w:tc>
          <w:tcPr>
            <w:tcW w:w="540" w:type="dxa"/>
            <w:shd w:val="clear" w:color="auto" w:fill="auto"/>
            <w:vAlign w:val="center"/>
          </w:tcPr>
          <w:p w14:paraId="60E385F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1397442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y</w:t>
            </w:r>
          </w:p>
        </w:tc>
        <w:tc>
          <w:tcPr>
            <w:tcW w:w="455" w:type="dxa"/>
            <w:shd w:val="clear" w:color="auto" w:fill="auto"/>
            <w:vAlign w:val="center"/>
          </w:tcPr>
          <w:p w14:paraId="2D1E437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7D0F080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44B36ED9"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 xml:space="preserve">Hall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2012; Munro </w:t>
            </w:r>
            <w:r w:rsidRPr="00D403F5">
              <w:rPr>
                <w:rFonts w:ascii="Arial" w:hAnsi="Arial" w:cs="Arial"/>
                <w:i/>
                <w:iCs/>
                <w:sz w:val="18"/>
                <w:szCs w:val="18"/>
                <w:lang w:val="nb-NO"/>
              </w:rPr>
              <w:t xml:space="preserve">et al., </w:t>
            </w:r>
            <w:r w:rsidRPr="00D403F5">
              <w:rPr>
                <w:rFonts w:ascii="Arial" w:hAnsi="Arial" w:cs="Arial"/>
                <w:sz w:val="18"/>
                <w:szCs w:val="18"/>
                <w:lang w:val="nb-NO"/>
              </w:rPr>
              <w:t>2015</w:t>
            </w:r>
          </w:p>
        </w:tc>
      </w:tr>
    </w:tbl>
    <w:p w14:paraId="32CC8F3A" w14:textId="77777777" w:rsidR="00C7266C" w:rsidRPr="00D403F5" w:rsidRDefault="00C7266C" w:rsidP="00D403F5">
      <w:pPr>
        <w:spacing w:after="240"/>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6C9F60FC" w14:textId="77777777" w:rsidR="00C7266C" w:rsidRPr="00D403F5" w:rsidRDefault="00C7266C" w:rsidP="00D403F5">
      <w:pPr>
        <w:spacing w:after="240"/>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047DE609" w14:textId="77777777" w:rsidTr="00C7266C">
        <w:trPr>
          <w:cantSplit/>
          <w:trHeight w:val="305"/>
        </w:trPr>
        <w:tc>
          <w:tcPr>
            <w:tcW w:w="1794" w:type="dxa"/>
          </w:tcPr>
          <w:p w14:paraId="3958973D"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Common name</w:t>
            </w:r>
          </w:p>
        </w:tc>
        <w:tc>
          <w:tcPr>
            <w:tcW w:w="1705" w:type="dxa"/>
          </w:tcPr>
          <w:p w14:paraId="16AEC406"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Genus</w:t>
            </w:r>
          </w:p>
        </w:tc>
        <w:tc>
          <w:tcPr>
            <w:tcW w:w="1626" w:type="dxa"/>
          </w:tcPr>
          <w:p w14:paraId="49A2CAE2"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Species</w:t>
            </w:r>
          </w:p>
        </w:tc>
        <w:tc>
          <w:tcPr>
            <w:tcW w:w="1080" w:type="dxa"/>
          </w:tcPr>
          <w:p w14:paraId="054E1C7E" w14:textId="77777777" w:rsidR="00C7266C" w:rsidRPr="00D403F5" w:rsidRDefault="00C7266C" w:rsidP="00D403F5">
            <w:pPr>
              <w:spacing w:after="0"/>
              <w:jc w:val="center"/>
              <w:rPr>
                <w:rFonts w:ascii="Arial" w:hAnsi="Arial" w:cs="Arial"/>
                <w:sz w:val="18"/>
                <w:szCs w:val="18"/>
              </w:rPr>
            </w:pPr>
            <w:r w:rsidRPr="00D403F5">
              <w:rPr>
                <w:rFonts w:ascii="Arial" w:hAnsi="Arial" w:cs="Arial"/>
                <w:b/>
                <w:sz w:val="18"/>
                <w:szCs w:val="18"/>
              </w:rPr>
              <w:t>Genotype</w:t>
            </w:r>
          </w:p>
        </w:tc>
        <w:tc>
          <w:tcPr>
            <w:tcW w:w="1530" w:type="dxa"/>
            <w:shd w:val="clear" w:color="auto" w:fill="auto"/>
          </w:tcPr>
          <w:p w14:paraId="20A7BFD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5E76E861" w14:textId="77777777" w:rsidR="00C7266C" w:rsidRPr="00D403F5" w:rsidRDefault="00C7266C" w:rsidP="00D403F5">
            <w:pPr>
              <w:spacing w:after="0"/>
              <w:rPr>
                <w:rFonts w:ascii="Arial" w:hAnsi="Arial" w:cs="Arial"/>
                <w:sz w:val="18"/>
                <w:szCs w:val="18"/>
                <w:lang w:val="fr-FR"/>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12BDAC34"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11840E0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Outcome</w:t>
            </w:r>
          </w:p>
        </w:tc>
        <w:tc>
          <w:tcPr>
            <w:tcW w:w="2070" w:type="dxa"/>
            <w:shd w:val="clear" w:color="auto" w:fill="auto"/>
          </w:tcPr>
          <w:p w14:paraId="1219D7F1" w14:textId="77777777" w:rsidR="00C7266C" w:rsidRPr="00D403F5" w:rsidRDefault="00C7266C" w:rsidP="00D403F5">
            <w:pPr>
              <w:spacing w:after="0"/>
              <w:rPr>
                <w:rFonts w:ascii="Arial" w:hAnsi="Arial" w:cs="Arial"/>
                <w:sz w:val="18"/>
                <w:szCs w:val="18"/>
                <w:lang w:val="nb-NO"/>
              </w:rPr>
            </w:pPr>
            <w:r w:rsidRPr="00D403F5">
              <w:rPr>
                <w:rFonts w:ascii="Arial" w:hAnsi="Arial" w:cs="Arial"/>
                <w:b/>
                <w:sz w:val="18"/>
                <w:szCs w:val="18"/>
              </w:rPr>
              <w:t>References</w:t>
            </w:r>
          </w:p>
        </w:tc>
      </w:tr>
      <w:tr w:rsidR="00C7266C" w:rsidRPr="00D403F5" w14:paraId="479900EC" w14:textId="77777777" w:rsidTr="00C7266C">
        <w:trPr>
          <w:cantSplit/>
          <w:trHeight w:val="305"/>
        </w:trPr>
        <w:tc>
          <w:tcPr>
            <w:tcW w:w="1794" w:type="dxa"/>
          </w:tcPr>
          <w:p w14:paraId="6CEEA48F" w14:textId="77777777" w:rsidR="00C7266C" w:rsidRPr="00D403F5" w:rsidRDefault="00C7266C" w:rsidP="00D403F5">
            <w:pPr>
              <w:spacing w:after="0"/>
              <w:rPr>
                <w:rFonts w:ascii="Arial" w:hAnsi="Arial" w:cs="Arial"/>
                <w:sz w:val="18"/>
                <w:szCs w:val="18"/>
              </w:rPr>
            </w:pPr>
          </w:p>
        </w:tc>
        <w:tc>
          <w:tcPr>
            <w:tcW w:w="1705" w:type="dxa"/>
            <w:vAlign w:val="center"/>
          </w:tcPr>
          <w:p w14:paraId="1A2BF21F" w14:textId="77777777" w:rsidR="00C7266C" w:rsidRPr="00D403F5" w:rsidRDefault="00C7266C" w:rsidP="00D403F5">
            <w:pPr>
              <w:spacing w:after="0"/>
              <w:jc w:val="center"/>
              <w:rPr>
                <w:rFonts w:ascii="Arial" w:hAnsi="Arial" w:cs="Arial"/>
                <w:i/>
                <w:iCs/>
                <w:sz w:val="18"/>
                <w:szCs w:val="18"/>
              </w:rPr>
            </w:pPr>
          </w:p>
        </w:tc>
        <w:tc>
          <w:tcPr>
            <w:tcW w:w="1626" w:type="dxa"/>
            <w:vAlign w:val="center"/>
          </w:tcPr>
          <w:p w14:paraId="22F43F98" w14:textId="77777777" w:rsidR="00C7266C" w:rsidRPr="00D403F5" w:rsidRDefault="00C7266C" w:rsidP="00D403F5">
            <w:pPr>
              <w:spacing w:after="0"/>
              <w:jc w:val="center"/>
              <w:rPr>
                <w:rFonts w:ascii="Arial" w:hAnsi="Arial" w:cs="Arial"/>
                <w:i/>
                <w:iCs/>
                <w:sz w:val="18"/>
                <w:szCs w:val="18"/>
              </w:rPr>
            </w:pPr>
          </w:p>
        </w:tc>
        <w:tc>
          <w:tcPr>
            <w:tcW w:w="1080" w:type="dxa"/>
          </w:tcPr>
          <w:p w14:paraId="0F3863C4" w14:textId="77777777" w:rsidR="00C7266C" w:rsidRPr="00D403F5" w:rsidRDefault="00C7266C" w:rsidP="00D403F5">
            <w:pPr>
              <w:spacing w:after="0"/>
              <w:jc w:val="center"/>
              <w:rPr>
                <w:rFonts w:ascii="Arial" w:hAnsi="Arial" w:cs="Arial"/>
                <w:sz w:val="18"/>
                <w:szCs w:val="18"/>
              </w:rPr>
            </w:pPr>
          </w:p>
        </w:tc>
        <w:tc>
          <w:tcPr>
            <w:tcW w:w="1530" w:type="dxa"/>
            <w:shd w:val="clear" w:color="auto" w:fill="auto"/>
            <w:vAlign w:val="center"/>
          </w:tcPr>
          <w:p w14:paraId="01581CDD" w14:textId="77777777" w:rsidR="00C7266C" w:rsidRPr="00D403F5" w:rsidRDefault="00C7266C" w:rsidP="00D403F5">
            <w:pPr>
              <w:spacing w:after="0"/>
              <w:jc w:val="center"/>
              <w:rPr>
                <w:rFonts w:ascii="Arial" w:hAnsi="Arial" w:cs="Arial"/>
                <w:color w:val="000000"/>
                <w:sz w:val="18"/>
                <w:szCs w:val="18"/>
                <w:lang w:val="nb-NO"/>
              </w:rPr>
            </w:pPr>
          </w:p>
        </w:tc>
        <w:tc>
          <w:tcPr>
            <w:tcW w:w="1620" w:type="dxa"/>
            <w:shd w:val="clear" w:color="auto" w:fill="auto"/>
            <w:vAlign w:val="center"/>
          </w:tcPr>
          <w:p w14:paraId="2C5808C7" w14:textId="77777777" w:rsidR="00C7266C" w:rsidRPr="00D403F5" w:rsidRDefault="00C7266C" w:rsidP="00D403F5">
            <w:pPr>
              <w:spacing w:after="0"/>
              <w:rPr>
                <w:rFonts w:ascii="Arial" w:hAnsi="Arial" w:cs="Arial"/>
                <w:sz w:val="18"/>
                <w:szCs w:val="18"/>
                <w:lang w:val="fr-FR"/>
              </w:rPr>
            </w:pPr>
          </w:p>
        </w:tc>
        <w:tc>
          <w:tcPr>
            <w:tcW w:w="715" w:type="dxa"/>
            <w:shd w:val="clear" w:color="auto" w:fill="auto"/>
            <w:vAlign w:val="center"/>
          </w:tcPr>
          <w:p w14:paraId="48558080"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A</w:t>
            </w:r>
          </w:p>
        </w:tc>
        <w:tc>
          <w:tcPr>
            <w:tcW w:w="540" w:type="dxa"/>
            <w:shd w:val="clear" w:color="auto" w:fill="auto"/>
            <w:vAlign w:val="center"/>
          </w:tcPr>
          <w:p w14:paraId="132F9B69"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B</w:t>
            </w:r>
          </w:p>
        </w:tc>
        <w:tc>
          <w:tcPr>
            <w:tcW w:w="540" w:type="dxa"/>
            <w:shd w:val="clear" w:color="auto" w:fill="auto"/>
            <w:vAlign w:val="center"/>
          </w:tcPr>
          <w:p w14:paraId="2469D267"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C</w:t>
            </w:r>
          </w:p>
        </w:tc>
        <w:tc>
          <w:tcPr>
            <w:tcW w:w="455" w:type="dxa"/>
            <w:shd w:val="clear" w:color="auto" w:fill="auto"/>
            <w:vAlign w:val="center"/>
          </w:tcPr>
          <w:p w14:paraId="0AB9894C"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D</w:t>
            </w:r>
          </w:p>
        </w:tc>
        <w:tc>
          <w:tcPr>
            <w:tcW w:w="1170" w:type="dxa"/>
          </w:tcPr>
          <w:p w14:paraId="0AD4CDDA" w14:textId="77777777" w:rsidR="00C7266C" w:rsidRPr="00D403F5" w:rsidRDefault="00C7266C" w:rsidP="00D403F5">
            <w:pPr>
              <w:spacing w:after="0"/>
              <w:jc w:val="center"/>
              <w:rPr>
                <w:rFonts w:ascii="Arial" w:hAnsi="Arial" w:cs="Arial"/>
                <w:color w:val="000000"/>
                <w:sz w:val="18"/>
                <w:szCs w:val="18"/>
                <w:lang w:val="nb-NO"/>
              </w:rPr>
            </w:pPr>
          </w:p>
        </w:tc>
        <w:tc>
          <w:tcPr>
            <w:tcW w:w="2070" w:type="dxa"/>
            <w:shd w:val="clear" w:color="auto" w:fill="auto"/>
            <w:vAlign w:val="center"/>
          </w:tcPr>
          <w:p w14:paraId="20E9E23D" w14:textId="77777777" w:rsidR="00C7266C" w:rsidRPr="00D403F5" w:rsidRDefault="00C7266C" w:rsidP="00D403F5">
            <w:pPr>
              <w:spacing w:after="0"/>
              <w:rPr>
                <w:rFonts w:ascii="Arial" w:hAnsi="Arial" w:cs="Arial"/>
                <w:sz w:val="18"/>
                <w:szCs w:val="18"/>
                <w:lang w:val="nb-NO"/>
              </w:rPr>
            </w:pPr>
          </w:p>
        </w:tc>
      </w:tr>
      <w:tr w:rsidR="00C7266C" w:rsidRPr="00D403F5" w14:paraId="790C4C4F" w14:textId="77777777" w:rsidTr="00C7266C">
        <w:trPr>
          <w:cantSplit/>
          <w:trHeight w:val="305"/>
        </w:trPr>
        <w:tc>
          <w:tcPr>
            <w:tcW w:w="1794" w:type="dxa"/>
            <w:vAlign w:val="center"/>
          </w:tcPr>
          <w:p w14:paraId="53C53181"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Bastard halibut</w:t>
            </w:r>
          </w:p>
        </w:tc>
        <w:tc>
          <w:tcPr>
            <w:tcW w:w="1705" w:type="dxa"/>
            <w:vAlign w:val="center"/>
          </w:tcPr>
          <w:p w14:paraId="4F08FE8D"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Paralichthys</w:t>
            </w:r>
          </w:p>
        </w:tc>
        <w:tc>
          <w:tcPr>
            <w:tcW w:w="1626" w:type="dxa"/>
            <w:vAlign w:val="center"/>
          </w:tcPr>
          <w:p w14:paraId="271A352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olivaceus</w:t>
            </w:r>
          </w:p>
        </w:tc>
        <w:tc>
          <w:tcPr>
            <w:tcW w:w="1080" w:type="dxa"/>
            <w:vAlign w:val="center"/>
          </w:tcPr>
          <w:p w14:paraId="3375C90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IVa</w:t>
            </w:r>
          </w:p>
        </w:tc>
        <w:tc>
          <w:tcPr>
            <w:tcW w:w="1530" w:type="dxa"/>
            <w:shd w:val="clear" w:color="auto" w:fill="auto"/>
            <w:vAlign w:val="center"/>
          </w:tcPr>
          <w:p w14:paraId="48AEADD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704F30AC"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fr-FR"/>
              </w:rPr>
              <w:t>Viral isolation, PCR, cell culture</w:t>
            </w:r>
          </w:p>
        </w:tc>
        <w:tc>
          <w:tcPr>
            <w:tcW w:w="715" w:type="dxa"/>
            <w:shd w:val="clear" w:color="auto" w:fill="auto"/>
            <w:vAlign w:val="center"/>
          </w:tcPr>
          <w:p w14:paraId="290B191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ND</w:t>
            </w:r>
          </w:p>
        </w:tc>
        <w:tc>
          <w:tcPr>
            <w:tcW w:w="540" w:type="dxa"/>
            <w:shd w:val="clear" w:color="auto" w:fill="auto"/>
            <w:vAlign w:val="center"/>
          </w:tcPr>
          <w:p w14:paraId="29CE62B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6DAD0A3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ND</w:t>
            </w:r>
          </w:p>
        </w:tc>
        <w:tc>
          <w:tcPr>
            <w:tcW w:w="455" w:type="dxa"/>
            <w:shd w:val="clear" w:color="auto" w:fill="auto"/>
            <w:vAlign w:val="center"/>
          </w:tcPr>
          <w:p w14:paraId="226F0CF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195075B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3EC079C5" w14:textId="77777777" w:rsidR="00C7266C" w:rsidRPr="00D403F5" w:rsidRDefault="00C7266C" w:rsidP="00D403F5">
            <w:pPr>
              <w:spacing w:after="0"/>
              <w:rPr>
                <w:rFonts w:ascii="Arial" w:hAnsi="Arial" w:cs="Arial"/>
                <w:color w:val="000000"/>
                <w:sz w:val="18"/>
                <w:szCs w:val="18"/>
                <w:lang w:val="fr-FR"/>
              </w:rPr>
            </w:pPr>
            <w:r w:rsidRPr="00D403F5">
              <w:rPr>
                <w:rFonts w:ascii="Arial" w:hAnsi="Arial" w:cs="Arial"/>
                <w:sz w:val="18"/>
                <w:szCs w:val="18"/>
                <w:lang w:val="nb-NO"/>
              </w:rPr>
              <w:t xml:space="preserve">Isshiki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2001;  Takano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2000 and 2001</w:t>
            </w:r>
          </w:p>
        </w:tc>
      </w:tr>
      <w:tr w:rsidR="00C7266C" w:rsidRPr="00D403F5" w14:paraId="5A5C9078" w14:textId="77777777" w:rsidTr="00C7266C">
        <w:trPr>
          <w:cantSplit/>
        </w:trPr>
        <w:tc>
          <w:tcPr>
            <w:tcW w:w="1794" w:type="dxa"/>
            <w:vAlign w:val="center"/>
          </w:tcPr>
          <w:p w14:paraId="67D8796B"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Black crappie</w:t>
            </w:r>
          </w:p>
        </w:tc>
        <w:tc>
          <w:tcPr>
            <w:tcW w:w="1705" w:type="dxa"/>
            <w:vAlign w:val="center"/>
          </w:tcPr>
          <w:p w14:paraId="76B6EE5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Pomoxis </w:t>
            </w:r>
          </w:p>
        </w:tc>
        <w:tc>
          <w:tcPr>
            <w:tcW w:w="1626" w:type="dxa"/>
            <w:vAlign w:val="center"/>
          </w:tcPr>
          <w:p w14:paraId="62E24BB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nigromaculatus</w:t>
            </w:r>
          </w:p>
        </w:tc>
        <w:tc>
          <w:tcPr>
            <w:tcW w:w="1080" w:type="dxa"/>
            <w:vAlign w:val="center"/>
          </w:tcPr>
          <w:p w14:paraId="1E8033C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IVb</w:t>
            </w:r>
          </w:p>
        </w:tc>
        <w:tc>
          <w:tcPr>
            <w:tcW w:w="1530" w:type="dxa"/>
            <w:shd w:val="clear" w:color="auto" w:fill="auto"/>
            <w:vAlign w:val="center"/>
          </w:tcPr>
          <w:p w14:paraId="374E3F6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4FE2B5B8"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PCR, sequencing</w:t>
            </w:r>
          </w:p>
        </w:tc>
        <w:tc>
          <w:tcPr>
            <w:tcW w:w="715" w:type="dxa"/>
            <w:shd w:val="clear" w:color="auto" w:fill="auto"/>
            <w:vAlign w:val="center"/>
          </w:tcPr>
          <w:p w14:paraId="47623E3E"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ND</w:t>
            </w:r>
          </w:p>
        </w:tc>
        <w:tc>
          <w:tcPr>
            <w:tcW w:w="540" w:type="dxa"/>
            <w:shd w:val="clear" w:color="auto" w:fill="auto"/>
            <w:vAlign w:val="center"/>
          </w:tcPr>
          <w:p w14:paraId="1EFAA7AB"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540" w:type="dxa"/>
            <w:shd w:val="clear" w:color="auto" w:fill="auto"/>
            <w:vAlign w:val="center"/>
          </w:tcPr>
          <w:p w14:paraId="10FF081E"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ND</w:t>
            </w:r>
          </w:p>
        </w:tc>
        <w:tc>
          <w:tcPr>
            <w:tcW w:w="455" w:type="dxa"/>
            <w:shd w:val="clear" w:color="auto" w:fill="auto"/>
            <w:vAlign w:val="center"/>
          </w:tcPr>
          <w:p w14:paraId="22E714D5"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1170" w:type="dxa"/>
            <w:vAlign w:val="center"/>
          </w:tcPr>
          <w:p w14:paraId="1616F01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09068658"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Faisal, 2012</w:t>
            </w:r>
            <w:r w:rsidRPr="00D403F5">
              <w:rPr>
                <w:rFonts w:ascii="Arial" w:hAnsi="Arial" w:cs="Arial"/>
                <w:color w:val="000000"/>
                <w:sz w:val="18"/>
                <w:szCs w:val="18"/>
                <w:lang w:val="en-US"/>
              </w:rPr>
              <w:t xml:space="preserve">; USGS/NACSE database </w:t>
            </w:r>
          </w:p>
        </w:tc>
      </w:tr>
      <w:tr w:rsidR="00C7266C" w:rsidRPr="00D403F5" w14:paraId="0E4568CD" w14:textId="77777777" w:rsidTr="00C7266C">
        <w:trPr>
          <w:cantSplit/>
        </w:trPr>
        <w:tc>
          <w:tcPr>
            <w:tcW w:w="1794" w:type="dxa"/>
            <w:vAlign w:val="center"/>
          </w:tcPr>
          <w:p w14:paraId="2C1F35C5"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rPr>
              <w:t xml:space="preserve">Blue Whiting </w:t>
            </w:r>
          </w:p>
        </w:tc>
        <w:tc>
          <w:tcPr>
            <w:tcW w:w="1705" w:type="dxa"/>
            <w:vAlign w:val="center"/>
          </w:tcPr>
          <w:p w14:paraId="445E88C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Micromesistius </w:t>
            </w:r>
          </w:p>
        </w:tc>
        <w:tc>
          <w:tcPr>
            <w:tcW w:w="1626" w:type="dxa"/>
            <w:vAlign w:val="center"/>
          </w:tcPr>
          <w:p w14:paraId="79B3103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poutassou</w:t>
            </w:r>
          </w:p>
        </w:tc>
        <w:tc>
          <w:tcPr>
            <w:tcW w:w="1080" w:type="dxa"/>
            <w:vAlign w:val="center"/>
          </w:tcPr>
          <w:p w14:paraId="6580FAF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Ib, III</w:t>
            </w:r>
          </w:p>
        </w:tc>
        <w:tc>
          <w:tcPr>
            <w:tcW w:w="1530" w:type="dxa"/>
            <w:shd w:val="clear" w:color="auto" w:fill="auto"/>
            <w:vAlign w:val="center"/>
          </w:tcPr>
          <w:p w14:paraId="2028EDC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5D361A5E"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and PCR</w:t>
            </w:r>
          </w:p>
          <w:p w14:paraId="7F9E81C1" w14:textId="77777777" w:rsidR="00C7266C" w:rsidRPr="00D403F5" w:rsidRDefault="00C7266C" w:rsidP="00D403F5">
            <w:pPr>
              <w:spacing w:after="0"/>
              <w:rPr>
                <w:rFonts w:ascii="Arial" w:hAnsi="Arial" w:cs="Arial"/>
                <w:color w:val="000000"/>
                <w:sz w:val="18"/>
                <w:szCs w:val="18"/>
                <w:lang w:val="nb-NO"/>
              </w:rPr>
            </w:pPr>
          </w:p>
        </w:tc>
        <w:tc>
          <w:tcPr>
            <w:tcW w:w="715" w:type="dxa"/>
            <w:shd w:val="clear" w:color="auto" w:fill="auto"/>
            <w:vAlign w:val="center"/>
          </w:tcPr>
          <w:p w14:paraId="7EE4C1B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540" w:type="dxa"/>
            <w:shd w:val="clear" w:color="auto" w:fill="auto"/>
            <w:vAlign w:val="center"/>
          </w:tcPr>
          <w:p w14:paraId="28E9A72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26BEA39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7A96AD9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018DB27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1</w:t>
            </w:r>
          </w:p>
        </w:tc>
        <w:tc>
          <w:tcPr>
            <w:tcW w:w="2070" w:type="dxa"/>
            <w:shd w:val="clear" w:color="auto" w:fill="auto"/>
            <w:vAlign w:val="center"/>
          </w:tcPr>
          <w:p w14:paraId="3403BBB9" w14:textId="77777777" w:rsidR="00C7266C" w:rsidRPr="00D403F5" w:rsidRDefault="00C7266C" w:rsidP="00D403F5">
            <w:pPr>
              <w:spacing w:after="0"/>
              <w:rPr>
                <w:rFonts w:ascii="Arial" w:hAnsi="Arial" w:cs="Arial"/>
                <w:color w:val="000000"/>
                <w:sz w:val="18"/>
                <w:szCs w:val="18"/>
                <w:lang w:val="fr-FR"/>
              </w:rPr>
            </w:pPr>
            <w:r w:rsidRPr="00D403F5">
              <w:rPr>
                <w:rFonts w:ascii="Arial" w:hAnsi="Arial" w:cs="Arial"/>
                <w:color w:val="000000"/>
                <w:sz w:val="18"/>
                <w:szCs w:val="18"/>
                <w:lang w:val="nb-NO"/>
              </w:rPr>
              <w:t xml:space="preserve">Mortensen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1999; Brudeseth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2002</w:t>
            </w:r>
          </w:p>
        </w:tc>
      </w:tr>
      <w:tr w:rsidR="00C7266C" w:rsidRPr="00D403F5" w14:paraId="4A23BF46" w14:textId="77777777" w:rsidTr="00C7266C">
        <w:trPr>
          <w:cantSplit/>
        </w:trPr>
        <w:tc>
          <w:tcPr>
            <w:tcW w:w="1794" w:type="dxa"/>
            <w:vAlign w:val="center"/>
          </w:tcPr>
          <w:p w14:paraId="17D22F1E"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rPr>
              <w:t>Bluegill</w:t>
            </w:r>
          </w:p>
        </w:tc>
        <w:tc>
          <w:tcPr>
            <w:tcW w:w="1705" w:type="dxa"/>
            <w:vAlign w:val="center"/>
          </w:tcPr>
          <w:p w14:paraId="75665B4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Lepomis</w:t>
            </w:r>
          </w:p>
        </w:tc>
        <w:tc>
          <w:tcPr>
            <w:tcW w:w="1626" w:type="dxa"/>
            <w:vAlign w:val="center"/>
          </w:tcPr>
          <w:p w14:paraId="72C90FB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 xml:space="preserve">macrochirus </w:t>
            </w:r>
          </w:p>
        </w:tc>
        <w:tc>
          <w:tcPr>
            <w:tcW w:w="1080" w:type="dxa"/>
            <w:vAlign w:val="center"/>
          </w:tcPr>
          <w:p w14:paraId="266CE23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IV, IVb</w:t>
            </w:r>
          </w:p>
        </w:tc>
        <w:tc>
          <w:tcPr>
            <w:tcW w:w="1530" w:type="dxa"/>
            <w:shd w:val="clear" w:color="auto" w:fill="auto"/>
            <w:vAlign w:val="center"/>
          </w:tcPr>
          <w:p w14:paraId="3A2FC9ED"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5662506E" w14:textId="77777777" w:rsidR="00C7266C" w:rsidRPr="00D403F5" w:rsidRDefault="00C7266C" w:rsidP="00D403F5">
            <w:pPr>
              <w:spacing w:after="0"/>
              <w:rPr>
                <w:rFonts w:ascii="Arial" w:hAnsi="Arial" w:cs="Arial"/>
                <w:color w:val="000000"/>
                <w:sz w:val="18"/>
                <w:szCs w:val="18"/>
                <w:lang w:val="fr-FR"/>
              </w:rPr>
            </w:pPr>
            <w:r w:rsidRPr="00D403F5">
              <w:rPr>
                <w:rFonts w:ascii="Arial" w:hAnsi="Arial" w:cs="Arial"/>
                <w:color w:val="000000"/>
                <w:sz w:val="18"/>
                <w:szCs w:val="18"/>
                <w:lang w:val="fr-FR"/>
              </w:rPr>
              <w:t xml:space="preserve">Virus isolation RT-PCR, IHC </w:t>
            </w:r>
          </w:p>
        </w:tc>
        <w:tc>
          <w:tcPr>
            <w:tcW w:w="715" w:type="dxa"/>
            <w:shd w:val="clear" w:color="auto" w:fill="auto"/>
            <w:vAlign w:val="center"/>
          </w:tcPr>
          <w:p w14:paraId="14B462C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673F405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00934835"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455" w:type="dxa"/>
            <w:shd w:val="clear" w:color="auto" w:fill="auto"/>
            <w:vAlign w:val="center"/>
          </w:tcPr>
          <w:p w14:paraId="2D45D87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6B8F3F4D"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717C5708"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lang w:val="en-US"/>
              </w:rPr>
              <w:t xml:space="preserve">Al-Hussinee </w:t>
            </w:r>
            <w:r w:rsidRPr="00D403F5">
              <w:rPr>
                <w:rFonts w:ascii="Arial" w:hAnsi="Arial" w:cs="Arial"/>
                <w:i/>
                <w:iCs/>
                <w:color w:val="000000"/>
                <w:sz w:val="18"/>
                <w:szCs w:val="18"/>
                <w:lang w:val="en-US"/>
              </w:rPr>
              <w:t>et al</w:t>
            </w:r>
            <w:r w:rsidRPr="00D403F5">
              <w:rPr>
                <w:rFonts w:ascii="Arial" w:hAnsi="Arial" w:cs="Arial"/>
                <w:color w:val="000000"/>
                <w:sz w:val="18"/>
                <w:szCs w:val="18"/>
                <w:lang w:val="en-US"/>
              </w:rPr>
              <w:t xml:space="preserve">., 2011; Department of Wisconsin Natural Resources, 2007 </w:t>
            </w:r>
          </w:p>
        </w:tc>
      </w:tr>
      <w:tr w:rsidR="00C7266C" w:rsidRPr="00D403F5" w14:paraId="4BF8B13C" w14:textId="77777777" w:rsidTr="00C7266C">
        <w:trPr>
          <w:cantSplit/>
        </w:trPr>
        <w:tc>
          <w:tcPr>
            <w:tcW w:w="1794" w:type="dxa"/>
            <w:vAlign w:val="center"/>
          </w:tcPr>
          <w:p w14:paraId="586DB386" w14:textId="77777777" w:rsidR="00C7266C" w:rsidRPr="00D403F5" w:rsidRDefault="00C7266C" w:rsidP="00D403F5">
            <w:pPr>
              <w:spacing w:after="0"/>
              <w:rPr>
                <w:rFonts w:ascii="Arial" w:hAnsi="Arial" w:cs="Arial"/>
                <w:color w:val="000000"/>
                <w:sz w:val="18"/>
                <w:szCs w:val="18"/>
                <w:lang w:val="en-US"/>
              </w:rPr>
            </w:pPr>
            <w:bookmarkStart w:id="103" w:name="_Hlk23235690"/>
            <w:r w:rsidRPr="00D403F5">
              <w:rPr>
                <w:rFonts w:ascii="Arial" w:hAnsi="Arial" w:cs="Arial"/>
                <w:color w:val="000000"/>
                <w:sz w:val="18"/>
                <w:szCs w:val="18"/>
              </w:rPr>
              <w:t>Bluntnose minnow</w:t>
            </w:r>
          </w:p>
        </w:tc>
        <w:tc>
          <w:tcPr>
            <w:tcW w:w="1705" w:type="dxa"/>
            <w:vAlign w:val="center"/>
          </w:tcPr>
          <w:p w14:paraId="038D066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Pimephales </w:t>
            </w:r>
          </w:p>
        </w:tc>
        <w:tc>
          <w:tcPr>
            <w:tcW w:w="1626" w:type="dxa"/>
            <w:vAlign w:val="center"/>
          </w:tcPr>
          <w:p w14:paraId="543A83E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notatus</w:t>
            </w:r>
          </w:p>
        </w:tc>
        <w:tc>
          <w:tcPr>
            <w:tcW w:w="1080" w:type="dxa"/>
            <w:vAlign w:val="center"/>
          </w:tcPr>
          <w:p w14:paraId="63E294B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IVb</w:t>
            </w:r>
          </w:p>
        </w:tc>
        <w:tc>
          <w:tcPr>
            <w:tcW w:w="1530" w:type="dxa"/>
            <w:shd w:val="clear" w:color="auto" w:fill="auto"/>
            <w:vAlign w:val="center"/>
          </w:tcPr>
          <w:p w14:paraId="066F6CD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7BAE8D4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 RT-PCR</w:t>
            </w:r>
          </w:p>
        </w:tc>
        <w:tc>
          <w:tcPr>
            <w:tcW w:w="715" w:type="dxa"/>
            <w:shd w:val="clear" w:color="auto" w:fill="auto"/>
            <w:vAlign w:val="center"/>
          </w:tcPr>
          <w:p w14:paraId="726FBB1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4368F51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2C8E37F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6705A75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5EF19FAD"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76879F57" w14:textId="77777777" w:rsidR="00C7266C" w:rsidRPr="00D403F5" w:rsidRDefault="00C7266C" w:rsidP="00D403F5">
            <w:pPr>
              <w:spacing w:after="0"/>
              <w:rPr>
                <w:rFonts w:ascii="Arial" w:hAnsi="Arial" w:cs="Arial"/>
                <w:sz w:val="18"/>
                <w:szCs w:val="18"/>
                <w:lang w:val="en-US"/>
              </w:rPr>
            </w:pPr>
            <w:r w:rsidRPr="00D403F5">
              <w:rPr>
                <w:rFonts w:ascii="Arial" w:hAnsi="Arial" w:cs="Arial"/>
                <w:color w:val="000000"/>
                <w:sz w:val="18"/>
                <w:szCs w:val="18"/>
                <w:lang w:val="en-US"/>
              </w:rPr>
              <w:t>Frattini, 2011; Department of Wisconsin Natural Resources, 2007</w:t>
            </w:r>
          </w:p>
        </w:tc>
      </w:tr>
      <w:bookmarkEnd w:id="103"/>
      <w:tr w:rsidR="00C7266C" w:rsidRPr="00D403F5" w14:paraId="3A6A4476" w14:textId="77777777" w:rsidTr="00C7266C">
        <w:trPr>
          <w:cantSplit/>
        </w:trPr>
        <w:tc>
          <w:tcPr>
            <w:tcW w:w="1794" w:type="dxa"/>
            <w:vAlign w:val="center"/>
          </w:tcPr>
          <w:p w14:paraId="1EB4228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Brown bullhead</w:t>
            </w:r>
          </w:p>
        </w:tc>
        <w:tc>
          <w:tcPr>
            <w:tcW w:w="1705" w:type="dxa"/>
            <w:vAlign w:val="center"/>
          </w:tcPr>
          <w:p w14:paraId="7F9DD68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Ictalurus </w:t>
            </w:r>
          </w:p>
        </w:tc>
        <w:tc>
          <w:tcPr>
            <w:tcW w:w="1626" w:type="dxa"/>
            <w:vAlign w:val="center"/>
          </w:tcPr>
          <w:p w14:paraId="653B12E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nebulosus</w:t>
            </w:r>
          </w:p>
        </w:tc>
        <w:tc>
          <w:tcPr>
            <w:tcW w:w="1080" w:type="dxa"/>
            <w:vAlign w:val="center"/>
          </w:tcPr>
          <w:p w14:paraId="2651852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IVb</w:t>
            </w:r>
          </w:p>
        </w:tc>
        <w:tc>
          <w:tcPr>
            <w:tcW w:w="1530" w:type="dxa"/>
            <w:shd w:val="clear" w:color="auto" w:fill="auto"/>
            <w:vAlign w:val="center"/>
          </w:tcPr>
          <w:p w14:paraId="206F1E5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61EAAC6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RT-PCR, sequencing</w:t>
            </w:r>
          </w:p>
        </w:tc>
        <w:tc>
          <w:tcPr>
            <w:tcW w:w="715" w:type="dxa"/>
            <w:shd w:val="clear" w:color="auto" w:fill="auto"/>
            <w:vAlign w:val="center"/>
          </w:tcPr>
          <w:p w14:paraId="02E5580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336F694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5427778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09207A1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3DF973B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25DA0542"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color w:val="000000"/>
                <w:sz w:val="18"/>
                <w:szCs w:val="18"/>
                <w:lang w:val="nb-NO"/>
              </w:rPr>
              <w:t xml:space="preserve">Faisal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2012; </w:t>
            </w:r>
          </w:p>
          <w:p w14:paraId="38088886" w14:textId="77777777" w:rsidR="00C7266C" w:rsidRPr="00D403F5" w:rsidRDefault="00C7266C" w:rsidP="00D403F5">
            <w:pPr>
              <w:spacing w:after="0"/>
              <w:rPr>
                <w:rFonts w:ascii="Arial" w:hAnsi="Arial" w:cs="Arial"/>
                <w:color w:val="000000"/>
                <w:sz w:val="18"/>
                <w:szCs w:val="18"/>
                <w:lang w:val="fr-FR"/>
              </w:rPr>
            </w:pPr>
            <w:r w:rsidRPr="00D403F5">
              <w:rPr>
                <w:rFonts w:ascii="Arial" w:hAnsi="Arial" w:cs="Arial"/>
                <w:sz w:val="18"/>
                <w:szCs w:val="18"/>
                <w:lang w:val="nb-NO"/>
              </w:rPr>
              <w:t xml:space="preserve">USGS/NACSE database </w:t>
            </w:r>
          </w:p>
        </w:tc>
      </w:tr>
      <w:tr w:rsidR="00C7266C" w:rsidRPr="00D403F5" w14:paraId="7B3A6017" w14:textId="77777777" w:rsidTr="00C7266C">
        <w:trPr>
          <w:cantSplit/>
        </w:trPr>
        <w:tc>
          <w:tcPr>
            <w:tcW w:w="1794" w:type="dxa"/>
            <w:vAlign w:val="center"/>
          </w:tcPr>
          <w:p w14:paraId="19D13D29"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Brown trout</w:t>
            </w:r>
          </w:p>
        </w:tc>
        <w:tc>
          <w:tcPr>
            <w:tcW w:w="1705" w:type="dxa"/>
            <w:vAlign w:val="center"/>
          </w:tcPr>
          <w:p w14:paraId="0B23FCA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Salmo </w:t>
            </w:r>
          </w:p>
        </w:tc>
        <w:tc>
          <w:tcPr>
            <w:tcW w:w="1626" w:type="dxa"/>
            <w:vAlign w:val="center"/>
          </w:tcPr>
          <w:p w14:paraId="7EA0535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trutta</w:t>
            </w:r>
          </w:p>
        </w:tc>
        <w:tc>
          <w:tcPr>
            <w:tcW w:w="1080" w:type="dxa"/>
            <w:vAlign w:val="center"/>
          </w:tcPr>
          <w:p w14:paraId="67A9B45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Ia, Ib</w:t>
            </w:r>
          </w:p>
        </w:tc>
        <w:tc>
          <w:tcPr>
            <w:tcW w:w="1530" w:type="dxa"/>
            <w:shd w:val="clear" w:color="auto" w:fill="auto"/>
            <w:vAlign w:val="center"/>
          </w:tcPr>
          <w:p w14:paraId="7478BDA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5711A60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w:t>
            </w:r>
          </w:p>
        </w:tc>
        <w:tc>
          <w:tcPr>
            <w:tcW w:w="715" w:type="dxa"/>
            <w:shd w:val="clear" w:color="auto" w:fill="auto"/>
            <w:vAlign w:val="center"/>
          </w:tcPr>
          <w:p w14:paraId="5B1A86D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23B410C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4DF50D0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4D023BE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170" w:type="dxa"/>
            <w:vAlign w:val="center"/>
          </w:tcPr>
          <w:p w14:paraId="69C1161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2F7A206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Ogut &amp; Altunas, 2011; Jørgensen, 1980</w:t>
            </w:r>
          </w:p>
        </w:tc>
      </w:tr>
      <w:tr w:rsidR="00C7266C" w:rsidRPr="00D403F5" w14:paraId="3FFB2028" w14:textId="77777777" w:rsidTr="00D403F5">
        <w:trPr>
          <w:cantSplit/>
          <w:trHeight w:val="692"/>
        </w:trPr>
        <w:tc>
          <w:tcPr>
            <w:tcW w:w="1794" w:type="dxa"/>
            <w:vAlign w:val="center"/>
          </w:tcPr>
          <w:p w14:paraId="09854D8B"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Chinook salmon</w:t>
            </w:r>
          </w:p>
        </w:tc>
        <w:tc>
          <w:tcPr>
            <w:tcW w:w="1705" w:type="dxa"/>
            <w:vAlign w:val="center"/>
          </w:tcPr>
          <w:p w14:paraId="59FC724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Oncorhynchus </w:t>
            </w:r>
          </w:p>
        </w:tc>
        <w:tc>
          <w:tcPr>
            <w:tcW w:w="1626" w:type="dxa"/>
            <w:vAlign w:val="center"/>
          </w:tcPr>
          <w:p w14:paraId="44B93B7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tshawytscha</w:t>
            </w:r>
          </w:p>
        </w:tc>
        <w:tc>
          <w:tcPr>
            <w:tcW w:w="1080" w:type="dxa"/>
            <w:vAlign w:val="center"/>
          </w:tcPr>
          <w:p w14:paraId="112B92D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IVa, IVb</w:t>
            </w:r>
          </w:p>
        </w:tc>
        <w:tc>
          <w:tcPr>
            <w:tcW w:w="1530" w:type="dxa"/>
            <w:shd w:val="clear" w:color="auto" w:fill="auto"/>
            <w:vAlign w:val="center"/>
          </w:tcPr>
          <w:p w14:paraId="4FABE0B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0FD8E4A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sequencing</w:t>
            </w:r>
          </w:p>
        </w:tc>
        <w:tc>
          <w:tcPr>
            <w:tcW w:w="715" w:type="dxa"/>
            <w:shd w:val="clear" w:color="auto" w:fill="auto"/>
            <w:vAlign w:val="center"/>
          </w:tcPr>
          <w:p w14:paraId="0EC8FDD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4FBFD24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0CF333E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455" w:type="dxa"/>
            <w:shd w:val="clear" w:color="auto" w:fill="auto"/>
            <w:vAlign w:val="center"/>
          </w:tcPr>
          <w:p w14:paraId="691B08A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4D27991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032866C4"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Faisal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2012</w:t>
            </w:r>
            <w:r w:rsidRPr="00D403F5">
              <w:rPr>
                <w:rFonts w:ascii="Arial" w:hAnsi="Arial" w:cs="Arial"/>
                <w:sz w:val="18"/>
                <w:szCs w:val="18"/>
                <w:lang w:val="nb-NO"/>
              </w:rPr>
              <w:t xml:space="preserve">;  Garver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2013</w:t>
            </w:r>
          </w:p>
        </w:tc>
      </w:tr>
      <w:tr w:rsidR="00D403F5" w:rsidRPr="00D403F5" w14:paraId="1C242D66" w14:textId="77777777" w:rsidTr="00C7266C">
        <w:trPr>
          <w:cantSplit/>
        </w:trPr>
        <w:tc>
          <w:tcPr>
            <w:tcW w:w="1794" w:type="dxa"/>
            <w:vAlign w:val="center"/>
          </w:tcPr>
          <w:p w14:paraId="66054259" w14:textId="4FD03F6A" w:rsidR="00D403F5" w:rsidRPr="00D403F5" w:rsidRDefault="00D403F5" w:rsidP="00D403F5">
            <w:pPr>
              <w:spacing w:after="0"/>
              <w:rPr>
                <w:rFonts w:ascii="Arial" w:hAnsi="Arial" w:cs="Arial"/>
                <w:color w:val="000000"/>
                <w:sz w:val="18"/>
                <w:szCs w:val="18"/>
              </w:rPr>
            </w:pPr>
            <w:r w:rsidRPr="00D403F5">
              <w:rPr>
                <w:rFonts w:ascii="Calibri" w:hAnsi="Calibri" w:cs="Calibri"/>
                <w:color w:val="000000"/>
                <w:sz w:val="18"/>
                <w:szCs w:val="18"/>
              </w:rPr>
              <w:t>Coho salmon</w:t>
            </w:r>
          </w:p>
        </w:tc>
        <w:tc>
          <w:tcPr>
            <w:tcW w:w="1705" w:type="dxa"/>
            <w:vAlign w:val="center"/>
          </w:tcPr>
          <w:p w14:paraId="72CF34F5" w14:textId="031D9F80" w:rsidR="00D403F5" w:rsidRPr="00D403F5" w:rsidRDefault="00D403F5" w:rsidP="00D403F5">
            <w:pPr>
              <w:spacing w:after="0"/>
              <w:jc w:val="center"/>
              <w:rPr>
                <w:rFonts w:ascii="Arial" w:hAnsi="Arial" w:cs="Arial"/>
                <w:i/>
                <w:iCs/>
                <w:color w:val="000000"/>
                <w:sz w:val="18"/>
                <w:szCs w:val="18"/>
              </w:rPr>
            </w:pPr>
            <w:r w:rsidRPr="00D403F5">
              <w:rPr>
                <w:rFonts w:ascii="Calibri" w:hAnsi="Calibri" w:cs="Calibri"/>
                <w:i/>
                <w:iCs/>
                <w:color w:val="000000"/>
                <w:sz w:val="18"/>
                <w:szCs w:val="18"/>
              </w:rPr>
              <w:t>Oncorhynchus</w:t>
            </w:r>
          </w:p>
        </w:tc>
        <w:tc>
          <w:tcPr>
            <w:tcW w:w="1626" w:type="dxa"/>
            <w:vAlign w:val="center"/>
          </w:tcPr>
          <w:p w14:paraId="122F9909" w14:textId="227CAABF" w:rsidR="00D403F5" w:rsidRPr="00D403F5" w:rsidRDefault="00D403F5" w:rsidP="00D403F5">
            <w:pPr>
              <w:spacing w:after="0"/>
              <w:jc w:val="center"/>
              <w:rPr>
                <w:rFonts w:ascii="Arial" w:hAnsi="Arial" w:cs="Arial"/>
                <w:i/>
                <w:iCs/>
                <w:color w:val="000000"/>
                <w:sz w:val="18"/>
                <w:szCs w:val="18"/>
              </w:rPr>
            </w:pPr>
            <w:r w:rsidRPr="00D403F5">
              <w:rPr>
                <w:rFonts w:ascii="Calibri" w:hAnsi="Calibri" w:cs="Calibri"/>
                <w:i/>
                <w:iCs/>
                <w:color w:val="000000"/>
                <w:sz w:val="18"/>
                <w:szCs w:val="18"/>
              </w:rPr>
              <w:t xml:space="preserve"> kisutch</w:t>
            </w:r>
          </w:p>
        </w:tc>
        <w:tc>
          <w:tcPr>
            <w:tcW w:w="1080" w:type="dxa"/>
            <w:vAlign w:val="center"/>
          </w:tcPr>
          <w:p w14:paraId="470EB5AD" w14:textId="23AF328A" w:rsidR="00D403F5" w:rsidRPr="00D403F5" w:rsidRDefault="00D403F5" w:rsidP="00D403F5">
            <w:pPr>
              <w:spacing w:after="0"/>
              <w:jc w:val="center"/>
              <w:rPr>
                <w:rFonts w:ascii="Arial" w:hAnsi="Arial" w:cs="Arial"/>
                <w:sz w:val="18"/>
                <w:szCs w:val="18"/>
              </w:rPr>
            </w:pPr>
            <w:r w:rsidRPr="00D403F5">
              <w:rPr>
                <w:color w:val="000000"/>
                <w:sz w:val="18"/>
                <w:szCs w:val="18"/>
                <w:lang w:val="nb-NO"/>
              </w:rPr>
              <w:t xml:space="preserve">IVa </w:t>
            </w:r>
          </w:p>
        </w:tc>
        <w:tc>
          <w:tcPr>
            <w:tcW w:w="1530" w:type="dxa"/>
            <w:shd w:val="clear" w:color="auto" w:fill="auto"/>
            <w:vAlign w:val="center"/>
          </w:tcPr>
          <w:p w14:paraId="1A5C8BA9" w14:textId="133297C0" w:rsidR="00D403F5" w:rsidRPr="00D403F5" w:rsidRDefault="00D403F5" w:rsidP="00D403F5">
            <w:pPr>
              <w:spacing w:after="0"/>
              <w:jc w:val="center"/>
              <w:rPr>
                <w:rFonts w:ascii="Arial" w:hAnsi="Arial" w:cs="Arial"/>
                <w:color w:val="000000"/>
                <w:sz w:val="18"/>
                <w:szCs w:val="18"/>
                <w:lang w:val="nb-NO"/>
              </w:rPr>
            </w:pPr>
            <w:r w:rsidRPr="00D403F5">
              <w:rPr>
                <w:color w:val="000000"/>
                <w:sz w:val="18"/>
                <w:szCs w:val="18"/>
                <w:lang w:val="nb-NO"/>
              </w:rPr>
              <w:t>N</w:t>
            </w:r>
          </w:p>
        </w:tc>
        <w:tc>
          <w:tcPr>
            <w:tcW w:w="1620" w:type="dxa"/>
            <w:shd w:val="clear" w:color="auto" w:fill="auto"/>
            <w:vAlign w:val="center"/>
          </w:tcPr>
          <w:p w14:paraId="6B6695C1" w14:textId="16F45C65" w:rsidR="00D403F5" w:rsidRPr="00D403F5" w:rsidRDefault="00D403F5" w:rsidP="00D403F5">
            <w:pPr>
              <w:spacing w:after="0"/>
              <w:rPr>
                <w:rFonts w:ascii="Arial" w:hAnsi="Arial" w:cs="Arial"/>
                <w:color w:val="000000"/>
                <w:sz w:val="18"/>
                <w:szCs w:val="18"/>
              </w:rPr>
            </w:pPr>
            <w:r w:rsidRPr="00D403F5">
              <w:rPr>
                <w:color w:val="000000"/>
                <w:sz w:val="18"/>
                <w:szCs w:val="18"/>
                <w:lang w:val="en-US"/>
              </w:rPr>
              <w:t>Cell culture, neutralization and immunoblot assay</w:t>
            </w:r>
          </w:p>
        </w:tc>
        <w:tc>
          <w:tcPr>
            <w:tcW w:w="715" w:type="dxa"/>
            <w:shd w:val="clear" w:color="auto" w:fill="auto"/>
            <w:vAlign w:val="center"/>
          </w:tcPr>
          <w:p w14:paraId="598BF244" w14:textId="378958A5" w:rsidR="00D403F5" w:rsidRPr="00D403F5" w:rsidRDefault="00D403F5" w:rsidP="00D403F5">
            <w:pPr>
              <w:spacing w:after="0"/>
              <w:jc w:val="center"/>
              <w:rPr>
                <w:rFonts w:ascii="Arial" w:hAnsi="Arial" w:cs="Arial"/>
                <w:sz w:val="18"/>
                <w:szCs w:val="18"/>
              </w:rPr>
            </w:pPr>
            <w:r w:rsidRPr="00D403F5">
              <w:rPr>
                <w:rFonts w:ascii="Calibri" w:hAnsi="Calibri" w:cs="Calibri"/>
                <w:color w:val="000000"/>
                <w:sz w:val="18"/>
                <w:szCs w:val="18"/>
              </w:rPr>
              <w:t>ND</w:t>
            </w:r>
          </w:p>
        </w:tc>
        <w:tc>
          <w:tcPr>
            <w:tcW w:w="540" w:type="dxa"/>
            <w:shd w:val="clear" w:color="auto" w:fill="auto"/>
            <w:vAlign w:val="center"/>
          </w:tcPr>
          <w:p w14:paraId="68D9FCC8" w14:textId="2B1A967F" w:rsidR="00D403F5" w:rsidRPr="00D403F5" w:rsidRDefault="00D403F5" w:rsidP="00D403F5">
            <w:pPr>
              <w:spacing w:after="0"/>
              <w:jc w:val="center"/>
              <w:rPr>
                <w:rFonts w:ascii="Arial" w:hAnsi="Arial" w:cs="Arial"/>
                <w:sz w:val="18"/>
                <w:szCs w:val="18"/>
              </w:rPr>
            </w:pPr>
            <w:r w:rsidRPr="00D403F5">
              <w:rPr>
                <w:rFonts w:ascii="Calibri" w:hAnsi="Calibri" w:cs="Calibri"/>
                <w:color w:val="000000"/>
                <w:sz w:val="18"/>
                <w:szCs w:val="18"/>
              </w:rPr>
              <w:t>Y</w:t>
            </w:r>
          </w:p>
        </w:tc>
        <w:tc>
          <w:tcPr>
            <w:tcW w:w="540" w:type="dxa"/>
            <w:shd w:val="clear" w:color="auto" w:fill="auto"/>
            <w:vAlign w:val="center"/>
          </w:tcPr>
          <w:p w14:paraId="0DC37BF2" w14:textId="360C56D6" w:rsidR="00D403F5" w:rsidRPr="00D403F5" w:rsidRDefault="00D403F5" w:rsidP="00D403F5">
            <w:pPr>
              <w:spacing w:after="0"/>
              <w:jc w:val="center"/>
              <w:rPr>
                <w:rFonts w:ascii="Arial" w:hAnsi="Arial" w:cs="Arial"/>
                <w:sz w:val="18"/>
                <w:szCs w:val="18"/>
              </w:rPr>
            </w:pPr>
            <w:r w:rsidRPr="00D403F5">
              <w:rPr>
                <w:rFonts w:ascii="Calibri" w:hAnsi="Calibri" w:cs="Calibri"/>
                <w:color w:val="000000"/>
                <w:sz w:val="18"/>
                <w:szCs w:val="18"/>
              </w:rPr>
              <w:t>N</w:t>
            </w:r>
          </w:p>
        </w:tc>
        <w:tc>
          <w:tcPr>
            <w:tcW w:w="455" w:type="dxa"/>
            <w:shd w:val="clear" w:color="auto" w:fill="auto"/>
            <w:vAlign w:val="center"/>
          </w:tcPr>
          <w:p w14:paraId="1F76ACFC" w14:textId="126C1B46" w:rsidR="00D403F5" w:rsidRPr="00D403F5" w:rsidRDefault="00D403F5" w:rsidP="00D403F5">
            <w:pPr>
              <w:spacing w:after="0"/>
              <w:jc w:val="center"/>
              <w:rPr>
                <w:rFonts w:ascii="Arial" w:hAnsi="Arial" w:cs="Arial"/>
                <w:sz w:val="18"/>
                <w:szCs w:val="18"/>
              </w:rPr>
            </w:pPr>
            <w:r w:rsidRPr="00D403F5">
              <w:rPr>
                <w:rFonts w:ascii="Calibri" w:hAnsi="Calibri" w:cs="Calibri"/>
                <w:color w:val="000000"/>
                <w:sz w:val="18"/>
                <w:szCs w:val="18"/>
              </w:rPr>
              <w:t>Y</w:t>
            </w:r>
          </w:p>
        </w:tc>
        <w:tc>
          <w:tcPr>
            <w:tcW w:w="1170" w:type="dxa"/>
            <w:vAlign w:val="center"/>
          </w:tcPr>
          <w:p w14:paraId="26D7109F" w14:textId="585F0380" w:rsidR="00D403F5" w:rsidRPr="00D403F5" w:rsidRDefault="00D403F5" w:rsidP="00D403F5">
            <w:pPr>
              <w:spacing w:after="0"/>
              <w:jc w:val="center"/>
              <w:rPr>
                <w:rFonts w:ascii="Arial" w:hAnsi="Arial" w:cs="Arial"/>
                <w:sz w:val="18"/>
                <w:szCs w:val="18"/>
                <w:lang w:val="nb-NO"/>
              </w:rPr>
            </w:pPr>
            <w:r w:rsidRPr="00D403F5">
              <w:rPr>
                <w:color w:val="000000"/>
                <w:sz w:val="18"/>
                <w:szCs w:val="18"/>
                <w:lang w:val="nb-NO"/>
              </w:rPr>
              <w:t>1</w:t>
            </w:r>
          </w:p>
        </w:tc>
        <w:tc>
          <w:tcPr>
            <w:tcW w:w="2070" w:type="dxa"/>
            <w:shd w:val="clear" w:color="auto" w:fill="auto"/>
            <w:vAlign w:val="center"/>
          </w:tcPr>
          <w:p w14:paraId="23A56BC5" w14:textId="501632BF" w:rsidR="00D403F5" w:rsidRPr="00D403F5" w:rsidRDefault="00D403F5" w:rsidP="00D403F5">
            <w:pPr>
              <w:spacing w:after="0"/>
              <w:rPr>
                <w:rFonts w:ascii="Arial" w:hAnsi="Arial" w:cs="Arial"/>
                <w:sz w:val="18"/>
                <w:szCs w:val="18"/>
                <w:lang w:val="nb-NO"/>
              </w:rPr>
            </w:pPr>
            <w:r w:rsidRPr="00D403F5">
              <w:rPr>
                <w:rFonts w:ascii="Calibri" w:hAnsi="Calibri" w:cs="Calibri"/>
                <w:sz w:val="18"/>
                <w:szCs w:val="18"/>
              </w:rPr>
              <w:t xml:space="preserve">Winton </w:t>
            </w:r>
            <w:r w:rsidRPr="00D403F5">
              <w:rPr>
                <w:rFonts w:cstheme="minorHAnsi"/>
                <w:i/>
                <w:iCs/>
                <w:sz w:val="18"/>
                <w:szCs w:val="18"/>
                <w:lang w:val="en-US"/>
              </w:rPr>
              <w:t>et al</w:t>
            </w:r>
            <w:r w:rsidRPr="00D403F5">
              <w:rPr>
                <w:rFonts w:cstheme="minorHAnsi"/>
                <w:sz w:val="18"/>
                <w:szCs w:val="18"/>
              </w:rPr>
              <w:t xml:space="preserve">., </w:t>
            </w:r>
            <w:r w:rsidRPr="00D403F5">
              <w:rPr>
                <w:rFonts w:ascii="Calibri" w:hAnsi="Calibri" w:cs="Calibri"/>
                <w:sz w:val="18"/>
                <w:szCs w:val="18"/>
              </w:rPr>
              <w:t xml:space="preserve">1989; </w:t>
            </w:r>
            <w:r w:rsidRPr="00D403F5">
              <w:rPr>
                <w:rFonts w:ascii="Calibri" w:hAnsi="Calibri" w:cs="Calibri"/>
                <w:color w:val="000000"/>
                <w:sz w:val="18"/>
                <w:szCs w:val="18"/>
              </w:rPr>
              <w:t>Meyers &amp; Winton, 1995</w:t>
            </w:r>
          </w:p>
        </w:tc>
      </w:tr>
    </w:tbl>
    <w:p w14:paraId="7B285B53" w14:textId="77777777" w:rsidR="00C7266C" w:rsidRPr="00D403F5" w:rsidRDefault="00C7266C" w:rsidP="00D403F5">
      <w:pPr>
        <w:spacing w:after="240"/>
        <w:jc w:val="right"/>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56448487" w14:textId="77777777" w:rsidR="00C7266C" w:rsidRPr="00D403F5" w:rsidRDefault="00C7266C" w:rsidP="00D403F5">
      <w:pPr>
        <w:spacing w:after="240"/>
        <w:jc w:val="right"/>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62D9266D" w14:textId="77777777" w:rsidTr="00C7266C">
        <w:trPr>
          <w:cantSplit/>
        </w:trPr>
        <w:tc>
          <w:tcPr>
            <w:tcW w:w="1794" w:type="dxa"/>
          </w:tcPr>
          <w:p w14:paraId="1D9D05BD" w14:textId="77777777" w:rsidR="00C7266C" w:rsidRPr="00D403F5" w:rsidRDefault="00C7266C" w:rsidP="00D403F5">
            <w:pPr>
              <w:spacing w:after="0"/>
              <w:rPr>
                <w:rFonts w:ascii="Calibri" w:hAnsi="Calibri" w:cs="Calibri"/>
                <w:sz w:val="18"/>
                <w:szCs w:val="18"/>
              </w:rPr>
            </w:pPr>
            <w:r w:rsidRPr="00D403F5">
              <w:rPr>
                <w:rFonts w:ascii="Arial" w:hAnsi="Arial" w:cs="Arial"/>
                <w:b/>
                <w:sz w:val="18"/>
                <w:szCs w:val="18"/>
              </w:rPr>
              <w:t>Common name</w:t>
            </w:r>
          </w:p>
        </w:tc>
        <w:tc>
          <w:tcPr>
            <w:tcW w:w="1705" w:type="dxa"/>
          </w:tcPr>
          <w:p w14:paraId="2BF1DD35" w14:textId="77777777" w:rsidR="00C7266C" w:rsidRPr="00D403F5" w:rsidRDefault="00C7266C" w:rsidP="00D403F5">
            <w:pPr>
              <w:spacing w:after="0"/>
              <w:jc w:val="center"/>
              <w:rPr>
                <w:rFonts w:ascii="Calibri" w:hAnsi="Calibri" w:cs="Calibri"/>
                <w:i/>
                <w:iCs/>
                <w:sz w:val="18"/>
                <w:szCs w:val="18"/>
              </w:rPr>
            </w:pPr>
            <w:r w:rsidRPr="00D403F5">
              <w:rPr>
                <w:rFonts w:ascii="Arial" w:hAnsi="Arial" w:cs="Arial"/>
                <w:b/>
                <w:sz w:val="18"/>
                <w:szCs w:val="18"/>
              </w:rPr>
              <w:t>Genus</w:t>
            </w:r>
          </w:p>
        </w:tc>
        <w:tc>
          <w:tcPr>
            <w:tcW w:w="1626" w:type="dxa"/>
          </w:tcPr>
          <w:p w14:paraId="78C000E8" w14:textId="77777777" w:rsidR="00C7266C" w:rsidRPr="00D403F5" w:rsidRDefault="00C7266C" w:rsidP="00D403F5">
            <w:pPr>
              <w:spacing w:after="0"/>
              <w:jc w:val="center"/>
              <w:rPr>
                <w:rFonts w:ascii="Calibri" w:hAnsi="Calibri" w:cs="Calibri"/>
                <w:i/>
                <w:iCs/>
                <w:sz w:val="18"/>
                <w:szCs w:val="18"/>
              </w:rPr>
            </w:pPr>
            <w:r w:rsidRPr="00D403F5">
              <w:rPr>
                <w:rFonts w:ascii="Arial" w:hAnsi="Arial" w:cs="Arial"/>
                <w:b/>
                <w:sz w:val="18"/>
                <w:szCs w:val="18"/>
              </w:rPr>
              <w:t>Species</w:t>
            </w:r>
          </w:p>
        </w:tc>
        <w:tc>
          <w:tcPr>
            <w:tcW w:w="1080" w:type="dxa"/>
          </w:tcPr>
          <w:p w14:paraId="78EFCF7F" w14:textId="77777777" w:rsidR="00C7266C" w:rsidRPr="00D403F5" w:rsidRDefault="00C7266C" w:rsidP="00D403F5">
            <w:pPr>
              <w:spacing w:after="0"/>
              <w:jc w:val="center"/>
              <w:rPr>
                <w:sz w:val="18"/>
                <w:szCs w:val="18"/>
                <w:lang w:val="en-US"/>
              </w:rPr>
            </w:pPr>
            <w:r w:rsidRPr="00D403F5">
              <w:rPr>
                <w:rFonts w:ascii="Arial" w:hAnsi="Arial" w:cs="Arial"/>
                <w:b/>
                <w:sz w:val="18"/>
                <w:szCs w:val="18"/>
              </w:rPr>
              <w:t>Genotype</w:t>
            </w:r>
          </w:p>
        </w:tc>
        <w:tc>
          <w:tcPr>
            <w:tcW w:w="1530" w:type="dxa"/>
            <w:shd w:val="clear" w:color="auto" w:fill="auto"/>
          </w:tcPr>
          <w:p w14:paraId="22F827B6" w14:textId="77777777" w:rsidR="00C7266C" w:rsidRPr="00D403F5" w:rsidRDefault="00C7266C" w:rsidP="00D403F5">
            <w:pPr>
              <w:spacing w:after="0"/>
              <w:jc w:val="center"/>
              <w:rPr>
                <w:sz w:val="18"/>
                <w:szCs w:val="18"/>
                <w:lang w:val="en-US"/>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25182C3D" w14:textId="77777777" w:rsidR="00C7266C" w:rsidRPr="00D403F5" w:rsidRDefault="00C7266C" w:rsidP="00D403F5">
            <w:pPr>
              <w:spacing w:after="0"/>
              <w:rPr>
                <w:sz w:val="18"/>
                <w:szCs w:val="18"/>
                <w:lang w:val="en-US"/>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2B65DFB3" w14:textId="77777777" w:rsidR="00C7266C" w:rsidRPr="00D403F5" w:rsidRDefault="00C7266C" w:rsidP="00D403F5">
            <w:pPr>
              <w:spacing w:after="0"/>
              <w:jc w:val="center"/>
              <w:rPr>
                <w:rFonts w:ascii="Calibri" w:hAnsi="Calibri" w:cs="Calibri"/>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7E43B110" w14:textId="77777777" w:rsidR="00C7266C" w:rsidRPr="00D403F5" w:rsidRDefault="00C7266C" w:rsidP="00D403F5">
            <w:pPr>
              <w:spacing w:after="0"/>
              <w:jc w:val="center"/>
              <w:rPr>
                <w:sz w:val="18"/>
                <w:szCs w:val="18"/>
                <w:lang w:val="en-US"/>
              </w:rPr>
            </w:pPr>
            <w:r w:rsidRPr="00D403F5">
              <w:rPr>
                <w:rFonts w:ascii="Arial" w:hAnsi="Arial" w:cs="Arial"/>
                <w:b/>
                <w:sz w:val="18"/>
                <w:szCs w:val="18"/>
              </w:rPr>
              <w:t>Outcome</w:t>
            </w:r>
          </w:p>
        </w:tc>
        <w:tc>
          <w:tcPr>
            <w:tcW w:w="2070" w:type="dxa"/>
            <w:shd w:val="clear" w:color="auto" w:fill="auto"/>
          </w:tcPr>
          <w:p w14:paraId="05ECA741" w14:textId="77777777" w:rsidR="00C7266C" w:rsidRPr="00D403F5" w:rsidRDefault="00C7266C" w:rsidP="00D403F5">
            <w:pPr>
              <w:spacing w:after="0"/>
              <w:rPr>
                <w:rFonts w:ascii="Calibri" w:hAnsi="Calibri" w:cs="Calibri"/>
                <w:sz w:val="18"/>
                <w:szCs w:val="18"/>
              </w:rPr>
            </w:pPr>
            <w:r w:rsidRPr="00D403F5">
              <w:rPr>
                <w:rFonts w:ascii="Arial" w:hAnsi="Arial" w:cs="Arial"/>
                <w:b/>
                <w:sz w:val="18"/>
                <w:szCs w:val="18"/>
              </w:rPr>
              <w:t>References</w:t>
            </w:r>
          </w:p>
        </w:tc>
      </w:tr>
      <w:tr w:rsidR="00C7266C" w:rsidRPr="00D403F5" w14:paraId="37BBF162" w14:textId="77777777" w:rsidTr="00C7266C">
        <w:trPr>
          <w:cantSplit/>
        </w:trPr>
        <w:tc>
          <w:tcPr>
            <w:tcW w:w="1794" w:type="dxa"/>
            <w:vAlign w:val="center"/>
          </w:tcPr>
          <w:p w14:paraId="3FA41E2E" w14:textId="77777777" w:rsidR="00C7266C" w:rsidRPr="00D403F5" w:rsidRDefault="00C7266C" w:rsidP="00D403F5">
            <w:pPr>
              <w:spacing w:after="0"/>
              <w:rPr>
                <w:rFonts w:ascii="Calibri" w:hAnsi="Calibri" w:cs="Calibri"/>
                <w:sz w:val="18"/>
                <w:szCs w:val="18"/>
              </w:rPr>
            </w:pPr>
          </w:p>
        </w:tc>
        <w:tc>
          <w:tcPr>
            <w:tcW w:w="1705" w:type="dxa"/>
            <w:vAlign w:val="center"/>
          </w:tcPr>
          <w:p w14:paraId="1626AAD9" w14:textId="77777777" w:rsidR="00C7266C" w:rsidRPr="00D403F5" w:rsidRDefault="00C7266C" w:rsidP="00D403F5">
            <w:pPr>
              <w:spacing w:after="0"/>
              <w:jc w:val="center"/>
              <w:rPr>
                <w:rFonts w:ascii="Calibri" w:hAnsi="Calibri" w:cs="Calibri"/>
                <w:i/>
                <w:iCs/>
                <w:sz w:val="18"/>
                <w:szCs w:val="18"/>
              </w:rPr>
            </w:pPr>
          </w:p>
        </w:tc>
        <w:tc>
          <w:tcPr>
            <w:tcW w:w="1626" w:type="dxa"/>
            <w:vAlign w:val="center"/>
          </w:tcPr>
          <w:p w14:paraId="6474FC07" w14:textId="77777777" w:rsidR="00C7266C" w:rsidRPr="00D403F5" w:rsidRDefault="00C7266C" w:rsidP="00D403F5">
            <w:pPr>
              <w:spacing w:after="0"/>
              <w:jc w:val="center"/>
              <w:rPr>
                <w:rFonts w:ascii="Calibri" w:hAnsi="Calibri" w:cs="Calibri"/>
                <w:i/>
                <w:iCs/>
                <w:sz w:val="18"/>
                <w:szCs w:val="18"/>
              </w:rPr>
            </w:pPr>
          </w:p>
        </w:tc>
        <w:tc>
          <w:tcPr>
            <w:tcW w:w="1080" w:type="dxa"/>
            <w:vAlign w:val="center"/>
          </w:tcPr>
          <w:p w14:paraId="76F59765" w14:textId="77777777" w:rsidR="00C7266C" w:rsidRPr="00D403F5" w:rsidRDefault="00C7266C" w:rsidP="00D403F5">
            <w:pPr>
              <w:spacing w:after="0"/>
              <w:jc w:val="center"/>
              <w:rPr>
                <w:sz w:val="18"/>
                <w:szCs w:val="18"/>
                <w:lang w:val="en-US"/>
              </w:rPr>
            </w:pPr>
          </w:p>
        </w:tc>
        <w:tc>
          <w:tcPr>
            <w:tcW w:w="1530" w:type="dxa"/>
            <w:shd w:val="clear" w:color="auto" w:fill="auto"/>
            <w:vAlign w:val="center"/>
          </w:tcPr>
          <w:p w14:paraId="46BDEB63" w14:textId="77777777" w:rsidR="00C7266C" w:rsidRPr="00D403F5" w:rsidRDefault="00C7266C" w:rsidP="00D403F5">
            <w:pPr>
              <w:spacing w:after="0"/>
              <w:jc w:val="center"/>
              <w:rPr>
                <w:sz w:val="18"/>
                <w:szCs w:val="18"/>
                <w:lang w:val="en-US"/>
              </w:rPr>
            </w:pPr>
          </w:p>
        </w:tc>
        <w:tc>
          <w:tcPr>
            <w:tcW w:w="1620" w:type="dxa"/>
            <w:shd w:val="clear" w:color="auto" w:fill="auto"/>
            <w:vAlign w:val="center"/>
          </w:tcPr>
          <w:p w14:paraId="7EFC0BCE" w14:textId="77777777" w:rsidR="00C7266C" w:rsidRPr="00D403F5" w:rsidRDefault="00C7266C" w:rsidP="00D403F5">
            <w:pPr>
              <w:spacing w:after="0"/>
              <w:rPr>
                <w:sz w:val="18"/>
                <w:szCs w:val="18"/>
                <w:lang w:val="en-US"/>
              </w:rPr>
            </w:pPr>
          </w:p>
        </w:tc>
        <w:tc>
          <w:tcPr>
            <w:tcW w:w="715" w:type="dxa"/>
            <w:shd w:val="clear" w:color="auto" w:fill="auto"/>
            <w:vAlign w:val="center"/>
          </w:tcPr>
          <w:p w14:paraId="265DCBAF" w14:textId="77777777" w:rsidR="00C7266C" w:rsidRPr="00D403F5" w:rsidRDefault="00C7266C" w:rsidP="00D403F5">
            <w:pPr>
              <w:spacing w:after="0"/>
              <w:jc w:val="center"/>
              <w:rPr>
                <w:rFonts w:ascii="Calibri" w:hAnsi="Calibri" w:cs="Calibri"/>
                <w:sz w:val="18"/>
                <w:szCs w:val="18"/>
              </w:rPr>
            </w:pPr>
            <w:r w:rsidRPr="00D403F5">
              <w:rPr>
                <w:rFonts w:ascii="Arial" w:hAnsi="Arial" w:cs="Arial"/>
                <w:sz w:val="18"/>
                <w:szCs w:val="18"/>
              </w:rPr>
              <w:t>A</w:t>
            </w:r>
          </w:p>
        </w:tc>
        <w:tc>
          <w:tcPr>
            <w:tcW w:w="540" w:type="dxa"/>
            <w:shd w:val="clear" w:color="auto" w:fill="auto"/>
            <w:vAlign w:val="center"/>
          </w:tcPr>
          <w:p w14:paraId="775BB6FD" w14:textId="77777777" w:rsidR="00C7266C" w:rsidRPr="00D403F5" w:rsidRDefault="00C7266C" w:rsidP="00D403F5">
            <w:pPr>
              <w:spacing w:after="0"/>
              <w:jc w:val="center"/>
              <w:rPr>
                <w:rFonts w:ascii="Calibri" w:hAnsi="Calibri" w:cs="Calibri"/>
                <w:sz w:val="18"/>
                <w:szCs w:val="18"/>
              </w:rPr>
            </w:pPr>
            <w:r w:rsidRPr="00D403F5">
              <w:rPr>
                <w:rFonts w:ascii="Arial" w:hAnsi="Arial" w:cs="Arial"/>
                <w:sz w:val="18"/>
                <w:szCs w:val="18"/>
              </w:rPr>
              <w:t>B</w:t>
            </w:r>
          </w:p>
        </w:tc>
        <w:tc>
          <w:tcPr>
            <w:tcW w:w="540" w:type="dxa"/>
            <w:shd w:val="clear" w:color="auto" w:fill="auto"/>
            <w:vAlign w:val="center"/>
          </w:tcPr>
          <w:p w14:paraId="1487ED84" w14:textId="77777777" w:rsidR="00C7266C" w:rsidRPr="00D403F5" w:rsidRDefault="00C7266C" w:rsidP="00D403F5">
            <w:pPr>
              <w:spacing w:after="0"/>
              <w:jc w:val="center"/>
              <w:rPr>
                <w:rFonts w:ascii="Calibri" w:hAnsi="Calibri" w:cs="Calibri"/>
                <w:sz w:val="18"/>
                <w:szCs w:val="18"/>
              </w:rPr>
            </w:pPr>
            <w:r w:rsidRPr="00D403F5">
              <w:rPr>
                <w:rFonts w:ascii="Arial" w:hAnsi="Arial" w:cs="Arial"/>
                <w:sz w:val="18"/>
                <w:szCs w:val="18"/>
              </w:rPr>
              <w:t>C</w:t>
            </w:r>
          </w:p>
        </w:tc>
        <w:tc>
          <w:tcPr>
            <w:tcW w:w="455" w:type="dxa"/>
            <w:shd w:val="clear" w:color="auto" w:fill="auto"/>
            <w:vAlign w:val="center"/>
          </w:tcPr>
          <w:p w14:paraId="3DAFA01E" w14:textId="77777777" w:rsidR="00C7266C" w:rsidRPr="00D403F5" w:rsidRDefault="00C7266C" w:rsidP="00D403F5">
            <w:pPr>
              <w:spacing w:after="0"/>
              <w:jc w:val="center"/>
              <w:rPr>
                <w:rFonts w:ascii="Calibri" w:hAnsi="Calibri" w:cs="Calibri"/>
                <w:sz w:val="18"/>
                <w:szCs w:val="18"/>
              </w:rPr>
            </w:pPr>
            <w:r w:rsidRPr="00D403F5">
              <w:rPr>
                <w:rFonts w:ascii="Arial" w:hAnsi="Arial" w:cs="Arial"/>
                <w:sz w:val="18"/>
                <w:szCs w:val="18"/>
              </w:rPr>
              <w:t>D</w:t>
            </w:r>
          </w:p>
        </w:tc>
        <w:tc>
          <w:tcPr>
            <w:tcW w:w="1170" w:type="dxa"/>
            <w:vAlign w:val="center"/>
          </w:tcPr>
          <w:p w14:paraId="159E7D76" w14:textId="77777777" w:rsidR="00C7266C" w:rsidRPr="00D403F5" w:rsidRDefault="00C7266C" w:rsidP="00D403F5">
            <w:pPr>
              <w:spacing w:after="0"/>
              <w:jc w:val="center"/>
              <w:rPr>
                <w:sz w:val="18"/>
                <w:szCs w:val="18"/>
                <w:lang w:val="en-US"/>
              </w:rPr>
            </w:pPr>
          </w:p>
        </w:tc>
        <w:tc>
          <w:tcPr>
            <w:tcW w:w="2070" w:type="dxa"/>
            <w:shd w:val="clear" w:color="auto" w:fill="auto"/>
            <w:vAlign w:val="center"/>
          </w:tcPr>
          <w:p w14:paraId="7C3FD42E" w14:textId="77777777" w:rsidR="00C7266C" w:rsidRPr="00D403F5" w:rsidRDefault="00C7266C" w:rsidP="00D403F5">
            <w:pPr>
              <w:spacing w:after="0"/>
              <w:rPr>
                <w:rFonts w:ascii="Calibri" w:hAnsi="Calibri" w:cs="Calibri"/>
                <w:sz w:val="18"/>
                <w:szCs w:val="18"/>
              </w:rPr>
            </w:pPr>
          </w:p>
        </w:tc>
      </w:tr>
      <w:tr w:rsidR="00C7266C" w:rsidRPr="00D403F5" w14:paraId="462B0472" w14:textId="77777777" w:rsidTr="00C7266C">
        <w:trPr>
          <w:cantSplit/>
        </w:trPr>
        <w:tc>
          <w:tcPr>
            <w:tcW w:w="1794" w:type="dxa"/>
            <w:vAlign w:val="center"/>
          </w:tcPr>
          <w:p w14:paraId="4027FC11"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Common dab</w:t>
            </w:r>
          </w:p>
        </w:tc>
        <w:tc>
          <w:tcPr>
            <w:tcW w:w="1705" w:type="dxa"/>
            <w:vAlign w:val="center"/>
          </w:tcPr>
          <w:p w14:paraId="58FDEC3E" w14:textId="77777777" w:rsidR="00C7266C" w:rsidRPr="00D403F5" w:rsidRDefault="00C7266C" w:rsidP="00D403F5">
            <w:pPr>
              <w:spacing w:after="0"/>
              <w:jc w:val="center"/>
              <w:rPr>
                <w:sz w:val="18"/>
                <w:szCs w:val="18"/>
                <w:lang w:val="en-US"/>
              </w:rPr>
            </w:pPr>
            <w:r w:rsidRPr="00D403F5">
              <w:rPr>
                <w:rFonts w:ascii="Calibri" w:hAnsi="Calibri" w:cs="Calibri"/>
                <w:i/>
                <w:iCs/>
                <w:sz w:val="18"/>
                <w:szCs w:val="18"/>
              </w:rPr>
              <w:t xml:space="preserve">Limanda </w:t>
            </w:r>
          </w:p>
        </w:tc>
        <w:tc>
          <w:tcPr>
            <w:tcW w:w="1626" w:type="dxa"/>
            <w:vAlign w:val="center"/>
          </w:tcPr>
          <w:p w14:paraId="205CFF16" w14:textId="77777777" w:rsidR="00C7266C" w:rsidRPr="00D403F5" w:rsidRDefault="00C7266C" w:rsidP="00D403F5">
            <w:pPr>
              <w:spacing w:after="0"/>
              <w:jc w:val="center"/>
              <w:rPr>
                <w:sz w:val="18"/>
                <w:szCs w:val="18"/>
                <w:lang w:val="en-US"/>
              </w:rPr>
            </w:pPr>
            <w:r w:rsidRPr="00D403F5">
              <w:rPr>
                <w:rFonts w:ascii="Calibri" w:hAnsi="Calibri" w:cs="Calibri"/>
                <w:i/>
                <w:iCs/>
                <w:sz w:val="18"/>
                <w:szCs w:val="18"/>
              </w:rPr>
              <w:t>limanda</w:t>
            </w:r>
          </w:p>
        </w:tc>
        <w:tc>
          <w:tcPr>
            <w:tcW w:w="1080" w:type="dxa"/>
            <w:vAlign w:val="center"/>
          </w:tcPr>
          <w:p w14:paraId="2AB2AC6F" w14:textId="77777777" w:rsidR="00C7266C" w:rsidRPr="00D403F5" w:rsidRDefault="00C7266C" w:rsidP="00D403F5">
            <w:pPr>
              <w:spacing w:after="0"/>
              <w:jc w:val="center"/>
              <w:rPr>
                <w:sz w:val="18"/>
                <w:szCs w:val="18"/>
                <w:lang w:val="en-US"/>
              </w:rPr>
            </w:pPr>
            <w:r w:rsidRPr="00D403F5">
              <w:rPr>
                <w:sz w:val="18"/>
                <w:szCs w:val="18"/>
                <w:lang w:val="en-US"/>
              </w:rPr>
              <w:t>Ib</w:t>
            </w:r>
          </w:p>
        </w:tc>
        <w:tc>
          <w:tcPr>
            <w:tcW w:w="1530" w:type="dxa"/>
            <w:shd w:val="clear" w:color="auto" w:fill="auto"/>
            <w:vAlign w:val="center"/>
          </w:tcPr>
          <w:p w14:paraId="238DF611" w14:textId="77777777" w:rsidR="00C7266C" w:rsidRPr="00D403F5" w:rsidRDefault="00C7266C" w:rsidP="00D403F5">
            <w:pPr>
              <w:spacing w:after="0"/>
              <w:jc w:val="center"/>
              <w:rPr>
                <w:sz w:val="18"/>
                <w:szCs w:val="18"/>
                <w:lang w:val="en-US"/>
              </w:rPr>
            </w:pPr>
            <w:r w:rsidRPr="00D403F5">
              <w:rPr>
                <w:sz w:val="18"/>
                <w:szCs w:val="18"/>
                <w:lang w:val="en-US"/>
              </w:rPr>
              <w:t>N</w:t>
            </w:r>
          </w:p>
        </w:tc>
        <w:tc>
          <w:tcPr>
            <w:tcW w:w="1620" w:type="dxa"/>
            <w:shd w:val="clear" w:color="auto" w:fill="auto"/>
            <w:vAlign w:val="center"/>
          </w:tcPr>
          <w:p w14:paraId="1825B88E" w14:textId="77777777" w:rsidR="00C7266C" w:rsidRPr="00D403F5" w:rsidRDefault="00C7266C" w:rsidP="00D403F5">
            <w:pPr>
              <w:spacing w:after="0"/>
              <w:rPr>
                <w:sz w:val="18"/>
                <w:szCs w:val="18"/>
                <w:lang w:val="en-US"/>
              </w:rPr>
            </w:pPr>
            <w:r w:rsidRPr="00D403F5">
              <w:rPr>
                <w:sz w:val="18"/>
                <w:szCs w:val="18"/>
                <w:lang w:val="en-US"/>
              </w:rPr>
              <w:t>Cell culture, ELISA</w:t>
            </w:r>
          </w:p>
        </w:tc>
        <w:tc>
          <w:tcPr>
            <w:tcW w:w="715" w:type="dxa"/>
            <w:shd w:val="clear" w:color="auto" w:fill="auto"/>
            <w:vAlign w:val="center"/>
          </w:tcPr>
          <w:p w14:paraId="7A25D2E9"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ND</w:t>
            </w:r>
          </w:p>
        </w:tc>
        <w:tc>
          <w:tcPr>
            <w:tcW w:w="540" w:type="dxa"/>
            <w:shd w:val="clear" w:color="auto" w:fill="auto"/>
            <w:vAlign w:val="center"/>
          </w:tcPr>
          <w:p w14:paraId="18191EBF"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540" w:type="dxa"/>
            <w:shd w:val="clear" w:color="auto" w:fill="auto"/>
            <w:vAlign w:val="center"/>
          </w:tcPr>
          <w:p w14:paraId="16BD40A8"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N</w:t>
            </w:r>
          </w:p>
        </w:tc>
        <w:tc>
          <w:tcPr>
            <w:tcW w:w="455" w:type="dxa"/>
            <w:shd w:val="clear" w:color="auto" w:fill="auto"/>
            <w:vAlign w:val="center"/>
          </w:tcPr>
          <w:p w14:paraId="75663A81"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1170" w:type="dxa"/>
            <w:vAlign w:val="center"/>
          </w:tcPr>
          <w:p w14:paraId="6DDF6005" w14:textId="77777777" w:rsidR="00C7266C" w:rsidRPr="00D403F5" w:rsidRDefault="00C7266C" w:rsidP="00D403F5">
            <w:pPr>
              <w:spacing w:after="0"/>
              <w:jc w:val="center"/>
              <w:rPr>
                <w:sz w:val="18"/>
                <w:szCs w:val="18"/>
                <w:lang w:val="en-US"/>
              </w:rPr>
            </w:pPr>
            <w:r w:rsidRPr="00D403F5">
              <w:rPr>
                <w:sz w:val="18"/>
                <w:szCs w:val="18"/>
                <w:lang w:val="en-US"/>
              </w:rPr>
              <w:t>1</w:t>
            </w:r>
          </w:p>
        </w:tc>
        <w:tc>
          <w:tcPr>
            <w:tcW w:w="2070" w:type="dxa"/>
            <w:shd w:val="clear" w:color="auto" w:fill="auto"/>
            <w:vAlign w:val="center"/>
          </w:tcPr>
          <w:p w14:paraId="2D739515" w14:textId="77777777" w:rsidR="00C7266C" w:rsidRPr="00D403F5" w:rsidRDefault="00C7266C" w:rsidP="00D403F5">
            <w:pPr>
              <w:spacing w:after="0"/>
              <w:rPr>
                <w:sz w:val="18"/>
                <w:szCs w:val="18"/>
                <w:lang w:val="en-US"/>
              </w:rPr>
            </w:pPr>
            <w:r w:rsidRPr="00D403F5">
              <w:rPr>
                <w:rFonts w:ascii="Calibri" w:hAnsi="Calibri" w:cs="Calibri"/>
                <w:sz w:val="18"/>
                <w:szCs w:val="18"/>
              </w:rPr>
              <w:t xml:space="preserve">Skall </w:t>
            </w:r>
            <w:r w:rsidRPr="00D403F5">
              <w:rPr>
                <w:rFonts w:ascii="Calibri" w:hAnsi="Calibri" w:cs="Calibri"/>
                <w:i/>
                <w:iCs/>
                <w:sz w:val="18"/>
                <w:szCs w:val="18"/>
              </w:rPr>
              <w:t>et al., 2005</w:t>
            </w:r>
          </w:p>
        </w:tc>
      </w:tr>
      <w:tr w:rsidR="00C7266C" w:rsidRPr="00D403F5" w14:paraId="317904DE" w14:textId="77777777" w:rsidTr="00C7266C">
        <w:trPr>
          <w:cantSplit/>
        </w:trPr>
        <w:tc>
          <w:tcPr>
            <w:tcW w:w="1794" w:type="dxa"/>
            <w:vAlign w:val="center"/>
          </w:tcPr>
          <w:p w14:paraId="7B565DA1"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Common whitefish</w:t>
            </w:r>
          </w:p>
        </w:tc>
        <w:tc>
          <w:tcPr>
            <w:tcW w:w="1705" w:type="dxa"/>
            <w:vAlign w:val="center"/>
          </w:tcPr>
          <w:p w14:paraId="3B52EFFC" w14:textId="77777777" w:rsidR="00C7266C" w:rsidRPr="00D403F5" w:rsidRDefault="00C7266C" w:rsidP="00D403F5">
            <w:pPr>
              <w:spacing w:after="0"/>
              <w:jc w:val="center"/>
              <w:rPr>
                <w:sz w:val="18"/>
                <w:szCs w:val="18"/>
                <w:lang w:val="en-US"/>
              </w:rPr>
            </w:pPr>
            <w:r w:rsidRPr="00D403F5">
              <w:rPr>
                <w:rFonts w:ascii="Calibri" w:hAnsi="Calibri" w:cs="Calibri"/>
                <w:i/>
                <w:iCs/>
                <w:sz w:val="18"/>
                <w:szCs w:val="18"/>
              </w:rPr>
              <w:t xml:space="preserve">Coregonus </w:t>
            </w:r>
          </w:p>
        </w:tc>
        <w:tc>
          <w:tcPr>
            <w:tcW w:w="1626" w:type="dxa"/>
            <w:vAlign w:val="center"/>
          </w:tcPr>
          <w:p w14:paraId="77CD722E" w14:textId="77777777" w:rsidR="00C7266C" w:rsidRPr="00D403F5" w:rsidRDefault="00C7266C" w:rsidP="00D403F5">
            <w:pPr>
              <w:spacing w:after="0"/>
              <w:jc w:val="center"/>
              <w:rPr>
                <w:sz w:val="18"/>
                <w:szCs w:val="18"/>
                <w:lang w:val="en-US"/>
              </w:rPr>
            </w:pPr>
            <w:r w:rsidRPr="00D403F5">
              <w:rPr>
                <w:rFonts w:ascii="Calibri" w:hAnsi="Calibri" w:cs="Calibri"/>
                <w:i/>
                <w:iCs/>
                <w:sz w:val="18"/>
                <w:szCs w:val="18"/>
              </w:rPr>
              <w:t>lavaretus</w:t>
            </w:r>
          </w:p>
        </w:tc>
        <w:tc>
          <w:tcPr>
            <w:tcW w:w="1080" w:type="dxa"/>
            <w:vAlign w:val="center"/>
          </w:tcPr>
          <w:p w14:paraId="1FA25489" w14:textId="77777777" w:rsidR="00C7266C" w:rsidRPr="00D403F5" w:rsidRDefault="00C7266C" w:rsidP="00D403F5">
            <w:pPr>
              <w:spacing w:after="0"/>
              <w:jc w:val="center"/>
              <w:rPr>
                <w:sz w:val="18"/>
                <w:szCs w:val="18"/>
                <w:lang w:val="en-US"/>
              </w:rPr>
            </w:pPr>
            <w:r w:rsidRPr="00D403F5">
              <w:rPr>
                <w:sz w:val="18"/>
                <w:szCs w:val="18"/>
                <w:lang w:val="en-US"/>
              </w:rPr>
              <w:t>Ia</w:t>
            </w:r>
          </w:p>
        </w:tc>
        <w:tc>
          <w:tcPr>
            <w:tcW w:w="1530" w:type="dxa"/>
            <w:shd w:val="clear" w:color="auto" w:fill="auto"/>
            <w:vAlign w:val="center"/>
          </w:tcPr>
          <w:p w14:paraId="3191CEFB" w14:textId="77777777" w:rsidR="00C7266C" w:rsidRPr="00D403F5" w:rsidRDefault="00C7266C" w:rsidP="00D403F5">
            <w:pPr>
              <w:spacing w:after="0"/>
              <w:jc w:val="center"/>
              <w:rPr>
                <w:sz w:val="18"/>
                <w:szCs w:val="18"/>
                <w:lang w:val="en-US"/>
              </w:rPr>
            </w:pPr>
            <w:r w:rsidRPr="00D403F5">
              <w:rPr>
                <w:sz w:val="18"/>
                <w:szCs w:val="18"/>
                <w:lang w:val="en-US"/>
              </w:rPr>
              <w:t>N/E</w:t>
            </w:r>
          </w:p>
        </w:tc>
        <w:tc>
          <w:tcPr>
            <w:tcW w:w="1620" w:type="dxa"/>
            <w:shd w:val="clear" w:color="auto" w:fill="auto"/>
            <w:vAlign w:val="center"/>
          </w:tcPr>
          <w:p w14:paraId="41BE4A66"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Virus isolation, ELISA, cell culture and neutralization</w:t>
            </w:r>
          </w:p>
        </w:tc>
        <w:tc>
          <w:tcPr>
            <w:tcW w:w="715" w:type="dxa"/>
            <w:shd w:val="clear" w:color="auto" w:fill="auto"/>
            <w:vAlign w:val="center"/>
          </w:tcPr>
          <w:p w14:paraId="3C391561"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ND</w:t>
            </w:r>
          </w:p>
        </w:tc>
        <w:tc>
          <w:tcPr>
            <w:tcW w:w="540" w:type="dxa"/>
            <w:shd w:val="clear" w:color="auto" w:fill="auto"/>
            <w:vAlign w:val="center"/>
          </w:tcPr>
          <w:p w14:paraId="74F5FA69"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540" w:type="dxa"/>
            <w:shd w:val="clear" w:color="auto" w:fill="auto"/>
            <w:vAlign w:val="center"/>
          </w:tcPr>
          <w:p w14:paraId="1B9475A0"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455" w:type="dxa"/>
            <w:shd w:val="clear" w:color="auto" w:fill="auto"/>
            <w:vAlign w:val="center"/>
          </w:tcPr>
          <w:p w14:paraId="297128C2"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1170" w:type="dxa"/>
            <w:vAlign w:val="center"/>
          </w:tcPr>
          <w:p w14:paraId="753565B4" w14:textId="77777777" w:rsidR="00C7266C" w:rsidRPr="00D403F5" w:rsidRDefault="00C7266C" w:rsidP="00D403F5">
            <w:pPr>
              <w:spacing w:after="0"/>
              <w:jc w:val="center"/>
              <w:rPr>
                <w:sz w:val="18"/>
                <w:szCs w:val="18"/>
                <w:lang w:val="en-US"/>
              </w:rPr>
            </w:pPr>
            <w:r w:rsidRPr="00D403F5">
              <w:rPr>
                <w:sz w:val="18"/>
                <w:szCs w:val="18"/>
                <w:lang w:val="en-US"/>
              </w:rPr>
              <w:t>1</w:t>
            </w:r>
          </w:p>
        </w:tc>
        <w:tc>
          <w:tcPr>
            <w:tcW w:w="2070" w:type="dxa"/>
            <w:shd w:val="clear" w:color="auto" w:fill="auto"/>
            <w:vAlign w:val="center"/>
          </w:tcPr>
          <w:p w14:paraId="1C8B9252" w14:textId="77777777" w:rsidR="00C7266C" w:rsidRPr="00D403F5" w:rsidRDefault="00C7266C" w:rsidP="00D403F5">
            <w:pPr>
              <w:spacing w:after="0"/>
              <w:rPr>
                <w:sz w:val="18"/>
                <w:szCs w:val="18"/>
                <w:lang w:val="nb-NO"/>
              </w:rPr>
            </w:pPr>
            <w:r w:rsidRPr="00D403F5">
              <w:rPr>
                <w:rFonts w:ascii="Calibri" w:hAnsi="Calibri" w:cs="Calibri"/>
                <w:sz w:val="18"/>
                <w:szCs w:val="18"/>
                <w:lang w:val="nb-NO"/>
              </w:rPr>
              <w:t>Meier</w:t>
            </w:r>
            <w:r w:rsidRPr="00D403F5">
              <w:rPr>
                <w:rFonts w:cstheme="minorHAnsi"/>
                <w:i/>
                <w:iCs/>
                <w:color w:val="000000"/>
                <w:sz w:val="18"/>
                <w:szCs w:val="18"/>
                <w:lang w:val="nb-NO"/>
              </w:rPr>
              <w:t xml:space="preserve"> et al</w:t>
            </w:r>
            <w:r w:rsidRPr="00D403F5">
              <w:rPr>
                <w:rFonts w:cstheme="minorHAnsi"/>
                <w:color w:val="000000"/>
                <w:sz w:val="18"/>
                <w:szCs w:val="18"/>
                <w:lang w:val="nb-NO"/>
              </w:rPr>
              <w:t xml:space="preserve">., </w:t>
            </w:r>
            <w:r w:rsidRPr="00D403F5">
              <w:rPr>
                <w:rFonts w:ascii="Calibri" w:hAnsi="Calibri" w:cs="Calibri"/>
                <w:sz w:val="18"/>
                <w:szCs w:val="18"/>
                <w:lang w:val="nb-NO"/>
              </w:rPr>
              <w:t xml:space="preserve">1986; Skall </w:t>
            </w:r>
            <w:r w:rsidRPr="00D403F5">
              <w:rPr>
                <w:rFonts w:cstheme="minorHAnsi"/>
                <w:i/>
                <w:iCs/>
                <w:color w:val="000000"/>
                <w:sz w:val="18"/>
                <w:szCs w:val="18"/>
                <w:lang w:val="nb-NO"/>
              </w:rPr>
              <w:t>et al</w:t>
            </w:r>
            <w:r w:rsidRPr="00D403F5">
              <w:rPr>
                <w:rFonts w:cstheme="minorHAnsi"/>
                <w:color w:val="000000"/>
                <w:sz w:val="18"/>
                <w:szCs w:val="18"/>
                <w:lang w:val="nb-NO"/>
              </w:rPr>
              <w:t xml:space="preserve">., </w:t>
            </w:r>
            <w:r w:rsidRPr="00D403F5">
              <w:rPr>
                <w:rFonts w:ascii="Calibri" w:hAnsi="Calibri" w:cs="Calibri"/>
                <w:sz w:val="18"/>
                <w:szCs w:val="18"/>
                <w:lang w:val="nb-NO"/>
              </w:rPr>
              <w:t>2004</w:t>
            </w:r>
          </w:p>
        </w:tc>
      </w:tr>
      <w:tr w:rsidR="00C7266C" w:rsidRPr="00D403F5" w14:paraId="5AC6B46A" w14:textId="77777777" w:rsidTr="00C7266C">
        <w:trPr>
          <w:cantSplit/>
        </w:trPr>
        <w:tc>
          <w:tcPr>
            <w:tcW w:w="1794" w:type="dxa"/>
            <w:vAlign w:val="center"/>
          </w:tcPr>
          <w:p w14:paraId="0ABC9184"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Corkwing wrasse</w:t>
            </w:r>
          </w:p>
        </w:tc>
        <w:tc>
          <w:tcPr>
            <w:tcW w:w="1705" w:type="dxa"/>
            <w:vAlign w:val="center"/>
          </w:tcPr>
          <w:p w14:paraId="7F2738C2" w14:textId="77777777" w:rsidR="00C7266C" w:rsidRPr="00D403F5" w:rsidRDefault="00C7266C" w:rsidP="00D403F5">
            <w:pPr>
              <w:spacing w:after="0"/>
              <w:jc w:val="center"/>
              <w:rPr>
                <w:sz w:val="18"/>
                <w:szCs w:val="18"/>
                <w:lang w:val="nb-NO"/>
              </w:rPr>
            </w:pPr>
            <w:r w:rsidRPr="00D403F5">
              <w:rPr>
                <w:rFonts w:ascii="Calibri" w:hAnsi="Calibri" w:cs="Calibri"/>
                <w:i/>
                <w:iCs/>
                <w:sz w:val="18"/>
                <w:szCs w:val="18"/>
              </w:rPr>
              <w:t xml:space="preserve">Symphodus </w:t>
            </w:r>
          </w:p>
        </w:tc>
        <w:tc>
          <w:tcPr>
            <w:tcW w:w="1626" w:type="dxa"/>
            <w:vAlign w:val="center"/>
          </w:tcPr>
          <w:p w14:paraId="1EB97971" w14:textId="77777777" w:rsidR="00C7266C" w:rsidRPr="00D403F5" w:rsidRDefault="00C7266C" w:rsidP="00D403F5">
            <w:pPr>
              <w:spacing w:after="0"/>
              <w:jc w:val="center"/>
              <w:rPr>
                <w:sz w:val="18"/>
                <w:szCs w:val="18"/>
                <w:lang w:val="nb-NO"/>
              </w:rPr>
            </w:pPr>
            <w:r w:rsidRPr="00D403F5">
              <w:rPr>
                <w:rFonts w:ascii="Calibri" w:hAnsi="Calibri" w:cs="Calibri"/>
                <w:i/>
                <w:iCs/>
                <w:sz w:val="18"/>
                <w:szCs w:val="18"/>
              </w:rPr>
              <w:t>melops</w:t>
            </w:r>
          </w:p>
        </w:tc>
        <w:tc>
          <w:tcPr>
            <w:tcW w:w="1080" w:type="dxa"/>
            <w:vAlign w:val="center"/>
          </w:tcPr>
          <w:p w14:paraId="4C74AD68" w14:textId="77777777" w:rsidR="00C7266C" w:rsidRPr="00D403F5" w:rsidRDefault="00C7266C" w:rsidP="00D403F5">
            <w:pPr>
              <w:spacing w:after="0"/>
              <w:jc w:val="center"/>
              <w:rPr>
                <w:sz w:val="18"/>
                <w:szCs w:val="18"/>
                <w:lang w:val="nb-NO"/>
              </w:rPr>
            </w:pPr>
            <w:r w:rsidRPr="00D403F5">
              <w:rPr>
                <w:sz w:val="18"/>
                <w:szCs w:val="18"/>
                <w:lang w:val="nb-NO"/>
              </w:rPr>
              <w:t>III</w:t>
            </w:r>
          </w:p>
        </w:tc>
        <w:tc>
          <w:tcPr>
            <w:tcW w:w="1530" w:type="dxa"/>
            <w:shd w:val="clear" w:color="auto" w:fill="auto"/>
            <w:vAlign w:val="center"/>
          </w:tcPr>
          <w:p w14:paraId="332D41F4" w14:textId="77777777" w:rsidR="00C7266C" w:rsidRPr="00D403F5" w:rsidRDefault="00C7266C" w:rsidP="00D403F5">
            <w:pPr>
              <w:spacing w:after="0"/>
              <w:jc w:val="center"/>
              <w:rPr>
                <w:sz w:val="18"/>
                <w:szCs w:val="18"/>
                <w:lang w:val="nb-NO"/>
              </w:rPr>
            </w:pPr>
            <w:r w:rsidRPr="00D403F5">
              <w:rPr>
                <w:sz w:val="18"/>
                <w:szCs w:val="18"/>
                <w:lang w:val="nb-NO"/>
              </w:rPr>
              <w:t>N</w:t>
            </w:r>
          </w:p>
        </w:tc>
        <w:tc>
          <w:tcPr>
            <w:tcW w:w="1620" w:type="dxa"/>
            <w:shd w:val="clear" w:color="auto" w:fill="auto"/>
            <w:vAlign w:val="center"/>
          </w:tcPr>
          <w:p w14:paraId="6A47F8F1"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Virus isolation, ELISA, RT-PCR and sequencing</w:t>
            </w:r>
          </w:p>
        </w:tc>
        <w:tc>
          <w:tcPr>
            <w:tcW w:w="715" w:type="dxa"/>
            <w:shd w:val="clear" w:color="auto" w:fill="auto"/>
            <w:vAlign w:val="center"/>
          </w:tcPr>
          <w:p w14:paraId="66262471"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ND</w:t>
            </w:r>
          </w:p>
        </w:tc>
        <w:tc>
          <w:tcPr>
            <w:tcW w:w="540" w:type="dxa"/>
            <w:shd w:val="clear" w:color="auto" w:fill="auto"/>
            <w:vAlign w:val="center"/>
          </w:tcPr>
          <w:p w14:paraId="6050FCA8"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540" w:type="dxa"/>
            <w:shd w:val="clear" w:color="auto" w:fill="auto"/>
            <w:vAlign w:val="center"/>
          </w:tcPr>
          <w:p w14:paraId="1DF9B1AB"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455" w:type="dxa"/>
            <w:shd w:val="clear" w:color="auto" w:fill="auto"/>
            <w:vAlign w:val="center"/>
          </w:tcPr>
          <w:p w14:paraId="0F21B189"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1170" w:type="dxa"/>
            <w:vAlign w:val="center"/>
          </w:tcPr>
          <w:p w14:paraId="1AA48207" w14:textId="77777777" w:rsidR="00C7266C" w:rsidRPr="00D403F5" w:rsidRDefault="00C7266C" w:rsidP="00D403F5">
            <w:pPr>
              <w:spacing w:after="0"/>
              <w:jc w:val="center"/>
              <w:rPr>
                <w:sz w:val="18"/>
                <w:szCs w:val="18"/>
                <w:lang w:val="en-US"/>
              </w:rPr>
            </w:pPr>
            <w:r w:rsidRPr="00D403F5">
              <w:rPr>
                <w:sz w:val="18"/>
                <w:szCs w:val="18"/>
                <w:lang w:val="en-US"/>
              </w:rPr>
              <w:t>1</w:t>
            </w:r>
          </w:p>
        </w:tc>
        <w:tc>
          <w:tcPr>
            <w:tcW w:w="2070" w:type="dxa"/>
            <w:shd w:val="clear" w:color="auto" w:fill="auto"/>
            <w:vAlign w:val="center"/>
          </w:tcPr>
          <w:p w14:paraId="341D154B" w14:textId="77777777" w:rsidR="00C7266C" w:rsidRPr="00D403F5" w:rsidRDefault="00C7266C" w:rsidP="00D403F5">
            <w:pPr>
              <w:spacing w:after="0"/>
              <w:rPr>
                <w:sz w:val="18"/>
                <w:szCs w:val="18"/>
                <w:lang w:val="nb-NO"/>
              </w:rPr>
            </w:pPr>
            <w:r w:rsidRPr="00D403F5">
              <w:rPr>
                <w:rFonts w:ascii="Calibri" w:hAnsi="Calibri" w:cs="Calibri"/>
                <w:sz w:val="18"/>
                <w:szCs w:val="18"/>
                <w:lang w:val="nb-NO"/>
              </w:rPr>
              <w:t xml:space="preserve">Hall </w:t>
            </w:r>
            <w:r w:rsidRPr="00D403F5">
              <w:rPr>
                <w:rFonts w:cstheme="minorHAnsi"/>
                <w:i/>
                <w:iCs/>
                <w:color w:val="000000"/>
                <w:sz w:val="18"/>
                <w:szCs w:val="18"/>
                <w:lang w:val="nb-NO"/>
              </w:rPr>
              <w:t>et al</w:t>
            </w:r>
            <w:r w:rsidRPr="00D403F5">
              <w:rPr>
                <w:rFonts w:cstheme="minorHAnsi"/>
                <w:color w:val="000000"/>
                <w:sz w:val="18"/>
                <w:szCs w:val="18"/>
                <w:lang w:val="nb-NO"/>
              </w:rPr>
              <w:t xml:space="preserve">., </w:t>
            </w:r>
            <w:r w:rsidRPr="00D403F5">
              <w:rPr>
                <w:rFonts w:ascii="Calibri" w:hAnsi="Calibri" w:cs="Calibri"/>
                <w:sz w:val="18"/>
                <w:szCs w:val="18"/>
                <w:lang w:val="nb-NO"/>
              </w:rPr>
              <w:t xml:space="preserve">2012; Munro </w:t>
            </w:r>
            <w:r w:rsidRPr="00D403F5">
              <w:rPr>
                <w:rFonts w:cstheme="minorHAnsi"/>
                <w:i/>
                <w:iCs/>
                <w:color w:val="000000"/>
                <w:sz w:val="18"/>
                <w:szCs w:val="18"/>
                <w:lang w:val="nb-NO"/>
              </w:rPr>
              <w:t>et al</w:t>
            </w:r>
            <w:r w:rsidRPr="00D403F5">
              <w:rPr>
                <w:rFonts w:cstheme="minorHAnsi"/>
                <w:color w:val="000000"/>
                <w:sz w:val="18"/>
                <w:szCs w:val="18"/>
                <w:lang w:val="nb-NO"/>
              </w:rPr>
              <w:t xml:space="preserve">., </w:t>
            </w:r>
            <w:r w:rsidRPr="00D403F5">
              <w:rPr>
                <w:rFonts w:ascii="Calibri" w:hAnsi="Calibri" w:cs="Calibri"/>
                <w:sz w:val="18"/>
                <w:szCs w:val="18"/>
                <w:lang w:val="nb-NO"/>
              </w:rPr>
              <w:t>2015</w:t>
            </w:r>
          </w:p>
        </w:tc>
      </w:tr>
      <w:tr w:rsidR="00C7266C" w:rsidRPr="00D403F5" w14:paraId="5FC933A1" w14:textId="77777777" w:rsidTr="00C7266C">
        <w:trPr>
          <w:cantSplit/>
        </w:trPr>
        <w:tc>
          <w:tcPr>
            <w:tcW w:w="1794" w:type="dxa"/>
            <w:vAlign w:val="center"/>
          </w:tcPr>
          <w:p w14:paraId="14041C01"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Cuckoo wrasse</w:t>
            </w:r>
          </w:p>
        </w:tc>
        <w:tc>
          <w:tcPr>
            <w:tcW w:w="1705" w:type="dxa"/>
            <w:vAlign w:val="center"/>
          </w:tcPr>
          <w:p w14:paraId="7CB30F80" w14:textId="77777777" w:rsidR="00C7266C" w:rsidRPr="00D403F5" w:rsidRDefault="00C7266C" w:rsidP="00D403F5">
            <w:pPr>
              <w:spacing w:after="0"/>
              <w:jc w:val="center"/>
              <w:rPr>
                <w:sz w:val="18"/>
                <w:szCs w:val="18"/>
                <w:lang w:val="nb-NO"/>
              </w:rPr>
            </w:pPr>
            <w:r w:rsidRPr="00D403F5">
              <w:rPr>
                <w:rFonts w:ascii="Calibri" w:hAnsi="Calibri" w:cs="Calibri"/>
                <w:i/>
                <w:iCs/>
                <w:sz w:val="18"/>
                <w:szCs w:val="18"/>
              </w:rPr>
              <w:t xml:space="preserve">Labrus </w:t>
            </w:r>
          </w:p>
        </w:tc>
        <w:tc>
          <w:tcPr>
            <w:tcW w:w="1626" w:type="dxa"/>
            <w:vAlign w:val="center"/>
          </w:tcPr>
          <w:p w14:paraId="7C66AA17" w14:textId="77777777" w:rsidR="00C7266C" w:rsidRPr="00D403F5" w:rsidRDefault="00C7266C" w:rsidP="00D403F5">
            <w:pPr>
              <w:spacing w:after="0"/>
              <w:jc w:val="center"/>
              <w:rPr>
                <w:sz w:val="18"/>
                <w:szCs w:val="18"/>
                <w:lang w:val="nb-NO"/>
              </w:rPr>
            </w:pPr>
            <w:r w:rsidRPr="00D403F5">
              <w:rPr>
                <w:rFonts w:ascii="Calibri" w:hAnsi="Calibri" w:cs="Calibri"/>
                <w:i/>
                <w:iCs/>
                <w:sz w:val="18"/>
                <w:szCs w:val="18"/>
              </w:rPr>
              <w:t>mixtus</w:t>
            </w:r>
          </w:p>
        </w:tc>
        <w:tc>
          <w:tcPr>
            <w:tcW w:w="1080" w:type="dxa"/>
            <w:vAlign w:val="center"/>
          </w:tcPr>
          <w:p w14:paraId="099839A8" w14:textId="77777777" w:rsidR="00C7266C" w:rsidRPr="00D403F5" w:rsidRDefault="00C7266C" w:rsidP="00D403F5">
            <w:pPr>
              <w:spacing w:after="0"/>
              <w:jc w:val="center"/>
              <w:rPr>
                <w:sz w:val="18"/>
                <w:szCs w:val="18"/>
                <w:lang w:val="nb-NO"/>
              </w:rPr>
            </w:pPr>
            <w:r w:rsidRPr="00D403F5">
              <w:rPr>
                <w:sz w:val="18"/>
                <w:szCs w:val="18"/>
                <w:lang w:val="nb-NO"/>
              </w:rPr>
              <w:t>III</w:t>
            </w:r>
          </w:p>
        </w:tc>
        <w:tc>
          <w:tcPr>
            <w:tcW w:w="1530" w:type="dxa"/>
            <w:shd w:val="clear" w:color="auto" w:fill="auto"/>
            <w:vAlign w:val="center"/>
          </w:tcPr>
          <w:p w14:paraId="2FE89AE7" w14:textId="77777777" w:rsidR="00C7266C" w:rsidRPr="00D403F5" w:rsidRDefault="00C7266C" w:rsidP="00D403F5">
            <w:pPr>
              <w:spacing w:after="0"/>
              <w:jc w:val="center"/>
              <w:rPr>
                <w:sz w:val="18"/>
                <w:szCs w:val="18"/>
                <w:lang w:val="nb-NO"/>
              </w:rPr>
            </w:pPr>
            <w:r w:rsidRPr="00D403F5">
              <w:rPr>
                <w:sz w:val="18"/>
                <w:szCs w:val="18"/>
                <w:lang w:val="nb-NO"/>
              </w:rPr>
              <w:t>N</w:t>
            </w:r>
          </w:p>
        </w:tc>
        <w:tc>
          <w:tcPr>
            <w:tcW w:w="1620" w:type="dxa"/>
            <w:shd w:val="clear" w:color="auto" w:fill="auto"/>
            <w:vAlign w:val="center"/>
          </w:tcPr>
          <w:p w14:paraId="098B6497"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Virus isolation, ELISA, RT-PCR and sequencing</w:t>
            </w:r>
          </w:p>
        </w:tc>
        <w:tc>
          <w:tcPr>
            <w:tcW w:w="715" w:type="dxa"/>
            <w:shd w:val="clear" w:color="auto" w:fill="auto"/>
            <w:vAlign w:val="center"/>
          </w:tcPr>
          <w:p w14:paraId="439EB212"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ND</w:t>
            </w:r>
          </w:p>
        </w:tc>
        <w:tc>
          <w:tcPr>
            <w:tcW w:w="540" w:type="dxa"/>
            <w:shd w:val="clear" w:color="auto" w:fill="auto"/>
            <w:vAlign w:val="center"/>
          </w:tcPr>
          <w:p w14:paraId="3A2245BD"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540" w:type="dxa"/>
            <w:shd w:val="clear" w:color="auto" w:fill="auto"/>
            <w:vAlign w:val="center"/>
          </w:tcPr>
          <w:p w14:paraId="4FDA3E66"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455" w:type="dxa"/>
            <w:shd w:val="clear" w:color="auto" w:fill="auto"/>
            <w:vAlign w:val="center"/>
          </w:tcPr>
          <w:p w14:paraId="0298A7A0" w14:textId="77777777" w:rsidR="00C7266C" w:rsidRPr="00D403F5" w:rsidRDefault="00C7266C" w:rsidP="00D403F5">
            <w:pPr>
              <w:spacing w:after="0"/>
              <w:jc w:val="center"/>
              <w:rPr>
                <w:sz w:val="18"/>
                <w:szCs w:val="18"/>
                <w:lang w:val="en-US"/>
              </w:rPr>
            </w:pPr>
            <w:r w:rsidRPr="00D403F5">
              <w:rPr>
                <w:rFonts w:ascii="Calibri" w:hAnsi="Calibri" w:cs="Calibri"/>
                <w:sz w:val="18"/>
                <w:szCs w:val="18"/>
              </w:rPr>
              <w:t>Y</w:t>
            </w:r>
          </w:p>
        </w:tc>
        <w:tc>
          <w:tcPr>
            <w:tcW w:w="1170" w:type="dxa"/>
            <w:vAlign w:val="center"/>
          </w:tcPr>
          <w:p w14:paraId="35634D10" w14:textId="77777777" w:rsidR="00C7266C" w:rsidRPr="00D403F5" w:rsidRDefault="00C7266C" w:rsidP="00D403F5">
            <w:pPr>
              <w:spacing w:after="0"/>
              <w:jc w:val="center"/>
              <w:rPr>
                <w:sz w:val="18"/>
                <w:szCs w:val="18"/>
                <w:lang w:val="en-US"/>
              </w:rPr>
            </w:pPr>
            <w:r w:rsidRPr="00D403F5">
              <w:rPr>
                <w:sz w:val="18"/>
                <w:szCs w:val="18"/>
                <w:lang w:val="en-US"/>
              </w:rPr>
              <w:t>1</w:t>
            </w:r>
          </w:p>
        </w:tc>
        <w:tc>
          <w:tcPr>
            <w:tcW w:w="2070" w:type="dxa"/>
            <w:shd w:val="clear" w:color="auto" w:fill="auto"/>
            <w:vAlign w:val="center"/>
          </w:tcPr>
          <w:p w14:paraId="3D903189" w14:textId="77777777" w:rsidR="00C7266C" w:rsidRPr="00D403F5" w:rsidRDefault="00C7266C" w:rsidP="00D403F5">
            <w:pPr>
              <w:spacing w:after="0"/>
              <w:rPr>
                <w:sz w:val="18"/>
                <w:szCs w:val="18"/>
                <w:lang w:val="nb-NO"/>
              </w:rPr>
            </w:pPr>
            <w:r w:rsidRPr="00D403F5">
              <w:rPr>
                <w:rFonts w:ascii="Calibri" w:hAnsi="Calibri" w:cs="Calibri"/>
                <w:sz w:val="18"/>
                <w:szCs w:val="18"/>
                <w:lang w:val="nb-NO"/>
              </w:rPr>
              <w:t xml:space="preserve">Hall </w:t>
            </w:r>
            <w:r w:rsidRPr="00D403F5">
              <w:rPr>
                <w:rFonts w:cstheme="minorHAnsi"/>
                <w:i/>
                <w:iCs/>
                <w:color w:val="000000"/>
                <w:sz w:val="18"/>
                <w:szCs w:val="18"/>
                <w:lang w:val="nb-NO"/>
              </w:rPr>
              <w:t>et al</w:t>
            </w:r>
            <w:r w:rsidRPr="00D403F5">
              <w:rPr>
                <w:rFonts w:cstheme="minorHAnsi"/>
                <w:color w:val="000000"/>
                <w:sz w:val="18"/>
                <w:szCs w:val="18"/>
                <w:lang w:val="nb-NO"/>
              </w:rPr>
              <w:t xml:space="preserve">., </w:t>
            </w:r>
            <w:r w:rsidRPr="00D403F5">
              <w:rPr>
                <w:rFonts w:ascii="Calibri" w:hAnsi="Calibri" w:cs="Calibri"/>
                <w:sz w:val="18"/>
                <w:szCs w:val="18"/>
                <w:lang w:val="nb-NO"/>
              </w:rPr>
              <w:t xml:space="preserve">2012; Munro </w:t>
            </w:r>
            <w:r w:rsidRPr="00D403F5">
              <w:rPr>
                <w:rFonts w:cstheme="minorHAnsi"/>
                <w:i/>
                <w:iCs/>
                <w:color w:val="000000"/>
                <w:sz w:val="18"/>
                <w:szCs w:val="18"/>
                <w:lang w:val="nb-NO"/>
              </w:rPr>
              <w:t>et al</w:t>
            </w:r>
            <w:r w:rsidRPr="00D403F5">
              <w:rPr>
                <w:rFonts w:cstheme="minorHAnsi"/>
                <w:color w:val="000000"/>
                <w:sz w:val="18"/>
                <w:szCs w:val="18"/>
                <w:lang w:val="nb-NO"/>
              </w:rPr>
              <w:t xml:space="preserve">., </w:t>
            </w:r>
            <w:r w:rsidRPr="00D403F5">
              <w:rPr>
                <w:rFonts w:ascii="Calibri" w:hAnsi="Calibri" w:cs="Calibri"/>
                <w:sz w:val="18"/>
                <w:szCs w:val="18"/>
                <w:lang w:val="nb-NO"/>
              </w:rPr>
              <w:t>2015</w:t>
            </w:r>
          </w:p>
        </w:tc>
      </w:tr>
      <w:tr w:rsidR="00C7266C" w:rsidRPr="00D403F5" w14:paraId="7AD48F47" w14:textId="77777777" w:rsidTr="00C7266C">
        <w:trPr>
          <w:cantSplit/>
        </w:trPr>
        <w:tc>
          <w:tcPr>
            <w:tcW w:w="1794" w:type="dxa"/>
            <w:vAlign w:val="center"/>
          </w:tcPr>
          <w:p w14:paraId="44CE7FAE" w14:textId="77777777" w:rsidR="00C7266C" w:rsidRPr="00D403F5" w:rsidRDefault="00C7266C" w:rsidP="00D403F5">
            <w:pPr>
              <w:spacing w:after="0"/>
              <w:rPr>
                <w:rFonts w:cstheme="minorHAnsi"/>
                <w:sz w:val="18"/>
                <w:szCs w:val="18"/>
                <w:lang w:val="en-US"/>
              </w:rPr>
            </w:pPr>
            <w:r w:rsidRPr="00D403F5">
              <w:rPr>
                <w:rFonts w:cstheme="minorHAnsi"/>
                <w:sz w:val="18"/>
                <w:szCs w:val="18"/>
              </w:rPr>
              <w:t>Emerald shiner</w:t>
            </w:r>
          </w:p>
        </w:tc>
        <w:tc>
          <w:tcPr>
            <w:tcW w:w="1705" w:type="dxa"/>
            <w:vAlign w:val="center"/>
          </w:tcPr>
          <w:p w14:paraId="41050808" w14:textId="77777777" w:rsidR="00C7266C" w:rsidRPr="00D403F5" w:rsidRDefault="00C7266C" w:rsidP="00D403F5">
            <w:pPr>
              <w:spacing w:after="0"/>
              <w:jc w:val="center"/>
              <w:rPr>
                <w:rFonts w:cstheme="minorHAnsi"/>
                <w:sz w:val="18"/>
                <w:szCs w:val="18"/>
                <w:lang w:val="nb-NO"/>
              </w:rPr>
            </w:pPr>
            <w:r w:rsidRPr="00D403F5">
              <w:rPr>
                <w:rFonts w:cstheme="minorHAnsi"/>
                <w:i/>
                <w:iCs/>
                <w:sz w:val="18"/>
                <w:szCs w:val="18"/>
              </w:rPr>
              <w:t xml:space="preserve">Notropis </w:t>
            </w:r>
          </w:p>
        </w:tc>
        <w:tc>
          <w:tcPr>
            <w:tcW w:w="1626" w:type="dxa"/>
            <w:vAlign w:val="center"/>
          </w:tcPr>
          <w:p w14:paraId="7912023B" w14:textId="77777777" w:rsidR="00C7266C" w:rsidRPr="00D403F5" w:rsidRDefault="00C7266C" w:rsidP="00D403F5">
            <w:pPr>
              <w:spacing w:after="0"/>
              <w:jc w:val="center"/>
              <w:rPr>
                <w:rFonts w:cstheme="minorHAnsi"/>
                <w:sz w:val="18"/>
                <w:szCs w:val="18"/>
                <w:lang w:val="nb-NO"/>
              </w:rPr>
            </w:pPr>
            <w:r w:rsidRPr="00D403F5">
              <w:rPr>
                <w:rFonts w:cstheme="minorHAnsi"/>
                <w:i/>
                <w:iCs/>
                <w:sz w:val="18"/>
                <w:szCs w:val="18"/>
              </w:rPr>
              <w:t>atherinoides</w:t>
            </w:r>
          </w:p>
        </w:tc>
        <w:tc>
          <w:tcPr>
            <w:tcW w:w="1080" w:type="dxa"/>
            <w:vAlign w:val="center"/>
          </w:tcPr>
          <w:p w14:paraId="42EC7DC8" w14:textId="77777777" w:rsidR="00C7266C" w:rsidRPr="00D403F5" w:rsidRDefault="00C7266C" w:rsidP="00D403F5">
            <w:pPr>
              <w:spacing w:after="0"/>
              <w:jc w:val="center"/>
              <w:rPr>
                <w:rFonts w:cstheme="minorHAnsi"/>
                <w:sz w:val="18"/>
                <w:szCs w:val="18"/>
                <w:lang w:val="nb-NO"/>
              </w:rPr>
            </w:pPr>
            <w:r w:rsidRPr="00D403F5">
              <w:rPr>
                <w:rFonts w:cstheme="minorHAnsi"/>
                <w:sz w:val="18"/>
                <w:szCs w:val="18"/>
                <w:lang w:val="nb-NO"/>
              </w:rPr>
              <w:t>IVb</w:t>
            </w:r>
          </w:p>
        </w:tc>
        <w:tc>
          <w:tcPr>
            <w:tcW w:w="1530" w:type="dxa"/>
            <w:shd w:val="clear" w:color="auto" w:fill="auto"/>
            <w:vAlign w:val="center"/>
          </w:tcPr>
          <w:p w14:paraId="05A22E29" w14:textId="77777777" w:rsidR="00C7266C" w:rsidRPr="00D403F5" w:rsidRDefault="00C7266C" w:rsidP="00D403F5">
            <w:pPr>
              <w:spacing w:after="0"/>
              <w:jc w:val="center"/>
              <w:rPr>
                <w:rFonts w:cstheme="minorHAnsi"/>
                <w:sz w:val="18"/>
                <w:szCs w:val="18"/>
                <w:lang w:val="nb-NO"/>
              </w:rPr>
            </w:pPr>
            <w:r w:rsidRPr="00D403F5">
              <w:rPr>
                <w:rFonts w:cstheme="minorHAnsi"/>
                <w:sz w:val="18"/>
                <w:szCs w:val="18"/>
                <w:lang w:val="nb-NO"/>
              </w:rPr>
              <w:t>N</w:t>
            </w:r>
          </w:p>
        </w:tc>
        <w:tc>
          <w:tcPr>
            <w:tcW w:w="1620" w:type="dxa"/>
            <w:shd w:val="clear" w:color="auto" w:fill="auto"/>
            <w:vAlign w:val="center"/>
          </w:tcPr>
          <w:p w14:paraId="39D19FD4" w14:textId="77777777" w:rsidR="00C7266C" w:rsidRPr="00D403F5" w:rsidRDefault="00C7266C" w:rsidP="00D403F5">
            <w:pPr>
              <w:spacing w:after="0"/>
              <w:rPr>
                <w:rFonts w:cstheme="minorHAnsi"/>
                <w:sz w:val="18"/>
                <w:szCs w:val="18"/>
                <w:lang w:val="en-US"/>
              </w:rPr>
            </w:pPr>
            <w:r w:rsidRPr="00D403F5">
              <w:rPr>
                <w:rFonts w:cstheme="minorHAnsi"/>
                <w:sz w:val="18"/>
                <w:szCs w:val="18"/>
              </w:rPr>
              <w:t xml:space="preserve">Cell culture and PCR </w:t>
            </w:r>
          </w:p>
        </w:tc>
        <w:tc>
          <w:tcPr>
            <w:tcW w:w="715" w:type="dxa"/>
            <w:shd w:val="clear" w:color="auto" w:fill="auto"/>
            <w:vAlign w:val="center"/>
          </w:tcPr>
          <w:p w14:paraId="39ED660D" w14:textId="77777777" w:rsidR="00C7266C" w:rsidRPr="00D403F5" w:rsidRDefault="00C7266C" w:rsidP="00D403F5">
            <w:pPr>
              <w:spacing w:after="0"/>
              <w:jc w:val="center"/>
              <w:rPr>
                <w:rFonts w:cstheme="minorHAnsi"/>
                <w:sz w:val="18"/>
                <w:szCs w:val="18"/>
                <w:lang w:val="nb-NO"/>
              </w:rPr>
            </w:pPr>
            <w:r w:rsidRPr="00D403F5">
              <w:rPr>
                <w:rFonts w:cstheme="minorHAnsi"/>
                <w:sz w:val="18"/>
                <w:szCs w:val="18"/>
              </w:rPr>
              <w:t>ND</w:t>
            </w:r>
          </w:p>
        </w:tc>
        <w:tc>
          <w:tcPr>
            <w:tcW w:w="540" w:type="dxa"/>
            <w:shd w:val="clear" w:color="auto" w:fill="auto"/>
            <w:vAlign w:val="center"/>
          </w:tcPr>
          <w:p w14:paraId="6370D8FD" w14:textId="77777777" w:rsidR="00C7266C" w:rsidRPr="00D403F5" w:rsidRDefault="00C7266C" w:rsidP="00D403F5">
            <w:pPr>
              <w:spacing w:after="0"/>
              <w:jc w:val="center"/>
              <w:rPr>
                <w:rFonts w:cstheme="minorHAnsi"/>
                <w:sz w:val="18"/>
                <w:szCs w:val="18"/>
                <w:lang w:val="nb-NO"/>
              </w:rPr>
            </w:pPr>
            <w:r w:rsidRPr="00D403F5">
              <w:rPr>
                <w:rFonts w:cstheme="minorHAnsi"/>
                <w:sz w:val="18"/>
                <w:szCs w:val="18"/>
              </w:rPr>
              <w:t xml:space="preserve">Y </w:t>
            </w:r>
          </w:p>
        </w:tc>
        <w:tc>
          <w:tcPr>
            <w:tcW w:w="540" w:type="dxa"/>
            <w:shd w:val="clear" w:color="auto" w:fill="auto"/>
            <w:vAlign w:val="center"/>
          </w:tcPr>
          <w:p w14:paraId="7B413AB2" w14:textId="77777777" w:rsidR="00C7266C" w:rsidRPr="00D403F5" w:rsidRDefault="00C7266C" w:rsidP="00D403F5">
            <w:pPr>
              <w:spacing w:after="0"/>
              <w:jc w:val="center"/>
              <w:rPr>
                <w:rFonts w:cstheme="minorHAnsi"/>
                <w:sz w:val="18"/>
                <w:szCs w:val="18"/>
                <w:lang w:val="nb-NO"/>
              </w:rPr>
            </w:pPr>
            <w:r w:rsidRPr="00D403F5">
              <w:rPr>
                <w:rFonts w:cstheme="minorHAnsi"/>
                <w:sz w:val="18"/>
                <w:szCs w:val="18"/>
              </w:rPr>
              <w:t>Y</w:t>
            </w:r>
          </w:p>
        </w:tc>
        <w:tc>
          <w:tcPr>
            <w:tcW w:w="455" w:type="dxa"/>
            <w:shd w:val="clear" w:color="auto" w:fill="auto"/>
            <w:vAlign w:val="center"/>
          </w:tcPr>
          <w:p w14:paraId="1075C83C" w14:textId="77777777" w:rsidR="00C7266C" w:rsidRPr="00D403F5" w:rsidRDefault="00C7266C" w:rsidP="00D403F5">
            <w:pPr>
              <w:spacing w:after="0"/>
              <w:jc w:val="center"/>
              <w:rPr>
                <w:rFonts w:cstheme="minorHAnsi"/>
                <w:sz w:val="18"/>
                <w:szCs w:val="18"/>
                <w:lang w:val="nb-NO"/>
              </w:rPr>
            </w:pPr>
            <w:r w:rsidRPr="00D403F5">
              <w:rPr>
                <w:rFonts w:cstheme="minorHAnsi"/>
                <w:sz w:val="18"/>
                <w:szCs w:val="18"/>
              </w:rPr>
              <w:t>Y</w:t>
            </w:r>
          </w:p>
        </w:tc>
        <w:tc>
          <w:tcPr>
            <w:tcW w:w="1170" w:type="dxa"/>
            <w:vAlign w:val="center"/>
          </w:tcPr>
          <w:p w14:paraId="118F6C28" w14:textId="77777777" w:rsidR="00C7266C" w:rsidRPr="00D403F5" w:rsidRDefault="00C7266C" w:rsidP="00D403F5">
            <w:pPr>
              <w:spacing w:after="0"/>
              <w:jc w:val="center"/>
              <w:rPr>
                <w:rFonts w:cstheme="minorHAnsi"/>
                <w:sz w:val="18"/>
                <w:szCs w:val="18"/>
                <w:lang w:val="nb-NO"/>
              </w:rPr>
            </w:pPr>
            <w:r w:rsidRPr="00D403F5">
              <w:rPr>
                <w:rFonts w:cstheme="minorHAnsi"/>
                <w:sz w:val="18"/>
                <w:szCs w:val="18"/>
                <w:lang w:val="nb-NO"/>
              </w:rPr>
              <w:t>1</w:t>
            </w:r>
          </w:p>
        </w:tc>
        <w:tc>
          <w:tcPr>
            <w:tcW w:w="2070" w:type="dxa"/>
            <w:shd w:val="clear" w:color="auto" w:fill="auto"/>
            <w:vAlign w:val="center"/>
          </w:tcPr>
          <w:p w14:paraId="46350383" w14:textId="77777777" w:rsidR="00C7266C" w:rsidRPr="00D403F5" w:rsidRDefault="00C7266C" w:rsidP="00D403F5">
            <w:pPr>
              <w:spacing w:after="0"/>
              <w:rPr>
                <w:rFonts w:cstheme="minorHAnsi"/>
                <w:sz w:val="18"/>
                <w:szCs w:val="18"/>
                <w:lang w:val="en-US"/>
              </w:rPr>
            </w:pPr>
            <w:r w:rsidRPr="00D403F5">
              <w:rPr>
                <w:rFonts w:cstheme="minorHAnsi"/>
                <w:sz w:val="18"/>
                <w:szCs w:val="18"/>
              </w:rPr>
              <w:t xml:space="preserve">Boonthai </w:t>
            </w:r>
            <w:r w:rsidRPr="00D403F5">
              <w:rPr>
                <w:rFonts w:cstheme="minorHAnsi"/>
                <w:i/>
                <w:iCs/>
                <w:color w:val="000000"/>
                <w:sz w:val="18"/>
                <w:szCs w:val="18"/>
                <w:lang w:val="nb-NO"/>
              </w:rPr>
              <w:t>et al</w:t>
            </w:r>
            <w:r w:rsidRPr="00D403F5">
              <w:rPr>
                <w:rFonts w:cstheme="minorHAnsi"/>
                <w:color w:val="000000"/>
                <w:sz w:val="18"/>
                <w:szCs w:val="18"/>
              </w:rPr>
              <w:t xml:space="preserve">., </w:t>
            </w:r>
            <w:r w:rsidRPr="00D403F5">
              <w:rPr>
                <w:rFonts w:cstheme="minorHAnsi"/>
                <w:sz w:val="18"/>
                <w:szCs w:val="18"/>
              </w:rPr>
              <w:t>2018</w:t>
            </w:r>
          </w:p>
        </w:tc>
      </w:tr>
      <w:tr w:rsidR="00C7266C" w:rsidRPr="00D403F5" w14:paraId="433599B5" w14:textId="77777777" w:rsidTr="00C7266C">
        <w:trPr>
          <w:cantSplit/>
        </w:trPr>
        <w:tc>
          <w:tcPr>
            <w:tcW w:w="1794" w:type="dxa"/>
            <w:vAlign w:val="center"/>
          </w:tcPr>
          <w:p w14:paraId="47899D10" w14:textId="77777777" w:rsidR="00C7266C" w:rsidRPr="00D403F5" w:rsidRDefault="00C7266C" w:rsidP="00D403F5">
            <w:pPr>
              <w:spacing w:after="0"/>
              <w:rPr>
                <w:rFonts w:cstheme="minorHAnsi"/>
                <w:sz w:val="18"/>
                <w:szCs w:val="18"/>
              </w:rPr>
            </w:pPr>
            <w:r w:rsidRPr="00D403F5">
              <w:rPr>
                <w:rFonts w:cstheme="minorHAnsi"/>
                <w:color w:val="000000"/>
                <w:sz w:val="18"/>
                <w:szCs w:val="18"/>
              </w:rPr>
              <w:t>Eulachon</w:t>
            </w:r>
          </w:p>
        </w:tc>
        <w:tc>
          <w:tcPr>
            <w:tcW w:w="1705" w:type="dxa"/>
            <w:vAlign w:val="center"/>
          </w:tcPr>
          <w:p w14:paraId="055B5BD6" w14:textId="77777777" w:rsidR="00C7266C" w:rsidRPr="00D403F5" w:rsidRDefault="00C7266C" w:rsidP="00D403F5">
            <w:pPr>
              <w:spacing w:after="0"/>
              <w:jc w:val="center"/>
              <w:rPr>
                <w:rFonts w:cstheme="minorHAnsi"/>
                <w:i/>
                <w:iCs/>
                <w:sz w:val="18"/>
                <w:szCs w:val="18"/>
              </w:rPr>
            </w:pPr>
            <w:r w:rsidRPr="00D403F5">
              <w:rPr>
                <w:rFonts w:cstheme="minorHAnsi"/>
                <w:i/>
                <w:iCs/>
                <w:color w:val="000000"/>
                <w:sz w:val="18"/>
                <w:szCs w:val="18"/>
              </w:rPr>
              <w:t xml:space="preserve">Thaleichthys </w:t>
            </w:r>
          </w:p>
        </w:tc>
        <w:tc>
          <w:tcPr>
            <w:tcW w:w="1626" w:type="dxa"/>
            <w:vAlign w:val="center"/>
          </w:tcPr>
          <w:p w14:paraId="1CDEDF3C" w14:textId="77777777" w:rsidR="00C7266C" w:rsidRPr="00D403F5" w:rsidRDefault="00C7266C" w:rsidP="00D403F5">
            <w:pPr>
              <w:spacing w:after="0"/>
              <w:jc w:val="center"/>
              <w:rPr>
                <w:rFonts w:cstheme="minorHAnsi"/>
                <w:i/>
                <w:iCs/>
                <w:sz w:val="18"/>
                <w:szCs w:val="18"/>
              </w:rPr>
            </w:pPr>
            <w:r w:rsidRPr="00D403F5">
              <w:rPr>
                <w:rFonts w:cstheme="minorHAnsi"/>
                <w:i/>
                <w:iCs/>
                <w:color w:val="000000"/>
                <w:sz w:val="18"/>
                <w:szCs w:val="18"/>
              </w:rPr>
              <w:t>pacificus</w:t>
            </w:r>
          </w:p>
        </w:tc>
        <w:tc>
          <w:tcPr>
            <w:tcW w:w="1080" w:type="dxa"/>
            <w:vAlign w:val="center"/>
          </w:tcPr>
          <w:p w14:paraId="2D26C702" w14:textId="77777777" w:rsidR="00C7266C" w:rsidRPr="00D403F5" w:rsidRDefault="00C7266C" w:rsidP="00D403F5">
            <w:pPr>
              <w:spacing w:after="0"/>
              <w:jc w:val="center"/>
              <w:rPr>
                <w:rFonts w:cstheme="minorHAnsi"/>
                <w:color w:val="000000"/>
                <w:sz w:val="18"/>
                <w:szCs w:val="18"/>
                <w:lang w:val="en-US"/>
              </w:rPr>
            </w:pPr>
            <w:r w:rsidRPr="00D403F5">
              <w:rPr>
                <w:rFonts w:cstheme="minorHAnsi"/>
                <w:color w:val="000000"/>
                <w:sz w:val="18"/>
                <w:szCs w:val="18"/>
                <w:lang w:val="en-US"/>
              </w:rPr>
              <w:t>IVa</w:t>
            </w:r>
          </w:p>
        </w:tc>
        <w:tc>
          <w:tcPr>
            <w:tcW w:w="1530" w:type="dxa"/>
            <w:shd w:val="clear" w:color="auto" w:fill="auto"/>
            <w:vAlign w:val="center"/>
          </w:tcPr>
          <w:p w14:paraId="43AD52C5"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en-US"/>
              </w:rPr>
              <w:t>N</w:t>
            </w:r>
          </w:p>
        </w:tc>
        <w:tc>
          <w:tcPr>
            <w:tcW w:w="1620" w:type="dxa"/>
            <w:shd w:val="clear" w:color="auto" w:fill="auto"/>
            <w:vAlign w:val="center"/>
          </w:tcPr>
          <w:p w14:paraId="6B4D2E80"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lang w:val="en-US"/>
              </w:rPr>
              <w:t>C</w:t>
            </w:r>
            <w:r w:rsidRPr="00D403F5">
              <w:rPr>
                <w:rFonts w:cstheme="minorHAnsi"/>
                <w:color w:val="000000"/>
                <w:sz w:val="18"/>
                <w:szCs w:val="18"/>
              </w:rPr>
              <w:t>ell culture and RT-PCR</w:t>
            </w:r>
          </w:p>
        </w:tc>
        <w:tc>
          <w:tcPr>
            <w:tcW w:w="715" w:type="dxa"/>
            <w:shd w:val="clear" w:color="auto" w:fill="auto"/>
            <w:vAlign w:val="center"/>
          </w:tcPr>
          <w:p w14:paraId="0AFDC3AA"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ND</w:t>
            </w:r>
          </w:p>
        </w:tc>
        <w:tc>
          <w:tcPr>
            <w:tcW w:w="540" w:type="dxa"/>
            <w:shd w:val="clear" w:color="auto" w:fill="auto"/>
            <w:vAlign w:val="center"/>
          </w:tcPr>
          <w:p w14:paraId="4447F818"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Y</w:t>
            </w:r>
          </w:p>
        </w:tc>
        <w:tc>
          <w:tcPr>
            <w:tcW w:w="540" w:type="dxa"/>
            <w:shd w:val="clear" w:color="auto" w:fill="auto"/>
            <w:vAlign w:val="center"/>
          </w:tcPr>
          <w:p w14:paraId="1805986C"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N</w:t>
            </w:r>
          </w:p>
        </w:tc>
        <w:tc>
          <w:tcPr>
            <w:tcW w:w="455" w:type="dxa"/>
            <w:shd w:val="clear" w:color="auto" w:fill="auto"/>
            <w:vAlign w:val="center"/>
          </w:tcPr>
          <w:p w14:paraId="29B529B3"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N</w:t>
            </w:r>
          </w:p>
        </w:tc>
        <w:tc>
          <w:tcPr>
            <w:tcW w:w="1170" w:type="dxa"/>
            <w:vAlign w:val="center"/>
          </w:tcPr>
          <w:p w14:paraId="260D6FED"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en-US"/>
              </w:rPr>
              <w:t>1</w:t>
            </w:r>
          </w:p>
        </w:tc>
        <w:tc>
          <w:tcPr>
            <w:tcW w:w="2070" w:type="dxa"/>
            <w:shd w:val="clear" w:color="auto" w:fill="auto"/>
            <w:vAlign w:val="center"/>
          </w:tcPr>
          <w:p w14:paraId="6C8B9DE7" w14:textId="77777777" w:rsidR="00C7266C" w:rsidRPr="00D403F5" w:rsidRDefault="00C7266C" w:rsidP="00D403F5">
            <w:pPr>
              <w:spacing w:after="0"/>
              <w:rPr>
                <w:rFonts w:cstheme="minorHAnsi"/>
                <w:color w:val="333333"/>
                <w:sz w:val="18"/>
                <w:szCs w:val="18"/>
                <w:lang w:val="nb-NO"/>
              </w:rPr>
            </w:pPr>
            <w:r w:rsidRPr="00D403F5">
              <w:rPr>
                <w:rFonts w:cstheme="minorHAnsi"/>
                <w:color w:val="000000"/>
                <w:sz w:val="18"/>
                <w:szCs w:val="18"/>
              </w:rPr>
              <w:t xml:space="preserve">Hedrick </w:t>
            </w:r>
            <w:r w:rsidRPr="00D403F5">
              <w:rPr>
                <w:rFonts w:cstheme="minorHAnsi"/>
                <w:i/>
                <w:iCs/>
                <w:color w:val="000000"/>
                <w:sz w:val="18"/>
                <w:szCs w:val="18"/>
                <w:lang w:val="nb-NO"/>
              </w:rPr>
              <w:t>et al</w:t>
            </w:r>
            <w:r w:rsidRPr="00D403F5">
              <w:rPr>
                <w:rFonts w:cstheme="minorHAnsi"/>
                <w:color w:val="000000"/>
                <w:sz w:val="18"/>
                <w:szCs w:val="18"/>
              </w:rPr>
              <w:t>., 2003</w:t>
            </w:r>
          </w:p>
        </w:tc>
      </w:tr>
      <w:tr w:rsidR="00C7266C" w:rsidRPr="00D403F5" w14:paraId="321A78E6" w14:textId="77777777" w:rsidTr="00C7266C">
        <w:trPr>
          <w:cantSplit/>
        </w:trPr>
        <w:tc>
          <w:tcPr>
            <w:tcW w:w="1794" w:type="dxa"/>
            <w:vAlign w:val="center"/>
          </w:tcPr>
          <w:p w14:paraId="7A569914" w14:textId="77777777" w:rsidR="00C7266C" w:rsidRPr="00D403F5" w:rsidRDefault="00C7266C" w:rsidP="00D403F5">
            <w:pPr>
              <w:spacing w:after="0"/>
              <w:rPr>
                <w:rFonts w:cstheme="minorHAnsi"/>
                <w:sz w:val="18"/>
                <w:szCs w:val="18"/>
                <w:lang w:val="en-US"/>
              </w:rPr>
            </w:pPr>
            <w:r w:rsidRPr="00D403F5">
              <w:rPr>
                <w:rFonts w:cstheme="minorHAnsi"/>
                <w:sz w:val="18"/>
                <w:szCs w:val="18"/>
              </w:rPr>
              <w:t>European anchovy</w:t>
            </w:r>
          </w:p>
          <w:p w14:paraId="673B9CC8" w14:textId="77777777" w:rsidR="00C7266C" w:rsidRPr="00D403F5" w:rsidRDefault="00C7266C" w:rsidP="00D403F5">
            <w:pPr>
              <w:spacing w:after="0"/>
              <w:rPr>
                <w:rFonts w:cstheme="minorHAnsi"/>
                <w:color w:val="000000"/>
                <w:sz w:val="18"/>
                <w:szCs w:val="18"/>
                <w:lang w:val="nb-NO"/>
              </w:rPr>
            </w:pPr>
          </w:p>
        </w:tc>
        <w:tc>
          <w:tcPr>
            <w:tcW w:w="1705" w:type="dxa"/>
            <w:vAlign w:val="center"/>
          </w:tcPr>
          <w:p w14:paraId="74FAA2E8" w14:textId="77777777" w:rsidR="00C7266C" w:rsidRPr="00D403F5" w:rsidRDefault="00C7266C" w:rsidP="00D403F5">
            <w:pPr>
              <w:spacing w:after="0"/>
              <w:jc w:val="center"/>
              <w:rPr>
                <w:rFonts w:cstheme="minorHAnsi"/>
                <w:i/>
                <w:iCs/>
                <w:color w:val="000000"/>
                <w:sz w:val="18"/>
                <w:szCs w:val="18"/>
                <w:lang w:val="nb-NO"/>
              </w:rPr>
            </w:pPr>
            <w:r w:rsidRPr="00D403F5">
              <w:rPr>
                <w:rFonts w:cstheme="minorHAnsi"/>
                <w:i/>
                <w:iCs/>
                <w:sz w:val="18"/>
                <w:szCs w:val="18"/>
              </w:rPr>
              <w:t>Engraulis</w:t>
            </w:r>
          </w:p>
        </w:tc>
        <w:tc>
          <w:tcPr>
            <w:tcW w:w="1626" w:type="dxa"/>
            <w:vAlign w:val="center"/>
          </w:tcPr>
          <w:p w14:paraId="4E48A0F5" w14:textId="77777777" w:rsidR="00C7266C" w:rsidRPr="00D403F5" w:rsidRDefault="00C7266C" w:rsidP="00D403F5">
            <w:pPr>
              <w:spacing w:after="0"/>
              <w:jc w:val="center"/>
              <w:rPr>
                <w:rFonts w:cstheme="minorHAnsi"/>
                <w:i/>
                <w:iCs/>
                <w:color w:val="000000"/>
                <w:sz w:val="18"/>
                <w:szCs w:val="18"/>
                <w:lang w:val="nb-NO"/>
              </w:rPr>
            </w:pPr>
            <w:r w:rsidRPr="00D403F5">
              <w:rPr>
                <w:rFonts w:cstheme="minorHAnsi"/>
                <w:i/>
                <w:iCs/>
                <w:sz w:val="18"/>
                <w:szCs w:val="18"/>
              </w:rPr>
              <w:t>encrasicolus</w:t>
            </w:r>
          </w:p>
        </w:tc>
        <w:tc>
          <w:tcPr>
            <w:tcW w:w="1080" w:type="dxa"/>
            <w:vAlign w:val="center"/>
          </w:tcPr>
          <w:p w14:paraId="5353A873"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Ie</w:t>
            </w:r>
          </w:p>
        </w:tc>
        <w:tc>
          <w:tcPr>
            <w:tcW w:w="1530" w:type="dxa"/>
            <w:shd w:val="clear" w:color="auto" w:fill="auto"/>
            <w:vAlign w:val="center"/>
          </w:tcPr>
          <w:p w14:paraId="4B722EA0"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N</w:t>
            </w:r>
          </w:p>
        </w:tc>
        <w:tc>
          <w:tcPr>
            <w:tcW w:w="1620" w:type="dxa"/>
            <w:shd w:val="clear" w:color="auto" w:fill="auto"/>
            <w:vAlign w:val="center"/>
          </w:tcPr>
          <w:p w14:paraId="76738AB6" w14:textId="77777777" w:rsidR="00C7266C" w:rsidRPr="00D403F5" w:rsidRDefault="00C7266C" w:rsidP="00D403F5">
            <w:pPr>
              <w:spacing w:after="0"/>
              <w:rPr>
                <w:rFonts w:cstheme="minorHAnsi"/>
                <w:color w:val="000000"/>
                <w:sz w:val="18"/>
                <w:szCs w:val="18"/>
                <w:lang w:val="en-US"/>
              </w:rPr>
            </w:pPr>
            <w:r w:rsidRPr="00D403F5">
              <w:rPr>
                <w:rFonts w:cstheme="minorHAnsi"/>
                <w:color w:val="000000"/>
                <w:sz w:val="18"/>
                <w:szCs w:val="18"/>
              </w:rPr>
              <w:t>Cell culture, ELISA and PCR</w:t>
            </w:r>
          </w:p>
        </w:tc>
        <w:tc>
          <w:tcPr>
            <w:tcW w:w="715" w:type="dxa"/>
            <w:shd w:val="clear" w:color="auto" w:fill="auto"/>
            <w:vAlign w:val="center"/>
          </w:tcPr>
          <w:p w14:paraId="499D591C" w14:textId="77777777" w:rsidR="00C7266C" w:rsidRPr="00D403F5" w:rsidRDefault="00C7266C" w:rsidP="00D403F5">
            <w:pPr>
              <w:spacing w:after="0"/>
              <w:jc w:val="center"/>
              <w:rPr>
                <w:rFonts w:cstheme="minorHAnsi"/>
                <w:color w:val="000000"/>
                <w:sz w:val="18"/>
                <w:szCs w:val="18"/>
                <w:lang w:val="en-US"/>
              </w:rPr>
            </w:pPr>
            <w:r w:rsidRPr="00D403F5">
              <w:rPr>
                <w:rFonts w:cstheme="minorHAnsi"/>
                <w:color w:val="000000"/>
                <w:sz w:val="18"/>
                <w:szCs w:val="18"/>
              </w:rPr>
              <w:t>ND</w:t>
            </w:r>
          </w:p>
        </w:tc>
        <w:tc>
          <w:tcPr>
            <w:tcW w:w="540" w:type="dxa"/>
            <w:shd w:val="clear" w:color="auto" w:fill="auto"/>
            <w:vAlign w:val="center"/>
          </w:tcPr>
          <w:p w14:paraId="34705DB7"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Y</w:t>
            </w:r>
          </w:p>
        </w:tc>
        <w:tc>
          <w:tcPr>
            <w:tcW w:w="540" w:type="dxa"/>
            <w:shd w:val="clear" w:color="auto" w:fill="auto"/>
            <w:vAlign w:val="center"/>
          </w:tcPr>
          <w:p w14:paraId="55C80773"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N</w:t>
            </w:r>
          </w:p>
        </w:tc>
        <w:tc>
          <w:tcPr>
            <w:tcW w:w="455" w:type="dxa"/>
            <w:shd w:val="clear" w:color="auto" w:fill="auto"/>
            <w:vAlign w:val="center"/>
          </w:tcPr>
          <w:p w14:paraId="75D2BC0A"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Y</w:t>
            </w:r>
          </w:p>
        </w:tc>
        <w:tc>
          <w:tcPr>
            <w:tcW w:w="1170" w:type="dxa"/>
            <w:vAlign w:val="center"/>
          </w:tcPr>
          <w:p w14:paraId="3084AFBD"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1</w:t>
            </w:r>
          </w:p>
        </w:tc>
        <w:tc>
          <w:tcPr>
            <w:tcW w:w="2070" w:type="dxa"/>
            <w:shd w:val="clear" w:color="auto" w:fill="auto"/>
            <w:vAlign w:val="center"/>
          </w:tcPr>
          <w:p w14:paraId="6D56B2E9" w14:textId="77777777" w:rsidR="00C7266C" w:rsidRPr="00D403F5" w:rsidRDefault="00C7266C" w:rsidP="00D403F5">
            <w:pPr>
              <w:spacing w:after="0"/>
              <w:rPr>
                <w:rFonts w:cstheme="minorHAnsi"/>
                <w:color w:val="000000"/>
                <w:sz w:val="18"/>
                <w:szCs w:val="18"/>
                <w:lang w:val="nb-NO"/>
              </w:rPr>
            </w:pPr>
            <w:r w:rsidRPr="00D403F5">
              <w:rPr>
                <w:rFonts w:cstheme="minorHAnsi"/>
                <w:color w:val="333333"/>
                <w:sz w:val="18"/>
                <w:szCs w:val="18"/>
                <w:lang w:val="nb-NO"/>
              </w:rPr>
              <w:t>Ogut &amp; Altuntas, 2014</w:t>
            </w:r>
          </w:p>
        </w:tc>
      </w:tr>
      <w:tr w:rsidR="00C7266C" w:rsidRPr="00D403F5" w14:paraId="54918774" w14:textId="77777777" w:rsidTr="00C7266C">
        <w:trPr>
          <w:cantSplit/>
        </w:trPr>
        <w:tc>
          <w:tcPr>
            <w:tcW w:w="1794" w:type="dxa"/>
            <w:vAlign w:val="center"/>
          </w:tcPr>
          <w:p w14:paraId="3C9CEABE" w14:textId="77777777" w:rsidR="00C7266C" w:rsidRPr="00D403F5" w:rsidRDefault="00C7266C" w:rsidP="00D403F5">
            <w:pPr>
              <w:spacing w:after="0"/>
              <w:rPr>
                <w:rFonts w:cstheme="minorHAnsi"/>
                <w:color w:val="000000"/>
                <w:sz w:val="18"/>
                <w:szCs w:val="18"/>
                <w:lang w:val="en-US"/>
              </w:rPr>
            </w:pPr>
            <w:r w:rsidRPr="00D403F5">
              <w:rPr>
                <w:rFonts w:cstheme="minorHAnsi"/>
                <w:color w:val="000000"/>
                <w:sz w:val="18"/>
                <w:szCs w:val="18"/>
              </w:rPr>
              <w:t>European Flounder</w:t>
            </w:r>
          </w:p>
        </w:tc>
        <w:tc>
          <w:tcPr>
            <w:tcW w:w="1705" w:type="dxa"/>
            <w:vAlign w:val="center"/>
          </w:tcPr>
          <w:p w14:paraId="6AE65708" w14:textId="77777777" w:rsidR="00C7266C" w:rsidRPr="00D403F5" w:rsidRDefault="00C7266C" w:rsidP="00D403F5">
            <w:pPr>
              <w:spacing w:after="0"/>
              <w:jc w:val="center"/>
              <w:rPr>
                <w:rFonts w:cstheme="minorHAnsi"/>
                <w:color w:val="000000"/>
                <w:sz w:val="18"/>
                <w:szCs w:val="18"/>
                <w:lang w:val="nb-NO"/>
              </w:rPr>
            </w:pPr>
            <w:r w:rsidRPr="00D403F5">
              <w:rPr>
                <w:rFonts w:cstheme="minorHAnsi"/>
                <w:i/>
                <w:iCs/>
                <w:color w:val="000000"/>
                <w:sz w:val="18"/>
                <w:szCs w:val="18"/>
              </w:rPr>
              <w:t xml:space="preserve">Platichthys </w:t>
            </w:r>
          </w:p>
        </w:tc>
        <w:tc>
          <w:tcPr>
            <w:tcW w:w="1626" w:type="dxa"/>
            <w:vAlign w:val="center"/>
          </w:tcPr>
          <w:p w14:paraId="21A5D035" w14:textId="77777777" w:rsidR="00C7266C" w:rsidRPr="00D403F5" w:rsidRDefault="00C7266C" w:rsidP="00D403F5">
            <w:pPr>
              <w:spacing w:after="0"/>
              <w:jc w:val="center"/>
              <w:rPr>
                <w:rFonts w:cstheme="minorHAnsi"/>
                <w:color w:val="000000"/>
                <w:sz w:val="18"/>
                <w:szCs w:val="18"/>
                <w:lang w:val="nb-NO"/>
              </w:rPr>
            </w:pPr>
            <w:r w:rsidRPr="00D403F5">
              <w:rPr>
                <w:rFonts w:cstheme="minorHAnsi"/>
                <w:i/>
                <w:iCs/>
                <w:color w:val="000000"/>
                <w:sz w:val="18"/>
                <w:szCs w:val="18"/>
              </w:rPr>
              <w:t>flesus</w:t>
            </w:r>
          </w:p>
        </w:tc>
        <w:tc>
          <w:tcPr>
            <w:tcW w:w="1080" w:type="dxa"/>
            <w:vAlign w:val="center"/>
          </w:tcPr>
          <w:p w14:paraId="7131564B"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Ib</w:t>
            </w:r>
          </w:p>
        </w:tc>
        <w:tc>
          <w:tcPr>
            <w:tcW w:w="1530" w:type="dxa"/>
            <w:shd w:val="clear" w:color="auto" w:fill="auto"/>
            <w:vAlign w:val="center"/>
          </w:tcPr>
          <w:p w14:paraId="0CC881AC"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N</w:t>
            </w:r>
          </w:p>
        </w:tc>
        <w:tc>
          <w:tcPr>
            <w:tcW w:w="1620" w:type="dxa"/>
            <w:shd w:val="clear" w:color="auto" w:fill="auto"/>
            <w:vAlign w:val="center"/>
          </w:tcPr>
          <w:p w14:paraId="032351B8" w14:textId="77777777" w:rsidR="00C7266C" w:rsidRPr="00D403F5" w:rsidRDefault="00C7266C" w:rsidP="00D403F5">
            <w:pPr>
              <w:spacing w:after="0"/>
              <w:rPr>
                <w:rFonts w:cstheme="minorHAnsi"/>
                <w:color w:val="000000"/>
                <w:sz w:val="18"/>
                <w:szCs w:val="18"/>
                <w:lang w:val="en-US"/>
              </w:rPr>
            </w:pPr>
            <w:r w:rsidRPr="00D403F5">
              <w:rPr>
                <w:rFonts w:cstheme="minorHAnsi"/>
                <w:color w:val="000000"/>
                <w:sz w:val="18"/>
                <w:szCs w:val="18"/>
              </w:rPr>
              <w:t>Cell culture, ELISA</w:t>
            </w:r>
          </w:p>
        </w:tc>
        <w:tc>
          <w:tcPr>
            <w:tcW w:w="715" w:type="dxa"/>
            <w:shd w:val="clear" w:color="auto" w:fill="auto"/>
            <w:vAlign w:val="center"/>
          </w:tcPr>
          <w:p w14:paraId="7D02B617"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ND</w:t>
            </w:r>
          </w:p>
        </w:tc>
        <w:tc>
          <w:tcPr>
            <w:tcW w:w="540" w:type="dxa"/>
            <w:shd w:val="clear" w:color="auto" w:fill="auto"/>
            <w:vAlign w:val="center"/>
          </w:tcPr>
          <w:p w14:paraId="6C107DAD"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Y</w:t>
            </w:r>
          </w:p>
        </w:tc>
        <w:tc>
          <w:tcPr>
            <w:tcW w:w="540" w:type="dxa"/>
            <w:shd w:val="clear" w:color="auto" w:fill="auto"/>
            <w:vAlign w:val="center"/>
          </w:tcPr>
          <w:p w14:paraId="4FB24737"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N</w:t>
            </w:r>
          </w:p>
        </w:tc>
        <w:tc>
          <w:tcPr>
            <w:tcW w:w="455" w:type="dxa"/>
            <w:shd w:val="clear" w:color="auto" w:fill="auto"/>
            <w:vAlign w:val="center"/>
          </w:tcPr>
          <w:p w14:paraId="0562DC14"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Y</w:t>
            </w:r>
          </w:p>
        </w:tc>
        <w:tc>
          <w:tcPr>
            <w:tcW w:w="1170" w:type="dxa"/>
            <w:vAlign w:val="center"/>
          </w:tcPr>
          <w:p w14:paraId="3CA1AF9A"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1</w:t>
            </w:r>
          </w:p>
        </w:tc>
        <w:tc>
          <w:tcPr>
            <w:tcW w:w="2070" w:type="dxa"/>
            <w:shd w:val="clear" w:color="auto" w:fill="auto"/>
            <w:vAlign w:val="center"/>
          </w:tcPr>
          <w:p w14:paraId="21DA7399" w14:textId="77777777" w:rsidR="00C7266C" w:rsidRPr="00D403F5" w:rsidRDefault="00C7266C" w:rsidP="00D403F5">
            <w:pPr>
              <w:spacing w:after="0"/>
              <w:rPr>
                <w:rFonts w:cstheme="minorHAnsi"/>
                <w:color w:val="000000"/>
                <w:sz w:val="18"/>
                <w:szCs w:val="18"/>
                <w:lang w:val="en-US"/>
              </w:rPr>
            </w:pPr>
            <w:r w:rsidRPr="00D403F5">
              <w:rPr>
                <w:rFonts w:cstheme="minorHAnsi"/>
                <w:color w:val="000000"/>
                <w:sz w:val="18"/>
                <w:szCs w:val="18"/>
              </w:rPr>
              <w:t xml:space="preserve">Skall </w:t>
            </w:r>
            <w:r w:rsidRPr="00D403F5">
              <w:rPr>
                <w:rFonts w:cstheme="minorHAnsi"/>
                <w:i/>
                <w:iCs/>
                <w:color w:val="000000"/>
                <w:sz w:val="18"/>
                <w:szCs w:val="18"/>
                <w:lang w:val="nb-NO"/>
              </w:rPr>
              <w:t>et al</w:t>
            </w:r>
            <w:r w:rsidRPr="00D403F5">
              <w:rPr>
                <w:rFonts w:cstheme="minorHAnsi"/>
                <w:color w:val="000000"/>
                <w:sz w:val="18"/>
                <w:szCs w:val="18"/>
              </w:rPr>
              <w:t>., 2005</w:t>
            </w:r>
          </w:p>
        </w:tc>
      </w:tr>
      <w:tr w:rsidR="00D403F5" w:rsidRPr="00D403F5" w14:paraId="17FD1484" w14:textId="77777777" w:rsidTr="00C7266C">
        <w:trPr>
          <w:cantSplit/>
        </w:trPr>
        <w:tc>
          <w:tcPr>
            <w:tcW w:w="1794" w:type="dxa"/>
            <w:vAlign w:val="center"/>
          </w:tcPr>
          <w:p w14:paraId="24D3D8AD" w14:textId="77777777" w:rsidR="00D403F5" w:rsidRPr="00D403F5" w:rsidRDefault="00D403F5" w:rsidP="00D403F5">
            <w:pPr>
              <w:spacing w:after="0"/>
              <w:rPr>
                <w:rFonts w:cstheme="minorHAnsi"/>
                <w:color w:val="000000"/>
                <w:sz w:val="18"/>
                <w:szCs w:val="18"/>
              </w:rPr>
            </w:pPr>
          </w:p>
        </w:tc>
        <w:tc>
          <w:tcPr>
            <w:tcW w:w="1705" w:type="dxa"/>
            <w:vAlign w:val="center"/>
          </w:tcPr>
          <w:p w14:paraId="6E2C2CC7" w14:textId="77777777" w:rsidR="00D403F5" w:rsidRPr="00D403F5" w:rsidRDefault="00D403F5" w:rsidP="00D403F5">
            <w:pPr>
              <w:spacing w:after="0"/>
              <w:jc w:val="center"/>
              <w:rPr>
                <w:rFonts w:cstheme="minorHAnsi"/>
                <w:i/>
                <w:iCs/>
                <w:color w:val="000000"/>
                <w:sz w:val="18"/>
                <w:szCs w:val="18"/>
              </w:rPr>
            </w:pPr>
          </w:p>
        </w:tc>
        <w:tc>
          <w:tcPr>
            <w:tcW w:w="1626" w:type="dxa"/>
            <w:vAlign w:val="center"/>
          </w:tcPr>
          <w:p w14:paraId="2FBEB685" w14:textId="77777777" w:rsidR="00D403F5" w:rsidRPr="00D403F5" w:rsidRDefault="00D403F5" w:rsidP="00D403F5">
            <w:pPr>
              <w:spacing w:after="0"/>
              <w:jc w:val="center"/>
              <w:rPr>
                <w:rFonts w:cstheme="minorHAnsi"/>
                <w:i/>
                <w:iCs/>
                <w:color w:val="000000"/>
                <w:sz w:val="18"/>
                <w:szCs w:val="18"/>
              </w:rPr>
            </w:pPr>
          </w:p>
        </w:tc>
        <w:tc>
          <w:tcPr>
            <w:tcW w:w="1080" w:type="dxa"/>
            <w:vAlign w:val="center"/>
          </w:tcPr>
          <w:p w14:paraId="426CD945" w14:textId="77777777" w:rsidR="00D403F5" w:rsidRPr="00D403F5" w:rsidRDefault="00D403F5" w:rsidP="00D403F5">
            <w:pPr>
              <w:spacing w:after="0"/>
              <w:jc w:val="center"/>
              <w:rPr>
                <w:rFonts w:cstheme="minorHAnsi"/>
                <w:color w:val="000000"/>
                <w:sz w:val="18"/>
                <w:szCs w:val="18"/>
                <w:lang w:val="nb-NO"/>
              </w:rPr>
            </w:pPr>
          </w:p>
        </w:tc>
        <w:tc>
          <w:tcPr>
            <w:tcW w:w="1530" w:type="dxa"/>
            <w:shd w:val="clear" w:color="auto" w:fill="auto"/>
            <w:vAlign w:val="center"/>
          </w:tcPr>
          <w:p w14:paraId="64D7F472" w14:textId="77777777" w:rsidR="00D403F5" w:rsidRPr="00D403F5" w:rsidRDefault="00D403F5" w:rsidP="00D403F5">
            <w:pPr>
              <w:spacing w:after="0"/>
              <w:jc w:val="center"/>
              <w:rPr>
                <w:rFonts w:cstheme="minorHAnsi"/>
                <w:color w:val="000000"/>
                <w:sz w:val="18"/>
                <w:szCs w:val="18"/>
                <w:lang w:val="nb-NO"/>
              </w:rPr>
            </w:pPr>
          </w:p>
        </w:tc>
        <w:tc>
          <w:tcPr>
            <w:tcW w:w="1620" w:type="dxa"/>
            <w:shd w:val="clear" w:color="auto" w:fill="auto"/>
            <w:vAlign w:val="center"/>
          </w:tcPr>
          <w:p w14:paraId="4BC9A516" w14:textId="77777777" w:rsidR="00D403F5" w:rsidRPr="00D403F5" w:rsidRDefault="00D403F5" w:rsidP="00D403F5">
            <w:pPr>
              <w:spacing w:after="0"/>
              <w:rPr>
                <w:rFonts w:cstheme="minorHAnsi"/>
                <w:color w:val="000000"/>
                <w:sz w:val="18"/>
                <w:szCs w:val="18"/>
              </w:rPr>
            </w:pPr>
          </w:p>
        </w:tc>
        <w:tc>
          <w:tcPr>
            <w:tcW w:w="715" w:type="dxa"/>
            <w:shd w:val="clear" w:color="auto" w:fill="auto"/>
            <w:vAlign w:val="center"/>
          </w:tcPr>
          <w:p w14:paraId="11CF1782" w14:textId="77777777" w:rsidR="00D403F5" w:rsidRPr="00D403F5" w:rsidRDefault="00D403F5" w:rsidP="00D403F5">
            <w:pPr>
              <w:spacing w:after="0"/>
              <w:jc w:val="center"/>
              <w:rPr>
                <w:rFonts w:cstheme="minorHAnsi"/>
                <w:color w:val="000000"/>
                <w:sz w:val="18"/>
                <w:szCs w:val="18"/>
              </w:rPr>
            </w:pPr>
          </w:p>
        </w:tc>
        <w:tc>
          <w:tcPr>
            <w:tcW w:w="540" w:type="dxa"/>
            <w:shd w:val="clear" w:color="auto" w:fill="auto"/>
            <w:vAlign w:val="center"/>
          </w:tcPr>
          <w:p w14:paraId="50C599E3" w14:textId="77777777" w:rsidR="00D403F5" w:rsidRPr="00D403F5" w:rsidRDefault="00D403F5" w:rsidP="00D403F5">
            <w:pPr>
              <w:spacing w:after="0"/>
              <w:jc w:val="center"/>
              <w:rPr>
                <w:rFonts w:cstheme="minorHAnsi"/>
                <w:color w:val="000000"/>
                <w:sz w:val="18"/>
                <w:szCs w:val="18"/>
              </w:rPr>
            </w:pPr>
          </w:p>
        </w:tc>
        <w:tc>
          <w:tcPr>
            <w:tcW w:w="540" w:type="dxa"/>
            <w:shd w:val="clear" w:color="auto" w:fill="auto"/>
            <w:vAlign w:val="center"/>
          </w:tcPr>
          <w:p w14:paraId="47AD7421" w14:textId="77777777" w:rsidR="00D403F5" w:rsidRPr="00D403F5" w:rsidRDefault="00D403F5" w:rsidP="00D403F5">
            <w:pPr>
              <w:spacing w:after="0"/>
              <w:jc w:val="center"/>
              <w:rPr>
                <w:rFonts w:cstheme="minorHAnsi"/>
                <w:color w:val="000000"/>
                <w:sz w:val="18"/>
                <w:szCs w:val="18"/>
              </w:rPr>
            </w:pPr>
          </w:p>
        </w:tc>
        <w:tc>
          <w:tcPr>
            <w:tcW w:w="455" w:type="dxa"/>
            <w:shd w:val="clear" w:color="auto" w:fill="auto"/>
            <w:vAlign w:val="center"/>
          </w:tcPr>
          <w:p w14:paraId="644CE795" w14:textId="77777777" w:rsidR="00D403F5" w:rsidRPr="00D403F5" w:rsidRDefault="00D403F5" w:rsidP="00D403F5">
            <w:pPr>
              <w:spacing w:after="0"/>
              <w:jc w:val="center"/>
              <w:rPr>
                <w:rFonts w:cstheme="minorHAnsi"/>
                <w:color w:val="000000"/>
                <w:sz w:val="18"/>
                <w:szCs w:val="18"/>
              </w:rPr>
            </w:pPr>
          </w:p>
        </w:tc>
        <w:tc>
          <w:tcPr>
            <w:tcW w:w="1170" w:type="dxa"/>
            <w:vAlign w:val="center"/>
          </w:tcPr>
          <w:p w14:paraId="755D37E9" w14:textId="77777777" w:rsidR="00D403F5" w:rsidRPr="00D403F5" w:rsidRDefault="00D403F5" w:rsidP="00D403F5">
            <w:pPr>
              <w:spacing w:after="0"/>
              <w:jc w:val="center"/>
              <w:rPr>
                <w:rFonts w:cstheme="minorHAnsi"/>
                <w:color w:val="000000"/>
                <w:sz w:val="18"/>
                <w:szCs w:val="18"/>
                <w:lang w:val="nb-NO"/>
              </w:rPr>
            </w:pPr>
          </w:p>
        </w:tc>
        <w:tc>
          <w:tcPr>
            <w:tcW w:w="2070" w:type="dxa"/>
            <w:shd w:val="clear" w:color="auto" w:fill="auto"/>
            <w:vAlign w:val="center"/>
          </w:tcPr>
          <w:p w14:paraId="1436DE5B" w14:textId="77777777" w:rsidR="00D403F5" w:rsidRPr="00D403F5" w:rsidRDefault="00D403F5" w:rsidP="00D403F5">
            <w:pPr>
              <w:spacing w:after="0"/>
              <w:rPr>
                <w:rFonts w:cstheme="minorHAnsi"/>
                <w:color w:val="000000"/>
                <w:sz w:val="18"/>
                <w:szCs w:val="18"/>
              </w:rPr>
            </w:pPr>
          </w:p>
        </w:tc>
      </w:tr>
    </w:tbl>
    <w:p w14:paraId="420A727C" w14:textId="77777777" w:rsidR="00C7266C" w:rsidRPr="00D403F5" w:rsidRDefault="00C7266C" w:rsidP="00D403F5">
      <w:pPr>
        <w:spacing w:after="240" w:line="240" w:lineRule="auto"/>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25D6DEBB" w14:textId="77777777" w:rsidR="00C7266C" w:rsidRPr="00D403F5" w:rsidRDefault="00C7266C" w:rsidP="00D403F5">
      <w:pPr>
        <w:spacing w:after="240" w:line="240" w:lineRule="auto"/>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5133DEB8" w14:textId="77777777" w:rsidTr="00C7266C">
        <w:trPr>
          <w:cantSplit/>
        </w:trPr>
        <w:tc>
          <w:tcPr>
            <w:tcW w:w="1794" w:type="dxa"/>
          </w:tcPr>
          <w:p w14:paraId="3F2B840D"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Common name</w:t>
            </w:r>
          </w:p>
        </w:tc>
        <w:tc>
          <w:tcPr>
            <w:tcW w:w="1705" w:type="dxa"/>
          </w:tcPr>
          <w:p w14:paraId="0375B194"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Genus</w:t>
            </w:r>
          </w:p>
        </w:tc>
        <w:tc>
          <w:tcPr>
            <w:tcW w:w="1626" w:type="dxa"/>
          </w:tcPr>
          <w:p w14:paraId="552A3FD9"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Species</w:t>
            </w:r>
          </w:p>
        </w:tc>
        <w:tc>
          <w:tcPr>
            <w:tcW w:w="1080" w:type="dxa"/>
          </w:tcPr>
          <w:p w14:paraId="50E053C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Genotype</w:t>
            </w:r>
          </w:p>
        </w:tc>
        <w:tc>
          <w:tcPr>
            <w:tcW w:w="1530" w:type="dxa"/>
            <w:shd w:val="clear" w:color="auto" w:fill="auto"/>
          </w:tcPr>
          <w:p w14:paraId="48FBD5D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00483277" w14:textId="77777777" w:rsidR="00C7266C" w:rsidRPr="00D403F5" w:rsidRDefault="00C7266C" w:rsidP="00D403F5">
            <w:pPr>
              <w:spacing w:after="0"/>
              <w:rPr>
                <w:rFonts w:ascii="Arial" w:hAnsi="Arial" w:cs="Arial"/>
                <w:color w:val="000000"/>
                <w:sz w:val="18"/>
                <w:szCs w:val="18"/>
                <w:lang w:val="fr-FR"/>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6CC4B507"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5161B76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Outcome</w:t>
            </w:r>
          </w:p>
        </w:tc>
        <w:tc>
          <w:tcPr>
            <w:tcW w:w="2070" w:type="dxa"/>
            <w:shd w:val="clear" w:color="auto" w:fill="auto"/>
          </w:tcPr>
          <w:p w14:paraId="2CC65EE9"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b/>
                <w:sz w:val="18"/>
                <w:szCs w:val="18"/>
              </w:rPr>
              <w:t>References</w:t>
            </w:r>
          </w:p>
        </w:tc>
      </w:tr>
      <w:tr w:rsidR="00C7266C" w:rsidRPr="00D403F5" w14:paraId="66728A33" w14:textId="77777777" w:rsidTr="00C7266C">
        <w:trPr>
          <w:cantSplit/>
        </w:trPr>
        <w:tc>
          <w:tcPr>
            <w:tcW w:w="1794" w:type="dxa"/>
            <w:vAlign w:val="center"/>
          </w:tcPr>
          <w:p w14:paraId="4DF41D06" w14:textId="77777777" w:rsidR="00C7266C" w:rsidRPr="00D403F5" w:rsidRDefault="00C7266C" w:rsidP="00D403F5">
            <w:pPr>
              <w:spacing w:after="0"/>
              <w:rPr>
                <w:rFonts w:ascii="Arial" w:hAnsi="Arial" w:cs="Arial"/>
                <w:color w:val="000000"/>
                <w:sz w:val="18"/>
                <w:szCs w:val="18"/>
              </w:rPr>
            </w:pPr>
          </w:p>
        </w:tc>
        <w:tc>
          <w:tcPr>
            <w:tcW w:w="1705" w:type="dxa"/>
            <w:vAlign w:val="center"/>
          </w:tcPr>
          <w:p w14:paraId="290A4367" w14:textId="77777777" w:rsidR="00C7266C" w:rsidRPr="00D403F5" w:rsidRDefault="00C7266C" w:rsidP="00D403F5">
            <w:pPr>
              <w:spacing w:after="0"/>
              <w:jc w:val="center"/>
              <w:rPr>
                <w:rFonts w:ascii="Arial" w:hAnsi="Arial" w:cs="Arial"/>
                <w:i/>
                <w:iCs/>
                <w:color w:val="000000"/>
                <w:sz w:val="18"/>
                <w:szCs w:val="18"/>
              </w:rPr>
            </w:pPr>
          </w:p>
        </w:tc>
        <w:tc>
          <w:tcPr>
            <w:tcW w:w="1626" w:type="dxa"/>
            <w:vAlign w:val="center"/>
          </w:tcPr>
          <w:p w14:paraId="09C88031" w14:textId="77777777" w:rsidR="00C7266C" w:rsidRPr="00D403F5" w:rsidRDefault="00C7266C" w:rsidP="00D403F5">
            <w:pPr>
              <w:spacing w:after="0"/>
              <w:jc w:val="center"/>
              <w:rPr>
                <w:rFonts w:ascii="Arial" w:hAnsi="Arial" w:cs="Arial"/>
                <w:i/>
                <w:iCs/>
                <w:color w:val="000000"/>
                <w:sz w:val="18"/>
                <w:szCs w:val="18"/>
              </w:rPr>
            </w:pPr>
          </w:p>
        </w:tc>
        <w:tc>
          <w:tcPr>
            <w:tcW w:w="1080" w:type="dxa"/>
            <w:vAlign w:val="center"/>
          </w:tcPr>
          <w:p w14:paraId="6BEA8CFF" w14:textId="77777777" w:rsidR="00C7266C" w:rsidRPr="00D403F5" w:rsidRDefault="00C7266C" w:rsidP="00D403F5">
            <w:pPr>
              <w:spacing w:after="0"/>
              <w:jc w:val="center"/>
              <w:rPr>
                <w:rFonts w:ascii="Arial" w:hAnsi="Arial" w:cs="Arial"/>
                <w:color w:val="000000"/>
                <w:sz w:val="18"/>
                <w:szCs w:val="18"/>
                <w:lang w:val="nb-NO"/>
              </w:rPr>
            </w:pPr>
          </w:p>
        </w:tc>
        <w:tc>
          <w:tcPr>
            <w:tcW w:w="1530" w:type="dxa"/>
            <w:shd w:val="clear" w:color="auto" w:fill="auto"/>
            <w:vAlign w:val="center"/>
          </w:tcPr>
          <w:p w14:paraId="2030117E" w14:textId="77777777" w:rsidR="00C7266C" w:rsidRPr="00D403F5" w:rsidRDefault="00C7266C" w:rsidP="00D403F5">
            <w:pPr>
              <w:spacing w:after="0"/>
              <w:jc w:val="center"/>
              <w:rPr>
                <w:rFonts w:ascii="Arial" w:hAnsi="Arial" w:cs="Arial"/>
                <w:color w:val="000000"/>
                <w:sz w:val="18"/>
                <w:szCs w:val="18"/>
                <w:lang w:val="nb-NO"/>
              </w:rPr>
            </w:pPr>
          </w:p>
        </w:tc>
        <w:tc>
          <w:tcPr>
            <w:tcW w:w="1620" w:type="dxa"/>
            <w:shd w:val="clear" w:color="auto" w:fill="auto"/>
            <w:vAlign w:val="center"/>
          </w:tcPr>
          <w:p w14:paraId="6F1BD62D" w14:textId="77777777" w:rsidR="00C7266C" w:rsidRPr="00D403F5" w:rsidRDefault="00C7266C" w:rsidP="00D403F5">
            <w:pPr>
              <w:spacing w:after="0"/>
              <w:rPr>
                <w:rFonts w:ascii="Arial" w:hAnsi="Arial" w:cs="Arial"/>
                <w:color w:val="000000"/>
                <w:sz w:val="18"/>
                <w:szCs w:val="18"/>
                <w:lang w:val="fr-FR"/>
              </w:rPr>
            </w:pPr>
          </w:p>
        </w:tc>
        <w:tc>
          <w:tcPr>
            <w:tcW w:w="715" w:type="dxa"/>
            <w:shd w:val="clear" w:color="auto" w:fill="auto"/>
            <w:vAlign w:val="center"/>
          </w:tcPr>
          <w:p w14:paraId="19F48086"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A</w:t>
            </w:r>
          </w:p>
        </w:tc>
        <w:tc>
          <w:tcPr>
            <w:tcW w:w="540" w:type="dxa"/>
            <w:shd w:val="clear" w:color="auto" w:fill="auto"/>
            <w:vAlign w:val="center"/>
          </w:tcPr>
          <w:p w14:paraId="53F3580A"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B</w:t>
            </w:r>
          </w:p>
        </w:tc>
        <w:tc>
          <w:tcPr>
            <w:tcW w:w="540" w:type="dxa"/>
            <w:shd w:val="clear" w:color="auto" w:fill="auto"/>
            <w:vAlign w:val="center"/>
          </w:tcPr>
          <w:p w14:paraId="39855CC9"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C</w:t>
            </w:r>
          </w:p>
        </w:tc>
        <w:tc>
          <w:tcPr>
            <w:tcW w:w="455" w:type="dxa"/>
            <w:shd w:val="clear" w:color="auto" w:fill="auto"/>
            <w:vAlign w:val="center"/>
          </w:tcPr>
          <w:p w14:paraId="4C456D1A"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D</w:t>
            </w:r>
          </w:p>
        </w:tc>
        <w:tc>
          <w:tcPr>
            <w:tcW w:w="1170" w:type="dxa"/>
            <w:vAlign w:val="center"/>
          </w:tcPr>
          <w:p w14:paraId="1E774F5F" w14:textId="77777777" w:rsidR="00C7266C" w:rsidRPr="00D403F5" w:rsidRDefault="00C7266C" w:rsidP="00D403F5">
            <w:pPr>
              <w:spacing w:after="0"/>
              <w:jc w:val="center"/>
              <w:rPr>
                <w:rFonts w:ascii="Arial" w:hAnsi="Arial" w:cs="Arial"/>
                <w:color w:val="000000"/>
                <w:sz w:val="18"/>
                <w:szCs w:val="18"/>
                <w:lang w:val="nb-NO"/>
              </w:rPr>
            </w:pPr>
          </w:p>
        </w:tc>
        <w:tc>
          <w:tcPr>
            <w:tcW w:w="2070" w:type="dxa"/>
            <w:shd w:val="clear" w:color="auto" w:fill="auto"/>
            <w:vAlign w:val="center"/>
          </w:tcPr>
          <w:p w14:paraId="622CA994" w14:textId="77777777" w:rsidR="00C7266C" w:rsidRPr="00D403F5" w:rsidRDefault="00C7266C" w:rsidP="00D403F5">
            <w:pPr>
              <w:spacing w:after="0"/>
              <w:rPr>
                <w:rFonts w:ascii="Arial" w:hAnsi="Arial" w:cs="Arial"/>
                <w:color w:val="000000"/>
                <w:sz w:val="18"/>
                <w:szCs w:val="18"/>
                <w:lang w:val="nb-NO"/>
              </w:rPr>
            </w:pPr>
          </w:p>
        </w:tc>
      </w:tr>
      <w:tr w:rsidR="00A26A4C" w:rsidRPr="00D403F5" w14:paraId="35E5A724" w14:textId="77777777" w:rsidTr="00C7266C">
        <w:trPr>
          <w:cantSplit/>
        </w:trPr>
        <w:tc>
          <w:tcPr>
            <w:tcW w:w="1794" w:type="dxa"/>
            <w:vAlign w:val="center"/>
          </w:tcPr>
          <w:p w14:paraId="22BCE559" w14:textId="5A1CB58E" w:rsidR="00A26A4C" w:rsidRPr="00D403F5" w:rsidRDefault="00A26A4C" w:rsidP="00D403F5">
            <w:pPr>
              <w:spacing w:after="0"/>
              <w:rPr>
                <w:rFonts w:ascii="Arial" w:hAnsi="Arial" w:cs="Arial"/>
                <w:color w:val="000000"/>
                <w:sz w:val="18"/>
                <w:szCs w:val="18"/>
              </w:rPr>
            </w:pPr>
            <w:r w:rsidRPr="00D403F5">
              <w:rPr>
                <w:rFonts w:ascii="Arial" w:hAnsi="Arial" w:cs="Arial"/>
                <w:color w:val="000000"/>
                <w:sz w:val="18"/>
                <w:szCs w:val="18"/>
              </w:rPr>
              <w:t>European plaice</w:t>
            </w:r>
          </w:p>
        </w:tc>
        <w:tc>
          <w:tcPr>
            <w:tcW w:w="1705" w:type="dxa"/>
            <w:vAlign w:val="center"/>
          </w:tcPr>
          <w:p w14:paraId="43B73C75" w14:textId="1A6DE5B9" w:rsidR="00A26A4C" w:rsidRPr="00D403F5" w:rsidRDefault="00A26A4C" w:rsidP="00D403F5">
            <w:pPr>
              <w:spacing w:after="0"/>
              <w:jc w:val="center"/>
              <w:rPr>
                <w:rFonts w:ascii="Arial" w:hAnsi="Arial" w:cs="Arial"/>
                <w:i/>
                <w:iCs/>
                <w:color w:val="000000"/>
                <w:sz w:val="18"/>
                <w:szCs w:val="18"/>
              </w:rPr>
            </w:pPr>
            <w:r w:rsidRPr="00D403F5">
              <w:rPr>
                <w:rFonts w:ascii="Arial" w:hAnsi="Arial" w:cs="Arial"/>
                <w:i/>
                <w:iCs/>
                <w:color w:val="000000"/>
                <w:sz w:val="18"/>
                <w:szCs w:val="18"/>
              </w:rPr>
              <w:t xml:space="preserve">Pleuronectes </w:t>
            </w:r>
          </w:p>
        </w:tc>
        <w:tc>
          <w:tcPr>
            <w:tcW w:w="1626" w:type="dxa"/>
            <w:vAlign w:val="center"/>
          </w:tcPr>
          <w:p w14:paraId="67972606" w14:textId="0512BB95" w:rsidR="00A26A4C" w:rsidRPr="00D403F5" w:rsidRDefault="00A26A4C" w:rsidP="00D403F5">
            <w:pPr>
              <w:spacing w:after="0"/>
              <w:jc w:val="center"/>
              <w:rPr>
                <w:rFonts w:ascii="Arial" w:hAnsi="Arial" w:cs="Arial"/>
                <w:i/>
                <w:iCs/>
                <w:color w:val="000000"/>
                <w:sz w:val="18"/>
                <w:szCs w:val="18"/>
              </w:rPr>
            </w:pPr>
            <w:r w:rsidRPr="00D403F5">
              <w:rPr>
                <w:rFonts w:ascii="Arial" w:hAnsi="Arial" w:cs="Arial"/>
                <w:i/>
                <w:iCs/>
                <w:color w:val="000000"/>
                <w:sz w:val="18"/>
                <w:szCs w:val="18"/>
              </w:rPr>
              <w:t>platessa</w:t>
            </w:r>
          </w:p>
        </w:tc>
        <w:tc>
          <w:tcPr>
            <w:tcW w:w="1080" w:type="dxa"/>
            <w:vAlign w:val="center"/>
          </w:tcPr>
          <w:p w14:paraId="2C9AA5FF" w14:textId="3AB300A5"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III</w:t>
            </w:r>
          </w:p>
        </w:tc>
        <w:tc>
          <w:tcPr>
            <w:tcW w:w="1530" w:type="dxa"/>
            <w:shd w:val="clear" w:color="auto" w:fill="auto"/>
            <w:vAlign w:val="center"/>
          </w:tcPr>
          <w:p w14:paraId="43DEFE1B" w14:textId="002C98A8"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5CC71CCF" w14:textId="49E908EC" w:rsidR="00A26A4C" w:rsidRPr="00D403F5" w:rsidRDefault="00A26A4C" w:rsidP="00D403F5">
            <w:pPr>
              <w:spacing w:after="0"/>
              <w:rPr>
                <w:rFonts w:ascii="Arial" w:hAnsi="Arial" w:cs="Arial"/>
                <w:color w:val="000000"/>
                <w:sz w:val="18"/>
                <w:szCs w:val="18"/>
                <w:lang w:val="fr-FR"/>
              </w:rPr>
            </w:pPr>
            <w:r w:rsidRPr="00D403F5">
              <w:rPr>
                <w:rFonts w:ascii="Arial" w:hAnsi="Arial" w:cs="Arial"/>
                <w:color w:val="000000"/>
                <w:sz w:val="18"/>
                <w:szCs w:val="18"/>
              </w:rPr>
              <w:t>Cell culture, ELISA, sequencing</w:t>
            </w:r>
          </w:p>
        </w:tc>
        <w:tc>
          <w:tcPr>
            <w:tcW w:w="715" w:type="dxa"/>
            <w:shd w:val="clear" w:color="auto" w:fill="auto"/>
            <w:vAlign w:val="center"/>
          </w:tcPr>
          <w:p w14:paraId="5DA92A95" w14:textId="0C081FCE"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ND</w:t>
            </w:r>
          </w:p>
        </w:tc>
        <w:tc>
          <w:tcPr>
            <w:tcW w:w="540" w:type="dxa"/>
            <w:shd w:val="clear" w:color="auto" w:fill="auto"/>
            <w:vAlign w:val="center"/>
          </w:tcPr>
          <w:p w14:paraId="3DD379DC" w14:textId="2EB8CA13"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540" w:type="dxa"/>
            <w:shd w:val="clear" w:color="auto" w:fill="auto"/>
            <w:vAlign w:val="center"/>
          </w:tcPr>
          <w:p w14:paraId="74F6BDB1" w14:textId="022D0323"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N</w:t>
            </w:r>
          </w:p>
        </w:tc>
        <w:tc>
          <w:tcPr>
            <w:tcW w:w="455" w:type="dxa"/>
            <w:shd w:val="clear" w:color="auto" w:fill="auto"/>
            <w:vAlign w:val="center"/>
          </w:tcPr>
          <w:p w14:paraId="38D82829" w14:textId="13DE0D17"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1170" w:type="dxa"/>
            <w:vAlign w:val="center"/>
          </w:tcPr>
          <w:p w14:paraId="57898648" w14:textId="48A8E7C0"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51F16CBE" w14:textId="12CF8AAB" w:rsidR="00A26A4C" w:rsidRPr="00D403F5" w:rsidRDefault="00A26A4C" w:rsidP="00D403F5">
            <w:pPr>
              <w:spacing w:after="0"/>
              <w:rPr>
                <w:rFonts w:ascii="Arial" w:hAnsi="Arial" w:cs="Arial"/>
                <w:color w:val="000000"/>
                <w:sz w:val="18"/>
                <w:szCs w:val="18"/>
                <w:lang w:val="nb-NO"/>
              </w:rPr>
            </w:pPr>
            <w:r w:rsidRPr="00D403F5">
              <w:rPr>
                <w:rFonts w:ascii="Arial" w:hAnsi="Arial" w:cs="Arial"/>
                <w:color w:val="000000"/>
                <w:sz w:val="18"/>
                <w:szCs w:val="18"/>
                <w:lang w:val="nb-NO"/>
              </w:rPr>
              <w:t xml:space="preserve">Skall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2005; </w:t>
            </w:r>
            <w:r w:rsidRPr="00D403F5">
              <w:rPr>
                <w:rFonts w:ascii="Arial" w:hAnsi="Arial" w:cs="Arial"/>
                <w:sz w:val="18"/>
                <w:szCs w:val="18"/>
                <w:lang w:val="nb-NO"/>
              </w:rPr>
              <w:t xml:space="preserve">Wallace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2015</w:t>
            </w:r>
          </w:p>
        </w:tc>
      </w:tr>
      <w:tr w:rsidR="00A26A4C" w:rsidRPr="00D403F5" w14:paraId="78B4112A" w14:textId="77777777" w:rsidTr="00C7266C">
        <w:trPr>
          <w:cantSplit/>
        </w:trPr>
        <w:tc>
          <w:tcPr>
            <w:tcW w:w="1794" w:type="dxa"/>
            <w:vAlign w:val="center"/>
          </w:tcPr>
          <w:p w14:paraId="42066D14" w14:textId="3F077466" w:rsidR="00A26A4C" w:rsidRPr="00D403F5" w:rsidRDefault="00A26A4C" w:rsidP="00D403F5">
            <w:pPr>
              <w:spacing w:after="0"/>
              <w:rPr>
                <w:rFonts w:ascii="Arial" w:hAnsi="Arial" w:cs="Arial"/>
                <w:color w:val="000000"/>
                <w:sz w:val="18"/>
                <w:szCs w:val="18"/>
              </w:rPr>
            </w:pPr>
            <w:r w:rsidRPr="00D403F5">
              <w:rPr>
                <w:rFonts w:ascii="Arial" w:hAnsi="Arial" w:cs="Arial"/>
                <w:color w:val="000000"/>
                <w:sz w:val="18"/>
                <w:szCs w:val="18"/>
              </w:rPr>
              <w:t>European sprat</w:t>
            </w:r>
          </w:p>
        </w:tc>
        <w:tc>
          <w:tcPr>
            <w:tcW w:w="1705" w:type="dxa"/>
            <w:vAlign w:val="center"/>
          </w:tcPr>
          <w:p w14:paraId="0B9380A5" w14:textId="1C094253" w:rsidR="00A26A4C" w:rsidRPr="00D403F5" w:rsidRDefault="00A26A4C" w:rsidP="00D403F5">
            <w:pPr>
              <w:spacing w:after="0"/>
              <w:jc w:val="center"/>
              <w:rPr>
                <w:rFonts w:ascii="Arial" w:hAnsi="Arial" w:cs="Arial"/>
                <w:i/>
                <w:iCs/>
                <w:color w:val="000000"/>
                <w:sz w:val="18"/>
                <w:szCs w:val="18"/>
              </w:rPr>
            </w:pPr>
            <w:r w:rsidRPr="00D403F5">
              <w:rPr>
                <w:rFonts w:ascii="Arial" w:hAnsi="Arial" w:cs="Arial"/>
                <w:i/>
                <w:iCs/>
                <w:color w:val="000000"/>
                <w:sz w:val="18"/>
                <w:szCs w:val="18"/>
              </w:rPr>
              <w:t xml:space="preserve">Sprattus </w:t>
            </w:r>
          </w:p>
        </w:tc>
        <w:tc>
          <w:tcPr>
            <w:tcW w:w="1626" w:type="dxa"/>
            <w:vAlign w:val="center"/>
          </w:tcPr>
          <w:p w14:paraId="34BAEE64" w14:textId="2A4238C1" w:rsidR="00A26A4C" w:rsidRPr="00D403F5" w:rsidRDefault="00A26A4C" w:rsidP="00D403F5">
            <w:pPr>
              <w:spacing w:after="0"/>
              <w:jc w:val="center"/>
              <w:rPr>
                <w:rFonts w:ascii="Arial" w:hAnsi="Arial" w:cs="Arial"/>
                <w:i/>
                <w:iCs/>
                <w:color w:val="000000"/>
                <w:sz w:val="18"/>
                <w:szCs w:val="18"/>
              </w:rPr>
            </w:pPr>
            <w:r w:rsidRPr="00D403F5">
              <w:rPr>
                <w:rFonts w:ascii="Arial" w:hAnsi="Arial" w:cs="Arial"/>
                <w:i/>
                <w:iCs/>
                <w:color w:val="000000"/>
                <w:sz w:val="18"/>
                <w:szCs w:val="18"/>
              </w:rPr>
              <w:t>sprattus</w:t>
            </w:r>
          </w:p>
        </w:tc>
        <w:tc>
          <w:tcPr>
            <w:tcW w:w="1080" w:type="dxa"/>
            <w:vAlign w:val="center"/>
          </w:tcPr>
          <w:p w14:paraId="025851DE" w14:textId="49880C58"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Ib</w:t>
            </w:r>
          </w:p>
        </w:tc>
        <w:tc>
          <w:tcPr>
            <w:tcW w:w="1530" w:type="dxa"/>
            <w:shd w:val="clear" w:color="auto" w:fill="auto"/>
            <w:vAlign w:val="center"/>
          </w:tcPr>
          <w:p w14:paraId="11495578" w14:textId="034E69B5"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45608954" w14:textId="723A0125" w:rsidR="00A26A4C" w:rsidRPr="00D403F5" w:rsidRDefault="00A26A4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and PCR</w:t>
            </w:r>
          </w:p>
        </w:tc>
        <w:tc>
          <w:tcPr>
            <w:tcW w:w="715" w:type="dxa"/>
            <w:shd w:val="clear" w:color="auto" w:fill="auto"/>
            <w:vAlign w:val="center"/>
          </w:tcPr>
          <w:p w14:paraId="238136DB" w14:textId="364AD1B8"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N</w:t>
            </w:r>
          </w:p>
        </w:tc>
        <w:tc>
          <w:tcPr>
            <w:tcW w:w="540" w:type="dxa"/>
            <w:shd w:val="clear" w:color="auto" w:fill="auto"/>
            <w:vAlign w:val="center"/>
          </w:tcPr>
          <w:p w14:paraId="2F223325" w14:textId="6F5C5230"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540" w:type="dxa"/>
            <w:shd w:val="clear" w:color="auto" w:fill="auto"/>
            <w:vAlign w:val="center"/>
          </w:tcPr>
          <w:p w14:paraId="4E10E623" w14:textId="43C9ED2E"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N</w:t>
            </w:r>
          </w:p>
        </w:tc>
        <w:tc>
          <w:tcPr>
            <w:tcW w:w="455" w:type="dxa"/>
            <w:shd w:val="clear" w:color="auto" w:fill="auto"/>
            <w:vAlign w:val="center"/>
          </w:tcPr>
          <w:p w14:paraId="7959A26E" w14:textId="349CCD36"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1170" w:type="dxa"/>
            <w:vAlign w:val="center"/>
          </w:tcPr>
          <w:p w14:paraId="7EB94E5E" w14:textId="7E795FBD"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26006875" w14:textId="115ACEAC" w:rsidR="00A26A4C" w:rsidRPr="00D403F5" w:rsidRDefault="00A26A4C" w:rsidP="00D403F5">
            <w:pPr>
              <w:spacing w:after="0"/>
              <w:rPr>
                <w:rFonts w:ascii="Arial" w:hAnsi="Arial" w:cs="Arial"/>
                <w:color w:val="000000"/>
                <w:sz w:val="18"/>
                <w:szCs w:val="18"/>
                <w:lang w:val="nb-NO"/>
              </w:rPr>
            </w:pPr>
            <w:r w:rsidRPr="00D403F5">
              <w:rPr>
                <w:rFonts w:ascii="Arial" w:hAnsi="Arial" w:cs="Arial"/>
                <w:color w:val="000000"/>
                <w:sz w:val="18"/>
                <w:szCs w:val="18"/>
                <w:lang w:val="nb-NO"/>
              </w:rPr>
              <w:t xml:space="preserve">Mortensen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1999; Skall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2005</w:t>
            </w:r>
          </w:p>
        </w:tc>
      </w:tr>
      <w:tr w:rsidR="00A26A4C" w:rsidRPr="00D403F5" w14:paraId="22D29E37" w14:textId="77777777" w:rsidTr="00C7266C">
        <w:trPr>
          <w:cantSplit/>
        </w:trPr>
        <w:tc>
          <w:tcPr>
            <w:tcW w:w="1794" w:type="dxa"/>
            <w:vAlign w:val="center"/>
          </w:tcPr>
          <w:p w14:paraId="06A132C5" w14:textId="63B75D72" w:rsidR="00A26A4C" w:rsidRPr="00D403F5" w:rsidRDefault="00A26A4C" w:rsidP="00D403F5">
            <w:pPr>
              <w:spacing w:after="0"/>
              <w:rPr>
                <w:rFonts w:ascii="Arial" w:hAnsi="Arial" w:cs="Arial"/>
                <w:color w:val="000000"/>
                <w:sz w:val="18"/>
                <w:szCs w:val="18"/>
              </w:rPr>
            </w:pPr>
            <w:r w:rsidRPr="00D403F5">
              <w:rPr>
                <w:rFonts w:ascii="Arial" w:hAnsi="Arial" w:cs="Arial"/>
                <w:color w:val="000000"/>
                <w:sz w:val="18"/>
                <w:szCs w:val="18"/>
              </w:rPr>
              <w:t xml:space="preserve">Fathead Minnow </w:t>
            </w:r>
          </w:p>
        </w:tc>
        <w:tc>
          <w:tcPr>
            <w:tcW w:w="1705" w:type="dxa"/>
            <w:vAlign w:val="center"/>
          </w:tcPr>
          <w:p w14:paraId="712568CF" w14:textId="0C88CAC4" w:rsidR="00A26A4C" w:rsidRPr="00D403F5" w:rsidRDefault="00A26A4C" w:rsidP="00D403F5">
            <w:pPr>
              <w:spacing w:after="0"/>
              <w:jc w:val="center"/>
              <w:rPr>
                <w:rFonts w:ascii="Arial" w:hAnsi="Arial" w:cs="Arial"/>
                <w:i/>
                <w:iCs/>
                <w:color w:val="000000"/>
                <w:sz w:val="18"/>
                <w:szCs w:val="18"/>
              </w:rPr>
            </w:pPr>
            <w:r w:rsidRPr="00D403F5">
              <w:rPr>
                <w:rFonts w:ascii="Arial" w:hAnsi="Arial" w:cs="Arial"/>
                <w:i/>
                <w:iCs/>
                <w:color w:val="000000"/>
                <w:sz w:val="18"/>
                <w:szCs w:val="18"/>
              </w:rPr>
              <w:t xml:space="preserve">Pimephales </w:t>
            </w:r>
          </w:p>
        </w:tc>
        <w:tc>
          <w:tcPr>
            <w:tcW w:w="1626" w:type="dxa"/>
            <w:vAlign w:val="center"/>
          </w:tcPr>
          <w:p w14:paraId="4332C4B6" w14:textId="76D76757" w:rsidR="00A26A4C" w:rsidRPr="00D403F5" w:rsidRDefault="00A26A4C" w:rsidP="00D403F5">
            <w:pPr>
              <w:spacing w:after="0"/>
              <w:jc w:val="center"/>
              <w:rPr>
                <w:rFonts w:ascii="Arial" w:hAnsi="Arial" w:cs="Arial"/>
                <w:i/>
                <w:iCs/>
                <w:color w:val="000000"/>
                <w:sz w:val="18"/>
                <w:szCs w:val="18"/>
              </w:rPr>
            </w:pPr>
            <w:r w:rsidRPr="00D403F5">
              <w:rPr>
                <w:rFonts w:ascii="Arial" w:hAnsi="Arial" w:cs="Arial"/>
                <w:i/>
                <w:iCs/>
                <w:color w:val="000000"/>
                <w:sz w:val="18"/>
                <w:szCs w:val="18"/>
              </w:rPr>
              <w:t>promelas</w:t>
            </w:r>
          </w:p>
        </w:tc>
        <w:tc>
          <w:tcPr>
            <w:tcW w:w="1080" w:type="dxa"/>
            <w:vAlign w:val="center"/>
          </w:tcPr>
          <w:p w14:paraId="0DB1492C" w14:textId="40A45FE7"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6550C24C" w14:textId="7CFFFEF3"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E</w:t>
            </w:r>
          </w:p>
        </w:tc>
        <w:tc>
          <w:tcPr>
            <w:tcW w:w="1620" w:type="dxa"/>
            <w:shd w:val="clear" w:color="auto" w:fill="auto"/>
            <w:vAlign w:val="center"/>
          </w:tcPr>
          <w:p w14:paraId="663AC8FB" w14:textId="03E4AEE9" w:rsidR="00A26A4C" w:rsidRPr="00D403F5" w:rsidRDefault="00A26A4C" w:rsidP="00D403F5">
            <w:pPr>
              <w:spacing w:after="0"/>
              <w:rPr>
                <w:rFonts w:ascii="Arial" w:hAnsi="Arial" w:cs="Arial"/>
                <w:color w:val="000000"/>
                <w:sz w:val="18"/>
                <w:szCs w:val="18"/>
                <w:lang w:val="fr-FR"/>
              </w:rPr>
            </w:pPr>
            <w:r w:rsidRPr="00D403F5">
              <w:rPr>
                <w:rFonts w:ascii="Arial" w:hAnsi="Arial" w:cs="Arial"/>
                <w:color w:val="000000"/>
                <w:sz w:val="18"/>
                <w:szCs w:val="18"/>
                <w:lang w:val="fr-FR"/>
              </w:rPr>
              <w:t>Virus isolation, RT-PCR, IHC</w:t>
            </w:r>
          </w:p>
        </w:tc>
        <w:tc>
          <w:tcPr>
            <w:tcW w:w="715" w:type="dxa"/>
            <w:shd w:val="clear" w:color="auto" w:fill="auto"/>
            <w:vAlign w:val="center"/>
          </w:tcPr>
          <w:p w14:paraId="783D2A2F" w14:textId="7716D311"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540" w:type="dxa"/>
            <w:shd w:val="clear" w:color="auto" w:fill="auto"/>
            <w:vAlign w:val="center"/>
          </w:tcPr>
          <w:p w14:paraId="5D884795" w14:textId="41AC3CBF"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540" w:type="dxa"/>
            <w:shd w:val="clear" w:color="auto" w:fill="auto"/>
            <w:vAlign w:val="center"/>
          </w:tcPr>
          <w:p w14:paraId="502EF85E" w14:textId="07A331C0"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455" w:type="dxa"/>
            <w:shd w:val="clear" w:color="auto" w:fill="auto"/>
            <w:vAlign w:val="center"/>
          </w:tcPr>
          <w:p w14:paraId="34FB14CD" w14:textId="1AB8355F" w:rsidR="00A26A4C" w:rsidRPr="00D403F5" w:rsidRDefault="00A26A4C" w:rsidP="00D403F5">
            <w:pPr>
              <w:spacing w:after="0"/>
              <w:jc w:val="center"/>
              <w:rPr>
                <w:rFonts w:ascii="Arial" w:hAnsi="Arial" w:cs="Arial"/>
                <w:color w:val="000000"/>
                <w:sz w:val="18"/>
                <w:szCs w:val="18"/>
              </w:rPr>
            </w:pPr>
            <w:r w:rsidRPr="00D403F5">
              <w:rPr>
                <w:rFonts w:ascii="Arial" w:hAnsi="Arial" w:cs="Arial"/>
                <w:color w:val="000000"/>
                <w:sz w:val="18"/>
                <w:szCs w:val="18"/>
              </w:rPr>
              <w:t>Y</w:t>
            </w:r>
          </w:p>
        </w:tc>
        <w:tc>
          <w:tcPr>
            <w:tcW w:w="1170" w:type="dxa"/>
            <w:vAlign w:val="center"/>
          </w:tcPr>
          <w:p w14:paraId="1F59D078" w14:textId="27E42DD8" w:rsidR="00A26A4C" w:rsidRPr="00D403F5" w:rsidRDefault="00A26A4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539F56D2" w14:textId="77BF7103" w:rsidR="00A26A4C" w:rsidRPr="00D403F5" w:rsidRDefault="00A26A4C" w:rsidP="00D403F5">
            <w:pPr>
              <w:spacing w:after="0"/>
              <w:rPr>
                <w:rFonts w:ascii="Arial" w:hAnsi="Arial" w:cs="Arial"/>
                <w:color w:val="000000"/>
                <w:sz w:val="18"/>
                <w:szCs w:val="18"/>
                <w:lang w:val="nb-NO"/>
              </w:rPr>
            </w:pPr>
            <w:r w:rsidRPr="00D403F5">
              <w:rPr>
                <w:rFonts w:ascii="Arial" w:hAnsi="Arial" w:cs="Arial"/>
                <w:color w:val="000000"/>
                <w:sz w:val="18"/>
                <w:szCs w:val="18"/>
              </w:rPr>
              <w:t xml:space="preserve">Al-Hussinee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2010 </w:t>
            </w:r>
          </w:p>
        </w:tc>
      </w:tr>
      <w:tr w:rsidR="00C7266C" w:rsidRPr="00D403F5" w14:paraId="05872B7C" w14:textId="77777777" w:rsidTr="00C7266C">
        <w:trPr>
          <w:cantSplit/>
        </w:trPr>
        <w:tc>
          <w:tcPr>
            <w:tcW w:w="1794" w:type="dxa"/>
            <w:vAlign w:val="center"/>
          </w:tcPr>
          <w:p w14:paraId="532CB4E5"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Freshwater drum</w:t>
            </w:r>
          </w:p>
        </w:tc>
        <w:tc>
          <w:tcPr>
            <w:tcW w:w="1705" w:type="dxa"/>
            <w:vAlign w:val="center"/>
          </w:tcPr>
          <w:p w14:paraId="7524A46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Aplodinotus </w:t>
            </w:r>
          </w:p>
        </w:tc>
        <w:tc>
          <w:tcPr>
            <w:tcW w:w="1626" w:type="dxa"/>
            <w:vAlign w:val="center"/>
          </w:tcPr>
          <w:p w14:paraId="19C332B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grunniens</w:t>
            </w:r>
          </w:p>
        </w:tc>
        <w:tc>
          <w:tcPr>
            <w:tcW w:w="1080" w:type="dxa"/>
            <w:vAlign w:val="center"/>
          </w:tcPr>
          <w:p w14:paraId="707DA51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1F32706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6D0F7A48" w14:textId="77777777" w:rsidR="00C7266C" w:rsidRPr="00D403F5" w:rsidRDefault="00C7266C" w:rsidP="00D403F5">
            <w:pPr>
              <w:spacing w:after="0"/>
              <w:rPr>
                <w:rFonts w:ascii="Arial" w:hAnsi="Arial" w:cs="Arial"/>
                <w:color w:val="000000"/>
                <w:sz w:val="18"/>
                <w:szCs w:val="18"/>
                <w:lang w:val="fr-FR"/>
              </w:rPr>
            </w:pPr>
            <w:r w:rsidRPr="00D403F5">
              <w:rPr>
                <w:rFonts w:ascii="Arial" w:hAnsi="Arial" w:cs="Arial"/>
                <w:color w:val="000000"/>
                <w:sz w:val="18"/>
                <w:szCs w:val="18"/>
                <w:lang w:val="fr-FR"/>
              </w:rPr>
              <w:t>Virus Isolation, Rt-PCR, IHC</w:t>
            </w:r>
          </w:p>
        </w:tc>
        <w:tc>
          <w:tcPr>
            <w:tcW w:w="715" w:type="dxa"/>
            <w:shd w:val="clear" w:color="auto" w:fill="auto"/>
            <w:vAlign w:val="center"/>
          </w:tcPr>
          <w:p w14:paraId="05D30BF4"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540" w:type="dxa"/>
            <w:shd w:val="clear" w:color="auto" w:fill="auto"/>
            <w:vAlign w:val="center"/>
          </w:tcPr>
          <w:p w14:paraId="0C7E436B"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540" w:type="dxa"/>
            <w:shd w:val="clear" w:color="auto" w:fill="auto"/>
            <w:vAlign w:val="center"/>
          </w:tcPr>
          <w:p w14:paraId="62ED270D"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455" w:type="dxa"/>
            <w:shd w:val="clear" w:color="auto" w:fill="auto"/>
            <w:vAlign w:val="center"/>
          </w:tcPr>
          <w:p w14:paraId="3F000CFE" w14:textId="77777777" w:rsidR="00C7266C" w:rsidRPr="00D403F5" w:rsidRDefault="00C7266C" w:rsidP="00D403F5">
            <w:pPr>
              <w:spacing w:after="0"/>
              <w:jc w:val="center"/>
              <w:rPr>
                <w:rFonts w:ascii="Arial" w:hAnsi="Arial" w:cs="Arial"/>
                <w:color w:val="000000"/>
                <w:sz w:val="18"/>
                <w:szCs w:val="18"/>
                <w:lang w:val="fr-FR"/>
              </w:rPr>
            </w:pPr>
            <w:r w:rsidRPr="00D403F5">
              <w:rPr>
                <w:rFonts w:ascii="Arial" w:hAnsi="Arial" w:cs="Arial"/>
                <w:color w:val="000000"/>
                <w:sz w:val="18"/>
                <w:szCs w:val="18"/>
              </w:rPr>
              <w:t>Y</w:t>
            </w:r>
          </w:p>
        </w:tc>
        <w:tc>
          <w:tcPr>
            <w:tcW w:w="1170" w:type="dxa"/>
            <w:vAlign w:val="center"/>
          </w:tcPr>
          <w:p w14:paraId="7FFF3BF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7DAD89AA"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color w:val="000000"/>
                <w:sz w:val="18"/>
                <w:szCs w:val="18"/>
                <w:lang w:val="nb-NO"/>
              </w:rPr>
              <w:t xml:space="preserve">Lumsden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2007; Al-Hussinee &amp; Lumsden, 2011 </w:t>
            </w:r>
          </w:p>
        </w:tc>
      </w:tr>
      <w:tr w:rsidR="00C7266C" w:rsidRPr="00D403F5" w14:paraId="044D2B0A" w14:textId="77777777" w:rsidTr="00C7266C">
        <w:trPr>
          <w:cantSplit/>
        </w:trPr>
        <w:tc>
          <w:tcPr>
            <w:tcW w:w="1794" w:type="dxa"/>
            <w:vAlign w:val="center"/>
          </w:tcPr>
          <w:p w14:paraId="2D9BD6B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Goldsinny wrasse</w:t>
            </w:r>
          </w:p>
        </w:tc>
        <w:tc>
          <w:tcPr>
            <w:tcW w:w="1705" w:type="dxa"/>
            <w:vAlign w:val="center"/>
          </w:tcPr>
          <w:p w14:paraId="4E89EE5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 xml:space="preserve">Ctenolabrus </w:t>
            </w:r>
          </w:p>
        </w:tc>
        <w:tc>
          <w:tcPr>
            <w:tcW w:w="1626" w:type="dxa"/>
            <w:vAlign w:val="center"/>
          </w:tcPr>
          <w:p w14:paraId="1C889B9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rupestris</w:t>
            </w:r>
          </w:p>
        </w:tc>
        <w:tc>
          <w:tcPr>
            <w:tcW w:w="1080" w:type="dxa"/>
            <w:vAlign w:val="center"/>
          </w:tcPr>
          <w:p w14:paraId="3FC543C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III</w:t>
            </w:r>
          </w:p>
        </w:tc>
        <w:tc>
          <w:tcPr>
            <w:tcW w:w="1530" w:type="dxa"/>
            <w:shd w:val="clear" w:color="auto" w:fill="auto"/>
            <w:vAlign w:val="center"/>
          </w:tcPr>
          <w:p w14:paraId="0DC6CA7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N/E</w:t>
            </w:r>
          </w:p>
        </w:tc>
        <w:tc>
          <w:tcPr>
            <w:tcW w:w="1620" w:type="dxa"/>
            <w:shd w:val="clear" w:color="auto" w:fill="auto"/>
            <w:vAlign w:val="center"/>
          </w:tcPr>
          <w:p w14:paraId="1E512905"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ELISA, RT-PCR and sequencing</w:t>
            </w:r>
          </w:p>
        </w:tc>
        <w:tc>
          <w:tcPr>
            <w:tcW w:w="715" w:type="dxa"/>
            <w:shd w:val="clear" w:color="auto" w:fill="auto"/>
            <w:vAlign w:val="center"/>
          </w:tcPr>
          <w:p w14:paraId="2A9F61B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F7536A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0EBD5CF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11A5069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02FB916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0806B4A7"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 xml:space="preserve">Munro et al 2015; </w:t>
            </w:r>
            <w:r w:rsidRPr="00D403F5">
              <w:rPr>
                <w:rFonts w:ascii="Arial" w:hAnsi="Arial" w:cs="Arial"/>
                <w:color w:val="000000"/>
                <w:sz w:val="18"/>
                <w:szCs w:val="18"/>
                <w:lang w:val="nb-NO"/>
              </w:rPr>
              <w:t xml:space="preserve">Matejusova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2016</w:t>
            </w:r>
          </w:p>
        </w:tc>
      </w:tr>
      <w:tr w:rsidR="00C7266C" w:rsidRPr="00D403F5" w14:paraId="102EE19C" w14:textId="77777777" w:rsidTr="00C7266C">
        <w:trPr>
          <w:cantSplit/>
        </w:trPr>
        <w:tc>
          <w:tcPr>
            <w:tcW w:w="1794" w:type="dxa"/>
            <w:vAlign w:val="center"/>
          </w:tcPr>
          <w:p w14:paraId="1F78C3DD"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rPr>
              <w:t>Grayling</w:t>
            </w:r>
          </w:p>
        </w:tc>
        <w:tc>
          <w:tcPr>
            <w:tcW w:w="1705" w:type="dxa"/>
            <w:vAlign w:val="center"/>
          </w:tcPr>
          <w:p w14:paraId="76FECA6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Thymallus</w:t>
            </w:r>
          </w:p>
        </w:tc>
        <w:tc>
          <w:tcPr>
            <w:tcW w:w="1626" w:type="dxa"/>
            <w:vAlign w:val="center"/>
          </w:tcPr>
          <w:p w14:paraId="27A8CC6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 xml:space="preserve">thymallus </w:t>
            </w:r>
          </w:p>
        </w:tc>
        <w:tc>
          <w:tcPr>
            <w:tcW w:w="1080" w:type="dxa"/>
            <w:vAlign w:val="center"/>
          </w:tcPr>
          <w:p w14:paraId="11B68195"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w:t>
            </w:r>
          </w:p>
        </w:tc>
        <w:tc>
          <w:tcPr>
            <w:tcW w:w="1530" w:type="dxa"/>
            <w:shd w:val="clear" w:color="auto" w:fill="auto"/>
            <w:vAlign w:val="center"/>
          </w:tcPr>
          <w:p w14:paraId="2195F5C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N/E</w:t>
            </w:r>
          </w:p>
        </w:tc>
        <w:tc>
          <w:tcPr>
            <w:tcW w:w="1620" w:type="dxa"/>
            <w:shd w:val="clear" w:color="auto" w:fill="auto"/>
            <w:vAlign w:val="center"/>
          </w:tcPr>
          <w:p w14:paraId="1102225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neutralization, IFAT</w:t>
            </w:r>
          </w:p>
        </w:tc>
        <w:tc>
          <w:tcPr>
            <w:tcW w:w="715" w:type="dxa"/>
            <w:shd w:val="clear" w:color="auto" w:fill="auto"/>
            <w:vAlign w:val="center"/>
          </w:tcPr>
          <w:p w14:paraId="19ED328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ND</w:t>
            </w:r>
          </w:p>
        </w:tc>
        <w:tc>
          <w:tcPr>
            <w:tcW w:w="540" w:type="dxa"/>
            <w:shd w:val="clear" w:color="auto" w:fill="auto"/>
            <w:vAlign w:val="center"/>
          </w:tcPr>
          <w:p w14:paraId="3BB8891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Y</w:t>
            </w:r>
          </w:p>
        </w:tc>
        <w:tc>
          <w:tcPr>
            <w:tcW w:w="540" w:type="dxa"/>
            <w:shd w:val="clear" w:color="auto" w:fill="auto"/>
            <w:vAlign w:val="center"/>
          </w:tcPr>
          <w:p w14:paraId="316EF5B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Y</w:t>
            </w:r>
          </w:p>
        </w:tc>
        <w:tc>
          <w:tcPr>
            <w:tcW w:w="455" w:type="dxa"/>
            <w:shd w:val="clear" w:color="auto" w:fill="auto"/>
            <w:vAlign w:val="center"/>
          </w:tcPr>
          <w:p w14:paraId="08D6461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ND</w:t>
            </w:r>
          </w:p>
        </w:tc>
        <w:tc>
          <w:tcPr>
            <w:tcW w:w="1170" w:type="dxa"/>
            <w:vAlign w:val="center"/>
          </w:tcPr>
          <w:p w14:paraId="1F4B2EC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224D728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Meier &amp; Wahli, 1988</w:t>
            </w:r>
          </w:p>
        </w:tc>
      </w:tr>
      <w:tr w:rsidR="00C7266C" w:rsidRPr="00D403F5" w14:paraId="276561DB" w14:textId="77777777" w:rsidTr="00C7266C">
        <w:trPr>
          <w:cantSplit/>
        </w:trPr>
        <w:tc>
          <w:tcPr>
            <w:tcW w:w="1794" w:type="dxa"/>
          </w:tcPr>
          <w:p w14:paraId="7191E53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Lake cisco</w:t>
            </w:r>
          </w:p>
        </w:tc>
        <w:tc>
          <w:tcPr>
            <w:tcW w:w="1705" w:type="dxa"/>
            <w:vAlign w:val="center"/>
          </w:tcPr>
          <w:p w14:paraId="0513CDD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Coregonus</w:t>
            </w:r>
          </w:p>
        </w:tc>
        <w:tc>
          <w:tcPr>
            <w:tcW w:w="1626" w:type="dxa"/>
            <w:vAlign w:val="center"/>
          </w:tcPr>
          <w:p w14:paraId="63CBAC6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artedi</w:t>
            </w:r>
          </w:p>
        </w:tc>
        <w:tc>
          <w:tcPr>
            <w:tcW w:w="1080" w:type="dxa"/>
            <w:shd w:val="clear" w:color="auto" w:fill="auto"/>
            <w:vAlign w:val="center"/>
          </w:tcPr>
          <w:p w14:paraId="17A1F7B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3BA7CF9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nb-NO"/>
              </w:rPr>
              <w:t>N/E</w:t>
            </w:r>
          </w:p>
        </w:tc>
        <w:tc>
          <w:tcPr>
            <w:tcW w:w="1620" w:type="dxa"/>
            <w:shd w:val="clear" w:color="auto" w:fill="auto"/>
          </w:tcPr>
          <w:p w14:paraId="2FD4881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PCR/sequence</w:t>
            </w:r>
          </w:p>
        </w:tc>
        <w:tc>
          <w:tcPr>
            <w:tcW w:w="715" w:type="dxa"/>
            <w:shd w:val="clear" w:color="auto" w:fill="auto"/>
            <w:vAlign w:val="center"/>
          </w:tcPr>
          <w:p w14:paraId="07767E5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540" w:type="dxa"/>
            <w:shd w:val="clear" w:color="auto" w:fill="auto"/>
            <w:vAlign w:val="center"/>
          </w:tcPr>
          <w:p w14:paraId="67DA16E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4ADEF2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455" w:type="dxa"/>
            <w:vAlign w:val="center"/>
          </w:tcPr>
          <w:p w14:paraId="0FBC13A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shd w:val="clear" w:color="auto" w:fill="auto"/>
          </w:tcPr>
          <w:p w14:paraId="3D4A531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tcPr>
          <w:p w14:paraId="6761A0DE"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 xml:space="preserve">Weeks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 2011; USGS/NACSE database </w:t>
            </w:r>
          </w:p>
        </w:tc>
      </w:tr>
      <w:tr w:rsidR="00C7266C" w:rsidRPr="00D403F5" w14:paraId="6B8482B6" w14:textId="77777777" w:rsidTr="00C7266C">
        <w:trPr>
          <w:cantSplit/>
        </w:trPr>
        <w:tc>
          <w:tcPr>
            <w:tcW w:w="1794" w:type="dxa"/>
          </w:tcPr>
          <w:p w14:paraId="7767D60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Lake trout</w:t>
            </w:r>
          </w:p>
        </w:tc>
        <w:tc>
          <w:tcPr>
            <w:tcW w:w="1705" w:type="dxa"/>
            <w:vAlign w:val="center"/>
          </w:tcPr>
          <w:p w14:paraId="658B2269" w14:textId="77777777" w:rsidR="00C7266C" w:rsidRPr="00D403F5" w:rsidRDefault="00C7266C" w:rsidP="00D403F5">
            <w:pPr>
              <w:spacing w:after="0"/>
              <w:jc w:val="center"/>
              <w:rPr>
                <w:rFonts w:ascii="Arial" w:hAnsi="Arial" w:cs="Arial"/>
                <w:i/>
                <w:iCs/>
                <w:color w:val="FF0000"/>
                <w:sz w:val="18"/>
                <w:szCs w:val="18"/>
                <w:lang w:val="nb-NO"/>
              </w:rPr>
            </w:pPr>
            <w:r w:rsidRPr="00D403F5">
              <w:rPr>
                <w:rFonts w:ascii="Arial" w:hAnsi="Arial" w:cs="Arial"/>
                <w:i/>
                <w:iCs/>
                <w:sz w:val="18"/>
                <w:szCs w:val="18"/>
              </w:rPr>
              <w:t>Salvelinus</w:t>
            </w:r>
          </w:p>
        </w:tc>
        <w:tc>
          <w:tcPr>
            <w:tcW w:w="1626" w:type="dxa"/>
            <w:vAlign w:val="center"/>
          </w:tcPr>
          <w:p w14:paraId="25B3FBD3" w14:textId="77777777" w:rsidR="00C7266C" w:rsidRPr="00D403F5" w:rsidRDefault="00C7266C" w:rsidP="00D403F5">
            <w:pPr>
              <w:spacing w:after="0"/>
              <w:jc w:val="center"/>
              <w:rPr>
                <w:rFonts w:ascii="Arial" w:hAnsi="Arial" w:cs="Arial"/>
                <w:i/>
                <w:iCs/>
                <w:color w:val="FF0000"/>
                <w:sz w:val="18"/>
                <w:szCs w:val="18"/>
                <w:lang w:val="nb-NO"/>
              </w:rPr>
            </w:pPr>
            <w:r w:rsidRPr="00D403F5">
              <w:rPr>
                <w:rFonts w:ascii="Arial" w:hAnsi="Arial" w:cs="Arial"/>
                <w:i/>
                <w:iCs/>
                <w:sz w:val="18"/>
                <w:szCs w:val="18"/>
              </w:rPr>
              <w:t xml:space="preserve">namaycush </w:t>
            </w:r>
          </w:p>
        </w:tc>
        <w:tc>
          <w:tcPr>
            <w:tcW w:w="1080" w:type="dxa"/>
            <w:shd w:val="clear" w:color="auto" w:fill="auto"/>
            <w:vAlign w:val="center"/>
          </w:tcPr>
          <w:p w14:paraId="04D093C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Ia, IVa, IVb</w:t>
            </w:r>
          </w:p>
        </w:tc>
        <w:tc>
          <w:tcPr>
            <w:tcW w:w="1530" w:type="dxa"/>
            <w:shd w:val="clear" w:color="auto" w:fill="auto"/>
            <w:vAlign w:val="center"/>
          </w:tcPr>
          <w:p w14:paraId="50C26075"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sz w:val="18"/>
                <w:szCs w:val="18"/>
                <w:lang w:val="nb-NO"/>
              </w:rPr>
              <w:t>N/E</w:t>
            </w:r>
          </w:p>
        </w:tc>
        <w:tc>
          <w:tcPr>
            <w:tcW w:w="1620" w:type="dxa"/>
            <w:shd w:val="clear" w:color="auto" w:fill="auto"/>
          </w:tcPr>
          <w:p w14:paraId="4BFB4B8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sequencing</w:t>
            </w:r>
          </w:p>
        </w:tc>
        <w:tc>
          <w:tcPr>
            <w:tcW w:w="715" w:type="dxa"/>
            <w:shd w:val="clear" w:color="auto" w:fill="auto"/>
            <w:vAlign w:val="center"/>
          </w:tcPr>
          <w:p w14:paraId="028E8BBD"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31937C85"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021CD044"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color w:val="000000"/>
                <w:sz w:val="18"/>
                <w:szCs w:val="18"/>
              </w:rPr>
              <w:t>Y</w:t>
            </w:r>
          </w:p>
        </w:tc>
        <w:tc>
          <w:tcPr>
            <w:tcW w:w="455" w:type="dxa"/>
            <w:vAlign w:val="center"/>
          </w:tcPr>
          <w:p w14:paraId="266E71EF"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color w:val="000000"/>
                <w:sz w:val="18"/>
                <w:szCs w:val="18"/>
              </w:rPr>
              <w:t>Y</w:t>
            </w:r>
          </w:p>
        </w:tc>
        <w:tc>
          <w:tcPr>
            <w:tcW w:w="1170" w:type="dxa"/>
            <w:shd w:val="clear" w:color="auto" w:fill="auto"/>
          </w:tcPr>
          <w:p w14:paraId="76159E43"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sz w:val="18"/>
                <w:szCs w:val="18"/>
                <w:lang w:val="nb-NO"/>
              </w:rPr>
              <w:t>1</w:t>
            </w:r>
          </w:p>
        </w:tc>
        <w:tc>
          <w:tcPr>
            <w:tcW w:w="2070" w:type="dxa"/>
          </w:tcPr>
          <w:p w14:paraId="36656946" w14:textId="77777777" w:rsidR="00C7266C" w:rsidRPr="00D403F5" w:rsidRDefault="00C7266C" w:rsidP="00D403F5">
            <w:pPr>
              <w:spacing w:after="0"/>
              <w:rPr>
                <w:rFonts w:ascii="Arial" w:hAnsi="Arial" w:cs="Arial"/>
                <w:color w:val="FF0000"/>
                <w:sz w:val="18"/>
                <w:szCs w:val="18"/>
                <w:lang w:val="nb-NO"/>
              </w:rPr>
            </w:pPr>
            <w:r w:rsidRPr="00D403F5">
              <w:rPr>
                <w:rFonts w:ascii="Arial" w:hAnsi="Arial" w:cs="Arial"/>
                <w:color w:val="000000"/>
                <w:sz w:val="18"/>
                <w:szCs w:val="18"/>
                <w:lang w:val="nb-NO"/>
              </w:rPr>
              <w:t xml:space="preserve">Dorson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1991; USGS/NACSE database </w:t>
            </w:r>
          </w:p>
        </w:tc>
      </w:tr>
      <w:tr w:rsidR="00C7266C" w:rsidRPr="00D403F5" w14:paraId="105EC33F" w14:textId="77777777" w:rsidTr="00C7266C">
        <w:trPr>
          <w:cantSplit/>
        </w:trPr>
        <w:tc>
          <w:tcPr>
            <w:tcW w:w="1794" w:type="dxa"/>
          </w:tcPr>
          <w:p w14:paraId="5597699D"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Lake whitefish</w:t>
            </w:r>
          </w:p>
        </w:tc>
        <w:tc>
          <w:tcPr>
            <w:tcW w:w="1705" w:type="dxa"/>
            <w:vAlign w:val="center"/>
          </w:tcPr>
          <w:p w14:paraId="2CBBA2A6" w14:textId="77777777" w:rsidR="00C7266C" w:rsidRPr="00D403F5" w:rsidRDefault="00C7266C" w:rsidP="00D403F5">
            <w:pPr>
              <w:spacing w:after="0"/>
              <w:jc w:val="center"/>
              <w:rPr>
                <w:rFonts w:ascii="Arial" w:hAnsi="Arial" w:cs="Arial"/>
                <w:i/>
                <w:iCs/>
                <w:sz w:val="18"/>
                <w:szCs w:val="18"/>
                <w:lang w:val="nb-NO"/>
              </w:rPr>
            </w:pPr>
            <w:r w:rsidRPr="00D403F5">
              <w:rPr>
                <w:rFonts w:ascii="Arial" w:hAnsi="Arial" w:cs="Arial"/>
                <w:i/>
                <w:iCs/>
                <w:color w:val="000000"/>
                <w:sz w:val="18"/>
                <w:szCs w:val="18"/>
                <w:lang w:eastAsia="en-GB"/>
              </w:rPr>
              <w:t>Coregonus</w:t>
            </w:r>
          </w:p>
        </w:tc>
        <w:tc>
          <w:tcPr>
            <w:tcW w:w="1626" w:type="dxa"/>
            <w:vAlign w:val="center"/>
          </w:tcPr>
          <w:p w14:paraId="355B8263" w14:textId="77777777" w:rsidR="00C7266C" w:rsidRPr="00D403F5" w:rsidRDefault="00C7266C" w:rsidP="00D403F5">
            <w:pPr>
              <w:spacing w:after="0"/>
              <w:jc w:val="center"/>
              <w:rPr>
                <w:rFonts w:ascii="Arial" w:hAnsi="Arial" w:cs="Arial"/>
                <w:i/>
                <w:iCs/>
                <w:sz w:val="18"/>
                <w:szCs w:val="18"/>
                <w:lang w:val="nb-NO"/>
              </w:rPr>
            </w:pPr>
            <w:r w:rsidRPr="00D403F5">
              <w:rPr>
                <w:rFonts w:ascii="Arial" w:hAnsi="Arial" w:cs="Arial"/>
                <w:i/>
                <w:iCs/>
                <w:color w:val="000000"/>
                <w:sz w:val="18"/>
                <w:szCs w:val="18"/>
                <w:lang w:eastAsia="en-GB"/>
              </w:rPr>
              <w:t>clupeaformis</w:t>
            </w:r>
          </w:p>
        </w:tc>
        <w:tc>
          <w:tcPr>
            <w:tcW w:w="1080" w:type="dxa"/>
            <w:shd w:val="clear" w:color="auto" w:fill="auto"/>
            <w:vAlign w:val="center"/>
          </w:tcPr>
          <w:p w14:paraId="12A5DFC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008626D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tcPr>
          <w:p w14:paraId="358CC845" w14:textId="77777777" w:rsidR="00C7266C" w:rsidRPr="00D403F5" w:rsidRDefault="00C7266C" w:rsidP="00D403F5">
            <w:pPr>
              <w:spacing w:after="0"/>
              <w:rPr>
                <w:rFonts w:ascii="Arial" w:hAnsi="Arial" w:cs="Arial"/>
                <w:color w:val="000000"/>
                <w:sz w:val="18"/>
                <w:szCs w:val="18"/>
              </w:rPr>
            </w:pPr>
            <w:r w:rsidRPr="00D403F5">
              <w:rPr>
                <w:rFonts w:ascii="Arial" w:hAnsi="Arial" w:cs="Arial"/>
                <w:color w:val="000000"/>
                <w:sz w:val="18"/>
                <w:szCs w:val="18"/>
              </w:rPr>
              <w:t>Virus isolation, RT-PCR, sequencing</w:t>
            </w:r>
          </w:p>
        </w:tc>
        <w:tc>
          <w:tcPr>
            <w:tcW w:w="715" w:type="dxa"/>
            <w:shd w:val="clear" w:color="auto" w:fill="auto"/>
          </w:tcPr>
          <w:p w14:paraId="74EBC17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540" w:type="dxa"/>
            <w:shd w:val="clear" w:color="auto" w:fill="auto"/>
          </w:tcPr>
          <w:p w14:paraId="136961E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540" w:type="dxa"/>
            <w:shd w:val="clear" w:color="auto" w:fill="auto"/>
          </w:tcPr>
          <w:p w14:paraId="4CDD777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455" w:type="dxa"/>
          </w:tcPr>
          <w:p w14:paraId="673CF1E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1170" w:type="dxa"/>
            <w:shd w:val="clear" w:color="auto" w:fill="auto"/>
          </w:tcPr>
          <w:p w14:paraId="281A58A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tcPr>
          <w:p w14:paraId="15C70D87"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lang w:val="en-US"/>
              </w:rPr>
              <w:t>Faisal 2012; USGS/NACSE database</w:t>
            </w:r>
          </w:p>
        </w:tc>
      </w:tr>
      <w:tr w:rsidR="00C7266C" w:rsidRPr="00D403F5" w14:paraId="168A0F96" w14:textId="77777777" w:rsidTr="00C7266C">
        <w:trPr>
          <w:cantSplit/>
        </w:trPr>
        <w:tc>
          <w:tcPr>
            <w:tcW w:w="1794" w:type="dxa"/>
          </w:tcPr>
          <w:p w14:paraId="1E74FB24"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rPr>
              <w:t>Largemouth bass</w:t>
            </w:r>
          </w:p>
        </w:tc>
        <w:tc>
          <w:tcPr>
            <w:tcW w:w="1705" w:type="dxa"/>
            <w:vAlign w:val="center"/>
          </w:tcPr>
          <w:p w14:paraId="08D350D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 xml:space="preserve">Micropterus </w:t>
            </w:r>
          </w:p>
        </w:tc>
        <w:tc>
          <w:tcPr>
            <w:tcW w:w="1626" w:type="dxa"/>
            <w:vAlign w:val="center"/>
          </w:tcPr>
          <w:p w14:paraId="2DD1543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 xml:space="preserve">salmoides </w:t>
            </w:r>
          </w:p>
        </w:tc>
        <w:tc>
          <w:tcPr>
            <w:tcW w:w="1080" w:type="dxa"/>
            <w:shd w:val="clear" w:color="auto" w:fill="auto"/>
            <w:vAlign w:val="center"/>
          </w:tcPr>
          <w:p w14:paraId="5298DBC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4D356A8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N/E</w:t>
            </w:r>
          </w:p>
        </w:tc>
        <w:tc>
          <w:tcPr>
            <w:tcW w:w="1620" w:type="dxa"/>
            <w:shd w:val="clear" w:color="auto" w:fill="auto"/>
          </w:tcPr>
          <w:p w14:paraId="15442D6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RT-PCR, sequencing</w:t>
            </w:r>
          </w:p>
        </w:tc>
        <w:tc>
          <w:tcPr>
            <w:tcW w:w="715" w:type="dxa"/>
            <w:shd w:val="clear" w:color="auto" w:fill="auto"/>
            <w:vAlign w:val="center"/>
          </w:tcPr>
          <w:p w14:paraId="738DE3DD"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256B784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26F1A09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455" w:type="dxa"/>
            <w:vAlign w:val="center"/>
          </w:tcPr>
          <w:p w14:paraId="1EAAC38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shd w:val="clear" w:color="auto" w:fill="auto"/>
          </w:tcPr>
          <w:p w14:paraId="181C09D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tcPr>
          <w:p w14:paraId="06B2DB0C"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lang w:val="en-US"/>
              </w:rPr>
              <w:t>Faisal, 2012; T</w:t>
            </w:r>
            <w:r w:rsidRPr="00D403F5">
              <w:rPr>
                <w:rFonts w:ascii="Arial" w:hAnsi="Arial" w:cs="Arial"/>
                <w:color w:val="000000"/>
                <w:sz w:val="18"/>
                <w:szCs w:val="18"/>
                <w:lang w:val="en-US"/>
              </w:rPr>
              <w:t xml:space="preserve">hrockmorton </w:t>
            </w:r>
            <w:r w:rsidRPr="00D403F5">
              <w:rPr>
                <w:rFonts w:ascii="Arial" w:hAnsi="Arial" w:cs="Arial"/>
                <w:i/>
                <w:iCs/>
                <w:color w:val="000000"/>
                <w:sz w:val="18"/>
                <w:szCs w:val="18"/>
                <w:lang w:val="en-US"/>
              </w:rPr>
              <w:t>et al</w:t>
            </w:r>
            <w:r w:rsidRPr="00D403F5">
              <w:rPr>
                <w:rFonts w:ascii="Arial" w:hAnsi="Arial" w:cs="Arial"/>
                <w:color w:val="000000"/>
                <w:sz w:val="18"/>
                <w:szCs w:val="18"/>
              </w:rPr>
              <w:t xml:space="preserve">., </w:t>
            </w:r>
            <w:r w:rsidRPr="00D403F5">
              <w:rPr>
                <w:rFonts w:ascii="Arial" w:hAnsi="Arial" w:cs="Arial"/>
                <w:color w:val="000000"/>
                <w:sz w:val="18"/>
                <w:szCs w:val="18"/>
                <w:lang w:val="en-US"/>
              </w:rPr>
              <w:t>2017</w:t>
            </w:r>
          </w:p>
        </w:tc>
      </w:tr>
      <w:tr w:rsidR="00C7266C" w:rsidRPr="00D403F5" w14:paraId="4A277563" w14:textId="77777777" w:rsidTr="00C7266C">
        <w:trPr>
          <w:cantSplit/>
        </w:trPr>
        <w:tc>
          <w:tcPr>
            <w:tcW w:w="1794" w:type="dxa"/>
            <w:vAlign w:val="center"/>
          </w:tcPr>
          <w:p w14:paraId="4984B81F"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Lumpfish</w:t>
            </w:r>
          </w:p>
        </w:tc>
        <w:tc>
          <w:tcPr>
            <w:tcW w:w="1705" w:type="dxa"/>
            <w:vAlign w:val="center"/>
          </w:tcPr>
          <w:p w14:paraId="039853C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Cyclopterus</w:t>
            </w:r>
          </w:p>
        </w:tc>
        <w:tc>
          <w:tcPr>
            <w:tcW w:w="1626" w:type="dxa"/>
            <w:vAlign w:val="center"/>
          </w:tcPr>
          <w:p w14:paraId="05D3D7D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lumpus</w:t>
            </w:r>
          </w:p>
        </w:tc>
        <w:tc>
          <w:tcPr>
            <w:tcW w:w="1080" w:type="dxa"/>
            <w:shd w:val="clear" w:color="auto" w:fill="auto"/>
            <w:vAlign w:val="center"/>
          </w:tcPr>
          <w:p w14:paraId="2B0AEF1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IVd</w:t>
            </w:r>
          </w:p>
        </w:tc>
        <w:tc>
          <w:tcPr>
            <w:tcW w:w="1530" w:type="dxa"/>
            <w:shd w:val="clear" w:color="auto" w:fill="auto"/>
            <w:vAlign w:val="center"/>
          </w:tcPr>
          <w:p w14:paraId="5D83762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N/E</w:t>
            </w:r>
          </w:p>
        </w:tc>
        <w:tc>
          <w:tcPr>
            <w:tcW w:w="1620" w:type="dxa"/>
            <w:shd w:val="clear" w:color="auto" w:fill="auto"/>
            <w:vAlign w:val="center"/>
          </w:tcPr>
          <w:p w14:paraId="1759DCB1"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RT-PCR and sequencing</w:t>
            </w:r>
          </w:p>
        </w:tc>
        <w:tc>
          <w:tcPr>
            <w:tcW w:w="715" w:type="dxa"/>
            <w:shd w:val="clear" w:color="auto" w:fill="auto"/>
            <w:vAlign w:val="center"/>
          </w:tcPr>
          <w:p w14:paraId="6D74303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540" w:type="dxa"/>
            <w:shd w:val="clear" w:color="auto" w:fill="auto"/>
            <w:vAlign w:val="center"/>
          </w:tcPr>
          <w:p w14:paraId="1D69A2F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789E9FF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455" w:type="dxa"/>
            <w:vAlign w:val="center"/>
          </w:tcPr>
          <w:p w14:paraId="786CDC8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shd w:val="clear" w:color="auto" w:fill="auto"/>
            <w:vAlign w:val="center"/>
          </w:tcPr>
          <w:p w14:paraId="0355915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vAlign w:val="center"/>
          </w:tcPr>
          <w:p w14:paraId="04B5B68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Guðmundsdóttir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2018</w:t>
            </w:r>
          </w:p>
        </w:tc>
      </w:tr>
    </w:tbl>
    <w:p w14:paraId="07A66A57" w14:textId="77777777" w:rsidR="00C7266C" w:rsidRPr="00D403F5" w:rsidRDefault="00C7266C" w:rsidP="00D403F5">
      <w:pPr>
        <w:spacing w:after="240" w:line="240" w:lineRule="auto"/>
        <w:jc w:val="right"/>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164A36C4" w14:textId="77777777" w:rsidR="00C7266C" w:rsidRPr="00D403F5" w:rsidRDefault="00C7266C" w:rsidP="00D403F5">
      <w:pPr>
        <w:spacing w:after="240" w:line="240" w:lineRule="auto"/>
        <w:jc w:val="right"/>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732C81C4" w14:textId="77777777" w:rsidTr="00C7266C">
        <w:trPr>
          <w:cantSplit/>
        </w:trPr>
        <w:tc>
          <w:tcPr>
            <w:tcW w:w="1794" w:type="dxa"/>
          </w:tcPr>
          <w:p w14:paraId="3823C8A8"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Common name</w:t>
            </w:r>
          </w:p>
        </w:tc>
        <w:tc>
          <w:tcPr>
            <w:tcW w:w="1705" w:type="dxa"/>
          </w:tcPr>
          <w:p w14:paraId="4FD5AB7F"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Genus</w:t>
            </w:r>
          </w:p>
        </w:tc>
        <w:tc>
          <w:tcPr>
            <w:tcW w:w="1626" w:type="dxa"/>
          </w:tcPr>
          <w:p w14:paraId="53211881"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Species</w:t>
            </w:r>
          </w:p>
        </w:tc>
        <w:tc>
          <w:tcPr>
            <w:tcW w:w="1080" w:type="dxa"/>
            <w:shd w:val="clear" w:color="auto" w:fill="auto"/>
          </w:tcPr>
          <w:p w14:paraId="37B5DFE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b/>
                <w:sz w:val="18"/>
                <w:szCs w:val="18"/>
              </w:rPr>
              <w:t>Genotype</w:t>
            </w:r>
          </w:p>
        </w:tc>
        <w:tc>
          <w:tcPr>
            <w:tcW w:w="1530" w:type="dxa"/>
            <w:shd w:val="clear" w:color="auto" w:fill="auto"/>
          </w:tcPr>
          <w:p w14:paraId="575AC4D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503DF027"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7332DAA9" w14:textId="77777777" w:rsidR="00C7266C" w:rsidRPr="00D403F5" w:rsidRDefault="00C7266C" w:rsidP="00D403F5">
            <w:pPr>
              <w:spacing w:after="0"/>
              <w:jc w:val="center"/>
              <w:rPr>
                <w:rFonts w:ascii="Arial" w:hAnsi="Arial" w:cs="Arial"/>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shd w:val="clear" w:color="auto" w:fill="auto"/>
          </w:tcPr>
          <w:p w14:paraId="00FB851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b/>
                <w:sz w:val="18"/>
                <w:szCs w:val="18"/>
              </w:rPr>
              <w:t>Outcome</w:t>
            </w:r>
          </w:p>
        </w:tc>
        <w:tc>
          <w:tcPr>
            <w:tcW w:w="2070" w:type="dxa"/>
          </w:tcPr>
          <w:p w14:paraId="4C2CF129" w14:textId="77777777" w:rsidR="00C7266C" w:rsidRPr="00D403F5" w:rsidRDefault="00C7266C" w:rsidP="00D403F5">
            <w:pPr>
              <w:spacing w:after="0"/>
              <w:rPr>
                <w:rFonts w:ascii="Arial" w:hAnsi="Arial" w:cs="Arial"/>
                <w:sz w:val="18"/>
                <w:szCs w:val="18"/>
                <w:lang w:val="nb-NO"/>
              </w:rPr>
            </w:pPr>
            <w:r w:rsidRPr="00D403F5">
              <w:rPr>
                <w:rFonts w:ascii="Arial" w:hAnsi="Arial" w:cs="Arial"/>
                <w:b/>
                <w:sz w:val="18"/>
                <w:szCs w:val="18"/>
              </w:rPr>
              <w:t>References</w:t>
            </w:r>
          </w:p>
        </w:tc>
      </w:tr>
      <w:tr w:rsidR="00C7266C" w:rsidRPr="00D403F5" w14:paraId="5F767F9C" w14:textId="77777777" w:rsidTr="00C7266C">
        <w:trPr>
          <w:cantSplit/>
        </w:trPr>
        <w:tc>
          <w:tcPr>
            <w:tcW w:w="1794" w:type="dxa"/>
            <w:vAlign w:val="center"/>
          </w:tcPr>
          <w:p w14:paraId="0D7B39A3" w14:textId="77777777" w:rsidR="00C7266C" w:rsidRPr="00D403F5" w:rsidRDefault="00C7266C" w:rsidP="00D403F5">
            <w:pPr>
              <w:spacing w:after="0"/>
              <w:rPr>
                <w:rFonts w:ascii="Arial" w:hAnsi="Arial" w:cs="Arial"/>
                <w:sz w:val="18"/>
                <w:szCs w:val="18"/>
              </w:rPr>
            </w:pPr>
          </w:p>
        </w:tc>
        <w:tc>
          <w:tcPr>
            <w:tcW w:w="1705" w:type="dxa"/>
            <w:vAlign w:val="center"/>
          </w:tcPr>
          <w:p w14:paraId="4B5ED83D" w14:textId="77777777" w:rsidR="00C7266C" w:rsidRPr="00D403F5" w:rsidRDefault="00C7266C" w:rsidP="00D403F5">
            <w:pPr>
              <w:spacing w:after="0"/>
              <w:jc w:val="center"/>
              <w:rPr>
                <w:rFonts w:ascii="Arial" w:hAnsi="Arial" w:cs="Arial"/>
                <w:i/>
                <w:iCs/>
                <w:sz w:val="18"/>
                <w:szCs w:val="18"/>
              </w:rPr>
            </w:pPr>
          </w:p>
        </w:tc>
        <w:tc>
          <w:tcPr>
            <w:tcW w:w="1626" w:type="dxa"/>
            <w:vAlign w:val="center"/>
          </w:tcPr>
          <w:p w14:paraId="109A7494" w14:textId="77777777" w:rsidR="00C7266C" w:rsidRPr="00D403F5" w:rsidRDefault="00C7266C" w:rsidP="00D403F5">
            <w:pPr>
              <w:spacing w:after="0"/>
              <w:jc w:val="center"/>
              <w:rPr>
                <w:rFonts w:ascii="Arial" w:hAnsi="Arial" w:cs="Arial"/>
                <w:i/>
                <w:iCs/>
                <w:sz w:val="18"/>
                <w:szCs w:val="18"/>
              </w:rPr>
            </w:pPr>
          </w:p>
        </w:tc>
        <w:tc>
          <w:tcPr>
            <w:tcW w:w="1080" w:type="dxa"/>
            <w:shd w:val="clear" w:color="auto" w:fill="auto"/>
            <w:vAlign w:val="center"/>
          </w:tcPr>
          <w:p w14:paraId="10771222" w14:textId="77777777" w:rsidR="00C7266C" w:rsidRPr="00D403F5" w:rsidRDefault="00C7266C" w:rsidP="00D403F5">
            <w:pPr>
              <w:spacing w:after="0"/>
              <w:jc w:val="center"/>
              <w:rPr>
                <w:rFonts w:ascii="Arial" w:hAnsi="Arial" w:cs="Arial"/>
                <w:sz w:val="18"/>
                <w:szCs w:val="18"/>
                <w:lang w:val="en-US"/>
              </w:rPr>
            </w:pPr>
          </w:p>
        </w:tc>
        <w:tc>
          <w:tcPr>
            <w:tcW w:w="1530" w:type="dxa"/>
            <w:shd w:val="clear" w:color="auto" w:fill="auto"/>
            <w:vAlign w:val="center"/>
          </w:tcPr>
          <w:p w14:paraId="42FF56F4" w14:textId="77777777" w:rsidR="00C7266C" w:rsidRPr="00D403F5" w:rsidRDefault="00C7266C" w:rsidP="00D403F5">
            <w:pPr>
              <w:spacing w:after="0"/>
              <w:jc w:val="center"/>
              <w:rPr>
                <w:rFonts w:ascii="Arial" w:hAnsi="Arial" w:cs="Arial"/>
                <w:sz w:val="18"/>
                <w:szCs w:val="18"/>
                <w:lang w:val="en-US"/>
              </w:rPr>
            </w:pPr>
          </w:p>
        </w:tc>
        <w:tc>
          <w:tcPr>
            <w:tcW w:w="1620" w:type="dxa"/>
            <w:shd w:val="clear" w:color="auto" w:fill="auto"/>
            <w:vAlign w:val="center"/>
          </w:tcPr>
          <w:p w14:paraId="58B795BF" w14:textId="77777777" w:rsidR="00C7266C" w:rsidRPr="00D403F5" w:rsidRDefault="00C7266C" w:rsidP="00D403F5">
            <w:pPr>
              <w:spacing w:after="0"/>
              <w:rPr>
                <w:rFonts w:ascii="Arial" w:hAnsi="Arial" w:cs="Arial"/>
                <w:sz w:val="18"/>
                <w:szCs w:val="18"/>
              </w:rPr>
            </w:pPr>
          </w:p>
        </w:tc>
        <w:tc>
          <w:tcPr>
            <w:tcW w:w="715" w:type="dxa"/>
            <w:shd w:val="clear" w:color="auto" w:fill="auto"/>
            <w:vAlign w:val="center"/>
          </w:tcPr>
          <w:p w14:paraId="15F8A8B1"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A</w:t>
            </w:r>
          </w:p>
        </w:tc>
        <w:tc>
          <w:tcPr>
            <w:tcW w:w="540" w:type="dxa"/>
            <w:shd w:val="clear" w:color="auto" w:fill="auto"/>
            <w:vAlign w:val="center"/>
          </w:tcPr>
          <w:p w14:paraId="7F6C3BC7"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B</w:t>
            </w:r>
          </w:p>
        </w:tc>
        <w:tc>
          <w:tcPr>
            <w:tcW w:w="540" w:type="dxa"/>
            <w:shd w:val="clear" w:color="auto" w:fill="auto"/>
            <w:vAlign w:val="center"/>
          </w:tcPr>
          <w:p w14:paraId="763E4B4F"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C</w:t>
            </w:r>
          </w:p>
        </w:tc>
        <w:tc>
          <w:tcPr>
            <w:tcW w:w="455" w:type="dxa"/>
            <w:vAlign w:val="center"/>
          </w:tcPr>
          <w:p w14:paraId="4EDC05DE"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D</w:t>
            </w:r>
          </w:p>
        </w:tc>
        <w:tc>
          <w:tcPr>
            <w:tcW w:w="1170" w:type="dxa"/>
            <w:shd w:val="clear" w:color="auto" w:fill="auto"/>
            <w:vAlign w:val="center"/>
          </w:tcPr>
          <w:p w14:paraId="69D9EC57" w14:textId="77777777" w:rsidR="00C7266C" w:rsidRPr="00D403F5" w:rsidRDefault="00C7266C" w:rsidP="00D403F5">
            <w:pPr>
              <w:spacing w:after="0"/>
              <w:jc w:val="center"/>
              <w:rPr>
                <w:rFonts w:ascii="Arial" w:hAnsi="Arial" w:cs="Arial"/>
                <w:sz w:val="18"/>
                <w:szCs w:val="18"/>
                <w:lang w:val="en-US"/>
              </w:rPr>
            </w:pPr>
          </w:p>
        </w:tc>
        <w:tc>
          <w:tcPr>
            <w:tcW w:w="2070" w:type="dxa"/>
            <w:vAlign w:val="center"/>
          </w:tcPr>
          <w:p w14:paraId="684CA583" w14:textId="77777777" w:rsidR="00C7266C" w:rsidRPr="00D403F5" w:rsidRDefault="00C7266C" w:rsidP="00D403F5">
            <w:pPr>
              <w:spacing w:after="0"/>
              <w:rPr>
                <w:rFonts w:ascii="Arial" w:hAnsi="Arial" w:cs="Arial"/>
                <w:sz w:val="18"/>
                <w:szCs w:val="18"/>
                <w:lang w:val="nb-NO"/>
              </w:rPr>
            </w:pPr>
          </w:p>
        </w:tc>
      </w:tr>
      <w:tr w:rsidR="00D403F5" w:rsidRPr="00D403F5" w14:paraId="61018BBB" w14:textId="77777777" w:rsidTr="00C7266C">
        <w:trPr>
          <w:cantSplit/>
        </w:trPr>
        <w:tc>
          <w:tcPr>
            <w:tcW w:w="1794" w:type="dxa"/>
            <w:vAlign w:val="center"/>
          </w:tcPr>
          <w:p w14:paraId="27B4C8D2" w14:textId="1B832885" w:rsidR="00D403F5" w:rsidRPr="00D403F5" w:rsidRDefault="00D403F5" w:rsidP="00D403F5">
            <w:pPr>
              <w:spacing w:after="0"/>
              <w:rPr>
                <w:rFonts w:ascii="Arial" w:hAnsi="Arial" w:cs="Arial"/>
                <w:sz w:val="18"/>
                <w:szCs w:val="18"/>
              </w:rPr>
            </w:pPr>
            <w:r w:rsidRPr="00D403F5">
              <w:rPr>
                <w:rFonts w:ascii="Arial" w:hAnsi="Arial" w:cs="Arial"/>
                <w:sz w:val="18"/>
                <w:szCs w:val="18"/>
              </w:rPr>
              <w:t>Marble trout</w:t>
            </w:r>
          </w:p>
        </w:tc>
        <w:tc>
          <w:tcPr>
            <w:tcW w:w="1705" w:type="dxa"/>
            <w:vAlign w:val="center"/>
          </w:tcPr>
          <w:p w14:paraId="5D88F88E" w14:textId="11B63932" w:rsidR="00D403F5" w:rsidRPr="00D403F5" w:rsidRDefault="00D403F5" w:rsidP="00D403F5">
            <w:pPr>
              <w:spacing w:after="0"/>
              <w:jc w:val="center"/>
              <w:rPr>
                <w:rFonts w:ascii="Arial" w:hAnsi="Arial" w:cs="Arial"/>
                <w:i/>
                <w:iCs/>
                <w:sz w:val="18"/>
                <w:szCs w:val="18"/>
              </w:rPr>
            </w:pPr>
            <w:r w:rsidRPr="00D403F5">
              <w:rPr>
                <w:rFonts w:ascii="Arial" w:hAnsi="Arial" w:cs="Arial"/>
                <w:i/>
                <w:iCs/>
                <w:sz w:val="18"/>
                <w:szCs w:val="18"/>
              </w:rPr>
              <w:t xml:space="preserve">Salmo </w:t>
            </w:r>
          </w:p>
        </w:tc>
        <w:tc>
          <w:tcPr>
            <w:tcW w:w="1626" w:type="dxa"/>
            <w:vAlign w:val="center"/>
          </w:tcPr>
          <w:p w14:paraId="6AB43860" w14:textId="16BCEED9" w:rsidR="00D403F5" w:rsidRPr="00D403F5" w:rsidRDefault="00D403F5" w:rsidP="00D403F5">
            <w:pPr>
              <w:spacing w:after="0"/>
              <w:jc w:val="center"/>
              <w:rPr>
                <w:rFonts w:ascii="Arial" w:hAnsi="Arial" w:cs="Arial"/>
                <w:i/>
                <w:iCs/>
                <w:sz w:val="18"/>
                <w:szCs w:val="18"/>
              </w:rPr>
            </w:pPr>
            <w:r w:rsidRPr="00D403F5">
              <w:rPr>
                <w:rFonts w:ascii="Arial" w:hAnsi="Arial" w:cs="Arial"/>
                <w:i/>
                <w:iCs/>
                <w:sz w:val="18"/>
                <w:szCs w:val="18"/>
              </w:rPr>
              <w:t>marmoratus</w:t>
            </w:r>
          </w:p>
        </w:tc>
        <w:tc>
          <w:tcPr>
            <w:tcW w:w="1080" w:type="dxa"/>
            <w:shd w:val="clear" w:color="auto" w:fill="auto"/>
            <w:vAlign w:val="center"/>
          </w:tcPr>
          <w:p w14:paraId="1EE39E15" w14:textId="6923B516" w:rsidR="00D403F5" w:rsidRPr="00D403F5" w:rsidRDefault="00D403F5" w:rsidP="00D403F5">
            <w:pPr>
              <w:spacing w:after="0"/>
              <w:jc w:val="center"/>
              <w:rPr>
                <w:rFonts w:ascii="Arial" w:hAnsi="Arial" w:cs="Arial"/>
                <w:sz w:val="18"/>
                <w:szCs w:val="18"/>
                <w:lang w:val="en-US"/>
              </w:rPr>
            </w:pPr>
            <w:r w:rsidRPr="00D403F5">
              <w:rPr>
                <w:rFonts w:ascii="Arial" w:hAnsi="Arial" w:cs="Arial"/>
                <w:sz w:val="18"/>
                <w:szCs w:val="18"/>
                <w:lang w:val="nb-NO"/>
              </w:rPr>
              <w:t>Ia</w:t>
            </w:r>
          </w:p>
        </w:tc>
        <w:tc>
          <w:tcPr>
            <w:tcW w:w="1530" w:type="dxa"/>
            <w:shd w:val="clear" w:color="auto" w:fill="auto"/>
            <w:vAlign w:val="center"/>
          </w:tcPr>
          <w:p w14:paraId="1D3451FD" w14:textId="19E702AB" w:rsidR="00D403F5" w:rsidRPr="00D403F5" w:rsidRDefault="00D403F5" w:rsidP="00D403F5">
            <w:pPr>
              <w:spacing w:after="0"/>
              <w:jc w:val="center"/>
              <w:rPr>
                <w:rFonts w:ascii="Arial" w:hAnsi="Arial" w:cs="Arial"/>
                <w:sz w:val="18"/>
                <w:szCs w:val="18"/>
                <w:lang w:val="en-US"/>
              </w:rPr>
            </w:pPr>
            <w:r w:rsidRPr="00D403F5">
              <w:rPr>
                <w:rFonts w:ascii="Arial" w:hAnsi="Arial" w:cs="Arial"/>
                <w:sz w:val="18"/>
                <w:szCs w:val="18"/>
                <w:lang w:val="nb-NO"/>
              </w:rPr>
              <w:t>E</w:t>
            </w:r>
          </w:p>
        </w:tc>
        <w:tc>
          <w:tcPr>
            <w:tcW w:w="1620" w:type="dxa"/>
            <w:shd w:val="clear" w:color="auto" w:fill="auto"/>
            <w:vAlign w:val="center"/>
          </w:tcPr>
          <w:p w14:paraId="7B3A1FE3" w14:textId="4E5E2B0B" w:rsidR="00D403F5" w:rsidRPr="00D403F5" w:rsidRDefault="00D403F5" w:rsidP="00D403F5">
            <w:pPr>
              <w:spacing w:after="0"/>
              <w:rPr>
                <w:rFonts w:ascii="Arial" w:hAnsi="Arial" w:cs="Arial"/>
                <w:sz w:val="18"/>
                <w:szCs w:val="18"/>
              </w:rPr>
            </w:pPr>
            <w:r w:rsidRPr="00D403F5">
              <w:rPr>
                <w:rFonts w:ascii="Arial" w:hAnsi="Arial" w:cs="Arial"/>
                <w:sz w:val="18"/>
                <w:szCs w:val="18"/>
              </w:rPr>
              <w:t>Cell culture and RT-PCR</w:t>
            </w:r>
          </w:p>
        </w:tc>
        <w:tc>
          <w:tcPr>
            <w:tcW w:w="715" w:type="dxa"/>
            <w:shd w:val="clear" w:color="auto" w:fill="auto"/>
            <w:vAlign w:val="center"/>
          </w:tcPr>
          <w:p w14:paraId="7FE64484" w14:textId="0DA6256F"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ND</w:t>
            </w:r>
          </w:p>
        </w:tc>
        <w:tc>
          <w:tcPr>
            <w:tcW w:w="540" w:type="dxa"/>
            <w:shd w:val="clear" w:color="auto" w:fill="auto"/>
            <w:vAlign w:val="center"/>
          </w:tcPr>
          <w:p w14:paraId="3FDF824D" w14:textId="39F6BE09"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Y</w:t>
            </w:r>
          </w:p>
        </w:tc>
        <w:tc>
          <w:tcPr>
            <w:tcW w:w="540" w:type="dxa"/>
            <w:shd w:val="clear" w:color="auto" w:fill="auto"/>
            <w:vAlign w:val="center"/>
          </w:tcPr>
          <w:p w14:paraId="7C9691AC" w14:textId="49E52746"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Y</w:t>
            </w:r>
          </w:p>
        </w:tc>
        <w:tc>
          <w:tcPr>
            <w:tcW w:w="455" w:type="dxa"/>
            <w:vAlign w:val="center"/>
          </w:tcPr>
          <w:p w14:paraId="375F5B30" w14:textId="7720979F"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Y</w:t>
            </w:r>
          </w:p>
        </w:tc>
        <w:tc>
          <w:tcPr>
            <w:tcW w:w="1170" w:type="dxa"/>
            <w:shd w:val="clear" w:color="auto" w:fill="auto"/>
            <w:vAlign w:val="center"/>
          </w:tcPr>
          <w:p w14:paraId="603A02E6" w14:textId="38659DE2" w:rsidR="00D403F5" w:rsidRPr="00D403F5" w:rsidRDefault="00D403F5"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vAlign w:val="center"/>
          </w:tcPr>
          <w:p w14:paraId="2C8E0FD1" w14:textId="2D66A8F7" w:rsidR="00D403F5" w:rsidRPr="00D403F5" w:rsidRDefault="00D403F5" w:rsidP="00D403F5">
            <w:pPr>
              <w:spacing w:after="0"/>
              <w:rPr>
                <w:rFonts w:ascii="Arial" w:hAnsi="Arial" w:cs="Arial"/>
                <w:sz w:val="18"/>
                <w:szCs w:val="18"/>
                <w:lang w:val="nb-NO"/>
              </w:rPr>
            </w:pPr>
            <w:r w:rsidRPr="00D403F5">
              <w:rPr>
                <w:rFonts w:ascii="Arial" w:hAnsi="Arial" w:cs="Arial"/>
                <w:sz w:val="18"/>
                <w:szCs w:val="18"/>
              </w:rPr>
              <w:t xml:space="preserve">Pascoli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2015</w:t>
            </w:r>
          </w:p>
        </w:tc>
      </w:tr>
      <w:tr w:rsidR="00C7266C" w:rsidRPr="00D403F5" w14:paraId="0D9116C9" w14:textId="77777777" w:rsidTr="00C7266C">
        <w:trPr>
          <w:cantSplit/>
        </w:trPr>
        <w:tc>
          <w:tcPr>
            <w:tcW w:w="1794" w:type="dxa"/>
            <w:vAlign w:val="center"/>
          </w:tcPr>
          <w:p w14:paraId="600A688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Mediterranean horse mackerel </w:t>
            </w:r>
          </w:p>
        </w:tc>
        <w:tc>
          <w:tcPr>
            <w:tcW w:w="1705" w:type="dxa"/>
            <w:vAlign w:val="center"/>
          </w:tcPr>
          <w:p w14:paraId="0A58C94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Trachurus </w:t>
            </w:r>
          </w:p>
        </w:tc>
        <w:tc>
          <w:tcPr>
            <w:tcW w:w="1626" w:type="dxa"/>
            <w:vAlign w:val="center"/>
          </w:tcPr>
          <w:p w14:paraId="0B2D7DA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mediterraneus</w:t>
            </w:r>
          </w:p>
        </w:tc>
        <w:tc>
          <w:tcPr>
            <w:tcW w:w="1080" w:type="dxa"/>
            <w:shd w:val="clear" w:color="auto" w:fill="auto"/>
            <w:vAlign w:val="center"/>
          </w:tcPr>
          <w:p w14:paraId="6B3A74F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Ie</w:t>
            </w:r>
          </w:p>
        </w:tc>
        <w:tc>
          <w:tcPr>
            <w:tcW w:w="1530" w:type="dxa"/>
            <w:shd w:val="clear" w:color="auto" w:fill="auto"/>
            <w:vAlign w:val="center"/>
          </w:tcPr>
          <w:p w14:paraId="3CA606E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48632687"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1EC9F0B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442591D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7059101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455" w:type="dxa"/>
            <w:vAlign w:val="center"/>
          </w:tcPr>
          <w:p w14:paraId="23CB2F8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shd w:val="clear" w:color="auto" w:fill="auto"/>
            <w:vAlign w:val="center"/>
          </w:tcPr>
          <w:p w14:paraId="44EB1A8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vAlign w:val="center"/>
          </w:tcPr>
          <w:p w14:paraId="0A6631CC"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Ogut &amp; Altuntas, 2014</w:t>
            </w:r>
          </w:p>
        </w:tc>
      </w:tr>
      <w:tr w:rsidR="00C7266C" w:rsidRPr="00D403F5" w14:paraId="344B5383" w14:textId="77777777" w:rsidTr="00C7266C">
        <w:trPr>
          <w:cantSplit/>
        </w:trPr>
        <w:tc>
          <w:tcPr>
            <w:tcW w:w="1794" w:type="dxa"/>
            <w:vAlign w:val="center"/>
          </w:tcPr>
          <w:p w14:paraId="1223CEE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Mummichog</w:t>
            </w:r>
          </w:p>
        </w:tc>
        <w:tc>
          <w:tcPr>
            <w:tcW w:w="1705" w:type="dxa"/>
            <w:vAlign w:val="center"/>
          </w:tcPr>
          <w:p w14:paraId="02C60C87"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color w:val="000000"/>
                <w:sz w:val="18"/>
                <w:szCs w:val="18"/>
              </w:rPr>
              <w:t xml:space="preserve">Fundulus </w:t>
            </w:r>
          </w:p>
        </w:tc>
        <w:tc>
          <w:tcPr>
            <w:tcW w:w="1626" w:type="dxa"/>
            <w:vAlign w:val="center"/>
          </w:tcPr>
          <w:p w14:paraId="02DB53E4"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i/>
                <w:iCs/>
                <w:color w:val="000000"/>
                <w:sz w:val="18"/>
                <w:szCs w:val="18"/>
              </w:rPr>
              <w:t>heteroclitus</w:t>
            </w:r>
          </w:p>
          <w:p w14:paraId="332DF1D3" w14:textId="77777777" w:rsidR="00C7266C" w:rsidRPr="00D403F5" w:rsidRDefault="00C7266C" w:rsidP="00D403F5">
            <w:pPr>
              <w:spacing w:after="0"/>
              <w:rPr>
                <w:rFonts w:ascii="Arial" w:hAnsi="Arial" w:cs="Arial"/>
                <w:color w:val="000000"/>
                <w:sz w:val="18"/>
                <w:szCs w:val="18"/>
              </w:rPr>
            </w:pPr>
          </w:p>
          <w:p w14:paraId="04A30BA2" w14:textId="77777777" w:rsidR="00C7266C" w:rsidRPr="00D403F5" w:rsidRDefault="00C7266C" w:rsidP="00D403F5">
            <w:pPr>
              <w:spacing w:after="0"/>
              <w:rPr>
                <w:rFonts w:ascii="Arial" w:hAnsi="Arial" w:cs="Arial"/>
                <w:color w:val="000000"/>
                <w:sz w:val="18"/>
                <w:szCs w:val="18"/>
              </w:rPr>
            </w:pPr>
          </w:p>
          <w:p w14:paraId="7E020BD5" w14:textId="77777777" w:rsidR="00C7266C" w:rsidRPr="00D403F5" w:rsidRDefault="00C7266C" w:rsidP="00D403F5">
            <w:pPr>
              <w:spacing w:after="0"/>
              <w:rPr>
                <w:rFonts w:ascii="Arial" w:hAnsi="Arial" w:cs="Arial"/>
                <w:sz w:val="18"/>
                <w:szCs w:val="18"/>
              </w:rPr>
            </w:pPr>
          </w:p>
        </w:tc>
        <w:tc>
          <w:tcPr>
            <w:tcW w:w="1080" w:type="dxa"/>
            <w:shd w:val="clear" w:color="auto" w:fill="auto"/>
            <w:vAlign w:val="center"/>
          </w:tcPr>
          <w:p w14:paraId="2F8CDD3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IVc</w:t>
            </w:r>
          </w:p>
        </w:tc>
        <w:tc>
          <w:tcPr>
            <w:tcW w:w="1530" w:type="dxa"/>
            <w:shd w:val="clear" w:color="auto" w:fill="auto"/>
            <w:vAlign w:val="center"/>
          </w:tcPr>
          <w:p w14:paraId="4A107EE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75E0FC31" w14:textId="77777777" w:rsidR="00C7266C" w:rsidRPr="00D403F5" w:rsidRDefault="00C7266C" w:rsidP="00D403F5">
            <w:pPr>
              <w:spacing w:after="0"/>
              <w:rPr>
                <w:rFonts w:ascii="Arial" w:hAnsi="Arial" w:cs="Arial"/>
                <w:sz w:val="18"/>
                <w:szCs w:val="18"/>
                <w:lang w:val="en-US"/>
              </w:rPr>
            </w:pPr>
            <w:r w:rsidRPr="00D403F5">
              <w:rPr>
                <w:rFonts w:ascii="Arial" w:hAnsi="Arial" w:cs="Arial"/>
                <w:color w:val="000000"/>
                <w:sz w:val="18"/>
                <w:szCs w:val="18"/>
              </w:rPr>
              <w:t>Virus identification, RT-PCR, sequencing, serum neutralization</w:t>
            </w:r>
          </w:p>
        </w:tc>
        <w:tc>
          <w:tcPr>
            <w:tcW w:w="715" w:type="dxa"/>
            <w:shd w:val="clear" w:color="auto" w:fill="auto"/>
            <w:vAlign w:val="center"/>
          </w:tcPr>
          <w:p w14:paraId="5337DE4F"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ND</w:t>
            </w:r>
          </w:p>
        </w:tc>
        <w:tc>
          <w:tcPr>
            <w:tcW w:w="540" w:type="dxa"/>
            <w:shd w:val="clear" w:color="auto" w:fill="auto"/>
            <w:vAlign w:val="center"/>
          </w:tcPr>
          <w:p w14:paraId="215855F1"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Y</w:t>
            </w:r>
          </w:p>
        </w:tc>
        <w:tc>
          <w:tcPr>
            <w:tcW w:w="540" w:type="dxa"/>
            <w:shd w:val="clear" w:color="auto" w:fill="auto"/>
            <w:vAlign w:val="center"/>
          </w:tcPr>
          <w:p w14:paraId="54E5BED7"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Y</w:t>
            </w:r>
          </w:p>
        </w:tc>
        <w:tc>
          <w:tcPr>
            <w:tcW w:w="455" w:type="dxa"/>
            <w:vAlign w:val="center"/>
          </w:tcPr>
          <w:p w14:paraId="0CD7121B"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Y</w:t>
            </w:r>
          </w:p>
        </w:tc>
        <w:tc>
          <w:tcPr>
            <w:tcW w:w="1170" w:type="dxa"/>
            <w:shd w:val="clear" w:color="auto" w:fill="auto"/>
            <w:vAlign w:val="center"/>
          </w:tcPr>
          <w:p w14:paraId="31DE3AA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vAlign w:val="center"/>
          </w:tcPr>
          <w:p w14:paraId="357DC069" w14:textId="77777777" w:rsidR="00C7266C" w:rsidRPr="00D403F5" w:rsidRDefault="00C7266C" w:rsidP="00D403F5">
            <w:pPr>
              <w:spacing w:after="0"/>
              <w:rPr>
                <w:rFonts w:ascii="Arial" w:hAnsi="Arial" w:cs="Arial"/>
                <w:sz w:val="18"/>
                <w:szCs w:val="18"/>
              </w:rPr>
            </w:pPr>
            <w:r w:rsidRPr="00D403F5">
              <w:rPr>
                <w:rFonts w:ascii="Arial" w:hAnsi="Arial" w:cs="Arial"/>
                <w:color w:val="000000"/>
                <w:sz w:val="18"/>
                <w:szCs w:val="18"/>
              </w:rPr>
              <w:t xml:space="preserve">Gagne </w:t>
            </w:r>
            <w:r w:rsidRPr="00D403F5">
              <w:rPr>
                <w:rFonts w:ascii="Arial" w:hAnsi="Arial" w:cs="Arial"/>
                <w:i/>
                <w:iCs/>
                <w:color w:val="000000"/>
                <w:sz w:val="18"/>
                <w:szCs w:val="18"/>
              </w:rPr>
              <w:t>et al,</w:t>
            </w:r>
            <w:r w:rsidRPr="00D403F5">
              <w:rPr>
                <w:rFonts w:ascii="Arial" w:hAnsi="Arial" w:cs="Arial"/>
                <w:color w:val="000000"/>
                <w:sz w:val="18"/>
                <w:szCs w:val="18"/>
              </w:rPr>
              <w:t xml:space="preserve"> 2007</w:t>
            </w:r>
          </w:p>
        </w:tc>
      </w:tr>
      <w:tr w:rsidR="00C7266C" w:rsidRPr="00D403F5" w14:paraId="59DE14A2" w14:textId="77777777" w:rsidTr="00C7266C">
        <w:trPr>
          <w:cantSplit/>
        </w:trPr>
        <w:tc>
          <w:tcPr>
            <w:tcW w:w="1794" w:type="dxa"/>
            <w:vAlign w:val="center"/>
          </w:tcPr>
          <w:p w14:paraId="48CF9A7C"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Muskellunge</w:t>
            </w:r>
          </w:p>
        </w:tc>
        <w:tc>
          <w:tcPr>
            <w:tcW w:w="1705" w:type="dxa"/>
            <w:vAlign w:val="center"/>
          </w:tcPr>
          <w:p w14:paraId="5F66755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Esox </w:t>
            </w:r>
          </w:p>
        </w:tc>
        <w:tc>
          <w:tcPr>
            <w:tcW w:w="1626" w:type="dxa"/>
            <w:vAlign w:val="center"/>
          </w:tcPr>
          <w:p w14:paraId="78B072D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masquinongy</w:t>
            </w:r>
          </w:p>
        </w:tc>
        <w:tc>
          <w:tcPr>
            <w:tcW w:w="1080" w:type="dxa"/>
            <w:vAlign w:val="center"/>
          </w:tcPr>
          <w:p w14:paraId="24322242"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3258FF6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N/E</w:t>
            </w:r>
          </w:p>
        </w:tc>
        <w:tc>
          <w:tcPr>
            <w:tcW w:w="1620" w:type="dxa"/>
            <w:shd w:val="clear" w:color="auto" w:fill="auto"/>
            <w:vAlign w:val="center"/>
          </w:tcPr>
          <w:p w14:paraId="1B4A68C3"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fr-FR"/>
              </w:rPr>
              <w:t>Virus isolation, RT-PCR, IHC, cell culture</w:t>
            </w:r>
          </w:p>
        </w:tc>
        <w:tc>
          <w:tcPr>
            <w:tcW w:w="715" w:type="dxa"/>
            <w:shd w:val="clear" w:color="auto" w:fill="auto"/>
            <w:vAlign w:val="center"/>
          </w:tcPr>
          <w:p w14:paraId="10A1B49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269AD895"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1D73950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762949F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2908794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45226BB2"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Al-Hussinee &amp; Lumsden, 2011; </w:t>
            </w:r>
          </w:p>
          <w:p w14:paraId="548A54A5"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Kim &amp; Faisal, 2012</w:t>
            </w:r>
          </w:p>
        </w:tc>
      </w:tr>
      <w:tr w:rsidR="00C7266C" w:rsidRPr="00D403F5" w14:paraId="17E5732C" w14:textId="77777777" w:rsidTr="00C7266C">
        <w:trPr>
          <w:cantSplit/>
        </w:trPr>
        <w:tc>
          <w:tcPr>
            <w:tcW w:w="1794" w:type="dxa"/>
            <w:vAlign w:val="center"/>
          </w:tcPr>
          <w:p w14:paraId="37CA6AC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Northern pike</w:t>
            </w:r>
          </w:p>
        </w:tc>
        <w:tc>
          <w:tcPr>
            <w:tcW w:w="1705" w:type="dxa"/>
            <w:vAlign w:val="center"/>
          </w:tcPr>
          <w:p w14:paraId="6B6E817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Esox </w:t>
            </w:r>
          </w:p>
        </w:tc>
        <w:tc>
          <w:tcPr>
            <w:tcW w:w="1626" w:type="dxa"/>
            <w:vAlign w:val="center"/>
          </w:tcPr>
          <w:p w14:paraId="096AC9F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lucius</w:t>
            </w:r>
          </w:p>
        </w:tc>
        <w:tc>
          <w:tcPr>
            <w:tcW w:w="1080" w:type="dxa"/>
            <w:vAlign w:val="center"/>
          </w:tcPr>
          <w:p w14:paraId="60D3DB7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IVb</w:t>
            </w:r>
          </w:p>
        </w:tc>
        <w:tc>
          <w:tcPr>
            <w:tcW w:w="1530" w:type="dxa"/>
            <w:shd w:val="clear" w:color="auto" w:fill="auto"/>
            <w:vAlign w:val="center"/>
          </w:tcPr>
          <w:p w14:paraId="3A97DF1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6F56544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RT-PCR, sequencing</w:t>
            </w:r>
          </w:p>
        </w:tc>
        <w:tc>
          <w:tcPr>
            <w:tcW w:w="715" w:type="dxa"/>
            <w:shd w:val="clear" w:color="auto" w:fill="auto"/>
            <w:vAlign w:val="center"/>
          </w:tcPr>
          <w:p w14:paraId="5DEC7A0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5412C5B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6F37255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31A1499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1391C40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5A194E80"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Faisal, 2012</w:t>
            </w:r>
          </w:p>
        </w:tc>
      </w:tr>
      <w:tr w:rsidR="00C7266C" w:rsidRPr="00D403F5" w14:paraId="10E7A05F" w14:textId="77777777" w:rsidTr="00C7266C">
        <w:trPr>
          <w:cantSplit/>
        </w:trPr>
        <w:tc>
          <w:tcPr>
            <w:tcW w:w="1794" w:type="dxa"/>
            <w:vAlign w:val="center"/>
          </w:tcPr>
          <w:p w14:paraId="58801D5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Norway pout</w:t>
            </w:r>
          </w:p>
        </w:tc>
        <w:tc>
          <w:tcPr>
            <w:tcW w:w="1705" w:type="dxa"/>
            <w:vAlign w:val="center"/>
          </w:tcPr>
          <w:p w14:paraId="45F1D7C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Trisopterus </w:t>
            </w:r>
          </w:p>
        </w:tc>
        <w:tc>
          <w:tcPr>
            <w:tcW w:w="1626" w:type="dxa"/>
            <w:vAlign w:val="center"/>
          </w:tcPr>
          <w:p w14:paraId="69F023A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esmarkii</w:t>
            </w:r>
          </w:p>
        </w:tc>
        <w:tc>
          <w:tcPr>
            <w:tcW w:w="1080" w:type="dxa"/>
            <w:vAlign w:val="center"/>
          </w:tcPr>
          <w:p w14:paraId="3C95354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color w:val="000000"/>
                <w:sz w:val="18"/>
                <w:szCs w:val="18"/>
              </w:rPr>
              <w:t>III, Ib</w:t>
            </w:r>
          </w:p>
        </w:tc>
        <w:tc>
          <w:tcPr>
            <w:tcW w:w="1530" w:type="dxa"/>
            <w:shd w:val="clear" w:color="auto" w:fill="auto"/>
            <w:vAlign w:val="center"/>
          </w:tcPr>
          <w:p w14:paraId="432AD78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5D9B99A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35638C2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540" w:type="dxa"/>
            <w:shd w:val="clear" w:color="auto" w:fill="auto"/>
            <w:vAlign w:val="center"/>
          </w:tcPr>
          <w:p w14:paraId="47050CE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27CE195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455" w:type="dxa"/>
            <w:shd w:val="clear" w:color="auto" w:fill="auto"/>
            <w:vAlign w:val="center"/>
          </w:tcPr>
          <w:p w14:paraId="28AE393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3ED6492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3DC02F69"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Mortensen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1999; King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2001a</w:t>
            </w:r>
          </w:p>
        </w:tc>
      </w:tr>
      <w:tr w:rsidR="00C7266C" w:rsidRPr="00D403F5" w14:paraId="2C920F1A" w14:textId="77777777" w:rsidTr="00C7266C">
        <w:trPr>
          <w:cantSplit/>
        </w:trPr>
        <w:tc>
          <w:tcPr>
            <w:tcW w:w="1794" w:type="dxa"/>
            <w:vAlign w:val="center"/>
          </w:tcPr>
          <w:p w14:paraId="21000C1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Pacific Chub mackerel </w:t>
            </w:r>
          </w:p>
        </w:tc>
        <w:tc>
          <w:tcPr>
            <w:tcW w:w="1705" w:type="dxa"/>
            <w:vAlign w:val="center"/>
          </w:tcPr>
          <w:p w14:paraId="19DCB54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Scomber </w:t>
            </w:r>
          </w:p>
        </w:tc>
        <w:tc>
          <w:tcPr>
            <w:tcW w:w="1626" w:type="dxa"/>
            <w:vAlign w:val="center"/>
          </w:tcPr>
          <w:p w14:paraId="4324613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japonicus</w:t>
            </w:r>
          </w:p>
        </w:tc>
        <w:tc>
          <w:tcPr>
            <w:tcW w:w="1080" w:type="dxa"/>
            <w:vAlign w:val="center"/>
          </w:tcPr>
          <w:p w14:paraId="65B1E8F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IVa</w:t>
            </w:r>
          </w:p>
        </w:tc>
        <w:tc>
          <w:tcPr>
            <w:tcW w:w="1530" w:type="dxa"/>
            <w:shd w:val="clear" w:color="auto" w:fill="auto"/>
            <w:vAlign w:val="center"/>
          </w:tcPr>
          <w:p w14:paraId="7544680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5C58F717"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RT-PCR</w:t>
            </w:r>
          </w:p>
        </w:tc>
        <w:tc>
          <w:tcPr>
            <w:tcW w:w="715" w:type="dxa"/>
            <w:shd w:val="clear" w:color="auto" w:fill="auto"/>
            <w:vAlign w:val="center"/>
          </w:tcPr>
          <w:p w14:paraId="5C0C1FE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5831702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7BA89D0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0E9DD27E"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57A0EC4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5395956B"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Hedrick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lang w:val="nb-NO"/>
              </w:rPr>
              <w:t xml:space="preserve">2003 </w:t>
            </w:r>
          </w:p>
        </w:tc>
      </w:tr>
      <w:tr w:rsidR="00C7266C" w:rsidRPr="00D403F5" w14:paraId="5DB02BE3" w14:textId="77777777" w:rsidTr="00C7266C">
        <w:trPr>
          <w:cantSplit/>
        </w:trPr>
        <w:tc>
          <w:tcPr>
            <w:tcW w:w="1794" w:type="dxa"/>
            <w:vAlign w:val="center"/>
          </w:tcPr>
          <w:p w14:paraId="7A5A1B21"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Pacific cod</w:t>
            </w:r>
          </w:p>
        </w:tc>
        <w:tc>
          <w:tcPr>
            <w:tcW w:w="1705" w:type="dxa"/>
            <w:vAlign w:val="center"/>
          </w:tcPr>
          <w:p w14:paraId="6DCFB42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Gadus </w:t>
            </w:r>
          </w:p>
        </w:tc>
        <w:tc>
          <w:tcPr>
            <w:tcW w:w="1626" w:type="dxa"/>
            <w:vAlign w:val="center"/>
          </w:tcPr>
          <w:p w14:paraId="543F1D0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macrocephalus</w:t>
            </w:r>
          </w:p>
        </w:tc>
        <w:tc>
          <w:tcPr>
            <w:tcW w:w="1080" w:type="dxa"/>
            <w:vAlign w:val="center"/>
          </w:tcPr>
          <w:p w14:paraId="144A5052"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IVa</w:t>
            </w:r>
          </w:p>
        </w:tc>
        <w:tc>
          <w:tcPr>
            <w:tcW w:w="1530" w:type="dxa"/>
            <w:shd w:val="clear" w:color="auto" w:fill="auto"/>
            <w:vAlign w:val="center"/>
          </w:tcPr>
          <w:p w14:paraId="01F8100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248C169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Neutralization, immunoblot assay, DNA probe</w:t>
            </w:r>
          </w:p>
        </w:tc>
        <w:tc>
          <w:tcPr>
            <w:tcW w:w="715" w:type="dxa"/>
            <w:shd w:val="clear" w:color="auto" w:fill="auto"/>
            <w:vAlign w:val="center"/>
          </w:tcPr>
          <w:p w14:paraId="2D4B793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43764C6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2C5F182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572ED4EE"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3AAB87D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6187846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Meyers </w:t>
            </w:r>
            <w:r w:rsidRPr="00D403F5">
              <w:rPr>
                <w:rFonts w:ascii="Arial" w:hAnsi="Arial" w:cs="Arial"/>
                <w:i/>
                <w:iCs/>
                <w:color w:val="000000"/>
                <w:sz w:val="18"/>
                <w:szCs w:val="18"/>
                <w:lang w:val="en-US"/>
              </w:rPr>
              <w:t>et al</w:t>
            </w:r>
            <w:r w:rsidRPr="00D403F5">
              <w:rPr>
                <w:rFonts w:ascii="Arial" w:hAnsi="Arial" w:cs="Arial"/>
                <w:color w:val="000000"/>
                <w:sz w:val="18"/>
                <w:szCs w:val="18"/>
              </w:rPr>
              <w:t xml:space="preserve">., </w:t>
            </w:r>
            <w:r w:rsidRPr="00D403F5">
              <w:rPr>
                <w:rFonts w:ascii="Arial" w:hAnsi="Arial" w:cs="Arial"/>
                <w:sz w:val="18"/>
                <w:szCs w:val="18"/>
              </w:rPr>
              <w:t>1992</w:t>
            </w:r>
            <w:r w:rsidRPr="00D403F5">
              <w:rPr>
                <w:rFonts w:ascii="Arial" w:hAnsi="Arial" w:cs="Arial"/>
                <w:sz w:val="18"/>
                <w:szCs w:val="18"/>
                <w:lang w:val="en-US"/>
              </w:rPr>
              <w:t xml:space="preserve">; </w:t>
            </w:r>
          </w:p>
          <w:p w14:paraId="26EFEEF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Meyers &amp; Winton, 1995</w:t>
            </w:r>
          </w:p>
        </w:tc>
      </w:tr>
      <w:tr w:rsidR="00C7266C" w:rsidRPr="00D403F5" w14:paraId="634B442F" w14:textId="77777777" w:rsidTr="00C7266C">
        <w:trPr>
          <w:cantSplit/>
        </w:trPr>
        <w:tc>
          <w:tcPr>
            <w:tcW w:w="1794" w:type="dxa"/>
            <w:vAlign w:val="center"/>
          </w:tcPr>
          <w:p w14:paraId="4A90845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Pacific herring</w:t>
            </w:r>
          </w:p>
        </w:tc>
        <w:tc>
          <w:tcPr>
            <w:tcW w:w="1705" w:type="dxa"/>
            <w:vAlign w:val="center"/>
          </w:tcPr>
          <w:p w14:paraId="25321EDA" w14:textId="77777777" w:rsidR="00C7266C" w:rsidRPr="00D403F5" w:rsidRDefault="00C7266C" w:rsidP="00D403F5">
            <w:pPr>
              <w:spacing w:after="0"/>
              <w:jc w:val="center"/>
              <w:rPr>
                <w:rFonts w:ascii="Arial" w:hAnsi="Arial" w:cs="Arial"/>
                <w:color w:val="FF0000"/>
                <w:sz w:val="18"/>
                <w:szCs w:val="18"/>
                <w:lang w:val="en-US"/>
              </w:rPr>
            </w:pPr>
            <w:r w:rsidRPr="00D403F5">
              <w:rPr>
                <w:rFonts w:ascii="Arial" w:hAnsi="Arial" w:cs="Arial"/>
                <w:i/>
                <w:iCs/>
                <w:sz w:val="18"/>
                <w:szCs w:val="18"/>
              </w:rPr>
              <w:t>Clupea</w:t>
            </w:r>
          </w:p>
        </w:tc>
        <w:tc>
          <w:tcPr>
            <w:tcW w:w="1626" w:type="dxa"/>
            <w:vAlign w:val="center"/>
          </w:tcPr>
          <w:p w14:paraId="0ED666D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pallasii pallasii</w:t>
            </w:r>
          </w:p>
        </w:tc>
        <w:tc>
          <w:tcPr>
            <w:tcW w:w="1080" w:type="dxa"/>
            <w:vAlign w:val="center"/>
          </w:tcPr>
          <w:p w14:paraId="5234112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IVa</w:t>
            </w:r>
          </w:p>
        </w:tc>
        <w:tc>
          <w:tcPr>
            <w:tcW w:w="1530" w:type="dxa"/>
            <w:shd w:val="clear" w:color="auto" w:fill="auto"/>
            <w:vAlign w:val="center"/>
          </w:tcPr>
          <w:p w14:paraId="3284121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0FB5CF6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and neutralisation</w:t>
            </w:r>
          </w:p>
        </w:tc>
        <w:tc>
          <w:tcPr>
            <w:tcW w:w="715" w:type="dxa"/>
            <w:shd w:val="clear" w:color="auto" w:fill="auto"/>
            <w:vAlign w:val="center"/>
          </w:tcPr>
          <w:p w14:paraId="4CE3336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540" w:type="dxa"/>
            <w:shd w:val="clear" w:color="auto" w:fill="auto"/>
            <w:vAlign w:val="center"/>
          </w:tcPr>
          <w:p w14:paraId="4337059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30DDC37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46A0E87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26026868"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456C3573"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Meyers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1993; Meyers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1994</w:t>
            </w:r>
          </w:p>
        </w:tc>
      </w:tr>
      <w:tr w:rsidR="00C7266C" w:rsidRPr="00D403F5" w14:paraId="50416F71" w14:textId="77777777" w:rsidTr="00C7266C">
        <w:trPr>
          <w:cantSplit/>
        </w:trPr>
        <w:tc>
          <w:tcPr>
            <w:tcW w:w="1794" w:type="dxa"/>
            <w:vAlign w:val="center"/>
          </w:tcPr>
          <w:p w14:paraId="59839CE2"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Pacific sand lance</w:t>
            </w:r>
          </w:p>
        </w:tc>
        <w:tc>
          <w:tcPr>
            <w:tcW w:w="1705" w:type="dxa"/>
            <w:vAlign w:val="center"/>
          </w:tcPr>
          <w:p w14:paraId="292673D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Ammodytes </w:t>
            </w:r>
          </w:p>
        </w:tc>
        <w:tc>
          <w:tcPr>
            <w:tcW w:w="1626" w:type="dxa"/>
            <w:vAlign w:val="center"/>
          </w:tcPr>
          <w:p w14:paraId="43364ACE"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hexapterus</w:t>
            </w:r>
          </w:p>
        </w:tc>
        <w:tc>
          <w:tcPr>
            <w:tcW w:w="1080" w:type="dxa"/>
            <w:vAlign w:val="center"/>
          </w:tcPr>
          <w:p w14:paraId="14E0A2E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IVa</w:t>
            </w:r>
          </w:p>
        </w:tc>
        <w:tc>
          <w:tcPr>
            <w:tcW w:w="1530" w:type="dxa"/>
            <w:shd w:val="clear" w:color="auto" w:fill="auto"/>
            <w:vAlign w:val="center"/>
          </w:tcPr>
          <w:p w14:paraId="08D6E24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N/E</w:t>
            </w:r>
          </w:p>
        </w:tc>
        <w:tc>
          <w:tcPr>
            <w:tcW w:w="1620" w:type="dxa"/>
            <w:shd w:val="clear" w:color="auto" w:fill="auto"/>
            <w:vAlign w:val="center"/>
          </w:tcPr>
          <w:p w14:paraId="36B437A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w:t>
            </w:r>
          </w:p>
        </w:tc>
        <w:tc>
          <w:tcPr>
            <w:tcW w:w="715" w:type="dxa"/>
            <w:shd w:val="clear" w:color="auto" w:fill="auto"/>
            <w:vAlign w:val="center"/>
          </w:tcPr>
          <w:p w14:paraId="3AC8DF4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472ABB8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4D68F2D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4E3A442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2C548E2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42DDC0F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Kocan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 xml:space="preserve">2001 </w:t>
            </w:r>
          </w:p>
        </w:tc>
      </w:tr>
    </w:tbl>
    <w:p w14:paraId="795D3177" w14:textId="77777777" w:rsidR="00C7266C" w:rsidRPr="00D403F5" w:rsidRDefault="00C7266C" w:rsidP="00D403F5">
      <w:pPr>
        <w:spacing w:after="240"/>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073FA642" w14:textId="77777777" w:rsidR="00C7266C" w:rsidRPr="00D403F5" w:rsidRDefault="00C7266C" w:rsidP="00D403F5">
      <w:pPr>
        <w:spacing w:after="240"/>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45556C91" w14:textId="77777777" w:rsidTr="00C7266C">
        <w:trPr>
          <w:cantSplit/>
        </w:trPr>
        <w:tc>
          <w:tcPr>
            <w:tcW w:w="1794" w:type="dxa"/>
          </w:tcPr>
          <w:p w14:paraId="2FD9E767"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Common name</w:t>
            </w:r>
          </w:p>
        </w:tc>
        <w:tc>
          <w:tcPr>
            <w:tcW w:w="1705" w:type="dxa"/>
          </w:tcPr>
          <w:p w14:paraId="558F2173"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Genus</w:t>
            </w:r>
          </w:p>
        </w:tc>
        <w:tc>
          <w:tcPr>
            <w:tcW w:w="1626" w:type="dxa"/>
          </w:tcPr>
          <w:p w14:paraId="6F031A1B"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Species</w:t>
            </w:r>
          </w:p>
        </w:tc>
        <w:tc>
          <w:tcPr>
            <w:tcW w:w="1080" w:type="dxa"/>
          </w:tcPr>
          <w:p w14:paraId="650D7C2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b/>
                <w:sz w:val="18"/>
                <w:szCs w:val="18"/>
              </w:rPr>
              <w:t>Genotype</w:t>
            </w:r>
          </w:p>
        </w:tc>
        <w:tc>
          <w:tcPr>
            <w:tcW w:w="1530" w:type="dxa"/>
            <w:shd w:val="clear" w:color="auto" w:fill="auto"/>
          </w:tcPr>
          <w:p w14:paraId="51602DFE"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71D15CF6"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07E83498" w14:textId="77777777" w:rsidR="00C7266C" w:rsidRPr="00D403F5" w:rsidRDefault="00C7266C" w:rsidP="00D403F5">
            <w:pPr>
              <w:spacing w:after="0"/>
              <w:jc w:val="center"/>
              <w:rPr>
                <w:rFonts w:ascii="Arial" w:hAnsi="Arial" w:cs="Arial"/>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72365BF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b/>
                <w:sz w:val="18"/>
                <w:szCs w:val="18"/>
              </w:rPr>
              <w:t>Outcome</w:t>
            </w:r>
          </w:p>
        </w:tc>
        <w:tc>
          <w:tcPr>
            <w:tcW w:w="2070" w:type="dxa"/>
            <w:shd w:val="clear" w:color="auto" w:fill="auto"/>
          </w:tcPr>
          <w:p w14:paraId="2A7428FE" w14:textId="77777777" w:rsidR="00C7266C" w:rsidRPr="00D403F5" w:rsidRDefault="00C7266C" w:rsidP="00D403F5">
            <w:pPr>
              <w:spacing w:after="0"/>
              <w:rPr>
                <w:rFonts w:ascii="Arial" w:hAnsi="Arial" w:cs="Arial"/>
                <w:sz w:val="18"/>
                <w:szCs w:val="18"/>
                <w:lang w:val="nb-NO"/>
              </w:rPr>
            </w:pPr>
            <w:r w:rsidRPr="00D403F5">
              <w:rPr>
                <w:rFonts w:ascii="Arial" w:hAnsi="Arial" w:cs="Arial"/>
                <w:b/>
                <w:sz w:val="18"/>
                <w:szCs w:val="18"/>
              </w:rPr>
              <w:t>References</w:t>
            </w:r>
          </w:p>
        </w:tc>
      </w:tr>
      <w:tr w:rsidR="00C7266C" w:rsidRPr="00D403F5" w14:paraId="3D1CD61E" w14:textId="77777777" w:rsidTr="00C7266C">
        <w:trPr>
          <w:cantSplit/>
        </w:trPr>
        <w:tc>
          <w:tcPr>
            <w:tcW w:w="1794" w:type="dxa"/>
            <w:vAlign w:val="center"/>
          </w:tcPr>
          <w:p w14:paraId="7932DDC6" w14:textId="77777777" w:rsidR="00C7266C" w:rsidRPr="00D403F5" w:rsidRDefault="00C7266C" w:rsidP="00D403F5">
            <w:pPr>
              <w:spacing w:after="0"/>
              <w:rPr>
                <w:rFonts w:ascii="Arial" w:hAnsi="Arial" w:cs="Arial"/>
                <w:sz w:val="18"/>
                <w:szCs w:val="18"/>
              </w:rPr>
            </w:pPr>
          </w:p>
        </w:tc>
        <w:tc>
          <w:tcPr>
            <w:tcW w:w="1705" w:type="dxa"/>
            <w:vAlign w:val="center"/>
          </w:tcPr>
          <w:p w14:paraId="2F72F2BC" w14:textId="77777777" w:rsidR="00C7266C" w:rsidRPr="00D403F5" w:rsidRDefault="00C7266C" w:rsidP="00D403F5">
            <w:pPr>
              <w:spacing w:after="0"/>
              <w:jc w:val="center"/>
              <w:rPr>
                <w:rFonts w:ascii="Arial" w:hAnsi="Arial" w:cs="Arial"/>
                <w:i/>
                <w:iCs/>
                <w:sz w:val="18"/>
                <w:szCs w:val="18"/>
              </w:rPr>
            </w:pPr>
          </w:p>
        </w:tc>
        <w:tc>
          <w:tcPr>
            <w:tcW w:w="1626" w:type="dxa"/>
            <w:vAlign w:val="center"/>
          </w:tcPr>
          <w:p w14:paraId="67D6EF3C" w14:textId="77777777" w:rsidR="00C7266C" w:rsidRPr="00D403F5" w:rsidRDefault="00C7266C" w:rsidP="00D403F5">
            <w:pPr>
              <w:spacing w:after="0"/>
              <w:jc w:val="center"/>
              <w:rPr>
                <w:rFonts w:ascii="Arial" w:hAnsi="Arial" w:cs="Arial"/>
                <w:i/>
                <w:iCs/>
                <w:sz w:val="18"/>
                <w:szCs w:val="18"/>
              </w:rPr>
            </w:pPr>
          </w:p>
        </w:tc>
        <w:tc>
          <w:tcPr>
            <w:tcW w:w="1080" w:type="dxa"/>
            <w:vAlign w:val="center"/>
          </w:tcPr>
          <w:p w14:paraId="3BA4C1F0" w14:textId="77777777" w:rsidR="00C7266C" w:rsidRPr="00D403F5" w:rsidRDefault="00C7266C" w:rsidP="00D403F5">
            <w:pPr>
              <w:spacing w:after="0"/>
              <w:jc w:val="center"/>
              <w:rPr>
                <w:rFonts w:ascii="Arial" w:hAnsi="Arial" w:cs="Arial"/>
                <w:sz w:val="18"/>
                <w:szCs w:val="18"/>
                <w:lang w:val="nb-NO"/>
              </w:rPr>
            </w:pPr>
          </w:p>
        </w:tc>
        <w:tc>
          <w:tcPr>
            <w:tcW w:w="1530" w:type="dxa"/>
            <w:shd w:val="clear" w:color="auto" w:fill="auto"/>
            <w:vAlign w:val="center"/>
          </w:tcPr>
          <w:p w14:paraId="3AB0F8AB" w14:textId="77777777" w:rsidR="00C7266C" w:rsidRPr="00D403F5" w:rsidRDefault="00C7266C" w:rsidP="00D403F5">
            <w:pPr>
              <w:spacing w:after="0"/>
              <w:jc w:val="center"/>
              <w:rPr>
                <w:rFonts w:ascii="Arial" w:hAnsi="Arial" w:cs="Arial"/>
                <w:sz w:val="18"/>
                <w:szCs w:val="18"/>
                <w:lang w:val="nb-NO"/>
              </w:rPr>
            </w:pPr>
          </w:p>
        </w:tc>
        <w:tc>
          <w:tcPr>
            <w:tcW w:w="1620" w:type="dxa"/>
            <w:shd w:val="clear" w:color="auto" w:fill="auto"/>
            <w:vAlign w:val="center"/>
          </w:tcPr>
          <w:p w14:paraId="324081DA" w14:textId="77777777" w:rsidR="00C7266C" w:rsidRPr="00D403F5" w:rsidRDefault="00C7266C" w:rsidP="00D403F5">
            <w:pPr>
              <w:spacing w:after="0"/>
              <w:rPr>
                <w:rFonts w:ascii="Arial" w:hAnsi="Arial" w:cs="Arial"/>
                <w:sz w:val="18"/>
                <w:szCs w:val="18"/>
              </w:rPr>
            </w:pPr>
          </w:p>
        </w:tc>
        <w:tc>
          <w:tcPr>
            <w:tcW w:w="715" w:type="dxa"/>
            <w:shd w:val="clear" w:color="auto" w:fill="auto"/>
            <w:vAlign w:val="center"/>
          </w:tcPr>
          <w:p w14:paraId="6FC257D7"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A</w:t>
            </w:r>
          </w:p>
        </w:tc>
        <w:tc>
          <w:tcPr>
            <w:tcW w:w="540" w:type="dxa"/>
            <w:shd w:val="clear" w:color="auto" w:fill="auto"/>
            <w:vAlign w:val="center"/>
          </w:tcPr>
          <w:p w14:paraId="0DB0D688"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B</w:t>
            </w:r>
          </w:p>
        </w:tc>
        <w:tc>
          <w:tcPr>
            <w:tcW w:w="540" w:type="dxa"/>
            <w:shd w:val="clear" w:color="auto" w:fill="auto"/>
            <w:vAlign w:val="center"/>
          </w:tcPr>
          <w:p w14:paraId="5422E9CF"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C</w:t>
            </w:r>
          </w:p>
        </w:tc>
        <w:tc>
          <w:tcPr>
            <w:tcW w:w="455" w:type="dxa"/>
            <w:shd w:val="clear" w:color="auto" w:fill="auto"/>
            <w:vAlign w:val="center"/>
          </w:tcPr>
          <w:p w14:paraId="5A709233"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D</w:t>
            </w:r>
          </w:p>
        </w:tc>
        <w:tc>
          <w:tcPr>
            <w:tcW w:w="1170" w:type="dxa"/>
            <w:vAlign w:val="center"/>
          </w:tcPr>
          <w:p w14:paraId="2BA58CDD" w14:textId="77777777" w:rsidR="00C7266C" w:rsidRPr="00D403F5" w:rsidRDefault="00C7266C" w:rsidP="00D403F5">
            <w:pPr>
              <w:spacing w:after="0"/>
              <w:jc w:val="center"/>
              <w:rPr>
                <w:rFonts w:ascii="Arial" w:hAnsi="Arial" w:cs="Arial"/>
                <w:sz w:val="18"/>
                <w:szCs w:val="18"/>
                <w:lang w:val="nb-NO"/>
              </w:rPr>
            </w:pPr>
          </w:p>
        </w:tc>
        <w:tc>
          <w:tcPr>
            <w:tcW w:w="2070" w:type="dxa"/>
            <w:shd w:val="clear" w:color="auto" w:fill="auto"/>
            <w:vAlign w:val="center"/>
          </w:tcPr>
          <w:p w14:paraId="0919C810" w14:textId="77777777" w:rsidR="00C7266C" w:rsidRPr="00D403F5" w:rsidRDefault="00C7266C" w:rsidP="00D403F5">
            <w:pPr>
              <w:spacing w:after="0"/>
              <w:rPr>
                <w:rFonts w:ascii="Arial" w:hAnsi="Arial" w:cs="Arial"/>
                <w:sz w:val="18"/>
                <w:szCs w:val="18"/>
                <w:lang w:val="nb-NO"/>
              </w:rPr>
            </w:pPr>
          </w:p>
        </w:tc>
      </w:tr>
      <w:tr w:rsidR="00C7266C" w:rsidRPr="00D403F5" w14:paraId="486B71B5" w14:textId="77777777" w:rsidTr="00C7266C">
        <w:trPr>
          <w:cantSplit/>
        </w:trPr>
        <w:tc>
          <w:tcPr>
            <w:tcW w:w="1794" w:type="dxa"/>
            <w:vAlign w:val="center"/>
          </w:tcPr>
          <w:p w14:paraId="164F219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Pilchard </w:t>
            </w:r>
          </w:p>
        </w:tc>
        <w:tc>
          <w:tcPr>
            <w:tcW w:w="1705" w:type="dxa"/>
            <w:vAlign w:val="center"/>
          </w:tcPr>
          <w:p w14:paraId="74C8EF9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Sardina </w:t>
            </w:r>
          </w:p>
        </w:tc>
        <w:tc>
          <w:tcPr>
            <w:tcW w:w="1626" w:type="dxa"/>
            <w:vAlign w:val="center"/>
          </w:tcPr>
          <w:p w14:paraId="5B9BEA6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pilchardus</w:t>
            </w:r>
          </w:p>
        </w:tc>
        <w:tc>
          <w:tcPr>
            <w:tcW w:w="1080" w:type="dxa"/>
            <w:vAlign w:val="center"/>
          </w:tcPr>
          <w:p w14:paraId="077CC2B2" w14:textId="77777777" w:rsidR="00C7266C" w:rsidRPr="00D403F5" w:rsidRDefault="00C7266C" w:rsidP="00D403F5">
            <w:pPr>
              <w:spacing w:after="0"/>
              <w:jc w:val="center"/>
              <w:rPr>
                <w:rFonts w:ascii="Arial" w:hAnsi="Arial" w:cs="Arial"/>
                <w:sz w:val="18"/>
                <w:szCs w:val="18"/>
                <w:lang w:val="nb-NO"/>
              </w:rPr>
            </w:pPr>
          </w:p>
        </w:tc>
        <w:tc>
          <w:tcPr>
            <w:tcW w:w="1530" w:type="dxa"/>
            <w:shd w:val="clear" w:color="auto" w:fill="auto"/>
            <w:vAlign w:val="center"/>
          </w:tcPr>
          <w:p w14:paraId="5845E68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0CA8B36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3EF7A71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3DD24FC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484AB1F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749A77E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64F66F3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5D16A2AB"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nb-NO"/>
              </w:rPr>
              <w:t xml:space="preserve">Ogut &amp; Altuntas, 2014 </w:t>
            </w:r>
          </w:p>
        </w:tc>
      </w:tr>
      <w:tr w:rsidR="00C7266C" w:rsidRPr="00D403F5" w14:paraId="0C2E426D" w14:textId="77777777" w:rsidTr="00C7266C">
        <w:trPr>
          <w:cantSplit/>
        </w:trPr>
        <w:tc>
          <w:tcPr>
            <w:tcW w:w="1794" w:type="dxa"/>
            <w:vAlign w:val="center"/>
          </w:tcPr>
          <w:p w14:paraId="5CF602B2"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Pontic shad </w:t>
            </w:r>
          </w:p>
        </w:tc>
        <w:tc>
          <w:tcPr>
            <w:tcW w:w="1705" w:type="dxa"/>
            <w:vAlign w:val="center"/>
          </w:tcPr>
          <w:p w14:paraId="64D24D9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Alosa </w:t>
            </w:r>
          </w:p>
        </w:tc>
        <w:tc>
          <w:tcPr>
            <w:tcW w:w="1626" w:type="dxa"/>
            <w:vAlign w:val="center"/>
          </w:tcPr>
          <w:p w14:paraId="72F86FE6"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immaculata</w:t>
            </w:r>
          </w:p>
        </w:tc>
        <w:tc>
          <w:tcPr>
            <w:tcW w:w="1080" w:type="dxa"/>
            <w:vAlign w:val="center"/>
          </w:tcPr>
          <w:p w14:paraId="3FE9D206"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Ie</w:t>
            </w:r>
          </w:p>
        </w:tc>
        <w:tc>
          <w:tcPr>
            <w:tcW w:w="1530" w:type="dxa"/>
            <w:shd w:val="clear" w:color="auto" w:fill="auto"/>
            <w:vAlign w:val="center"/>
          </w:tcPr>
          <w:p w14:paraId="082B199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7882189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31F6250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4AF87FF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3A515C6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5E52AE1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24EC831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206CE231"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nb-NO"/>
              </w:rPr>
              <w:t>Ogut &amp; Altuntas, 2014</w:t>
            </w:r>
          </w:p>
        </w:tc>
      </w:tr>
      <w:tr w:rsidR="00C7266C" w:rsidRPr="00D403F5" w14:paraId="336881C3" w14:textId="77777777" w:rsidTr="00C7266C">
        <w:trPr>
          <w:cantSplit/>
        </w:trPr>
        <w:tc>
          <w:tcPr>
            <w:tcW w:w="1794" w:type="dxa"/>
            <w:vAlign w:val="center"/>
          </w:tcPr>
          <w:p w14:paraId="65B7142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Pumpkinseed</w:t>
            </w:r>
          </w:p>
        </w:tc>
        <w:tc>
          <w:tcPr>
            <w:tcW w:w="1705" w:type="dxa"/>
            <w:vAlign w:val="center"/>
          </w:tcPr>
          <w:p w14:paraId="3B8D241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Lepomis </w:t>
            </w:r>
          </w:p>
        </w:tc>
        <w:tc>
          <w:tcPr>
            <w:tcW w:w="1626" w:type="dxa"/>
            <w:vAlign w:val="center"/>
          </w:tcPr>
          <w:p w14:paraId="30AE4CD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gibbosus</w:t>
            </w:r>
          </w:p>
        </w:tc>
        <w:tc>
          <w:tcPr>
            <w:tcW w:w="1080" w:type="dxa"/>
            <w:vAlign w:val="center"/>
          </w:tcPr>
          <w:p w14:paraId="29C7913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681A465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5309584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lang w:val="nb-NO"/>
              </w:rPr>
              <w:t xml:space="preserve">Cell </w:t>
            </w:r>
            <w:r w:rsidRPr="00D403F5">
              <w:rPr>
                <w:rFonts w:ascii="Arial" w:hAnsi="Arial" w:cs="Arial"/>
                <w:sz w:val="18"/>
                <w:szCs w:val="18"/>
              </w:rPr>
              <w:t>culture, RT-PCR</w:t>
            </w:r>
          </w:p>
        </w:tc>
        <w:tc>
          <w:tcPr>
            <w:tcW w:w="715" w:type="dxa"/>
            <w:shd w:val="clear" w:color="auto" w:fill="auto"/>
            <w:vAlign w:val="center"/>
          </w:tcPr>
          <w:p w14:paraId="288BE852"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1A5C4D6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6213654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1D21395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1EA1DC0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4282EA6F"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rPr>
              <w:t xml:space="preserve">Cornwell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2015</w:t>
            </w:r>
          </w:p>
        </w:tc>
      </w:tr>
      <w:tr w:rsidR="00C7266C" w:rsidRPr="00D403F5" w14:paraId="71C2CC8F" w14:textId="77777777" w:rsidTr="00C7266C">
        <w:trPr>
          <w:cantSplit/>
        </w:trPr>
        <w:tc>
          <w:tcPr>
            <w:tcW w:w="1794" w:type="dxa"/>
            <w:vAlign w:val="center"/>
          </w:tcPr>
          <w:p w14:paraId="4B46DCB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Rainbow trout</w:t>
            </w:r>
          </w:p>
        </w:tc>
        <w:tc>
          <w:tcPr>
            <w:tcW w:w="1705" w:type="dxa"/>
            <w:vAlign w:val="center"/>
          </w:tcPr>
          <w:p w14:paraId="788E789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Oncorhynchus</w:t>
            </w:r>
          </w:p>
        </w:tc>
        <w:tc>
          <w:tcPr>
            <w:tcW w:w="1626" w:type="dxa"/>
            <w:vAlign w:val="center"/>
          </w:tcPr>
          <w:p w14:paraId="0CB58C2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 mykiss </w:t>
            </w:r>
          </w:p>
        </w:tc>
        <w:tc>
          <w:tcPr>
            <w:tcW w:w="1080" w:type="dxa"/>
            <w:vAlign w:val="center"/>
          </w:tcPr>
          <w:p w14:paraId="2BCE96B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Ia-e, III, IVb</w:t>
            </w:r>
          </w:p>
        </w:tc>
        <w:tc>
          <w:tcPr>
            <w:tcW w:w="1530" w:type="dxa"/>
            <w:shd w:val="clear" w:color="auto" w:fill="auto"/>
            <w:vAlign w:val="center"/>
          </w:tcPr>
          <w:p w14:paraId="2F782566"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E</w:t>
            </w:r>
          </w:p>
        </w:tc>
        <w:tc>
          <w:tcPr>
            <w:tcW w:w="1620" w:type="dxa"/>
            <w:shd w:val="clear" w:color="auto" w:fill="auto"/>
            <w:vAlign w:val="center"/>
          </w:tcPr>
          <w:p w14:paraId="2F3F81C3"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fr-FR"/>
              </w:rPr>
              <w:t>Virus isolation, RT-PCR, IHC</w:t>
            </w:r>
          </w:p>
        </w:tc>
        <w:tc>
          <w:tcPr>
            <w:tcW w:w="715" w:type="dxa"/>
            <w:shd w:val="clear" w:color="auto" w:fill="auto"/>
            <w:vAlign w:val="center"/>
          </w:tcPr>
          <w:p w14:paraId="3261E92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713AA322"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7191360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6AD1985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05CECCB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6990C42C"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Dale </w:t>
            </w:r>
            <w:r w:rsidRPr="00D403F5">
              <w:rPr>
                <w:rFonts w:ascii="Arial" w:hAnsi="Arial" w:cs="Arial"/>
                <w:i/>
                <w:iCs/>
                <w:sz w:val="18"/>
                <w:szCs w:val="18"/>
              </w:rPr>
              <w:t>et al.</w:t>
            </w:r>
            <w:r w:rsidRPr="00D403F5">
              <w:rPr>
                <w:rFonts w:ascii="Arial" w:hAnsi="Arial" w:cs="Arial"/>
                <w:sz w:val="18"/>
                <w:szCs w:val="18"/>
              </w:rPr>
              <w:t>, 2009</w:t>
            </w:r>
          </w:p>
        </w:tc>
      </w:tr>
      <w:tr w:rsidR="00C7266C" w:rsidRPr="00D403F5" w14:paraId="0EAC6E03" w14:textId="77777777" w:rsidTr="00C7266C">
        <w:trPr>
          <w:cantSplit/>
        </w:trPr>
        <w:tc>
          <w:tcPr>
            <w:tcW w:w="1794" w:type="dxa"/>
            <w:vAlign w:val="center"/>
          </w:tcPr>
          <w:p w14:paraId="592E7E7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Rainbow trout X coho salmon hybrids</w:t>
            </w:r>
          </w:p>
        </w:tc>
        <w:tc>
          <w:tcPr>
            <w:tcW w:w="1705" w:type="dxa"/>
            <w:vAlign w:val="center"/>
          </w:tcPr>
          <w:p w14:paraId="67B66016"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Oncorhynchus  </w:t>
            </w:r>
          </w:p>
        </w:tc>
        <w:tc>
          <w:tcPr>
            <w:tcW w:w="1626" w:type="dxa"/>
            <w:vAlign w:val="center"/>
          </w:tcPr>
          <w:p w14:paraId="5A91296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mykiss X </w:t>
            </w:r>
            <w:r w:rsidRPr="00D403F5">
              <w:rPr>
                <w:rFonts w:ascii="Arial" w:hAnsi="Arial" w:cs="Arial"/>
                <w:i/>
                <w:iCs/>
                <w:color w:val="000000"/>
                <w:sz w:val="18"/>
                <w:szCs w:val="18"/>
              </w:rPr>
              <w:t>kisutch</w:t>
            </w:r>
          </w:p>
        </w:tc>
        <w:tc>
          <w:tcPr>
            <w:tcW w:w="1080" w:type="dxa"/>
            <w:vAlign w:val="center"/>
          </w:tcPr>
          <w:p w14:paraId="0DEEF0A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Ia</w:t>
            </w:r>
          </w:p>
        </w:tc>
        <w:tc>
          <w:tcPr>
            <w:tcW w:w="1530" w:type="dxa"/>
            <w:shd w:val="clear" w:color="auto" w:fill="auto"/>
            <w:vAlign w:val="center"/>
          </w:tcPr>
          <w:p w14:paraId="2291DC2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E</w:t>
            </w:r>
          </w:p>
        </w:tc>
        <w:tc>
          <w:tcPr>
            <w:tcW w:w="1620" w:type="dxa"/>
            <w:shd w:val="clear" w:color="auto" w:fill="auto"/>
            <w:vAlign w:val="center"/>
          </w:tcPr>
          <w:p w14:paraId="50B8911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lang w:val="en-US"/>
              </w:rPr>
              <w:t>Cell culture</w:t>
            </w:r>
          </w:p>
        </w:tc>
        <w:tc>
          <w:tcPr>
            <w:tcW w:w="715" w:type="dxa"/>
            <w:shd w:val="clear" w:color="auto" w:fill="auto"/>
            <w:vAlign w:val="center"/>
          </w:tcPr>
          <w:p w14:paraId="53A260D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176AEBC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7BE3336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56383D5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4696896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1822EB60"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rPr>
              <w:t xml:space="preserve">Ord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1976</w:t>
            </w:r>
          </w:p>
        </w:tc>
      </w:tr>
      <w:tr w:rsidR="00C7266C" w:rsidRPr="00D403F5" w14:paraId="3D4824C1" w14:textId="77777777" w:rsidTr="00C7266C">
        <w:trPr>
          <w:cantSplit/>
        </w:trPr>
        <w:tc>
          <w:tcPr>
            <w:tcW w:w="1794" w:type="dxa"/>
            <w:vAlign w:val="center"/>
          </w:tcPr>
          <w:p w14:paraId="08051C0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Red mullet </w:t>
            </w:r>
          </w:p>
        </w:tc>
        <w:tc>
          <w:tcPr>
            <w:tcW w:w="1705" w:type="dxa"/>
            <w:vAlign w:val="center"/>
          </w:tcPr>
          <w:p w14:paraId="4711994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Mullus</w:t>
            </w:r>
          </w:p>
        </w:tc>
        <w:tc>
          <w:tcPr>
            <w:tcW w:w="1626" w:type="dxa"/>
            <w:vAlign w:val="center"/>
          </w:tcPr>
          <w:p w14:paraId="0931227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 barbatus</w:t>
            </w:r>
          </w:p>
        </w:tc>
        <w:tc>
          <w:tcPr>
            <w:tcW w:w="1080" w:type="dxa"/>
            <w:vAlign w:val="center"/>
          </w:tcPr>
          <w:p w14:paraId="3D04E10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Ie</w:t>
            </w:r>
          </w:p>
        </w:tc>
        <w:tc>
          <w:tcPr>
            <w:tcW w:w="1530" w:type="dxa"/>
            <w:shd w:val="clear" w:color="auto" w:fill="auto"/>
            <w:vAlign w:val="center"/>
          </w:tcPr>
          <w:p w14:paraId="7F39147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4BD40EE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214C616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0A4169B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0A8134E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455" w:type="dxa"/>
            <w:shd w:val="clear" w:color="auto" w:fill="auto"/>
            <w:vAlign w:val="center"/>
          </w:tcPr>
          <w:p w14:paraId="19D8185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122B0DA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18B6F0FF"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nb-NO"/>
              </w:rPr>
              <w:t>Ogut &amp; Altuntas, 2014</w:t>
            </w:r>
          </w:p>
        </w:tc>
      </w:tr>
      <w:tr w:rsidR="00C7266C" w:rsidRPr="00D403F5" w14:paraId="576740FD" w14:textId="77777777" w:rsidTr="00C7266C">
        <w:trPr>
          <w:cantSplit/>
        </w:trPr>
        <w:tc>
          <w:tcPr>
            <w:tcW w:w="1794" w:type="dxa"/>
            <w:vAlign w:val="center"/>
          </w:tcPr>
          <w:p w14:paraId="13B6C9D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River lamprey</w:t>
            </w:r>
          </w:p>
        </w:tc>
        <w:tc>
          <w:tcPr>
            <w:tcW w:w="1705" w:type="dxa"/>
            <w:vAlign w:val="center"/>
          </w:tcPr>
          <w:p w14:paraId="666A331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Lampetra </w:t>
            </w:r>
          </w:p>
        </w:tc>
        <w:tc>
          <w:tcPr>
            <w:tcW w:w="1626" w:type="dxa"/>
            <w:vAlign w:val="center"/>
          </w:tcPr>
          <w:p w14:paraId="1337E2F6"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fluviatilis</w:t>
            </w:r>
          </w:p>
        </w:tc>
        <w:tc>
          <w:tcPr>
            <w:tcW w:w="1080" w:type="dxa"/>
            <w:vAlign w:val="center"/>
          </w:tcPr>
          <w:p w14:paraId="620AC1C5"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II</w:t>
            </w:r>
          </w:p>
        </w:tc>
        <w:tc>
          <w:tcPr>
            <w:tcW w:w="1530" w:type="dxa"/>
            <w:shd w:val="clear" w:color="auto" w:fill="auto"/>
            <w:vAlign w:val="center"/>
          </w:tcPr>
          <w:p w14:paraId="51B88A9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2FA8BB0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 RT-PCR, sequencing</w:t>
            </w:r>
          </w:p>
        </w:tc>
        <w:tc>
          <w:tcPr>
            <w:tcW w:w="715" w:type="dxa"/>
            <w:shd w:val="clear" w:color="auto" w:fill="auto"/>
            <w:vAlign w:val="center"/>
          </w:tcPr>
          <w:p w14:paraId="771B2FD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69081FF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77BEB86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455" w:type="dxa"/>
            <w:shd w:val="clear" w:color="auto" w:fill="auto"/>
            <w:vAlign w:val="center"/>
          </w:tcPr>
          <w:p w14:paraId="6AB5C67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5A8BF57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4655749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Gadd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2010</w:t>
            </w:r>
          </w:p>
        </w:tc>
      </w:tr>
      <w:tr w:rsidR="00C7266C" w:rsidRPr="00D403F5" w14:paraId="6F4FD976" w14:textId="77777777" w:rsidTr="00C7266C">
        <w:trPr>
          <w:cantSplit/>
        </w:trPr>
        <w:tc>
          <w:tcPr>
            <w:tcW w:w="1794" w:type="dxa"/>
            <w:vAlign w:val="center"/>
          </w:tcPr>
          <w:p w14:paraId="2F350C3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Rock bass</w:t>
            </w:r>
          </w:p>
        </w:tc>
        <w:tc>
          <w:tcPr>
            <w:tcW w:w="1705" w:type="dxa"/>
            <w:vAlign w:val="center"/>
          </w:tcPr>
          <w:p w14:paraId="21227FC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Ambloplites </w:t>
            </w:r>
          </w:p>
        </w:tc>
        <w:tc>
          <w:tcPr>
            <w:tcW w:w="1626" w:type="dxa"/>
            <w:vAlign w:val="center"/>
          </w:tcPr>
          <w:p w14:paraId="438DFC4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rupestris</w:t>
            </w:r>
          </w:p>
        </w:tc>
        <w:tc>
          <w:tcPr>
            <w:tcW w:w="1080" w:type="dxa"/>
            <w:vAlign w:val="center"/>
          </w:tcPr>
          <w:p w14:paraId="3913B54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IVb</w:t>
            </w:r>
          </w:p>
        </w:tc>
        <w:tc>
          <w:tcPr>
            <w:tcW w:w="1530" w:type="dxa"/>
            <w:shd w:val="clear" w:color="auto" w:fill="auto"/>
            <w:vAlign w:val="center"/>
          </w:tcPr>
          <w:p w14:paraId="441DAF2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41D4F62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RT-PCR</w:t>
            </w:r>
          </w:p>
        </w:tc>
        <w:tc>
          <w:tcPr>
            <w:tcW w:w="715" w:type="dxa"/>
            <w:shd w:val="clear" w:color="auto" w:fill="auto"/>
            <w:vAlign w:val="center"/>
          </w:tcPr>
          <w:p w14:paraId="21F5377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75D107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284D8F5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42806B2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539B5E4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0A7CC2F5"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Cornwell </w:t>
            </w:r>
            <w:r w:rsidRPr="00D403F5">
              <w:rPr>
                <w:rFonts w:ascii="Arial" w:hAnsi="Arial" w:cs="Arial"/>
                <w:i/>
                <w:iCs/>
                <w:color w:val="000000"/>
                <w:sz w:val="18"/>
                <w:szCs w:val="18"/>
                <w:lang w:val="nb-NO"/>
              </w:rPr>
              <w:t>et al</w:t>
            </w:r>
            <w:r w:rsidRPr="00D403F5">
              <w:rPr>
                <w:rFonts w:ascii="Arial" w:hAnsi="Arial" w:cs="Arial"/>
                <w:color w:val="000000"/>
                <w:sz w:val="18"/>
                <w:szCs w:val="18"/>
              </w:rPr>
              <w:t>., 2015</w:t>
            </w:r>
          </w:p>
        </w:tc>
      </w:tr>
      <w:tr w:rsidR="00C7266C" w:rsidRPr="00D403F5" w14:paraId="30C97D62" w14:textId="77777777" w:rsidTr="00C7266C">
        <w:trPr>
          <w:cantSplit/>
        </w:trPr>
        <w:tc>
          <w:tcPr>
            <w:tcW w:w="1794" w:type="dxa"/>
            <w:vAlign w:val="center"/>
          </w:tcPr>
          <w:p w14:paraId="6556875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Rock cook wrasse</w:t>
            </w:r>
          </w:p>
        </w:tc>
        <w:tc>
          <w:tcPr>
            <w:tcW w:w="1705" w:type="dxa"/>
            <w:vAlign w:val="center"/>
          </w:tcPr>
          <w:p w14:paraId="4393F29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Centrolabrus </w:t>
            </w:r>
          </w:p>
        </w:tc>
        <w:tc>
          <w:tcPr>
            <w:tcW w:w="1626" w:type="dxa"/>
            <w:vAlign w:val="center"/>
          </w:tcPr>
          <w:p w14:paraId="1DCE9C1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exoletus</w:t>
            </w:r>
          </w:p>
        </w:tc>
        <w:tc>
          <w:tcPr>
            <w:tcW w:w="1080" w:type="dxa"/>
            <w:vAlign w:val="center"/>
          </w:tcPr>
          <w:p w14:paraId="1A4612C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III</w:t>
            </w:r>
          </w:p>
        </w:tc>
        <w:tc>
          <w:tcPr>
            <w:tcW w:w="1530" w:type="dxa"/>
            <w:shd w:val="clear" w:color="auto" w:fill="auto"/>
            <w:vAlign w:val="center"/>
          </w:tcPr>
          <w:p w14:paraId="0D4AB3D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05E1C8E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ELISA, RT-PCR and sequencing</w:t>
            </w:r>
          </w:p>
        </w:tc>
        <w:tc>
          <w:tcPr>
            <w:tcW w:w="715" w:type="dxa"/>
            <w:shd w:val="clear" w:color="auto" w:fill="auto"/>
            <w:vAlign w:val="center"/>
          </w:tcPr>
          <w:p w14:paraId="41E5D7B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540" w:type="dxa"/>
            <w:shd w:val="clear" w:color="auto" w:fill="auto"/>
            <w:vAlign w:val="center"/>
          </w:tcPr>
          <w:p w14:paraId="299109A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C2C2FC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455" w:type="dxa"/>
            <w:shd w:val="clear" w:color="auto" w:fill="auto"/>
            <w:vAlign w:val="center"/>
          </w:tcPr>
          <w:p w14:paraId="06318C2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35DBA4F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1</w:t>
            </w:r>
          </w:p>
        </w:tc>
        <w:tc>
          <w:tcPr>
            <w:tcW w:w="2070" w:type="dxa"/>
            <w:shd w:val="clear" w:color="auto" w:fill="auto"/>
            <w:vAlign w:val="center"/>
          </w:tcPr>
          <w:p w14:paraId="465472EB"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 xml:space="preserve">Hall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2012; Munro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2015</w:t>
            </w:r>
          </w:p>
        </w:tc>
      </w:tr>
      <w:tr w:rsidR="00C7266C" w:rsidRPr="00D403F5" w14:paraId="724A33B7" w14:textId="77777777" w:rsidTr="00C7266C">
        <w:trPr>
          <w:cantSplit/>
        </w:trPr>
        <w:tc>
          <w:tcPr>
            <w:tcW w:w="1794" w:type="dxa"/>
            <w:vAlign w:val="center"/>
          </w:tcPr>
          <w:p w14:paraId="3CDBF48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Round goby</w:t>
            </w:r>
          </w:p>
        </w:tc>
        <w:tc>
          <w:tcPr>
            <w:tcW w:w="1705" w:type="dxa"/>
            <w:vAlign w:val="center"/>
          </w:tcPr>
          <w:p w14:paraId="5D41271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Neogobius </w:t>
            </w:r>
          </w:p>
        </w:tc>
        <w:tc>
          <w:tcPr>
            <w:tcW w:w="1626" w:type="dxa"/>
            <w:vAlign w:val="center"/>
          </w:tcPr>
          <w:p w14:paraId="2785E98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melanostomus</w:t>
            </w:r>
          </w:p>
        </w:tc>
        <w:tc>
          <w:tcPr>
            <w:tcW w:w="1080" w:type="dxa"/>
            <w:vAlign w:val="center"/>
          </w:tcPr>
          <w:p w14:paraId="575D057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26A8424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2003B500"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color w:val="000000"/>
                <w:sz w:val="18"/>
                <w:szCs w:val="18"/>
              </w:rPr>
              <w:t>Cell culture, RT-PCR</w:t>
            </w:r>
          </w:p>
        </w:tc>
        <w:tc>
          <w:tcPr>
            <w:tcW w:w="715" w:type="dxa"/>
            <w:shd w:val="clear" w:color="auto" w:fill="auto"/>
            <w:vAlign w:val="center"/>
          </w:tcPr>
          <w:p w14:paraId="4943899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3F02D98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6B5FB7D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455" w:type="dxa"/>
            <w:shd w:val="clear" w:color="auto" w:fill="auto"/>
            <w:vAlign w:val="center"/>
          </w:tcPr>
          <w:p w14:paraId="521C2B2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1DB0BA5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1</w:t>
            </w:r>
          </w:p>
        </w:tc>
        <w:tc>
          <w:tcPr>
            <w:tcW w:w="2070" w:type="dxa"/>
            <w:shd w:val="clear" w:color="auto" w:fill="auto"/>
            <w:vAlign w:val="center"/>
          </w:tcPr>
          <w:p w14:paraId="1FEA159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Groocock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r w:rsidR="00C7266C" w:rsidRPr="00D403F5" w14:paraId="26A75534" w14:textId="77777777" w:rsidTr="00C7266C">
        <w:trPr>
          <w:cantSplit/>
        </w:trPr>
        <w:tc>
          <w:tcPr>
            <w:tcW w:w="1794" w:type="dxa"/>
            <w:vAlign w:val="center"/>
          </w:tcPr>
          <w:p w14:paraId="23AEDDB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Sand goby</w:t>
            </w:r>
          </w:p>
        </w:tc>
        <w:tc>
          <w:tcPr>
            <w:tcW w:w="1705" w:type="dxa"/>
            <w:vAlign w:val="center"/>
          </w:tcPr>
          <w:p w14:paraId="067D182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Pomatoschistus </w:t>
            </w:r>
          </w:p>
        </w:tc>
        <w:tc>
          <w:tcPr>
            <w:tcW w:w="1626" w:type="dxa"/>
            <w:vAlign w:val="center"/>
          </w:tcPr>
          <w:p w14:paraId="0813E25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minutus</w:t>
            </w:r>
          </w:p>
        </w:tc>
        <w:tc>
          <w:tcPr>
            <w:tcW w:w="1080" w:type="dxa"/>
            <w:vAlign w:val="center"/>
          </w:tcPr>
          <w:p w14:paraId="7DDDEA9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Ib</w:t>
            </w:r>
          </w:p>
        </w:tc>
        <w:tc>
          <w:tcPr>
            <w:tcW w:w="1530" w:type="dxa"/>
            <w:shd w:val="clear" w:color="auto" w:fill="auto"/>
            <w:vAlign w:val="center"/>
          </w:tcPr>
          <w:p w14:paraId="457E2A7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142F7E6F"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w:t>
            </w:r>
          </w:p>
        </w:tc>
        <w:tc>
          <w:tcPr>
            <w:tcW w:w="715" w:type="dxa"/>
            <w:shd w:val="clear" w:color="auto" w:fill="auto"/>
            <w:vAlign w:val="center"/>
          </w:tcPr>
          <w:p w14:paraId="7D12171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3A0C414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0331AAC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237211B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6A1DE5B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18022DE4"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Skall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2005a</w:t>
            </w:r>
          </w:p>
        </w:tc>
      </w:tr>
      <w:tr w:rsidR="00C7266C" w:rsidRPr="00D403F5" w14:paraId="5BA4CB0C" w14:textId="77777777" w:rsidTr="00C7266C">
        <w:trPr>
          <w:cantSplit/>
        </w:trPr>
        <w:tc>
          <w:tcPr>
            <w:tcW w:w="1794" w:type="dxa"/>
            <w:vAlign w:val="center"/>
          </w:tcPr>
          <w:p w14:paraId="7C7C6967"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Senegalese sole</w:t>
            </w:r>
          </w:p>
        </w:tc>
        <w:tc>
          <w:tcPr>
            <w:tcW w:w="1705" w:type="dxa"/>
            <w:vAlign w:val="center"/>
          </w:tcPr>
          <w:p w14:paraId="4BE4997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Solea </w:t>
            </w:r>
          </w:p>
        </w:tc>
        <w:tc>
          <w:tcPr>
            <w:tcW w:w="1626" w:type="dxa"/>
            <w:vAlign w:val="center"/>
          </w:tcPr>
          <w:p w14:paraId="1BE1410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senegalensis</w:t>
            </w:r>
          </w:p>
        </w:tc>
        <w:tc>
          <w:tcPr>
            <w:tcW w:w="1080" w:type="dxa"/>
            <w:vAlign w:val="center"/>
          </w:tcPr>
          <w:p w14:paraId="2B88839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III</w:t>
            </w:r>
          </w:p>
        </w:tc>
        <w:tc>
          <w:tcPr>
            <w:tcW w:w="1530" w:type="dxa"/>
            <w:shd w:val="clear" w:color="auto" w:fill="auto"/>
            <w:vAlign w:val="center"/>
          </w:tcPr>
          <w:p w14:paraId="2F2DB7E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07F44C7F"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42274D1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78C685C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7308577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220FBD5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50E0192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4032103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Lopez-Vazquez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2011</w:t>
            </w:r>
          </w:p>
        </w:tc>
      </w:tr>
    </w:tbl>
    <w:p w14:paraId="5C0E669F" w14:textId="77777777" w:rsidR="00C7266C" w:rsidRPr="00D403F5" w:rsidRDefault="00C7266C" w:rsidP="00D403F5">
      <w:pPr>
        <w:spacing w:after="240"/>
        <w:jc w:val="right"/>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2F83C4BE" w14:textId="77777777" w:rsidR="00C7266C" w:rsidRPr="00D403F5" w:rsidRDefault="00C7266C" w:rsidP="00D403F5">
      <w:pPr>
        <w:spacing w:after="240"/>
        <w:jc w:val="right"/>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52CB42D4" w14:textId="77777777" w:rsidTr="00C7266C">
        <w:trPr>
          <w:cantSplit/>
        </w:trPr>
        <w:tc>
          <w:tcPr>
            <w:tcW w:w="1794" w:type="dxa"/>
          </w:tcPr>
          <w:p w14:paraId="6D1F84D6"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Common name</w:t>
            </w:r>
          </w:p>
        </w:tc>
        <w:tc>
          <w:tcPr>
            <w:tcW w:w="1705" w:type="dxa"/>
          </w:tcPr>
          <w:p w14:paraId="6D380172"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Genus</w:t>
            </w:r>
          </w:p>
        </w:tc>
        <w:tc>
          <w:tcPr>
            <w:tcW w:w="1626" w:type="dxa"/>
          </w:tcPr>
          <w:p w14:paraId="189C6E6C"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Species</w:t>
            </w:r>
          </w:p>
        </w:tc>
        <w:tc>
          <w:tcPr>
            <w:tcW w:w="1080" w:type="dxa"/>
          </w:tcPr>
          <w:p w14:paraId="4444F06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b/>
                <w:sz w:val="18"/>
                <w:szCs w:val="18"/>
              </w:rPr>
              <w:t>Genotype</w:t>
            </w:r>
          </w:p>
        </w:tc>
        <w:tc>
          <w:tcPr>
            <w:tcW w:w="1530" w:type="dxa"/>
            <w:shd w:val="clear" w:color="auto" w:fill="auto"/>
          </w:tcPr>
          <w:p w14:paraId="23C6E6E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2095C739"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2D08A73B" w14:textId="77777777" w:rsidR="00C7266C" w:rsidRPr="00D403F5" w:rsidRDefault="00C7266C" w:rsidP="00D403F5">
            <w:pPr>
              <w:spacing w:after="0"/>
              <w:jc w:val="center"/>
              <w:rPr>
                <w:rFonts w:ascii="Arial" w:hAnsi="Arial" w:cs="Arial"/>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40044DE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b/>
                <w:sz w:val="18"/>
                <w:szCs w:val="18"/>
              </w:rPr>
              <w:t>Outcome</w:t>
            </w:r>
          </w:p>
        </w:tc>
        <w:tc>
          <w:tcPr>
            <w:tcW w:w="2070" w:type="dxa"/>
            <w:shd w:val="clear" w:color="auto" w:fill="auto"/>
          </w:tcPr>
          <w:p w14:paraId="002CD3F0"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References</w:t>
            </w:r>
          </w:p>
        </w:tc>
      </w:tr>
      <w:tr w:rsidR="00C7266C" w:rsidRPr="00D403F5" w14:paraId="0DB06172" w14:textId="77777777" w:rsidTr="00C7266C">
        <w:trPr>
          <w:cantSplit/>
        </w:trPr>
        <w:tc>
          <w:tcPr>
            <w:tcW w:w="1794" w:type="dxa"/>
            <w:vAlign w:val="center"/>
          </w:tcPr>
          <w:p w14:paraId="5ACF9209" w14:textId="77777777" w:rsidR="00C7266C" w:rsidRPr="00D403F5" w:rsidRDefault="00C7266C" w:rsidP="00D403F5">
            <w:pPr>
              <w:spacing w:after="0"/>
              <w:rPr>
                <w:rFonts w:ascii="Arial" w:hAnsi="Arial" w:cs="Arial"/>
                <w:sz w:val="18"/>
                <w:szCs w:val="18"/>
              </w:rPr>
            </w:pPr>
          </w:p>
        </w:tc>
        <w:tc>
          <w:tcPr>
            <w:tcW w:w="1705" w:type="dxa"/>
            <w:vAlign w:val="center"/>
          </w:tcPr>
          <w:p w14:paraId="68225562" w14:textId="77777777" w:rsidR="00C7266C" w:rsidRPr="00D403F5" w:rsidRDefault="00C7266C" w:rsidP="00D403F5">
            <w:pPr>
              <w:spacing w:after="0"/>
              <w:jc w:val="center"/>
              <w:rPr>
                <w:rFonts w:ascii="Arial" w:hAnsi="Arial" w:cs="Arial"/>
                <w:i/>
                <w:iCs/>
                <w:sz w:val="18"/>
                <w:szCs w:val="18"/>
              </w:rPr>
            </w:pPr>
          </w:p>
        </w:tc>
        <w:tc>
          <w:tcPr>
            <w:tcW w:w="1626" w:type="dxa"/>
            <w:vAlign w:val="center"/>
          </w:tcPr>
          <w:p w14:paraId="083282F2" w14:textId="77777777" w:rsidR="00C7266C" w:rsidRPr="00D403F5" w:rsidRDefault="00C7266C" w:rsidP="00D403F5">
            <w:pPr>
              <w:spacing w:after="0"/>
              <w:jc w:val="center"/>
              <w:rPr>
                <w:rFonts w:ascii="Arial" w:hAnsi="Arial" w:cs="Arial"/>
                <w:i/>
                <w:iCs/>
                <w:sz w:val="18"/>
                <w:szCs w:val="18"/>
              </w:rPr>
            </w:pPr>
          </w:p>
        </w:tc>
        <w:tc>
          <w:tcPr>
            <w:tcW w:w="1080" w:type="dxa"/>
            <w:vAlign w:val="center"/>
          </w:tcPr>
          <w:p w14:paraId="14D63870" w14:textId="77777777" w:rsidR="00C7266C" w:rsidRPr="00D403F5" w:rsidRDefault="00C7266C" w:rsidP="00D403F5">
            <w:pPr>
              <w:spacing w:after="0"/>
              <w:jc w:val="center"/>
              <w:rPr>
                <w:rFonts w:ascii="Arial" w:hAnsi="Arial" w:cs="Arial"/>
                <w:sz w:val="18"/>
                <w:szCs w:val="18"/>
                <w:lang w:val="nb-NO"/>
              </w:rPr>
            </w:pPr>
          </w:p>
        </w:tc>
        <w:tc>
          <w:tcPr>
            <w:tcW w:w="1530" w:type="dxa"/>
            <w:shd w:val="clear" w:color="auto" w:fill="auto"/>
            <w:vAlign w:val="center"/>
          </w:tcPr>
          <w:p w14:paraId="793FCED7" w14:textId="77777777" w:rsidR="00C7266C" w:rsidRPr="00D403F5" w:rsidRDefault="00C7266C" w:rsidP="00D403F5">
            <w:pPr>
              <w:spacing w:after="0"/>
              <w:jc w:val="center"/>
              <w:rPr>
                <w:rFonts w:ascii="Arial" w:hAnsi="Arial" w:cs="Arial"/>
                <w:sz w:val="18"/>
                <w:szCs w:val="18"/>
                <w:lang w:val="nb-NO"/>
              </w:rPr>
            </w:pPr>
          </w:p>
        </w:tc>
        <w:tc>
          <w:tcPr>
            <w:tcW w:w="1620" w:type="dxa"/>
            <w:shd w:val="clear" w:color="auto" w:fill="auto"/>
            <w:vAlign w:val="center"/>
          </w:tcPr>
          <w:p w14:paraId="1FEF0A1D" w14:textId="77777777" w:rsidR="00C7266C" w:rsidRPr="00D403F5" w:rsidRDefault="00C7266C" w:rsidP="00D403F5">
            <w:pPr>
              <w:spacing w:after="0"/>
              <w:rPr>
                <w:rFonts w:ascii="Arial" w:hAnsi="Arial" w:cs="Arial"/>
                <w:sz w:val="18"/>
                <w:szCs w:val="18"/>
              </w:rPr>
            </w:pPr>
          </w:p>
        </w:tc>
        <w:tc>
          <w:tcPr>
            <w:tcW w:w="715" w:type="dxa"/>
            <w:shd w:val="clear" w:color="auto" w:fill="auto"/>
            <w:vAlign w:val="center"/>
          </w:tcPr>
          <w:p w14:paraId="3063C5B1"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A</w:t>
            </w:r>
          </w:p>
        </w:tc>
        <w:tc>
          <w:tcPr>
            <w:tcW w:w="540" w:type="dxa"/>
            <w:shd w:val="clear" w:color="auto" w:fill="auto"/>
            <w:vAlign w:val="center"/>
          </w:tcPr>
          <w:p w14:paraId="7EA3D1E4"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B</w:t>
            </w:r>
          </w:p>
        </w:tc>
        <w:tc>
          <w:tcPr>
            <w:tcW w:w="540" w:type="dxa"/>
            <w:shd w:val="clear" w:color="auto" w:fill="auto"/>
            <w:vAlign w:val="center"/>
          </w:tcPr>
          <w:p w14:paraId="6DB819AD"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C</w:t>
            </w:r>
          </w:p>
        </w:tc>
        <w:tc>
          <w:tcPr>
            <w:tcW w:w="455" w:type="dxa"/>
            <w:shd w:val="clear" w:color="auto" w:fill="auto"/>
            <w:vAlign w:val="center"/>
          </w:tcPr>
          <w:p w14:paraId="4ABDF9CF"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D</w:t>
            </w:r>
          </w:p>
        </w:tc>
        <w:tc>
          <w:tcPr>
            <w:tcW w:w="1170" w:type="dxa"/>
            <w:vAlign w:val="center"/>
          </w:tcPr>
          <w:p w14:paraId="75254CB1" w14:textId="77777777" w:rsidR="00C7266C" w:rsidRPr="00D403F5" w:rsidRDefault="00C7266C" w:rsidP="00D403F5">
            <w:pPr>
              <w:spacing w:after="0"/>
              <w:jc w:val="center"/>
              <w:rPr>
                <w:rFonts w:ascii="Arial" w:hAnsi="Arial" w:cs="Arial"/>
                <w:sz w:val="18"/>
                <w:szCs w:val="18"/>
                <w:lang w:val="nb-NO"/>
              </w:rPr>
            </w:pPr>
          </w:p>
        </w:tc>
        <w:tc>
          <w:tcPr>
            <w:tcW w:w="2070" w:type="dxa"/>
            <w:shd w:val="clear" w:color="auto" w:fill="auto"/>
            <w:vAlign w:val="center"/>
          </w:tcPr>
          <w:p w14:paraId="32FC21FB" w14:textId="77777777" w:rsidR="00C7266C" w:rsidRPr="00D403F5" w:rsidRDefault="00C7266C" w:rsidP="00D403F5">
            <w:pPr>
              <w:spacing w:after="0"/>
              <w:rPr>
                <w:rFonts w:ascii="Arial" w:hAnsi="Arial" w:cs="Arial"/>
                <w:sz w:val="18"/>
                <w:szCs w:val="18"/>
              </w:rPr>
            </w:pPr>
          </w:p>
        </w:tc>
      </w:tr>
      <w:tr w:rsidR="00C7266C" w:rsidRPr="00D403F5" w14:paraId="487B27C2" w14:textId="77777777" w:rsidTr="00C7266C">
        <w:trPr>
          <w:cantSplit/>
        </w:trPr>
        <w:tc>
          <w:tcPr>
            <w:tcW w:w="1794" w:type="dxa"/>
            <w:vAlign w:val="center"/>
          </w:tcPr>
          <w:p w14:paraId="4296FBE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Shiner perch</w:t>
            </w:r>
          </w:p>
        </w:tc>
        <w:tc>
          <w:tcPr>
            <w:tcW w:w="1705" w:type="dxa"/>
            <w:vAlign w:val="center"/>
          </w:tcPr>
          <w:p w14:paraId="354B7EB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Cymatogaster </w:t>
            </w:r>
          </w:p>
        </w:tc>
        <w:tc>
          <w:tcPr>
            <w:tcW w:w="1626" w:type="dxa"/>
            <w:vAlign w:val="center"/>
          </w:tcPr>
          <w:p w14:paraId="2C487D6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aggregata</w:t>
            </w:r>
          </w:p>
        </w:tc>
        <w:tc>
          <w:tcPr>
            <w:tcW w:w="1080" w:type="dxa"/>
            <w:vAlign w:val="center"/>
          </w:tcPr>
          <w:p w14:paraId="7400CE1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IVa</w:t>
            </w:r>
          </w:p>
        </w:tc>
        <w:tc>
          <w:tcPr>
            <w:tcW w:w="1530" w:type="dxa"/>
            <w:shd w:val="clear" w:color="auto" w:fill="auto"/>
            <w:vAlign w:val="center"/>
          </w:tcPr>
          <w:p w14:paraId="5DEEF5C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33571687"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Neutralization, IFAT</w:t>
            </w:r>
          </w:p>
        </w:tc>
        <w:tc>
          <w:tcPr>
            <w:tcW w:w="715" w:type="dxa"/>
            <w:shd w:val="clear" w:color="auto" w:fill="auto"/>
            <w:vAlign w:val="center"/>
          </w:tcPr>
          <w:p w14:paraId="2F0806F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62002E56"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3BFE75B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2BF659C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24DEE38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15CBDA1C"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Meyers &amp; Winton, 1995</w:t>
            </w:r>
          </w:p>
        </w:tc>
      </w:tr>
      <w:tr w:rsidR="00C7266C" w:rsidRPr="00D403F5" w14:paraId="4AA60866" w14:textId="77777777" w:rsidTr="00C7266C">
        <w:trPr>
          <w:cantSplit/>
        </w:trPr>
        <w:tc>
          <w:tcPr>
            <w:tcW w:w="1794" w:type="dxa"/>
            <w:vAlign w:val="center"/>
          </w:tcPr>
          <w:p w14:paraId="37B1112C"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Smallmouth bass</w:t>
            </w:r>
          </w:p>
        </w:tc>
        <w:tc>
          <w:tcPr>
            <w:tcW w:w="1705" w:type="dxa"/>
            <w:vAlign w:val="center"/>
          </w:tcPr>
          <w:p w14:paraId="1EEC9AB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Micropterus </w:t>
            </w:r>
          </w:p>
        </w:tc>
        <w:tc>
          <w:tcPr>
            <w:tcW w:w="1626" w:type="dxa"/>
            <w:vAlign w:val="center"/>
          </w:tcPr>
          <w:p w14:paraId="75F7BD6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dolomieu</w:t>
            </w:r>
          </w:p>
        </w:tc>
        <w:tc>
          <w:tcPr>
            <w:tcW w:w="1080" w:type="dxa"/>
            <w:vAlign w:val="center"/>
          </w:tcPr>
          <w:p w14:paraId="3C2B478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IVb</w:t>
            </w:r>
          </w:p>
        </w:tc>
        <w:tc>
          <w:tcPr>
            <w:tcW w:w="1530" w:type="dxa"/>
            <w:shd w:val="clear" w:color="auto" w:fill="auto"/>
            <w:vAlign w:val="center"/>
          </w:tcPr>
          <w:p w14:paraId="6364F29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32BA98AA"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fr-FR"/>
              </w:rPr>
              <w:t xml:space="preserve">Vrus isolation RT-PCR, IHC </w:t>
            </w:r>
          </w:p>
        </w:tc>
        <w:tc>
          <w:tcPr>
            <w:tcW w:w="715" w:type="dxa"/>
            <w:shd w:val="clear" w:color="auto" w:fill="auto"/>
            <w:vAlign w:val="center"/>
          </w:tcPr>
          <w:p w14:paraId="3B7F927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2823B25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7C7E2AF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0F42503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7E0D3B8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5CB2990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Al-Hussinee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2011</w:t>
            </w:r>
          </w:p>
        </w:tc>
      </w:tr>
      <w:tr w:rsidR="00C7266C" w:rsidRPr="00D403F5" w14:paraId="5B93420E" w14:textId="77777777" w:rsidTr="00C7266C">
        <w:trPr>
          <w:cantSplit/>
        </w:trPr>
        <w:tc>
          <w:tcPr>
            <w:tcW w:w="1794" w:type="dxa"/>
            <w:vAlign w:val="center"/>
          </w:tcPr>
          <w:p w14:paraId="5E9CFCE1" w14:textId="77777777" w:rsidR="00C7266C" w:rsidRPr="00D403F5" w:rsidRDefault="00C7266C" w:rsidP="00D403F5">
            <w:pPr>
              <w:spacing w:after="0"/>
              <w:rPr>
                <w:rFonts w:ascii="Arial" w:hAnsi="Arial" w:cs="Arial"/>
                <w:sz w:val="18"/>
                <w:szCs w:val="18"/>
                <w:lang w:val="en-US"/>
              </w:rPr>
            </w:pPr>
            <w:bookmarkStart w:id="104" w:name="_Hlk534644973"/>
            <w:r w:rsidRPr="00D403F5">
              <w:rPr>
                <w:rFonts w:ascii="Arial" w:hAnsi="Arial" w:cs="Arial"/>
                <w:sz w:val="18"/>
                <w:szCs w:val="18"/>
              </w:rPr>
              <w:t>South American pilchard</w:t>
            </w:r>
          </w:p>
        </w:tc>
        <w:tc>
          <w:tcPr>
            <w:tcW w:w="1705" w:type="dxa"/>
            <w:vAlign w:val="center"/>
          </w:tcPr>
          <w:p w14:paraId="479E3D0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Sardinops </w:t>
            </w:r>
          </w:p>
        </w:tc>
        <w:tc>
          <w:tcPr>
            <w:tcW w:w="1626" w:type="dxa"/>
            <w:vAlign w:val="center"/>
          </w:tcPr>
          <w:p w14:paraId="1C98D22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sagax</w:t>
            </w:r>
          </w:p>
        </w:tc>
        <w:tc>
          <w:tcPr>
            <w:tcW w:w="1080" w:type="dxa"/>
            <w:vAlign w:val="center"/>
          </w:tcPr>
          <w:p w14:paraId="2DC1C428"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IVa</w:t>
            </w:r>
          </w:p>
        </w:tc>
        <w:tc>
          <w:tcPr>
            <w:tcW w:w="1530" w:type="dxa"/>
            <w:shd w:val="clear" w:color="auto" w:fill="auto"/>
            <w:vAlign w:val="center"/>
          </w:tcPr>
          <w:p w14:paraId="7D8F04A6"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N/E</w:t>
            </w:r>
          </w:p>
        </w:tc>
        <w:tc>
          <w:tcPr>
            <w:tcW w:w="1620" w:type="dxa"/>
            <w:shd w:val="clear" w:color="auto" w:fill="auto"/>
            <w:vAlign w:val="center"/>
          </w:tcPr>
          <w:p w14:paraId="72B25780"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PCR</w:t>
            </w:r>
          </w:p>
        </w:tc>
        <w:tc>
          <w:tcPr>
            <w:tcW w:w="715" w:type="dxa"/>
            <w:shd w:val="clear" w:color="auto" w:fill="auto"/>
            <w:vAlign w:val="center"/>
          </w:tcPr>
          <w:p w14:paraId="3ED3CBC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5E3E4C8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170A440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7FDFFBA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4EC7452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4DB60965"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Traxler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1999;  Hedrick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2003</w:t>
            </w:r>
          </w:p>
        </w:tc>
      </w:tr>
      <w:tr w:rsidR="00C7266C" w:rsidRPr="00D403F5" w14:paraId="18FFEE3D" w14:textId="77777777" w:rsidTr="00C7266C">
        <w:trPr>
          <w:cantSplit/>
        </w:trPr>
        <w:tc>
          <w:tcPr>
            <w:tcW w:w="1794" w:type="dxa"/>
            <w:vAlign w:val="center"/>
          </w:tcPr>
          <w:p w14:paraId="3B59EF2C"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Spottail shiner</w:t>
            </w:r>
          </w:p>
        </w:tc>
        <w:tc>
          <w:tcPr>
            <w:tcW w:w="1705" w:type="dxa"/>
            <w:vAlign w:val="center"/>
          </w:tcPr>
          <w:p w14:paraId="04394DE5"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color w:val="000000"/>
                <w:sz w:val="18"/>
                <w:szCs w:val="18"/>
              </w:rPr>
              <w:t xml:space="preserve">Notropis </w:t>
            </w:r>
          </w:p>
        </w:tc>
        <w:tc>
          <w:tcPr>
            <w:tcW w:w="1626" w:type="dxa"/>
            <w:vAlign w:val="center"/>
          </w:tcPr>
          <w:p w14:paraId="256DF4AD"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color w:val="000000"/>
                <w:sz w:val="18"/>
                <w:szCs w:val="18"/>
              </w:rPr>
              <w:t>hudsonius</w:t>
            </w:r>
          </w:p>
        </w:tc>
        <w:tc>
          <w:tcPr>
            <w:tcW w:w="1080" w:type="dxa"/>
            <w:vAlign w:val="center"/>
          </w:tcPr>
          <w:p w14:paraId="06506A5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560B544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N/IP</w:t>
            </w:r>
          </w:p>
        </w:tc>
        <w:tc>
          <w:tcPr>
            <w:tcW w:w="1620" w:type="dxa"/>
            <w:shd w:val="clear" w:color="auto" w:fill="auto"/>
            <w:vAlign w:val="center"/>
          </w:tcPr>
          <w:p w14:paraId="0BAC2F9D" w14:textId="77777777" w:rsidR="00C7266C" w:rsidRPr="00D403F5" w:rsidRDefault="00C7266C" w:rsidP="00D403F5">
            <w:pPr>
              <w:spacing w:after="0"/>
              <w:rPr>
                <w:rFonts w:ascii="Arial" w:hAnsi="Arial" w:cs="Arial"/>
                <w:sz w:val="18"/>
                <w:szCs w:val="18"/>
              </w:rPr>
            </w:pPr>
            <w:r w:rsidRPr="00D403F5">
              <w:rPr>
                <w:rFonts w:ascii="Arial" w:hAnsi="Arial" w:cs="Arial"/>
                <w:color w:val="000000"/>
                <w:sz w:val="18"/>
                <w:szCs w:val="18"/>
              </w:rPr>
              <w:t>Virus isolation, PCR, sequencing</w:t>
            </w:r>
          </w:p>
        </w:tc>
        <w:tc>
          <w:tcPr>
            <w:tcW w:w="715" w:type="dxa"/>
            <w:shd w:val="clear" w:color="auto" w:fill="auto"/>
            <w:vAlign w:val="center"/>
          </w:tcPr>
          <w:p w14:paraId="67AB4006"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ND</w:t>
            </w:r>
          </w:p>
        </w:tc>
        <w:tc>
          <w:tcPr>
            <w:tcW w:w="540" w:type="dxa"/>
            <w:shd w:val="clear" w:color="auto" w:fill="auto"/>
            <w:vAlign w:val="center"/>
          </w:tcPr>
          <w:p w14:paraId="2FC4038B"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Y</w:t>
            </w:r>
          </w:p>
        </w:tc>
        <w:tc>
          <w:tcPr>
            <w:tcW w:w="540" w:type="dxa"/>
            <w:shd w:val="clear" w:color="auto" w:fill="auto"/>
            <w:vAlign w:val="center"/>
          </w:tcPr>
          <w:p w14:paraId="0DC8AB6A"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N</w:t>
            </w:r>
          </w:p>
        </w:tc>
        <w:tc>
          <w:tcPr>
            <w:tcW w:w="455" w:type="dxa"/>
            <w:shd w:val="clear" w:color="auto" w:fill="auto"/>
            <w:vAlign w:val="center"/>
          </w:tcPr>
          <w:p w14:paraId="6664B2A9"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Y</w:t>
            </w:r>
          </w:p>
        </w:tc>
        <w:tc>
          <w:tcPr>
            <w:tcW w:w="1170" w:type="dxa"/>
            <w:vAlign w:val="center"/>
          </w:tcPr>
          <w:p w14:paraId="4026DD3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2E01E020"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Faisal, 2012</w:t>
            </w:r>
          </w:p>
        </w:tc>
      </w:tr>
      <w:bookmarkEnd w:id="104"/>
      <w:tr w:rsidR="00C7266C" w:rsidRPr="00D403F5" w14:paraId="317B2880" w14:textId="77777777" w:rsidTr="00C7266C">
        <w:trPr>
          <w:cantSplit/>
        </w:trPr>
        <w:tc>
          <w:tcPr>
            <w:tcW w:w="1794" w:type="dxa"/>
            <w:vAlign w:val="center"/>
          </w:tcPr>
          <w:p w14:paraId="2D635FFF"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Striped bass</w:t>
            </w:r>
          </w:p>
        </w:tc>
        <w:tc>
          <w:tcPr>
            <w:tcW w:w="1705" w:type="dxa"/>
            <w:vAlign w:val="center"/>
          </w:tcPr>
          <w:p w14:paraId="5866783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Morone </w:t>
            </w:r>
          </w:p>
        </w:tc>
        <w:tc>
          <w:tcPr>
            <w:tcW w:w="1626" w:type="dxa"/>
            <w:vAlign w:val="center"/>
          </w:tcPr>
          <w:p w14:paraId="6E1E301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saxatilis</w:t>
            </w:r>
          </w:p>
        </w:tc>
        <w:tc>
          <w:tcPr>
            <w:tcW w:w="1080" w:type="dxa"/>
            <w:vAlign w:val="center"/>
          </w:tcPr>
          <w:p w14:paraId="1726D97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 IVc</w:t>
            </w:r>
          </w:p>
        </w:tc>
        <w:tc>
          <w:tcPr>
            <w:tcW w:w="1530" w:type="dxa"/>
            <w:shd w:val="clear" w:color="auto" w:fill="auto"/>
            <w:vAlign w:val="center"/>
          </w:tcPr>
          <w:p w14:paraId="4871634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40F970D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 RT-PCR, sequencing, serum neutralization</w:t>
            </w:r>
          </w:p>
        </w:tc>
        <w:tc>
          <w:tcPr>
            <w:tcW w:w="715" w:type="dxa"/>
            <w:shd w:val="clear" w:color="auto" w:fill="auto"/>
            <w:vAlign w:val="center"/>
          </w:tcPr>
          <w:p w14:paraId="3C6B5CE6"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7DD7A72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5533E3C6"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455" w:type="dxa"/>
            <w:shd w:val="clear" w:color="auto" w:fill="auto"/>
            <w:vAlign w:val="center"/>
          </w:tcPr>
          <w:p w14:paraId="42B5F8B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5A13AA38"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3F761E74"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Gagne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2007</w:t>
            </w:r>
          </w:p>
        </w:tc>
      </w:tr>
      <w:tr w:rsidR="00C7266C" w:rsidRPr="00D403F5" w14:paraId="0192EBB9" w14:textId="77777777" w:rsidTr="00C7266C">
        <w:trPr>
          <w:cantSplit/>
        </w:trPr>
        <w:tc>
          <w:tcPr>
            <w:tcW w:w="1794" w:type="dxa"/>
            <w:vAlign w:val="center"/>
          </w:tcPr>
          <w:p w14:paraId="5CCD809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Thornback ray </w:t>
            </w:r>
          </w:p>
        </w:tc>
        <w:tc>
          <w:tcPr>
            <w:tcW w:w="1705" w:type="dxa"/>
            <w:vAlign w:val="center"/>
          </w:tcPr>
          <w:p w14:paraId="52CB866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Raja </w:t>
            </w:r>
          </w:p>
        </w:tc>
        <w:tc>
          <w:tcPr>
            <w:tcW w:w="1626" w:type="dxa"/>
            <w:vAlign w:val="center"/>
          </w:tcPr>
          <w:p w14:paraId="64F13F2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clavata</w:t>
            </w:r>
          </w:p>
        </w:tc>
        <w:tc>
          <w:tcPr>
            <w:tcW w:w="1080" w:type="dxa"/>
            <w:vAlign w:val="center"/>
          </w:tcPr>
          <w:p w14:paraId="16103AB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Ie</w:t>
            </w:r>
          </w:p>
        </w:tc>
        <w:tc>
          <w:tcPr>
            <w:tcW w:w="1530" w:type="dxa"/>
            <w:shd w:val="clear" w:color="auto" w:fill="auto"/>
            <w:vAlign w:val="center"/>
          </w:tcPr>
          <w:p w14:paraId="07A97B3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0BE9973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1B5A304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6DFC03B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78267198"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455" w:type="dxa"/>
            <w:shd w:val="clear" w:color="auto" w:fill="auto"/>
            <w:vAlign w:val="center"/>
          </w:tcPr>
          <w:p w14:paraId="75E0BB6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4981F02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18E7CA23"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Ogut &amp; Altuntas, 2014</w:t>
            </w:r>
          </w:p>
          <w:p w14:paraId="0F4267C0" w14:textId="77777777" w:rsidR="00C7266C" w:rsidRPr="00D403F5" w:rsidRDefault="00C7266C" w:rsidP="00D403F5">
            <w:pPr>
              <w:spacing w:after="0"/>
              <w:rPr>
                <w:rFonts w:ascii="Arial" w:hAnsi="Arial" w:cs="Arial"/>
                <w:sz w:val="18"/>
                <w:szCs w:val="18"/>
                <w:lang w:val="nb-NO"/>
              </w:rPr>
            </w:pPr>
          </w:p>
        </w:tc>
      </w:tr>
      <w:tr w:rsidR="00C7266C" w:rsidRPr="00D403F5" w14:paraId="4189F5C8" w14:textId="77777777" w:rsidTr="00C7266C">
        <w:trPr>
          <w:cantSplit/>
        </w:trPr>
        <w:tc>
          <w:tcPr>
            <w:tcW w:w="1794" w:type="dxa"/>
            <w:vAlign w:val="center"/>
          </w:tcPr>
          <w:p w14:paraId="7C69C9CE"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rPr>
              <w:t xml:space="preserve">Three-bearded rockling </w:t>
            </w:r>
          </w:p>
        </w:tc>
        <w:tc>
          <w:tcPr>
            <w:tcW w:w="1705" w:type="dxa"/>
            <w:vAlign w:val="center"/>
          </w:tcPr>
          <w:p w14:paraId="016FED7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Gaidropsarus</w:t>
            </w:r>
          </w:p>
        </w:tc>
        <w:tc>
          <w:tcPr>
            <w:tcW w:w="1626" w:type="dxa"/>
            <w:vAlign w:val="center"/>
          </w:tcPr>
          <w:p w14:paraId="3DF6607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 vulgaris</w:t>
            </w:r>
          </w:p>
        </w:tc>
        <w:tc>
          <w:tcPr>
            <w:tcW w:w="1080" w:type="dxa"/>
            <w:vAlign w:val="center"/>
          </w:tcPr>
          <w:p w14:paraId="2FDFE52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Ie</w:t>
            </w:r>
          </w:p>
        </w:tc>
        <w:tc>
          <w:tcPr>
            <w:tcW w:w="1530" w:type="dxa"/>
            <w:shd w:val="clear" w:color="auto" w:fill="auto"/>
            <w:vAlign w:val="center"/>
          </w:tcPr>
          <w:p w14:paraId="3B674E1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052B3C9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66C0593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7C2AEC6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15BBA3A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5A810F2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242F702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en-US"/>
              </w:rPr>
              <w:t>1</w:t>
            </w:r>
          </w:p>
        </w:tc>
        <w:tc>
          <w:tcPr>
            <w:tcW w:w="2070" w:type="dxa"/>
            <w:shd w:val="clear" w:color="auto" w:fill="auto"/>
            <w:vAlign w:val="center"/>
          </w:tcPr>
          <w:p w14:paraId="4AEEADAF"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Ogut &amp; Altuntas, 2014</w:t>
            </w:r>
          </w:p>
        </w:tc>
      </w:tr>
      <w:tr w:rsidR="00C7266C" w:rsidRPr="00D403F5" w14:paraId="036F7C0C" w14:textId="77777777" w:rsidTr="00C7266C">
        <w:trPr>
          <w:cantSplit/>
        </w:trPr>
        <w:tc>
          <w:tcPr>
            <w:tcW w:w="1794" w:type="dxa"/>
            <w:vAlign w:val="center"/>
          </w:tcPr>
          <w:p w14:paraId="64A6C003" w14:textId="77777777" w:rsidR="00C7266C" w:rsidRPr="00D403F5" w:rsidRDefault="00C7266C" w:rsidP="00D403F5">
            <w:pPr>
              <w:spacing w:after="0"/>
              <w:rPr>
                <w:rFonts w:ascii="Arial" w:hAnsi="Arial" w:cs="Arial"/>
                <w:sz w:val="18"/>
                <w:szCs w:val="18"/>
                <w:lang w:val="nb-NO"/>
              </w:rPr>
            </w:pPr>
            <w:bookmarkStart w:id="105" w:name="_Hlk534645407"/>
            <w:r w:rsidRPr="00D403F5">
              <w:rPr>
                <w:rFonts w:ascii="Arial" w:hAnsi="Arial" w:cs="Arial"/>
                <w:sz w:val="18"/>
                <w:szCs w:val="18"/>
              </w:rPr>
              <w:t xml:space="preserve">Three-spine stickleback </w:t>
            </w:r>
          </w:p>
        </w:tc>
        <w:tc>
          <w:tcPr>
            <w:tcW w:w="1705" w:type="dxa"/>
            <w:vAlign w:val="center"/>
          </w:tcPr>
          <w:p w14:paraId="6C21226E"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Gasterosteus</w:t>
            </w:r>
          </w:p>
        </w:tc>
        <w:tc>
          <w:tcPr>
            <w:tcW w:w="1626" w:type="dxa"/>
            <w:vAlign w:val="center"/>
          </w:tcPr>
          <w:p w14:paraId="4E32D30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aculeatus</w:t>
            </w:r>
          </w:p>
        </w:tc>
        <w:tc>
          <w:tcPr>
            <w:tcW w:w="1080" w:type="dxa"/>
            <w:vAlign w:val="center"/>
          </w:tcPr>
          <w:p w14:paraId="0ED6207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IVc</w:t>
            </w:r>
          </w:p>
        </w:tc>
        <w:tc>
          <w:tcPr>
            <w:tcW w:w="1530" w:type="dxa"/>
            <w:shd w:val="clear" w:color="auto" w:fill="auto"/>
            <w:vAlign w:val="center"/>
          </w:tcPr>
          <w:p w14:paraId="47A7365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74DB7BC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 RT-PCR, sequencing, serum neutralization</w:t>
            </w:r>
          </w:p>
        </w:tc>
        <w:tc>
          <w:tcPr>
            <w:tcW w:w="715" w:type="dxa"/>
            <w:shd w:val="clear" w:color="auto" w:fill="auto"/>
            <w:vAlign w:val="center"/>
          </w:tcPr>
          <w:p w14:paraId="232907B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7818EF2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6F9CCEC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6DB5163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5722DE5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6FB810F5"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Gagne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2007</w:t>
            </w:r>
          </w:p>
        </w:tc>
      </w:tr>
      <w:bookmarkEnd w:id="105"/>
      <w:tr w:rsidR="00C7266C" w:rsidRPr="00D403F5" w14:paraId="0AAE66D8" w14:textId="77777777" w:rsidTr="00C7266C">
        <w:trPr>
          <w:cantSplit/>
        </w:trPr>
        <w:tc>
          <w:tcPr>
            <w:tcW w:w="1794" w:type="dxa"/>
            <w:vAlign w:val="center"/>
          </w:tcPr>
          <w:p w14:paraId="66F68131"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Turbot</w:t>
            </w:r>
          </w:p>
        </w:tc>
        <w:tc>
          <w:tcPr>
            <w:tcW w:w="1705" w:type="dxa"/>
            <w:vAlign w:val="center"/>
          </w:tcPr>
          <w:p w14:paraId="19C734C8"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Psetta </w:t>
            </w:r>
          </w:p>
        </w:tc>
        <w:tc>
          <w:tcPr>
            <w:tcW w:w="1626" w:type="dxa"/>
            <w:vAlign w:val="center"/>
          </w:tcPr>
          <w:p w14:paraId="0A40996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maxima</w:t>
            </w:r>
          </w:p>
        </w:tc>
        <w:tc>
          <w:tcPr>
            <w:tcW w:w="1080" w:type="dxa"/>
            <w:vAlign w:val="center"/>
          </w:tcPr>
          <w:p w14:paraId="6B4AA9F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Ib, III</w:t>
            </w:r>
          </w:p>
        </w:tc>
        <w:tc>
          <w:tcPr>
            <w:tcW w:w="1530" w:type="dxa"/>
            <w:shd w:val="clear" w:color="auto" w:fill="auto"/>
            <w:vAlign w:val="center"/>
          </w:tcPr>
          <w:p w14:paraId="2A681C0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7707757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7432DA1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5DE52EC5"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3C401EF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02F1F7E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17C0158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3F070097"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King </w:t>
            </w:r>
            <w:r w:rsidRPr="00D403F5">
              <w:rPr>
                <w:rFonts w:ascii="Arial" w:hAnsi="Arial" w:cs="Arial"/>
                <w:i/>
                <w:iCs/>
                <w:color w:val="000000"/>
                <w:sz w:val="18"/>
                <w:szCs w:val="18"/>
                <w:lang w:val="en-US"/>
              </w:rPr>
              <w:t>et al</w:t>
            </w:r>
            <w:r w:rsidRPr="00D403F5">
              <w:rPr>
                <w:rFonts w:ascii="Arial" w:hAnsi="Arial" w:cs="Arial"/>
                <w:color w:val="000000"/>
                <w:sz w:val="18"/>
                <w:szCs w:val="18"/>
              </w:rPr>
              <w:t xml:space="preserve">., </w:t>
            </w:r>
            <w:r w:rsidRPr="00D403F5">
              <w:rPr>
                <w:rFonts w:ascii="Arial" w:hAnsi="Arial" w:cs="Arial"/>
                <w:sz w:val="18"/>
                <w:szCs w:val="18"/>
              </w:rPr>
              <w:t>2001b</w:t>
            </w:r>
            <w:r w:rsidRPr="00D403F5">
              <w:rPr>
                <w:rFonts w:ascii="Arial" w:hAnsi="Arial" w:cs="Arial"/>
                <w:color w:val="FF0000"/>
                <w:sz w:val="18"/>
                <w:szCs w:val="18"/>
              </w:rPr>
              <w:t xml:space="preserve">; </w:t>
            </w:r>
            <w:r w:rsidRPr="00D403F5">
              <w:rPr>
                <w:rFonts w:ascii="Arial" w:hAnsi="Arial" w:cs="Arial"/>
                <w:sz w:val="18"/>
                <w:szCs w:val="18"/>
              </w:rPr>
              <w:t>Snow &amp; Smail, 1999</w:t>
            </w:r>
          </w:p>
        </w:tc>
      </w:tr>
    </w:tbl>
    <w:p w14:paraId="7B0F379B" w14:textId="77777777" w:rsidR="00C7266C" w:rsidRPr="00D403F5" w:rsidRDefault="00C7266C" w:rsidP="00D403F5">
      <w:pPr>
        <w:spacing w:after="240"/>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11D53A9C" w14:textId="77777777" w:rsidR="00C7266C" w:rsidRPr="00D403F5" w:rsidRDefault="00C7266C" w:rsidP="00D403F5">
      <w:pPr>
        <w:spacing w:after="240"/>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0DC9DED5" w14:textId="77777777" w:rsidTr="00C7266C">
        <w:trPr>
          <w:cantSplit/>
        </w:trPr>
        <w:tc>
          <w:tcPr>
            <w:tcW w:w="1794" w:type="dxa"/>
          </w:tcPr>
          <w:p w14:paraId="3C362B8B"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Common name</w:t>
            </w:r>
          </w:p>
        </w:tc>
        <w:tc>
          <w:tcPr>
            <w:tcW w:w="1705" w:type="dxa"/>
          </w:tcPr>
          <w:p w14:paraId="0531482B"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Genus</w:t>
            </w:r>
          </w:p>
        </w:tc>
        <w:tc>
          <w:tcPr>
            <w:tcW w:w="1626" w:type="dxa"/>
          </w:tcPr>
          <w:p w14:paraId="4EAA56D6"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b/>
                <w:sz w:val="18"/>
                <w:szCs w:val="18"/>
              </w:rPr>
              <w:t>Species</w:t>
            </w:r>
          </w:p>
        </w:tc>
        <w:tc>
          <w:tcPr>
            <w:tcW w:w="1080" w:type="dxa"/>
          </w:tcPr>
          <w:p w14:paraId="77D238F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b/>
                <w:sz w:val="18"/>
                <w:szCs w:val="18"/>
              </w:rPr>
              <w:t>Genotype</w:t>
            </w:r>
          </w:p>
        </w:tc>
        <w:tc>
          <w:tcPr>
            <w:tcW w:w="1530" w:type="dxa"/>
            <w:shd w:val="clear" w:color="auto" w:fill="auto"/>
          </w:tcPr>
          <w:p w14:paraId="56DF504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5017FF86" w14:textId="77777777" w:rsidR="00C7266C" w:rsidRPr="00D403F5" w:rsidRDefault="00C7266C" w:rsidP="00D403F5">
            <w:pPr>
              <w:spacing w:after="0"/>
              <w:rPr>
                <w:rFonts w:ascii="Arial" w:hAnsi="Arial" w:cs="Arial"/>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43B28CF3" w14:textId="77777777" w:rsidR="00C7266C" w:rsidRPr="00D403F5" w:rsidRDefault="00C7266C" w:rsidP="00D403F5">
            <w:pPr>
              <w:spacing w:after="0"/>
              <w:jc w:val="center"/>
              <w:rPr>
                <w:rFonts w:ascii="Arial" w:hAnsi="Arial" w:cs="Arial"/>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33D614E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b/>
                <w:sz w:val="18"/>
                <w:szCs w:val="18"/>
              </w:rPr>
              <w:t>Outcome</w:t>
            </w:r>
          </w:p>
        </w:tc>
        <w:tc>
          <w:tcPr>
            <w:tcW w:w="2070" w:type="dxa"/>
            <w:shd w:val="clear" w:color="auto" w:fill="auto"/>
          </w:tcPr>
          <w:p w14:paraId="36EBC3F8" w14:textId="77777777" w:rsidR="00C7266C" w:rsidRPr="00D403F5" w:rsidRDefault="00C7266C" w:rsidP="00D403F5">
            <w:pPr>
              <w:spacing w:after="0"/>
              <w:rPr>
                <w:rFonts w:ascii="Arial" w:hAnsi="Arial" w:cs="Arial"/>
                <w:sz w:val="18"/>
                <w:szCs w:val="18"/>
                <w:lang w:val="nb-NO"/>
              </w:rPr>
            </w:pPr>
            <w:r w:rsidRPr="00D403F5">
              <w:rPr>
                <w:rFonts w:ascii="Arial" w:hAnsi="Arial" w:cs="Arial"/>
                <w:b/>
                <w:sz w:val="18"/>
                <w:szCs w:val="18"/>
              </w:rPr>
              <w:t>References</w:t>
            </w:r>
          </w:p>
        </w:tc>
      </w:tr>
      <w:tr w:rsidR="00C7266C" w:rsidRPr="00D403F5" w14:paraId="0B45C1BE" w14:textId="77777777" w:rsidTr="00C7266C">
        <w:trPr>
          <w:cantSplit/>
        </w:trPr>
        <w:tc>
          <w:tcPr>
            <w:tcW w:w="1794" w:type="dxa"/>
            <w:vAlign w:val="center"/>
          </w:tcPr>
          <w:p w14:paraId="14764DC6" w14:textId="77777777" w:rsidR="00C7266C" w:rsidRPr="00D403F5" w:rsidRDefault="00C7266C" w:rsidP="00D403F5">
            <w:pPr>
              <w:spacing w:after="0"/>
              <w:rPr>
                <w:rFonts w:ascii="Arial" w:hAnsi="Arial" w:cs="Arial"/>
                <w:sz w:val="18"/>
                <w:szCs w:val="18"/>
              </w:rPr>
            </w:pPr>
          </w:p>
        </w:tc>
        <w:tc>
          <w:tcPr>
            <w:tcW w:w="1705" w:type="dxa"/>
            <w:vAlign w:val="center"/>
          </w:tcPr>
          <w:p w14:paraId="199267D8" w14:textId="77777777" w:rsidR="00C7266C" w:rsidRPr="00D403F5" w:rsidRDefault="00C7266C" w:rsidP="00D403F5">
            <w:pPr>
              <w:spacing w:after="0"/>
              <w:jc w:val="center"/>
              <w:rPr>
                <w:rFonts w:ascii="Arial" w:hAnsi="Arial" w:cs="Arial"/>
                <w:i/>
                <w:iCs/>
                <w:sz w:val="18"/>
                <w:szCs w:val="18"/>
              </w:rPr>
            </w:pPr>
          </w:p>
        </w:tc>
        <w:tc>
          <w:tcPr>
            <w:tcW w:w="1626" w:type="dxa"/>
            <w:vAlign w:val="center"/>
          </w:tcPr>
          <w:p w14:paraId="20A684D0" w14:textId="77777777" w:rsidR="00C7266C" w:rsidRPr="00D403F5" w:rsidRDefault="00C7266C" w:rsidP="00D403F5">
            <w:pPr>
              <w:spacing w:after="0"/>
              <w:jc w:val="center"/>
              <w:rPr>
                <w:rFonts w:ascii="Arial" w:hAnsi="Arial" w:cs="Arial"/>
                <w:i/>
                <w:iCs/>
                <w:sz w:val="18"/>
                <w:szCs w:val="18"/>
              </w:rPr>
            </w:pPr>
          </w:p>
        </w:tc>
        <w:tc>
          <w:tcPr>
            <w:tcW w:w="1080" w:type="dxa"/>
            <w:vAlign w:val="center"/>
          </w:tcPr>
          <w:p w14:paraId="2F41F402" w14:textId="77777777" w:rsidR="00C7266C" w:rsidRPr="00D403F5" w:rsidRDefault="00C7266C" w:rsidP="00D403F5">
            <w:pPr>
              <w:spacing w:after="0"/>
              <w:jc w:val="center"/>
              <w:rPr>
                <w:rFonts w:ascii="Arial" w:hAnsi="Arial" w:cs="Arial"/>
                <w:sz w:val="18"/>
                <w:szCs w:val="18"/>
                <w:lang w:val="en-US"/>
              </w:rPr>
            </w:pPr>
          </w:p>
        </w:tc>
        <w:tc>
          <w:tcPr>
            <w:tcW w:w="1530" w:type="dxa"/>
            <w:shd w:val="clear" w:color="auto" w:fill="auto"/>
            <w:vAlign w:val="center"/>
          </w:tcPr>
          <w:p w14:paraId="103ABF68" w14:textId="77777777" w:rsidR="00C7266C" w:rsidRPr="00D403F5" w:rsidRDefault="00C7266C" w:rsidP="00D403F5">
            <w:pPr>
              <w:spacing w:after="0"/>
              <w:jc w:val="center"/>
              <w:rPr>
                <w:rFonts w:ascii="Arial" w:hAnsi="Arial" w:cs="Arial"/>
                <w:sz w:val="18"/>
                <w:szCs w:val="18"/>
                <w:lang w:val="en-US"/>
              </w:rPr>
            </w:pPr>
          </w:p>
        </w:tc>
        <w:tc>
          <w:tcPr>
            <w:tcW w:w="1620" w:type="dxa"/>
            <w:shd w:val="clear" w:color="auto" w:fill="auto"/>
            <w:vAlign w:val="center"/>
          </w:tcPr>
          <w:p w14:paraId="38CDA19E" w14:textId="77777777" w:rsidR="00C7266C" w:rsidRPr="00D403F5" w:rsidRDefault="00C7266C" w:rsidP="00D403F5">
            <w:pPr>
              <w:spacing w:after="0"/>
              <w:rPr>
                <w:rFonts w:ascii="Arial" w:hAnsi="Arial" w:cs="Arial"/>
                <w:sz w:val="18"/>
                <w:szCs w:val="18"/>
              </w:rPr>
            </w:pPr>
          </w:p>
        </w:tc>
        <w:tc>
          <w:tcPr>
            <w:tcW w:w="715" w:type="dxa"/>
            <w:shd w:val="clear" w:color="auto" w:fill="auto"/>
            <w:vAlign w:val="center"/>
          </w:tcPr>
          <w:p w14:paraId="43BE0403"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A</w:t>
            </w:r>
          </w:p>
        </w:tc>
        <w:tc>
          <w:tcPr>
            <w:tcW w:w="540" w:type="dxa"/>
            <w:shd w:val="clear" w:color="auto" w:fill="auto"/>
            <w:vAlign w:val="center"/>
          </w:tcPr>
          <w:p w14:paraId="6BACCA38"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B</w:t>
            </w:r>
          </w:p>
        </w:tc>
        <w:tc>
          <w:tcPr>
            <w:tcW w:w="540" w:type="dxa"/>
            <w:shd w:val="clear" w:color="auto" w:fill="auto"/>
            <w:vAlign w:val="center"/>
          </w:tcPr>
          <w:p w14:paraId="5ED6AC18"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C</w:t>
            </w:r>
          </w:p>
        </w:tc>
        <w:tc>
          <w:tcPr>
            <w:tcW w:w="455" w:type="dxa"/>
            <w:shd w:val="clear" w:color="auto" w:fill="auto"/>
            <w:vAlign w:val="center"/>
          </w:tcPr>
          <w:p w14:paraId="6C95082E"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D</w:t>
            </w:r>
          </w:p>
        </w:tc>
        <w:tc>
          <w:tcPr>
            <w:tcW w:w="1170" w:type="dxa"/>
            <w:vAlign w:val="center"/>
          </w:tcPr>
          <w:p w14:paraId="2C67C965" w14:textId="77777777" w:rsidR="00C7266C" w:rsidRPr="00D403F5" w:rsidRDefault="00C7266C" w:rsidP="00D403F5">
            <w:pPr>
              <w:spacing w:after="0"/>
              <w:jc w:val="center"/>
              <w:rPr>
                <w:rFonts w:ascii="Arial" w:hAnsi="Arial" w:cs="Arial"/>
                <w:sz w:val="18"/>
                <w:szCs w:val="18"/>
                <w:lang w:val="en-US"/>
              </w:rPr>
            </w:pPr>
          </w:p>
        </w:tc>
        <w:tc>
          <w:tcPr>
            <w:tcW w:w="2070" w:type="dxa"/>
            <w:shd w:val="clear" w:color="auto" w:fill="auto"/>
            <w:vAlign w:val="center"/>
          </w:tcPr>
          <w:p w14:paraId="24A5E4C3" w14:textId="77777777" w:rsidR="00C7266C" w:rsidRPr="00D403F5" w:rsidRDefault="00C7266C" w:rsidP="00D403F5">
            <w:pPr>
              <w:spacing w:after="0"/>
              <w:rPr>
                <w:rFonts w:ascii="Arial" w:hAnsi="Arial" w:cs="Arial"/>
                <w:sz w:val="18"/>
                <w:szCs w:val="18"/>
                <w:lang w:val="nb-NO"/>
              </w:rPr>
            </w:pPr>
          </w:p>
        </w:tc>
      </w:tr>
      <w:tr w:rsidR="00D403F5" w:rsidRPr="00D403F5" w14:paraId="2A99DD53" w14:textId="77777777" w:rsidTr="00C7266C">
        <w:trPr>
          <w:cantSplit/>
        </w:trPr>
        <w:tc>
          <w:tcPr>
            <w:tcW w:w="1794" w:type="dxa"/>
            <w:vAlign w:val="center"/>
          </w:tcPr>
          <w:p w14:paraId="7077D6F5" w14:textId="7C26B26D" w:rsidR="00D403F5" w:rsidRPr="00D403F5" w:rsidRDefault="00D403F5" w:rsidP="00D403F5">
            <w:pPr>
              <w:spacing w:after="0"/>
              <w:rPr>
                <w:rFonts w:ascii="Arial" w:hAnsi="Arial" w:cs="Arial"/>
                <w:sz w:val="18"/>
                <w:szCs w:val="18"/>
              </w:rPr>
            </w:pPr>
            <w:r w:rsidRPr="00D403F5">
              <w:rPr>
                <w:rFonts w:ascii="Arial" w:hAnsi="Arial" w:cs="Arial"/>
                <w:sz w:val="18"/>
                <w:szCs w:val="18"/>
              </w:rPr>
              <w:t>Walleye</w:t>
            </w:r>
          </w:p>
        </w:tc>
        <w:tc>
          <w:tcPr>
            <w:tcW w:w="1705" w:type="dxa"/>
            <w:vAlign w:val="center"/>
          </w:tcPr>
          <w:p w14:paraId="407E6399" w14:textId="7397E9B2" w:rsidR="00D403F5" w:rsidRPr="00D403F5" w:rsidRDefault="00D403F5" w:rsidP="00D403F5">
            <w:pPr>
              <w:spacing w:after="0"/>
              <w:jc w:val="center"/>
              <w:rPr>
                <w:rFonts w:ascii="Arial" w:hAnsi="Arial" w:cs="Arial"/>
                <w:i/>
                <w:iCs/>
                <w:sz w:val="18"/>
                <w:szCs w:val="18"/>
              </w:rPr>
            </w:pPr>
            <w:r w:rsidRPr="00D403F5">
              <w:rPr>
                <w:rFonts w:ascii="Arial" w:hAnsi="Arial" w:cs="Arial"/>
                <w:i/>
                <w:iCs/>
                <w:color w:val="000000"/>
                <w:sz w:val="18"/>
                <w:szCs w:val="18"/>
              </w:rPr>
              <w:t xml:space="preserve">Sander </w:t>
            </w:r>
          </w:p>
        </w:tc>
        <w:tc>
          <w:tcPr>
            <w:tcW w:w="1626" w:type="dxa"/>
            <w:vAlign w:val="center"/>
          </w:tcPr>
          <w:p w14:paraId="4BBFC251" w14:textId="25ED4A3A" w:rsidR="00D403F5" w:rsidRPr="00D403F5" w:rsidRDefault="00D403F5" w:rsidP="00D403F5">
            <w:pPr>
              <w:spacing w:after="0"/>
              <w:jc w:val="center"/>
              <w:rPr>
                <w:rFonts w:ascii="Arial" w:hAnsi="Arial" w:cs="Arial"/>
                <w:i/>
                <w:iCs/>
                <w:sz w:val="18"/>
                <w:szCs w:val="18"/>
              </w:rPr>
            </w:pPr>
            <w:r w:rsidRPr="00D403F5">
              <w:rPr>
                <w:rFonts w:ascii="Arial" w:hAnsi="Arial" w:cs="Arial"/>
                <w:i/>
                <w:iCs/>
                <w:color w:val="000000"/>
                <w:sz w:val="18"/>
                <w:szCs w:val="18"/>
              </w:rPr>
              <w:t>vitreum</w:t>
            </w:r>
          </w:p>
        </w:tc>
        <w:tc>
          <w:tcPr>
            <w:tcW w:w="1080" w:type="dxa"/>
            <w:vAlign w:val="center"/>
          </w:tcPr>
          <w:p w14:paraId="168E802F" w14:textId="1B455097" w:rsidR="00D403F5" w:rsidRPr="00D403F5" w:rsidRDefault="00D403F5" w:rsidP="00D403F5">
            <w:pPr>
              <w:spacing w:after="0"/>
              <w:jc w:val="center"/>
              <w:rPr>
                <w:rFonts w:ascii="Arial" w:hAnsi="Arial" w:cs="Arial"/>
                <w:sz w:val="18"/>
                <w:szCs w:val="18"/>
                <w:lang w:val="en-US"/>
              </w:rPr>
            </w:pPr>
            <w:r w:rsidRPr="00D403F5">
              <w:rPr>
                <w:rFonts w:ascii="Arial" w:hAnsi="Arial" w:cs="Arial"/>
                <w:sz w:val="18"/>
                <w:szCs w:val="18"/>
                <w:lang w:val="en-US"/>
              </w:rPr>
              <w:t>IVb</w:t>
            </w:r>
          </w:p>
        </w:tc>
        <w:tc>
          <w:tcPr>
            <w:tcW w:w="1530" w:type="dxa"/>
            <w:shd w:val="clear" w:color="auto" w:fill="auto"/>
            <w:vAlign w:val="center"/>
          </w:tcPr>
          <w:p w14:paraId="73D84DFB" w14:textId="4D316933" w:rsidR="00D403F5" w:rsidRPr="00D403F5" w:rsidRDefault="00D403F5"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4C349E41" w14:textId="7B9DBA24" w:rsidR="00D403F5" w:rsidRPr="00D403F5" w:rsidRDefault="00D403F5" w:rsidP="00D403F5">
            <w:pPr>
              <w:spacing w:after="0"/>
              <w:rPr>
                <w:rFonts w:ascii="Arial" w:hAnsi="Arial" w:cs="Arial"/>
                <w:sz w:val="18"/>
                <w:szCs w:val="18"/>
              </w:rPr>
            </w:pPr>
            <w:r w:rsidRPr="00D403F5">
              <w:rPr>
                <w:rFonts w:ascii="Arial" w:hAnsi="Arial" w:cs="Arial"/>
                <w:sz w:val="18"/>
                <w:szCs w:val="18"/>
              </w:rPr>
              <w:t>Virus isolation, PCR, sequencing</w:t>
            </w:r>
          </w:p>
        </w:tc>
        <w:tc>
          <w:tcPr>
            <w:tcW w:w="715" w:type="dxa"/>
            <w:shd w:val="clear" w:color="auto" w:fill="auto"/>
            <w:vAlign w:val="center"/>
          </w:tcPr>
          <w:p w14:paraId="19A7F80F" w14:textId="6CFAF781"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ND</w:t>
            </w:r>
          </w:p>
        </w:tc>
        <w:tc>
          <w:tcPr>
            <w:tcW w:w="540" w:type="dxa"/>
            <w:shd w:val="clear" w:color="auto" w:fill="auto"/>
            <w:vAlign w:val="center"/>
          </w:tcPr>
          <w:p w14:paraId="5BE4261F" w14:textId="72F5F670"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Y</w:t>
            </w:r>
          </w:p>
        </w:tc>
        <w:tc>
          <w:tcPr>
            <w:tcW w:w="540" w:type="dxa"/>
            <w:shd w:val="clear" w:color="auto" w:fill="auto"/>
            <w:vAlign w:val="center"/>
          </w:tcPr>
          <w:p w14:paraId="5A9768D3" w14:textId="60FC1A26"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Y</w:t>
            </w:r>
          </w:p>
        </w:tc>
        <w:tc>
          <w:tcPr>
            <w:tcW w:w="455" w:type="dxa"/>
            <w:shd w:val="clear" w:color="auto" w:fill="auto"/>
            <w:vAlign w:val="center"/>
          </w:tcPr>
          <w:p w14:paraId="7D9D4043" w14:textId="4284208F" w:rsidR="00D403F5" w:rsidRPr="00D403F5" w:rsidRDefault="00D403F5" w:rsidP="00D403F5">
            <w:pPr>
              <w:spacing w:after="0"/>
              <w:jc w:val="center"/>
              <w:rPr>
                <w:rFonts w:ascii="Arial" w:hAnsi="Arial" w:cs="Arial"/>
                <w:sz w:val="18"/>
                <w:szCs w:val="18"/>
              </w:rPr>
            </w:pPr>
            <w:r w:rsidRPr="00D403F5">
              <w:rPr>
                <w:rFonts w:ascii="Arial" w:hAnsi="Arial" w:cs="Arial"/>
                <w:sz w:val="18"/>
                <w:szCs w:val="18"/>
              </w:rPr>
              <w:t>Y</w:t>
            </w:r>
          </w:p>
        </w:tc>
        <w:tc>
          <w:tcPr>
            <w:tcW w:w="1170" w:type="dxa"/>
            <w:vAlign w:val="center"/>
          </w:tcPr>
          <w:p w14:paraId="14B753D6" w14:textId="61E1F858" w:rsidR="00D403F5" w:rsidRPr="00D403F5" w:rsidRDefault="00D403F5"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5817F835" w14:textId="3501457A" w:rsidR="00D403F5" w:rsidRPr="00D403F5" w:rsidRDefault="00D403F5" w:rsidP="00D403F5">
            <w:pPr>
              <w:spacing w:after="0"/>
              <w:rPr>
                <w:rFonts w:ascii="Arial" w:hAnsi="Arial" w:cs="Arial"/>
                <w:sz w:val="18"/>
                <w:szCs w:val="18"/>
                <w:lang w:val="nb-NO"/>
              </w:rPr>
            </w:pPr>
            <w:r w:rsidRPr="00D403F5">
              <w:rPr>
                <w:rFonts w:ascii="Arial" w:hAnsi="Arial" w:cs="Arial"/>
                <w:sz w:val="18"/>
                <w:szCs w:val="18"/>
              </w:rPr>
              <w:t>Faisal, 2012</w:t>
            </w:r>
          </w:p>
        </w:tc>
      </w:tr>
      <w:tr w:rsidR="00C7266C" w:rsidRPr="00D403F5" w14:paraId="4DDD8FB9" w14:textId="77777777" w:rsidTr="00C7266C">
        <w:trPr>
          <w:cantSplit/>
        </w:trPr>
        <w:tc>
          <w:tcPr>
            <w:tcW w:w="1794" w:type="dxa"/>
            <w:vAlign w:val="center"/>
          </w:tcPr>
          <w:p w14:paraId="0E2652A5"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White Bass </w:t>
            </w:r>
          </w:p>
        </w:tc>
        <w:tc>
          <w:tcPr>
            <w:tcW w:w="1705" w:type="dxa"/>
            <w:vAlign w:val="center"/>
          </w:tcPr>
          <w:p w14:paraId="6F3D356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Morone </w:t>
            </w:r>
          </w:p>
        </w:tc>
        <w:tc>
          <w:tcPr>
            <w:tcW w:w="1626" w:type="dxa"/>
            <w:vAlign w:val="center"/>
          </w:tcPr>
          <w:p w14:paraId="1A36390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chrysops</w:t>
            </w:r>
          </w:p>
        </w:tc>
        <w:tc>
          <w:tcPr>
            <w:tcW w:w="1080" w:type="dxa"/>
            <w:vAlign w:val="center"/>
          </w:tcPr>
          <w:p w14:paraId="2D36E3E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IVb</w:t>
            </w:r>
          </w:p>
        </w:tc>
        <w:tc>
          <w:tcPr>
            <w:tcW w:w="1530" w:type="dxa"/>
            <w:shd w:val="clear" w:color="auto" w:fill="auto"/>
            <w:vAlign w:val="center"/>
          </w:tcPr>
          <w:p w14:paraId="2DD25316"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shd w:val="clear" w:color="auto" w:fill="auto"/>
            <w:vAlign w:val="center"/>
          </w:tcPr>
          <w:p w14:paraId="78CA4CF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sequencing</w:t>
            </w:r>
          </w:p>
        </w:tc>
        <w:tc>
          <w:tcPr>
            <w:tcW w:w="715" w:type="dxa"/>
            <w:shd w:val="clear" w:color="auto" w:fill="auto"/>
            <w:vAlign w:val="center"/>
          </w:tcPr>
          <w:p w14:paraId="03F818CC"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5FDBF4E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144EC42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455" w:type="dxa"/>
            <w:shd w:val="clear" w:color="auto" w:fill="auto"/>
            <w:vAlign w:val="center"/>
          </w:tcPr>
          <w:p w14:paraId="2CC86A55"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1FA4080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1</w:t>
            </w:r>
          </w:p>
        </w:tc>
        <w:tc>
          <w:tcPr>
            <w:tcW w:w="2070" w:type="dxa"/>
            <w:shd w:val="clear" w:color="auto" w:fill="auto"/>
            <w:vAlign w:val="center"/>
          </w:tcPr>
          <w:p w14:paraId="72D4195A"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Bain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2010; USGS/NACSE database </w:t>
            </w:r>
          </w:p>
        </w:tc>
      </w:tr>
      <w:tr w:rsidR="00C7266C" w:rsidRPr="00D403F5" w14:paraId="7CFE5892" w14:textId="77777777" w:rsidTr="00C7266C">
        <w:trPr>
          <w:cantSplit/>
        </w:trPr>
        <w:tc>
          <w:tcPr>
            <w:tcW w:w="1794" w:type="dxa"/>
            <w:vAlign w:val="center"/>
          </w:tcPr>
          <w:p w14:paraId="47DF99F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White Perch </w:t>
            </w:r>
          </w:p>
        </w:tc>
        <w:tc>
          <w:tcPr>
            <w:tcW w:w="1705" w:type="dxa"/>
            <w:vAlign w:val="center"/>
          </w:tcPr>
          <w:p w14:paraId="6822E9A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Morone </w:t>
            </w:r>
          </w:p>
        </w:tc>
        <w:tc>
          <w:tcPr>
            <w:tcW w:w="1626" w:type="dxa"/>
            <w:vAlign w:val="center"/>
          </w:tcPr>
          <w:p w14:paraId="1E69AF3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americana</w:t>
            </w:r>
          </w:p>
        </w:tc>
        <w:tc>
          <w:tcPr>
            <w:tcW w:w="1080" w:type="dxa"/>
            <w:vAlign w:val="center"/>
          </w:tcPr>
          <w:p w14:paraId="57738FC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075F5AA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7025633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qRT-PCR and cell culture </w:t>
            </w:r>
          </w:p>
        </w:tc>
        <w:tc>
          <w:tcPr>
            <w:tcW w:w="715" w:type="dxa"/>
            <w:shd w:val="clear" w:color="auto" w:fill="auto"/>
            <w:vAlign w:val="center"/>
          </w:tcPr>
          <w:p w14:paraId="655C888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 xml:space="preserve">N </w:t>
            </w:r>
          </w:p>
        </w:tc>
        <w:tc>
          <w:tcPr>
            <w:tcW w:w="540" w:type="dxa"/>
            <w:shd w:val="clear" w:color="auto" w:fill="auto"/>
            <w:vAlign w:val="center"/>
          </w:tcPr>
          <w:p w14:paraId="29ED8E0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196DD81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2606C8E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6D55759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028D2CDA"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Bain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 xml:space="preserve">2010; USGS/NACSE database </w:t>
            </w:r>
          </w:p>
        </w:tc>
      </w:tr>
      <w:tr w:rsidR="00C7266C" w:rsidRPr="00D403F5" w14:paraId="3E405DB7" w14:textId="77777777" w:rsidTr="00C7266C">
        <w:trPr>
          <w:cantSplit/>
        </w:trPr>
        <w:tc>
          <w:tcPr>
            <w:tcW w:w="1794" w:type="dxa"/>
            <w:vAlign w:val="center"/>
          </w:tcPr>
          <w:p w14:paraId="4498CDC8" w14:textId="77777777" w:rsidR="00C7266C" w:rsidRPr="00D403F5" w:rsidRDefault="00C7266C" w:rsidP="00D403F5">
            <w:pPr>
              <w:spacing w:after="0"/>
              <w:rPr>
                <w:rFonts w:ascii="Arial" w:hAnsi="Arial" w:cs="Arial"/>
                <w:sz w:val="18"/>
                <w:szCs w:val="18"/>
                <w:lang w:val="en-US"/>
              </w:rPr>
            </w:pPr>
            <w:bookmarkStart w:id="106" w:name="_Hlk534702059"/>
            <w:r w:rsidRPr="00D403F5">
              <w:rPr>
                <w:rFonts w:ascii="Arial" w:hAnsi="Arial" w:cs="Arial"/>
                <w:sz w:val="18"/>
                <w:szCs w:val="18"/>
              </w:rPr>
              <w:t>Whiting</w:t>
            </w:r>
          </w:p>
        </w:tc>
        <w:tc>
          <w:tcPr>
            <w:tcW w:w="1705" w:type="dxa"/>
            <w:vAlign w:val="center"/>
          </w:tcPr>
          <w:p w14:paraId="351B3BE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Merlangius </w:t>
            </w:r>
          </w:p>
        </w:tc>
        <w:tc>
          <w:tcPr>
            <w:tcW w:w="1626" w:type="dxa"/>
            <w:vAlign w:val="center"/>
          </w:tcPr>
          <w:p w14:paraId="70D633B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merlangus</w:t>
            </w:r>
          </w:p>
        </w:tc>
        <w:tc>
          <w:tcPr>
            <w:tcW w:w="1080" w:type="dxa"/>
            <w:vAlign w:val="center"/>
          </w:tcPr>
          <w:p w14:paraId="648A8D5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Ie</w:t>
            </w:r>
          </w:p>
        </w:tc>
        <w:tc>
          <w:tcPr>
            <w:tcW w:w="1530" w:type="dxa"/>
            <w:shd w:val="clear" w:color="auto" w:fill="auto"/>
            <w:vAlign w:val="center"/>
          </w:tcPr>
          <w:p w14:paraId="325CC2F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2BB0ED81"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ELISA and PCR</w:t>
            </w:r>
          </w:p>
        </w:tc>
        <w:tc>
          <w:tcPr>
            <w:tcW w:w="715" w:type="dxa"/>
            <w:shd w:val="clear" w:color="auto" w:fill="auto"/>
            <w:vAlign w:val="center"/>
          </w:tcPr>
          <w:p w14:paraId="3D942AEE"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783FC7B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41DDE73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78FAF45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4E7C16D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09849477"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Ogut &amp; Altuntas, 2014</w:t>
            </w:r>
          </w:p>
        </w:tc>
      </w:tr>
      <w:bookmarkEnd w:id="106"/>
      <w:tr w:rsidR="00C7266C" w:rsidRPr="00D403F5" w14:paraId="6EC0513E" w14:textId="77777777" w:rsidTr="00C7266C">
        <w:trPr>
          <w:cantSplit/>
        </w:trPr>
        <w:tc>
          <w:tcPr>
            <w:tcW w:w="1794" w:type="dxa"/>
            <w:vAlign w:val="center"/>
          </w:tcPr>
          <w:p w14:paraId="46581012"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Yellow perch</w:t>
            </w:r>
          </w:p>
        </w:tc>
        <w:tc>
          <w:tcPr>
            <w:tcW w:w="1705" w:type="dxa"/>
            <w:vAlign w:val="center"/>
          </w:tcPr>
          <w:p w14:paraId="3B6D4D2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Perca</w:t>
            </w:r>
          </w:p>
        </w:tc>
        <w:tc>
          <w:tcPr>
            <w:tcW w:w="1626" w:type="dxa"/>
            <w:vAlign w:val="center"/>
          </w:tcPr>
          <w:p w14:paraId="6B36412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 flavescens</w:t>
            </w:r>
          </w:p>
        </w:tc>
        <w:tc>
          <w:tcPr>
            <w:tcW w:w="1080" w:type="dxa"/>
            <w:vAlign w:val="center"/>
          </w:tcPr>
          <w:p w14:paraId="1B6EBA3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01EB3856"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37DCF8FC"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qRT-PCR</w:t>
            </w:r>
          </w:p>
        </w:tc>
        <w:tc>
          <w:tcPr>
            <w:tcW w:w="715" w:type="dxa"/>
            <w:shd w:val="clear" w:color="auto" w:fill="auto"/>
            <w:vAlign w:val="center"/>
          </w:tcPr>
          <w:p w14:paraId="3348A8C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0580955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30EF094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5D4378E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008211C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18F0F3A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Olson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2013</w:t>
            </w:r>
          </w:p>
        </w:tc>
      </w:tr>
      <w:tr w:rsidR="00C7266C" w:rsidRPr="00D403F5" w14:paraId="4B5FCB68" w14:textId="77777777" w:rsidTr="00C7266C">
        <w:trPr>
          <w:cantSplit/>
        </w:trPr>
        <w:tc>
          <w:tcPr>
            <w:tcW w:w="1794" w:type="dxa"/>
            <w:vAlign w:val="center"/>
          </w:tcPr>
          <w:p w14:paraId="62F99B5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Zebra fish</w:t>
            </w:r>
          </w:p>
        </w:tc>
        <w:tc>
          <w:tcPr>
            <w:tcW w:w="1705" w:type="dxa"/>
            <w:vAlign w:val="center"/>
          </w:tcPr>
          <w:p w14:paraId="1CCA2D2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Danio </w:t>
            </w:r>
          </w:p>
        </w:tc>
        <w:tc>
          <w:tcPr>
            <w:tcW w:w="1626" w:type="dxa"/>
            <w:vAlign w:val="center"/>
          </w:tcPr>
          <w:p w14:paraId="1333205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rerio</w:t>
            </w:r>
          </w:p>
        </w:tc>
        <w:tc>
          <w:tcPr>
            <w:tcW w:w="1080" w:type="dxa"/>
            <w:vAlign w:val="center"/>
          </w:tcPr>
          <w:p w14:paraId="2B6D588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IVa</w:t>
            </w:r>
          </w:p>
        </w:tc>
        <w:tc>
          <w:tcPr>
            <w:tcW w:w="1530" w:type="dxa"/>
            <w:shd w:val="clear" w:color="auto" w:fill="auto"/>
            <w:vAlign w:val="center"/>
          </w:tcPr>
          <w:p w14:paraId="1CEA8E4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E</w:t>
            </w:r>
          </w:p>
        </w:tc>
        <w:tc>
          <w:tcPr>
            <w:tcW w:w="1620" w:type="dxa"/>
            <w:shd w:val="clear" w:color="auto" w:fill="auto"/>
            <w:vAlign w:val="center"/>
          </w:tcPr>
          <w:p w14:paraId="6D614C6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 RT-PCR</w:t>
            </w:r>
          </w:p>
        </w:tc>
        <w:tc>
          <w:tcPr>
            <w:tcW w:w="715" w:type="dxa"/>
            <w:shd w:val="clear" w:color="auto" w:fill="auto"/>
            <w:vAlign w:val="center"/>
          </w:tcPr>
          <w:p w14:paraId="48BDDD7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36E71A3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5AE4A776"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10F935A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438C351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1</w:t>
            </w:r>
          </w:p>
        </w:tc>
        <w:tc>
          <w:tcPr>
            <w:tcW w:w="2070" w:type="dxa"/>
            <w:shd w:val="clear" w:color="auto" w:fill="auto"/>
            <w:vAlign w:val="center"/>
          </w:tcPr>
          <w:p w14:paraId="74DC8824"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Novoa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2006</w:t>
            </w:r>
          </w:p>
        </w:tc>
      </w:tr>
      <w:tr w:rsidR="00C7266C" w:rsidRPr="00D403F5" w14:paraId="0A728B24" w14:textId="77777777" w:rsidTr="00C7266C">
        <w:trPr>
          <w:cantSplit/>
        </w:trPr>
        <w:tc>
          <w:tcPr>
            <w:tcW w:w="14845" w:type="dxa"/>
            <w:gridSpan w:val="12"/>
            <w:shd w:val="clear" w:color="auto" w:fill="F2F2F2" w:themeFill="background1" w:themeFillShade="F2"/>
          </w:tcPr>
          <w:p w14:paraId="350B3810" w14:textId="77777777" w:rsidR="00C7266C" w:rsidRPr="00D403F5" w:rsidRDefault="00C7266C" w:rsidP="00D403F5">
            <w:pPr>
              <w:spacing w:after="0"/>
              <w:jc w:val="center"/>
              <w:rPr>
                <w:rFonts w:ascii="Arial" w:hAnsi="Arial" w:cs="Arial"/>
                <w:b/>
                <w:bCs/>
                <w:i/>
                <w:iCs/>
                <w:sz w:val="18"/>
                <w:szCs w:val="18"/>
                <w:lang w:val="en-US"/>
              </w:rPr>
            </w:pPr>
            <w:r w:rsidRPr="00D403F5">
              <w:rPr>
                <w:rFonts w:ascii="Arial" w:hAnsi="Arial" w:cs="Arial"/>
                <w:b/>
                <w:bCs/>
                <w:i/>
                <w:iCs/>
                <w:sz w:val="18"/>
                <w:szCs w:val="18"/>
                <w:lang w:val="en-US"/>
              </w:rPr>
              <w:t xml:space="preserve">Score 2 </w:t>
            </w:r>
          </w:p>
        </w:tc>
      </w:tr>
      <w:tr w:rsidR="00C7266C" w:rsidRPr="00D403F5" w14:paraId="29BE45A0" w14:textId="77777777" w:rsidTr="00C7266C">
        <w:trPr>
          <w:cantSplit/>
        </w:trPr>
        <w:tc>
          <w:tcPr>
            <w:tcW w:w="1794" w:type="dxa"/>
            <w:vAlign w:val="center"/>
          </w:tcPr>
          <w:p w14:paraId="6750A8EF" w14:textId="77777777" w:rsidR="00C7266C" w:rsidRPr="00D403F5" w:rsidRDefault="00C7266C" w:rsidP="00D403F5">
            <w:pPr>
              <w:spacing w:after="0"/>
              <w:rPr>
                <w:rFonts w:ascii="Arial" w:hAnsi="Arial" w:cs="Arial"/>
                <w:sz w:val="18"/>
                <w:szCs w:val="18"/>
              </w:rPr>
            </w:pPr>
            <w:r w:rsidRPr="00D403F5">
              <w:rPr>
                <w:rFonts w:ascii="Arial" w:hAnsi="Arial" w:cs="Arial"/>
                <w:sz w:val="18"/>
                <w:szCs w:val="18"/>
              </w:rPr>
              <w:t>Alaska pollock</w:t>
            </w:r>
          </w:p>
        </w:tc>
        <w:tc>
          <w:tcPr>
            <w:tcW w:w="1705" w:type="dxa"/>
            <w:vAlign w:val="center"/>
          </w:tcPr>
          <w:p w14:paraId="1C6DD642"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 xml:space="preserve">Theragra </w:t>
            </w:r>
          </w:p>
        </w:tc>
        <w:tc>
          <w:tcPr>
            <w:tcW w:w="1626" w:type="dxa"/>
            <w:vAlign w:val="center"/>
          </w:tcPr>
          <w:p w14:paraId="3CC15800"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chalcogramma</w:t>
            </w:r>
          </w:p>
        </w:tc>
        <w:tc>
          <w:tcPr>
            <w:tcW w:w="1080" w:type="dxa"/>
            <w:vAlign w:val="center"/>
          </w:tcPr>
          <w:p w14:paraId="6059D06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IVa</w:t>
            </w:r>
          </w:p>
        </w:tc>
        <w:tc>
          <w:tcPr>
            <w:tcW w:w="1530" w:type="dxa"/>
            <w:shd w:val="clear" w:color="auto" w:fill="auto"/>
            <w:vAlign w:val="center"/>
          </w:tcPr>
          <w:p w14:paraId="709D593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5F752DC2" w14:textId="77777777" w:rsidR="00C7266C" w:rsidRPr="00D403F5" w:rsidRDefault="00C7266C" w:rsidP="00D403F5">
            <w:pPr>
              <w:spacing w:after="0"/>
              <w:rPr>
                <w:rFonts w:ascii="Arial" w:hAnsi="Arial" w:cs="Arial"/>
                <w:color w:val="000000"/>
                <w:sz w:val="18"/>
                <w:szCs w:val="18"/>
              </w:rPr>
            </w:pPr>
            <w:r w:rsidRPr="00D403F5">
              <w:rPr>
                <w:rFonts w:ascii="Arial" w:hAnsi="Arial" w:cs="Arial"/>
                <w:sz w:val="18"/>
                <w:szCs w:val="18"/>
              </w:rPr>
              <w:t>Cell culture and PCR</w:t>
            </w:r>
          </w:p>
        </w:tc>
        <w:tc>
          <w:tcPr>
            <w:tcW w:w="715" w:type="dxa"/>
            <w:shd w:val="clear" w:color="auto" w:fill="auto"/>
            <w:vAlign w:val="center"/>
          </w:tcPr>
          <w:p w14:paraId="2D6958F3"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ND</w:t>
            </w:r>
          </w:p>
        </w:tc>
        <w:tc>
          <w:tcPr>
            <w:tcW w:w="540" w:type="dxa"/>
            <w:shd w:val="clear" w:color="auto" w:fill="auto"/>
            <w:vAlign w:val="center"/>
          </w:tcPr>
          <w:p w14:paraId="3D862437"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Y</w:t>
            </w:r>
          </w:p>
        </w:tc>
        <w:tc>
          <w:tcPr>
            <w:tcW w:w="540" w:type="dxa"/>
            <w:shd w:val="clear" w:color="auto" w:fill="auto"/>
            <w:vAlign w:val="center"/>
          </w:tcPr>
          <w:p w14:paraId="5E2825D3"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Y</w:t>
            </w:r>
          </w:p>
        </w:tc>
        <w:tc>
          <w:tcPr>
            <w:tcW w:w="455" w:type="dxa"/>
            <w:shd w:val="clear" w:color="auto" w:fill="auto"/>
            <w:vAlign w:val="center"/>
          </w:tcPr>
          <w:p w14:paraId="453FF34F"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Y</w:t>
            </w:r>
          </w:p>
        </w:tc>
        <w:tc>
          <w:tcPr>
            <w:tcW w:w="1170" w:type="dxa"/>
            <w:vAlign w:val="center"/>
          </w:tcPr>
          <w:p w14:paraId="4165E78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2</w:t>
            </w:r>
          </w:p>
        </w:tc>
        <w:tc>
          <w:tcPr>
            <w:tcW w:w="2070" w:type="dxa"/>
            <w:shd w:val="clear" w:color="auto" w:fill="auto"/>
            <w:vAlign w:val="center"/>
          </w:tcPr>
          <w:p w14:paraId="7D6F167A" w14:textId="77777777" w:rsidR="00C7266C" w:rsidRPr="00D403F5" w:rsidRDefault="00C7266C" w:rsidP="00D403F5">
            <w:pPr>
              <w:spacing w:after="0"/>
              <w:rPr>
                <w:rFonts w:ascii="Arial" w:hAnsi="Arial" w:cs="Arial"/>
                <w:color w:val="000000"/>
                <w:sz w:val="18"/>
                <w:szCs w:val="18"/>
              </w:rPr>
            </w:pPr>
            <w:r w:rsidRPr="00D403F5">
              <w:rPr>
                <w:rFonts w:ascii="Arial" w:hAnsi="Arial" w:cs="Arial"/>
                <w:sz w:val="18"/>
                <w:szCs w:val="18"/>
              </w:rPr>
              <w:t xml:space="preserve">Meyers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1999</w:t>
            </w:r>
          </w:p>
        </w:tc>
      </w:tr>
      <w:tr w:rsidR="00C7266C" w:rsidRPr="00D403F5" w14:paraId="2EB1E156" w14:textId="77777777" w:rsidTr="00C7266C">
        <w:trPr>
          <w:cantSplit/>
        </w:trPr>
        <w:tc>
          <w:tcPr>
            <w:tcW w:w="1794" w:type="dxa"/>
            <w:vAlign w:val="center"/>
          </w:tcPr>
          <w:p w14:paraId="0381D5F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Alewife</w:t>
            </w:r>
          </w:p>
        </w:tc>
        <w:tc>
          <w:tcPr>
            <w:tcW w:w="1705" w:type="dxa"/>
            <w:vAlign w:val="center"/>
          </w:tcPr>
          <w:p w14:paraId="26FAC34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Alosa</w:t>
            </w:r>
          </w:p>
        </w:tc>
        <w:tc>
          <w:tcPr>
            <w:tcW w:w="1626" w:type="dxa"/>
            <w:vAlign w:val="center"/>
          </w:tcPr>
          <w:p w14:paraId="7D21F3A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pseudoharengus</w:t>
            </w:r>
          </w:p>
        </w:tc>
        <w:tc>
          <w:tcPr>
            <w:tcW w:w="1080" w:type="dxa"/>
            <w:vAlign w:val="center"/>
          </w:tcPr>
          <w:p w14:paraId="1A8E03E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55375B8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47C00C6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RT-PCR</w:t>
            </w:r>
          </w:p>
        </w:tc>
        <w:tc>
          <w:tcPr>
            <w:tcW w:w="715" w:type="dxa"/>
            <w:shd w:val="clear" w:color="auto" w:fill="auto"/>
            <w:vAlign w:val="center"/>
          </w:tcPr>
          <w:p w14:paraId="2DA7F57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1F81160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color w:val="000000"/>
                <w:sz w:val="18"/>
                <w:szCs w:val="18"/>
              </w:rPr>
              <w:t>N</w:t>
            </w:r>
          </w:p>
        </w:tc>
        <w:tc>
          <w:tcPr>
            <w:tcW w:w="540" w:type="dxa"/>
            <w:shd w:val="clear" w:color="auto" w:fill="auto"/>
            <w:vAlign w:val="center"/>
          </w:tcPr>
          <w:p w14:paraId="3637A43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0FA30A3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color w:val="000000"/>
                <w:sz w:val="18"/>
                <w:szCs w:val="18"/>
              </w:rPr>
              <w:t>Y</w:t>
            </w:r>
          </w:p>
        </w:tc>
        <w:tc>
          <w:tcPr>
            <w:tcW w:w="1170" w:type="dxa"/>
            <w:vAlign w:val="center"/>
          </w:tcPr>
          <w:p w14:paraId="7CCB1FE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2</w:t>
            </w:r>
          </w:p>
        </w:tc>
        <w:tc>
          <w:tcPr>
            <w:tcW w:w="2070" w:type="dxa"/>
            <w:shd w:val="clear" w:color="auto" w:fill="auto"/>
            <w:vAlign w:val="center"/>
          </w:tcPr>
          <w:p w14:paraId="17944899"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Cornwell </w:t>
            </w:r>
            <w:r w:rsidRPr="00D403F5">
              <w:rPr>
                <w:rFonts w:ascii="Arial" w:hAnsi="Arial" w:cs="Arial"/>
                <w:i/>
                <w:iCs/>
                <w:color w:val="000000"/>
                <w:sz w:val="18"/>
                <w:szCs w:val="18"/>
                <w:lang w:val="nb-NO"/>
              </w:rPr>
              <w:t>et al</w:t>
            </w:r>
            <w:r w:rsidRPr="00D403F5">
              <w:rPr>
                <w:rFonts w:ascii="Arial" w:hAnsi="Arial" w:cs="Arial"/>
                <w:color w:val="000000"/>
                <w:sz w:val="18"/>
                <w:szCs w:val="18"/>
              </w:rPr>
              <w:t>., 2015</w:t>
            </w:r>
          </w:p>
        </w:tc>
      </w:tr>
      <w:tr w:rsidR="00C7266C" w:rsidRPr="00D403F5" w14:paraId="298D4509" w14:textId="77777777" w:rsidTr="00C7266C">
        <w:trPr>
          <w:cantSplit/>
        </w:trPr>
        <w:tc>
          <w:tcPr>
            <w:tcW w:w="1794" w:type="dxa"/>
            <w:vAlign w:val="center"/>
          </w:tcPr>
          <w:p w14:paraId="791E6C37"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Arctic charr</w:t>
            </w:r>
          </w:p>
        </w:tc>
        <w:tc>
          <w:tcPr>
            <w:tcW w:w="1705" w:type="dxa"/>
            <w:vAlign w:val="center"/>
          </w:tcPr>
          <w:p w14:paraId="1F2A813A" w14:textId="77777777" w:rsidR="00C7266C" w:rsidRPr="00D403F5" w:rsidRDefault="00C7266C" w:rsidP="00D403F5">
            <w:pPr>
              <w:spacing w:after="0"/>
              <w:jc w:val="center"/>
              <w:rPr>
                <w:rFonts w:ascii="Arial" w:hAnsi="Arial" w:cs="Arial"/>
                <w:i/>
                <w:iCs/>
                <w:color w:val="000000"/>
                <w:sz w:val="18"/>
                <w:szCs w:val="18"/>
                <w:lang w:val="nb-NO"/>
              </w:rPr>
            </w:pPr>
            <w:r w:rsidRPr="00D403F5">
              <w:rPr>
                <w:rFonts w:ascii="Arial" w:hAnsi="Arial" w:cs="Arial"/>
                <w:i/>
                <w:iCs/>
                <w:sz w:val="18"/>
                <w:szCs w:val="18"/>
              </w:rPr>
              <w:t xml:space="preserve">Salvelinus </w:t>
            </w:r>
          </w:p>
        </w:tc>
        <w:tc>
          <w:tcPr>
            <w:tcW w:w="1626" w:type="dxa"/>
            <w:vAlign w:val="center"/>
          </w:tcPr>
          <w:p w14:paraId="3CAC62AA" w14:textId="77777777" w:rsidR="00C7266C" w:rsidRPr="00D403F5" w:rsidRDefault="00C7266C" w:rsidP="00D403F5">
            <w:pPr>
              <w:spacing w:after="0"/>
              <w:jc w:val="center"/>
              <w:rPr>
                <w:rFonts w:ascii="Arial" w:hAnsi="Arial" w:cs="Arial"/>
                <w:i/>
                <w:iCs/>
                <w:color w:val="000000"/>
                <w:sz w:val="18"/>
                <w:szCs w:val="18"/>
                <w:lang w:val="nb-NO"/>
              </w:rPr>
            </w:pPr>
            <w:r w:rsidRPr="00D403F5">
              <w:rPr>
                <w:rFonts w:ascii="Arial" w:hAnsi="Arial" w:cs="Arial"/>
                <w:i/>
                <w:iCs/>
                <w:sz w:val="18"/>
                <w:szCs w:val="18"/>
              </w:rPr>
              <w:t>alpinus</w:t>
            </w:r>
          </w:p>
        </w:tc>
        <w:tc>
          <w:tcPr>
            <w:tcW w:w="1080" w:type="dxa"/>
            <w:vAlign w:val="center"/>
          </w:tcPr>
          <w:p w14:paraId="3C51F05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Ia</w:t>
            </w:r>
          </w:p>
        </w:tc>
        <w:tc>
          <w:tcPr>
            <w:tcW w:w="1530" w:type="dxa"/>
            <w:shd w:val="clear" w:color="auto" w:fill="auto"/>
            <w:vAlign w:val="center"/>
          </w:tcPr>
          <w:p w14:paraId="2E7F337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60E65CF5"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IFAT</w:t>
            </w:r>
          </w:p>
        </w:tc>
        <w:tc>
          <w:tcPr>
            <w:tcW w:w="715" w:type="dxa"/>
            <w:shd w:val="clear" w:color="auto" w:fill="auto"/>
            <w:vAlign w:val="center"/>
          </w:tcPr>
          <w:p w14:paraId="0088FF1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540" w:type="dxa"/>
            <w:shd w:val="clear" w:color="auto" w:fill="auto"/>
            <w:vAlign w:val="center"/>
          </w:tcPr>
          <w:p w14:paraId="22AEF84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2D76F33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475C5D6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3D781C4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43E0FE6C"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color w:val="000000"/>
                <w:sz w:val="18"/>
                <w:szCs w:val="18"/>
              </w:rPr>
              <w:t xml:space="preserve">Knuesel </w:t>
            </w:r>
            <w:r w:rsidRPr="00D403F5">
              <w:rPr>
                <w:rFonts w:ascii="Arial" w:hAnsi="Arial" w:cs="Arial"/>
                <w:i/>
                <w:iCs/>
                <w:color w:val="000000"/>
                <w:sz w:val="18"/>
                <w:szCs w:val="18"/>
                <w:lang w:val="nb-NO"/>
              </w:rPr>
              <w:t>et al</w:t>
            </w:r>
            <w:r w:rsidRPr="00D403F5">
              <w:rPr>
                <w:rFonts w:ascii="Arial" w:hAnsi="Arial" w:cs="Arial"/>
                <w:color w:val="000000"/>
                <w:sz w:val="18"/>
                <w:szCs w:val="18"/>
              </w:rPr>
              <w:t>., 2003</w:t>
            </w:r>
          </w:p>
        </w:tc>
      </w:tr>
      <w:tr w:rsidR="00C7266C" w:rsidRPr="00D403F5" w14:paraId="1C33F894" w14:textId="77777777" w:rsidTr="00C7266C">
        <w:trPr>
          <w:cantSplit/>
        </w:trPr>
        <w:tc>
          <w:tcPr>
            <w:tcW w:w="1794" w:type="dxa"/>
            <w:vAlign w:val="center"/>
          </w:tcPr>
          <w:p w14:paraId="2B9E2EE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Armoured cusk</w:t>
            </w:r>
          </w:p>
        </w:tc>
        <w:tc>
          <w:tcPr>
            <w:tcW w:w="1705" w:type="dxa"/>
            <w:vAlign w:val="center"/>
          </w:tcPr>
          <w:p w14:paraId="6E7A3C7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Hoplobrotula </w:t>
            </w:r>
          </w:p>
        </w:tc>
        <w:tc>
          <w:tcPr>
            <w:tcW w:w="1626" w:type="dxa"/>
            <w:vAlign w:val="center"/>
          </w:tcPr>
          <w:p w14:paraId="626DA3C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armata</w:t>
            </w:r>
          </w:p>
        </w:tc>
        <w:tc>
          <w:tcPr>
            <w:tcW w:w="1080" w:type="dxa"/>
            <w:vAlign w:val="center"/>
          </w:tcPr>
          <w:p w14:paraId="2331C6C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w:t>
            </w:r>
          </w:p>
        </w:tc>
        <w:tc>
          <w:tcPr>
            <w:tcW w:w="1530" w:type="dxa"/>
            <w:shd w:val="clear" w:color="auto" w:fill="auto"/>
            <w:vAlign w:val="center"/>
          </w:tcPr>
          <w:p w14:paraId="47A31822"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56E19C67"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color w:val="000000"/>
                <w:sz w:val="18"/>
                <w:szCs w:val="18"/>
                <w:lang w:val="nb-NO"/>
              </w:rPr>
              <w:t>PCR</w:t>
            </w:r>
          </w:p>
        </w:tc>
        <w:tc>
          <w:tcPr>
            <w:tcW w:w="715" w:type="dxa"/>
            <w:shd w:val="clear" w:color="auto" w:fill="auto"/>
            <w:vAlign w:val="center"/>
          </w:tcPr>
          <w:p w14:paraId="283A0345"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549C3E7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540" w:type="dxa"/>
            <w:shd w:val="clear" w:color="auto" w:fill="auto"/>
            <w:vAlign w:val="center"/>
          </w:tcPr>
          <w:p w14:paraId="0915314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0D0F2BC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1A10699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02AF5A9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r w:rsidR="00C7266C" w:rsidRPr="00D403F5" w14:paraId="04312F78" w14:textId="77777777" w:rsidTr="00C7266C">
        <w:trPr>
          <w:cantSplit/>
        </w:trPr>
        <w:tc>
          <w:tcPr>
            <w:tcW w:w="1794" w:type="dxa"/>
            <w:vAlign w:val="center"/>
          </w:tcPr>
          <w:p w14:paraId="10D3FA72"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Atlantic Halibut</w:t>
            </w:r>
          </w:p>
        </w:tc>
        <w:tc>
          <w:tcPr>
            <w:tcW w:w="1705" w:type="dxa"/>
            <w:vAlign w:val="center"/>
          </w:tcPr>
          <w:p w14:paraId="2F3BA62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Hippoglossus</w:t>
            </w:r>
          </w:p>
        </w:tc>
        <w:tc>
          <w:tcPr>
            <w:tcW w:w="1626" w:type="dxa"/>
            <w:vAlign w:val="center"/>
          </w:tcPr>
          <w:p w14:paraId="1E611B1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hippoglossus</w:t>
            </w:r>
          </w:p>
        </w:tc>
        <w:tc>
          <w:tcPr>
            <w:tcW w:w="1080" w:type="dxa"/>
            <w:vAlign w:val="center"/>
          </w:tcPr>
          <w:p w14:paraId="0E59897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III</w:t>
            </w:r>
          </w:p>
        </w:tc>
        <w:tc>
          <w:tcPr>
            <w:tcW w:w="1530" w:type="dxa"/>
            <w:shd w:val="clear" w:color="auto" w:fill="auto"/>
            <w:vAlign w:val="center"/>
          </w:tcPr>
          <w:p w14:paraId="1BFC607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E</w:t>
            </w:r>
          </w:p>
        </w:tc>
        <w:tc>
          <w:tcPr>
            <w:tcW w:w="1620" w:type="dxa"/>
            <w:shd w:val="clear" w:color="auto" w:fill="auto"/>
            <w:vAlign w:val="center"/>
          </w:tcPr>
          <w:p w14:paraId="3C0DB030"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and ELISA</w:t>
            </w:r>
          </w:p>
        </w:tc>
        <w:tc>
          <w:tcPr>
            <w:tcW w:w="715" w:type="dxa"/>
            <w:shd w:val="clear" w:color="auto" w:fill="auto"/>
            <w:vAlign w:val="center"/>
          </w:tcPr>
          <w:p w14:paraId="742CFE0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ND</w:t>
            </w:r>
          </w:p>
        </w:tc>
        <w:tc>
          <w:tcPr>
            <w:tcW w:w="540" w:type="dxa"/>
            <w:shd w:val="clear" w:color="auto" w:fill="auto"/>
            <w:vAlign w:val="center"/>
          </w:tcPr>
          <w:p w14:paraId="7D1AFFAD"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 xml:space="preserve">Y </w:t>
            </w:r>
          </w:p>
        </w:tc>
        <w:tc>
          <w:tcPr>
            <w:tcW w:w="540" w:type="dxa"/>
            <w:shd w:val="clear" w:color="auto" w:fill="auto"/>
            <w:vAlign w:val="center"/>
          </w:tcPr>
          <w:p w14:paraId="0FCF90A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Y</w:t>
            </w:r>
          </w:p>
        </w:tc>
        <w:tc>
          <w:tcPr>
            <w:tcW w:w="455" w:type="dxa"/>
            <w:shd w:val="clear" w:color="auto" w:fill="auto"/>
            <w:vAlign w:val="center"/>
          </w:tcPr>
          <w:p w14:paraId="28ED137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sz w:val="18"/>
                <w:szCs w:val="18"/>
              </w:rPr>
              <w:t>Y</w:t>
            </w:r>
          </w:p>
        </w:tc>
        <w:tc>
          <w:tcPr>
            <w:tcW w:w="1170" w:type="dxa"/>
            <w:vAlign w:val="center"/>
          </w:tcPr>
          <w:p w14:paraId="2A0F6F1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2D251F5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Bowden e</w:t>
            </w:r>
            <w:r w:rsidRPr="00D403F5">
              <w:rPr>
                <w:rFonts w:ascii="Arial" w:hAnsi="Arial" w:cs="Arial"/>
                <w:i/>
                <w:iCs/>
                <w:color w:val="000000"/>
                <w:sz w:val="18"/>
                <w:szCs w:val="18"/>
                <w:lang w:val="nb-NO"/>
              </w:rPr>
              <w:t xml:space="preserve"> et al</w:t>
            </w:r>
            <w:r w:rsidRPr="00D403F5">
              <w:rPr>
                <w:rFonts w:ascii="Arial" w:hAnsi="Arial" w:cs="Arial"/>
                <w:color w:val="000000"/>
                <w:sz w:val="18"/>
                <w:szCs w:val="18"/>
              </w:rPr>
              <w:t xml:space="preserve">., </w:t>
            </w:r>
            <w:r w:rsidRPr="00D403F5">
              <w:rPr>
                <w:rFonts w:ascii="Arial" w:hAnsi="Arial" w:cs="Arial"/>
                <w:sz w:val="18"/>
                <w:szCs w:val="18"/>
              </w:rPr>
              <w:t>2003</w:t>
            </w:r>
          </w:p>
        </w:tc>
      </w:tr>
      <w:tr w:rsidR="00C7266C" w:rsidRPr="00D403F5" w14:paraId="4E62C541" w14:textId="77777777" w:rsidTr="00C7266C">
        <w:trPr>
          <w:cantSplit/>
        </w:trPr>
        <w:tc>
          <w:tcPr>
            <w:tcW w:w="1794" w:type="dxa"/>
            <w:vAlign w:val="center"/>
          </w:tcPr>
          <w:p w14:paraId="6DF6CBA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Banded Killifish </w:t>
            </w:r>
          </w:p>
        </w:tc>
        <w:tc>
          <w:tcPr>
            <w:tcW w:w="1705" w:type="dxa"/>
            <w:vAlign w:val="center"/>
          </w:tcPr>
          <w:p w14:paraId="2FEFEDA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222222"/>
                <w:sz w:val="18"/>
                <w:szCs w:val="18"/>
              </w:rPr>
              <w:t xml:space="preserve">Fundulus </w:t>
            </w:r>
          </w:p>
        </w:tc>
        <w:tc>
          <w:tcPr>
            <w:tcW w:w="1626" w:type="dxa"/>
            <w:vAlign w:val="center"/>
          </w:tcPr>
          <w:p w14:paraId="227D290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diaphanus</w:t>
            </w:r>
          </w:p>
        </w:tc>
        <w:tc>
          <w:tcPr>
            <w:tcW w:w="1080" w:type="dxa"/>
            <w:vAlign w:val="center"/>
          </w:tcPr>
          <w:p w14:paraId="369B2FE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7A89AC9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0EB04BB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qRT-PCR and cell culture </w:t>
            </w:r>
          </w:p>
        </w:tc>
        <w:tc>
          <w:tcPr>
            <w:tcW w:w="715" w:type="dxa"/>
            <w:shd w:val="clear" w:color="auto" w:fill="auto"/>
            <w:vAlign w:val="center"/>
          </w:tcPr>
          <w:p w14:paraId="1C54AFC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 xml:space="preserve">N </w:t>
            </w:r>
          </w:p>
        </w:tc>
        <w:tc>
          <w:tcPr>
            <w:tcW w:w="540" w:type="dxa"/>
            <w:shd w:val="clear" w:color="auto" w:fill="auto"/>
            <w:vAlign w:val="center"/>
          </w:tcPr>
          <w:p w14:paraId="77E81D0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540" w:type="dxa"/>
            <w:shd w:val="clear" w:color="auto" w:fill="auto"/>
            <w:vAlign w:val="center"/>
          </w:tcPr>
          <w:p w14:paraId="1EAEE7D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37020465"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636F5AE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41FE2874"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Bain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2010 </w:t>
            </w:r>
          </w:p>
        </w:tc>
      </w:tr>
      <w:tr w:rsidR="00C7266C" w:rsidRPr="00D403F5" w14:paraId="78FDFEE9" w14:textId="77777777" w:rsidTr="00C7266C">
        <w:trPr>
          <w:cantSplit/>
        </w:trPr>
        <w:tc>
          <w:tcPr>
            <w:tcW w:w="1794" w:type="dxa"/>
            <w:vAlign w:val="center"/>
          </w:tcPr>
          <w:p w14:paraId="3E3623A8" w14:textId="77777777" w:rsidR="00C7266C" w:rsidRPr="00D403F5" w:rsidRDefault="00C7266C" w:rsidP="00D403F5">
            <w:pPr>
              <w:spacing w:after="0"/>
              <w:rPr>
                <w:rFonts w:ascii="Arial" w:hAnsi="Arial" w:cs="Arial"/>
                <w:color w:val="333333"/>
                <w:sz w:val="18"/>
                <w:szCs w:val="18"/>
                <w:lang w:val="en-US"/>
              </w:rPr>
            </w:pPr>
            <w:r w:rsidRPr="00D403F5">
              <w:rPr>
                <w:rFonts w:ascii="Arial" w:hAnsi="Arial" w:cs="Arial"/>
                <w:color w:val="333333"/>
                <w:sz w:val="18"/>
                <w:szCs w:val="18"/>
              </w:rPr>
              <w:t xml:space="preserve">Black scorpionfish </w:t>
            </w:r>
          </w:p>
        </w:tc>
        <w:tc>
          <w:tcPr>
            <w:tcW w:w="1705" w:type="dxa"/>
            <w:vAlign w:val="center"/>
          </w:tcPr>
          <w:p w14:paraId="3E02C41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333333"/>
                <w:sz w:val="18"/>
                <w:szCs w:val="18"/>
              </w:rPr>
              <w:t xml:space="preserve">Scorpaena </w:t>
            </w:r>
          </w:p>
        </w:tc>
        <w:tc>
          <w:tcPr>
            <w:tcW w:w="1626" w:type="dxa"/>
            <w:vAlign w:val="center"/>
          </w:tcPr>
          <w:p w14:paraId="0B297AF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porcus</w:t>
            </w:r>
          </w:p>
        </w:tc>
        <w:tc>
          <w:tcPr>
            <w:tcW w:w="1080" w:type="dxa"/>
            <w:vAlign w:val="center"/>
          </w:tcPr>
          <w:p w14:paraId="515E98E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Ie</w:t>
            </w:r>
          </w:p>
        </w:tc>
        <w:tc>
          <w:tcPr>
            <w:tcW w:w="1530" w:type="dxa"/>
            <w:shd w:val="clear" w:color="auto" w:fill="auto"/>
            <w:vAlign w:val="center"/>
          </w:tcPr>
          <w:p w14:paraId="351C29C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147BDE6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and PCR</w:t>
            </w:r>
          </w:p>
        </w:tc>
        <w:tc>
          <w:tcPr>
            <w:tcW w:w="715" w:type="dxa"/>
            <w:shd w:val="clear" w:color="auto" w:fill="auto"/>
            <w:vAlign w:val="center"/>
          </w:tcPr>
          <w:p w14:paraId="6F0F31B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34F20FD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4556A25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279DD6E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6D49BE05"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410BB3D0"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Ogut &amp; Altuntas, 2014</w:t>
            </w:r>
          </w:p>
        </w:tc>
      </w:tr>
      <w:tr w:rsidR="00C7266C" w:rsidRPr="00D403F5" w14:paraId="3EDDA896" w14:textId="77777777" w:rsidTr="00C7266C">
        <w:trPr>
          <w:cantSplit/>
        </w:trPr>
        <w:tc>
          <w:tcPr>
            <w:tcW w:w="1794" w:type="dxa"/>
            <w:vAlign w:val="center"/>
          </w:tcPr>
          <w:p w14:paraId="4329345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Blackfin flounder</w:t>
            </w:r>
          </w:p>
        </w:tc>
        <w:tc>
          <w:tcPr>
            <w:tcW w:w="1705" w:type="dxa"/>
            <w:vAlign w:val="center"/>
          </w:tcPr>
          <w:p w14:paraId="1ECAE06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Glyptocephalus </w:t>
            </w:r>
          </w:p>
        </w:tc>
        <w:tc>
          <w:tcPr>
            <w:tcW w:w="1626" w:type="dxa"/>
            <w:vAlign w:val="center"/>
          </w:tcPr>
          <w:p w14:paraId="68108D1D"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sz w:val="18"/>
                <w:szCs w:val="18"/>
              </w:rPr>
              <w:t>stelleri</w:t>
            </w:r>
          </w:p>
        </w:tc>
        <w:tc>
          <w:tcPr>
            <w:tcW w:w="1080" w:type="dxa"/>
            <w:vAlign w:val="center"/>
          </w:tcPr>
          <w:p w14:paraId="5E02715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IVa</w:t>
            </w:r>
          </w:p>
        </w:tc>
        <w:tc>
          <w:tcPr>
            <w:tcW w:w="1530" w:type="dxa"/>
            <w:shd w:val="clear" w:color="auto" w:fill="auto"/>
            <w:vAlign w:val="center"/>
          </w:tcPr>
          <w:p w14:paraId="1EC40934"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61A1D280"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color w:val="000000"/>
                <w:sz w:val="18"/>
                <w:szCs w:val="18"/>
                <w:lang w:val="nb-NO"/>
              </w:rPr>
              <w:t>PCR</w:t>
            </w:r>
          </w:p>
        </w:tc>
        <w:tc>
          <w:tcPr>
            <w:tcW w:w="715" w:type="dxa"/>
            <w:shd w:val="clear" w:color="auto" w:fill="auto"/>
            <w:vAlign w:val="center"/>
          </w:tcPr>
          <w:p w14:paraId="181564B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07C4E59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540" w:type="dxa"/>
            <w:shd w:val="clear" w:color="auto" w:fill="auto"/>
            <w:vAlign w:val="center"/>
          </w:tcPr>
          <w:p w14:paraId="27A8C56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10A990F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542BA62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29911BA1"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bl>
    <w:p w14:paraId="589945B4" w14:textId="77777777" w:rsidR="00C7266C" w:rsidRPr="00D403F5" w:rsidRDefault="00C7266C" w:rsidP="00D403F5">
      <w:pPr>
        <w:spacing w:after="240"/>
        <w:jc w:val="right"/>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0B13E19C" w14:textId="77777777" w:rsidR="00C7266C" w:rsidRPr="00D403F5" w:rsidRDefault="00C7266C" w:rsidP="00D403F5">
      <w:pPr>
        <w:spacing w:after="240"/>
        <w:jc w:val="right"/>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275FE465" w14:textId="77777777" w:rsidTr="00C7266C">
        <w:trPr>
          <w:cantSplit/>
        </w:trPr>
        <w:tc>
          <w:tcPr>
            <w:tcW w:w="1794" w:type="dxa"/>
          </w:tcPr>
          <w:p w14:paraId="14C2E1A3"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Common name</w:t>
            </w:r>
          </w:p>
        </w:tc>
        <w:tc>
          <w:tcPr>
            <w:tcW w:w="1705" w:type="dxa"/>
          </w:tcPr>
          <w:p w14:paraId="1356D407"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Genus</w:t>
            </w:r>
          </w:p>
        </w:tc>
        <w:tc>
          <w:tcPr>
            <w:tcW w:w="1626" w:type="dxa"/>
          </w:tcPr>
          <w:p w14:paraId="0510D1A9"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Species</w:t>
            </w:r>
          </w:p>
        </w:tc>
        <w:tc>
          <w:tcPr>
            <w:tcW w:w="1080" w:type="dxa"/>
          </w:tcPr>
          <w:p w14:paraId="7147EDF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Genotype</w:t>
            </w:r>
          </w:p>
        </w:tc>
        <w:tc>
          <w:tcPr>
            <w:tcW w:w="1530" w:type="dxa"/>
            <w:shd w:val="clear" w:color="auto" w:fill="auto"/>
          </w:tcPr>
          <w:p w14:paraId="6F806DE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2D04FCAD"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335E56E2"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4537F45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b/>
                <w:sz w:val="18"/>
                <w:szCs w:val="18"/>
              </w:rPr>
              <w:t>Outcome</w:t>
            </w:r>
          </w:p>
        </w:tc>
        <w:tc>
          <w:tcPr>
            <w:tcW w:w="2070" w:type="dxa"/>
            <w:shd w:val="clear" w:color="auto" w:fill="auto"/>
          </w:tcPr>
          <w:p w14:paraId="0EA692F1"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References</w:t>
            </w:r>
          </w:p>
        </w:tc>
      </w:tr>
      <w:tr w:rsidR="00C7266C" w:rsidRPr="00D403F5" w14:paraId="165A18FC" w14:textId="77777777" w:rsidTr="00C7266C">
        <w:trPr>
          <w:cantSplit/>
        </w:trPr>
        <w:tc>
          <w:tcPr>
            <w:tcW w:w="1794" w:type="dxa"/>
            <w:vAlign w:val="center"/>
          </w:tcPr>
          <w:p w14:paraId="24C9BD0D" w14:textId="77777777" w:rsidR="00C7266C" w:rsidRPr="00D403F5" w:rsidRDefault="00C7266C" w:rsidP="00D403F5">
            <w:pPr>
              <w:spacing w:after="0"/>
              <w:rPr>
                <w:rFonts w:ascii="Arial" w:hAnsi="Arial" w:cs="Arial"/>
                <w:color w:val="000000"/>
                <w:sz w:val="18"/>
                <w:szCs w:val="18"/>
              </w:rPr>
            </w:pPr>
          </w:p>
        </w:tc>
        <w:tc>
          <w:tcPr>
            <w:tcW w:w="1705" w:type="dxa"/>
            <w:vAlign w:val="center"/>
          </w:tcPr>
          <w:p w14:paraId="6A6664B3" w14:textId="77777777" w:rsidR="00C7266C" w:rsidRPr="00D403F5" w:rsidRDefault="00C7266C" w:rsidP="00D403F5">
            <w:pPr>
              <w:spacing w:after="0"/>
              <w:jc w:val="center"/>
              <w:rPr>
                <w:rFonts w:ascii="Arial" w:hAnsi="Arial" w:cs="Arial"/>
                <w:i/>
                <w:iCs/>
                <w:color w:val="000000"/>
                <w:sz w:val="18"/>
                <w:szCs w:val="18"/>
              </w:rPr>
            </w:pPr>
          </w:p>
        </w:tc>
        <w:tc>
          <w:tcPr>
            <w:tcW w:w="1626" w:type="dxa"/>
            <w:vAlign w:val="center"/>
          </w:tcPr>
          <w:p w14:paraId="75322414" w14:textId="77777777" w:rsidR="00C7266C" w:rsidRPr="00D403F5" w:rsidRDefault="00C7266C" w:rsidP="00D403F5">
            <w:pPr>
              <w:spacing w:after="0"/>
              <w:jc w:val="center"/>
              <w:rPr>
                <w:rFonts w:ascii="Arial" w:hAnsi="Arial" w:cs="Arial"/>
                <w:i/>
                <w:iCs/>
                <w:color w:val="000000"/>
                <w:sz w:val="18"/>
                <w:szCs w:val="18"/>
              </w:rPr>
            </w:pPr>
          </w:p>
        </w:tc>
        <w:tc>
          <w:tcPr>
            <w:tcW w:w="1080" w:type="dxa"/>
            <w:vAlign w:val="center"/>
          </w:tcPr>
          <w:p w14:paraId="1F9F198A" w14:textId="77777777" w:rsidR="00C7266C" w:rsidRPr="00D403F5" w:rsidRDefault="00C7266C" w:rsidP="00D403F5">
            <w:pPr>
              <w:spacing w:after="0"/>
              <w:jc w:val="center"/>
              <w:rPr>
                <w:rFonts w:ascii="Arial" w:hAnsi="Arial" w:cs="Arial"/>
                <w:color w:val="000000"/>
                <w:sz w:val="18"/>
                <w:szCs w:val="18"/>
                <w:lang w:val="nb-NO"/>
              </w:rPr>
            </w:pPr>
          </w:p>
        </w:tc>
        <w:tc>
          <w:tcPr>
            <w:tcW w:w="1530" w:type="dxa"/>
            <w:shd w:val="clear" w:color="auto" w:fill="auto"/>
            <w:vAlign w:val="center"/>
          </w:tcPr>
          <w:p w14:paraId="35A389CB" w14:textId="77777777" w:rsidR="00C7266C" w:rsidRPr="00D403F5" w:rsidRDefault="00C7266C" w:rsidP="00D403F5">
            <w:pPr>
              <w:spacing w:after="0"/>
              <w:jc w:val="center"/>
              <w:rPr>
                <w:rFonts w:ascii="Arial" w:hAnsi="Arial" w:cs="Arial"/>
                <w:color w:val="000000"/>
                <w:sz w:val="18"/>
                <w:szCs w:val="18"/>
                <w:lang w:val="nb-NO"/>
              </w:rPr>
            </w:pPr>
          </w:p>
        </w:tc>
        <w:tc>
          <w:tcPr>
            <w:tcW w:w="1620" w:type="dxa"/>
            <w:shd w:val="clear" w:color="auto" w:fill="auto"/>
            <w:vAlign w:val="center"/>
          </w:tcPr>
          <w:p w14:paraId="5DE9EF3C" w14:textId="77777777" w:rsidR="00C7266C" w:rsidRPr="00D403F5" w:rsidRDefault="00C7266C" w:rsidP="00D403F5">
            <w:pPr>
              <w:spacing w:after="0"/>
              <w:rPr>
                <w:rFonts w:ascii="Arial" w:hAnsi="Arial" w:cs="Arial"/>
                <w:color w:val="000000"/>
                <w:sz w:val="18"/>
                <w:szCs w:val="18"/>
              </w:rPr>
            </w:pPr>
          </w:p>
        </w:tc>
        <w:tc>
          <w:tcPr>
            <w:tcW w:w="715" w:type="dxa"/>
            <w:shd w:val="clear" w:color="auto" w:fill="auto"/>
            <w:vAlign w:val="center"/>
          </w:tcPr>
          <w:p w14:paraId="728BBD5D"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A</w:t>
            </w:r>
          </w:p>
        </w:tc>
        <w:tc>
          <w:tcPr>
            <w:tcW w:w="540" w:type="dxa"/>
            <w:shd w:val="clear" w:color="auto" w:fill="auto"/>
            <w:vAlign w:val="center"/>
          </w:tcPr>
          <w:p w14:paraId="75ECA08D"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B</w:t>
            </w:r>
          </w:p>
        </w:tc>
        <w:tc>
          <w:tcPr>
            <w:tcW w:w="540" w:type="dxa"/>
            <w:shd w:val="clear" w:color="auto" w:fill="auto"/>
            <w:vAlign w:val="center"/>
          </w:tcPr>
          <w:p w14:paraId="11D84686"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C</w:t>
            </w:r>
          </w:p>
        </w:tc>
        <w:tc>
          <w:tcPr>
            <w:tcW w:w="455" w:type="dxa"/>
            <w:shd w:val="clear" w:color="auto" w:fill="auto"/>
            <w:vAlign w:val="center"/>
          </w:tcPr>
          <w:p w14:paraId="31163B8D" w14:textId="77777777" w:rsidR="00C7266C" w:rsidRPr="00D403F5" w:rsidRDefault="00C7266C" w:rsidP="00D403F5">
            <w:pPr>
              <w:spacing w:after="0"/>
              <w:jc w:val="center"/>
              <w:rPr>
                <w:rFonts w:ascii="Arial" w:hAnsi="Arial" w:cs="Arial"/>
                <w:color w:val="000000"/>
                <w:sz w:val="18"/>
                <w:szCs w:val="18"/>
              </w:rPr>
            </w:pPr>
          </w:p>
        </w:tc>
        <w:tc>
          <w:tcPr>
            <w:tcW w:w="1170" w:type="dxa"/>
            <w:vAlign w:val="center"/>
          </w:tcPr>
          <w:p w14:paraId="3CF764E4" w14:textId="77777777" w:rsidR="00C7266C" w:rsidRPr="00D403F5" w:rsidRDefault="00C7266C" w:rsidP="00D403F5">
            <w:pPr>
              <w:spacing w:after="0"/>
              <w:jc w:val="center"/>
              <w:rPr>
                <w:rFonts w:ascii="Arial" w:hAnsi="Arial" w:cs="Arial"/>
                <w:color w:val="000000"/>
                <w:sz w:val="18"/>
                <w:szCs w:val="18"/>
                <w:lang w:val="nb-NO"/>
              </w:rPr>
            </w:pPr>
          </w:p>
        </w:tc>
        <w:tc>
          <w:tcPr>
            <w:tcW w:w="2070" w:type="dxa"/>
            <w:shd w:val="clear" w:color="auto" w:fill="auto"/>
            <w:vAlign w:val="center"/>
          </w:tcPr>
          <w:p w14:paraId="79E66268" w14:textId="77777777" w:rsidR="00C7266C" w:rsidRPr="00D403F5" w:rsidRDefault="00C7266C" w:rsidP="00D403F5">
            <w:pPr>
              <w:spacing w:after="0"/>
              <w:rPr>
                <w:rFonts w:ascii="Arial" w:hAnsi="Arial" w:cs="Arial"/>
                <w:color w:val="000000"/>
                <w:sz w:val="18"/>
                <w:szCs w:val="18"/>
              </w:rPr>
            </w:pPr>
          </w:p>
        </w:tc>
      </w:tr>
      <w:tr w:rsidR="00C7266C" w:rsidRPr="00D403F5" w14:paraId="637479C0" w14:textId="77777777" w:rsidTr="00C7266C">
        <w:trPr>
          <w:cantSplit/>
        </w:trPr>
        <w:tc>
          <w:tcPr>
            <w:tcW w:w="1794" w:type="dxa"/>
            <w:vAlign w:val="center"/>
          </w:tcPr>
          <w:p w14:paraId="197D2FE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Brook trout</w:t>
            </w:r>
          </w:p>
        </w:tc>
        <w:tc>
          <w:tcPr>
            <w:tcW w:w="1705" w:type="dxa"/>
            <w:vAlign w:val="center"/>
          </w:tcPr>
          <w:p w14:paraId="72A4494C"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Salvelinus </w:t>
            </w:r>
          </w:p>
        </w:tc>
        <w:tc>
          <w:tcPr>
            <w:tcW w:w="1626" w:type="dxa"/>
            <w:vAlign w:val="center"/>
          </w:tcPr>
          <w:p w14:paraId="239CDD4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fontinalis</w:t>
            </w:r>
          </w:p>
        </w:tc>
        <w:tc>
          <w:tcPr>
            <w:tcW w:w="1080" w:type="dxa"/>
          </w:tcPr>
          <w:p w14:paraId="53E1993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Ie</w:t>
            </w:r>
          </w:p>
        </w:tc>
        <w:tc>
          <w:tcPr>
            <w:tcW w:w="1530" w:type="dxa"/>
            <w:shd w:val="clear" w:color="auto" w:fill="auto"/>
            <w:vAlign w:val="center"/>
          </w:tcPr>
          <w:p w14:paraId="10C014E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E</w:t>
            </w:r>
          </w:p>
        </w:tc>
        <w:tc>
          <w:tcPr>
            <w:tcW w:w="1620" w:type="dxa"/>
            <w:shd w:val="clear" w:color="auto" w:fill="auto"/>
            <w:vAlign w:val="center"/>
          </w:tcPr>
          <w:p w14:paraId="33EE7254"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ELISA</w:t>
            </w:r>
          </w:p>
        </w:tc>
        <w:tc>
          <w:tcPr>
            <w:tcW w:w="715" w:type="dxa"/>
            <w:shd w:val="clear" w:color="auto" w:fill="auto"/>
            <w:vAlign w:val="center"/>
          </w:tcPr>
          <w:p w14:paraId="5DA4D1E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1714D55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15496FA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3D4E3077"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 xml:space="preserve">N </w:t>
            </w:r>
          </w:p>
        </w:tc>
        <w:tc>
          <w:tcPr>
            <w:tcW w:w="1170" w:type="dxa"/>
            <w:vAlign w:val="center"/>
          </w:tcPr>
          <w:p w14:paraId="7BA61F4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2F0B66D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Ogut &amp; Altunas, 2011</w:t>
            </w:r>
          </w:p>
        </w:tc>
      </w:tr>
      <w:tr w:rsidR="00C7266C" w:rsidRPr="00D403F5" w14:paraId="5F2A1097" w14:textId="77777777" w:rsidTr="00C7266C">
        <w:trPr>
          <w:cantSplit/>
        </w:trPr>
        <w:tc>
          <w:tcPr>
            <w:tcW w:w="1794" w:type="dxa"/>
            <w:vAlign w:val="center"/>
          </w:tcPr>
          <w:p w14:paraId="066FB76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Burbot</w:t>
            </w:r>
          </w:p>
        </w:tc>
        <w:tc>
          <w:tcPr>
            <w:tcW w:w="1705" w:type="dxa"/>
            <w:vAlign w:val="center"/>
          </w:tcPr>
          <w:p w14:paraId="06DCDA65"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i/>
                <w:iCs/>
                <w:color w:val="000000"/>
                <w:sz w:val="18"/>
                <w:szCs w:val="18"/>
              </w:rPr>
              <w:t>Lota</w:t>
            </w:r>
          </w:p>
        </w:tc>
        <w:tc>
          <w:tcPr>
            <w:tcW w:w="1626" w:type="dxa"/>
            <w:vAlign w:val="center"/>
          </w:tcPr>
          <w:p w14:paraId="61B30997" w14:textId="77777777" w:rsidR="00C7266C" w:rsidRPr="00D403F5" w:rsidRDefault="00C7266C" w:rsidP="00D403F5">
            <w:pPr>
              <w:spacing w:after="0"/>
              <w:jc w:val="center"/>
              <w:rPr>
                <w:rFonts w:ascii="Arial" w:hAnsi="Arial" w:cs="Arial"/>
                <w:color w:val="FF0000"/>
                <w:sz w:val="18"/>
                <w:szCs w:val="18"/>
                <w:lang w:val="nb-NO"/>
              </w:rPr>
            </w:pPr>
            <w:r w:rsidRPr="00D403F5">
              <w:rPr>
                <w:rFonts w:ascii="Arial" w:hAnsi="Arial" w:cs="Arial"/>
                <w:i/>
                <w:iCs/>
                <w:color w:val="000000"/>
                <w:sz w:val="18"/>
                <w:szCs w:val="18"/>
              </w:rPr>
              <w:t>lota</w:t>
            </w:r>
          </w:p>
        </w:tc>
        <w:tc>
          <w:tcPr>
            <w:tcW w:w="1080" w:type="dxa"/>
          </w:tcPr>
          <w:p w14:paraId="2C83C8D6"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56BC918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1B28F04C" w14:textId="77777777" w:rsidR="00C7266C" w:rsidRPr="00D403F5" w:rsidRDefault="00C7266C" w:rsidP="00D403F5">
            <w:pPr>
              <w:spacing w:after="0"/>
              <w:rPr>
                <w:rFonts w:ascii="Arial" w:hAnsi="Arial" w:cs="Arial"/>
                <w:sz w:val="18"/>
                <w:szCs w:val="18"/>
                <w:lang w:val="nb-NO"/>
              </w:rPr>
            </w:pPr>
            <w:r w:rsidRPr="00D403F5">
              <w:rPr>
                <w:rFonts w:ascii="Arial" w:hAnsi="Arial" w:cs="Arial"/>
                <w:color w:val="000000"/>
                <w:sz w:val="18"/>
                <w:szCs w:val="18"/>
              </w:rPr>
              <w:t>Cell culture, sequencing</w:t>
            </w:r>
          </w:p>
        </w:tc>
        <w:tc>
          <w:tcPr>
            <w:tcW w:w="715" w:type="dxa"/>
            <w:shd w:val="clear" w:color="auto" w:fill="auto"/>
            <w:vAlign w:val="center"/>
          </w:tcPr>
          <w:p w14:paraId="0C9742D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21EB100A"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51D3076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455" w:type="dxa"/>
            <w:shd w:val="clear" w:color="auto" w:fill="auto"/>
            <w:vAlign w:val="center"/>
          </w:tcPr>
          <w:p w14:paraId="27CEF37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495F3DA0"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65CC06B4"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lang w:val="en-US"/>
              </w:rPr>
              <w:t xml:space="preserve">Department of Wisconsin Natural Resources, 2007 </w:t>
            </w:r>
          </w:p>
        </w:tc>
      </w:tr>
      <w:tr w:rsidR="00C7266C" w:rsidRPr="00D403F5" w14:paraId="0EA66E67" w14:textId="77777777" w:rsidTr="00C7266C">
        <w:trPr>
          <w:cantSplit/>
        </w:trPr>
        <w:tc>
          <w:tcPr>
            <w:tcW w:w="1794" w:type="dxa"/>
            <w:vAlign w:val="center"/>
          </w:tcPr>
          <w:p w14:paraId="6BCB4B97"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Channel catfish</w:t>
            </w:r>
          </w:p>
        </w:tc>
        <w:tc>
          <w:tcPr>
            <w:tcW w:w="1705" w:type="dxa"/>
            <w:vAlign w:val="center"/>
          </w:tcPr>
          <w:p w14:paraId="711FDEC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Ictalurus </w:t>
            </w:r>
          </w:p>
        </w:tc>
        <w:tc>
          <w:tcPr>
            <w:tcW w:w="1626" w:type="dxa"/>
            <w:vAlign w:val="center"/>
          </w:tcPr>
          <w:p w14:paraId="6EB29351"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punctatus</w:t>
            </w:r>
          </w:p>
        </w:tc>
        <w:tc>
          <w:tcPr>
            <w:tcW w:w="1080" w:type="dxa"/>
          </w:tcPr>
          <w:p w14:paraId="53CA8395"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IVb</w:t>
            </w:r>
          </w:p>
        </w:tc>
        <w:tc>
          <w:tcPr>
            <w:tcW w:w="1530" w:type="dxa"/>
            <w:shd w:val="clear" w:color="auto" w:fill="auto"/>
            <w:vAlign w:val="center"/>
          </w:tcPr>
          <w:p w14:paraId="1B26E065"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N</w:t>
            </w:r>
          </w:p>
        </w:tc>
        <w:tc>
          <w:tcPr>
            <w:tcW w:w="1620" w:type="dxa"/>
            <w:shd w:val="clear" w:color="auto" w:fill="auto"/>
            <w:vAlign w:val="center"/>
          </w:tcPr>
          <w:p w14:paraId="3D7B406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sequencing</w:t>
            </w:r>
          </w:p>
        </w:tc>
        <w:tc>
          <w:tcPr>
            <w:tcW w:w="715" w:type="dxa"/>
            <w:shd w:val="clear" w:color="auto" w:fill="auto"/>
            <w:vAlign w:val="center"/>
          </w:tcPr>
          <w:p w14:paraId="3C63AF93"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ND</w:t>
            </w:r>
          </w:p>
        </w:tc>
        <w:tc>
          <w:tcPr>
            <w:tcW w:w="540" w:type="dxa"/>
            <w:shd w:val="clear" w:color="auto" w:fill="auto"/>
            <w:vAlign w:val="center"/>
          </w:tcPr>
          <w:p w14:paraId="57537EA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540" w:type="dxa"/>
            <w:shd w:val="clear" w:color="auto" w:fill="auto"/>
            <w:vAlign w:val="center"/>
          </w:tcPr>
          <w:p w14:paraId="392ECE38"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N</w:t>
            </w:r>
          </w:p>
        </w:tc>
        <w:tc>
          <w:tcPr>
            <w:tcW w:w="455" w:type="dxa"/>
            <w:shd w:val="clear" w:color="auto" w:fill="auto"/>
            <w:vAlign w:val="center"/>
          </w:tcPr>
          <w:p w14:paraId="53AA165B"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rPr>
              <w:t>Y</w:t>
            </w:r>
          </w:p>
        </w:tc>
        <w:tc>
          <w:tcPr>
            <w:tcW w:w="1170" w:type="dxa"/>
            <w:vAlign w:val="center"/>
          </w:tcPr>
          <w:p w14:paraId="3F287CFF"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2</w:t>
            </w:r>
          </w:p>
        </w:tc>
        <w:tc>
          <w:tcPr>
            <w:tcW w:w="2070" w:type="dxa"/>
            <w:shd w:val="clear" w:color="auto" w:fill="auto"/>
            <w:vAlign w:val="center"/>
          </w:tcPr>
          <w:p w14:paraId="0F50179C"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USGS/NACSE database </w:t>
            </w:r>
          </w:p>
        </w:tc>
      </w:tr>
      <w:tr w:rsidR="00C7266C" w:rsidRPr="00D403F5" w14:paraId="6CD92688" w14:textId="77777777" w:rsidTr="00C7266C">
        <w:trPr>
          <w:cantSplit/>
        </w:trPr>
        <w:tc>
          <w:tcPr>
            <w:tcW w:w="1794" w:type="dxa"/>
            <w:vAlign w:val="center"/>
          </w:tcPr>
          <w:p w14:paraId="21E617C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Cloudy catshark</w:t>
            </w:r>
          </w:p>
        </w:tc>
        <w:tc>
          <w:tcPr>
            <w:tcW w:w="1705" w:type="dxa"/>
            <w:vAlign w:val="center"/>
          </w:tcPr>
          <w:p w14:paraId="132ABCCE"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i/>
                <w:iCs/>
                <w:color w:val="000000"/>
                <w:sz w:val="18"/>
                <w:szCs w:val="18"/>
              </w:rPr>
              <w:t xml:space="preserve">Scyliorhinus </w:t>
            </w:r>
          </w:p>
        </w:tc>
        <w:tc>
          <w:tcPr>
            <w:tcW w:w="1626" w:type="dxa"/>
            <w:vAlign w:val="center"/>
          </w:tcPr>
          <w:p w14:paraId="6999F55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torazame</w:t>
            </w:r>
          </w:p>
        </w:tc>
        <w:tc>
          <w:tcPr>
            <w:tcW w:w="1080" w:type="dxa"/>
            <w:vAlign w:val="center"/>
          </w:tcPr>
          <w:p w14:paraId="5264ED0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w:t>
            </w:r>
          </w:p>
        </w:tc>
        <w:tc>
          <w:tcPr>
            <w:tcW w:w="1530" w:type="dxa"/>
            <w:shd w:val="clear" w:color="auto" w:fill="auto"/>
            <w:vAlign w:val="center"/>
          </w:tcPr>
          <w:p w14:paraId="04E6262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0C51416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lang w:val="en-US"/>
              </w:rPr>
              <w:t>PCR</w:t>
            </w:r>
          </w:p>
        </w:tc>
        <w:tc>
          <w:tcPr>
            <w:tcW w:w="715" w:type="dxa"/>
            <w:shd w:val="clear" w:color="auto" w:fill="auto"/>
            <w:vAlign w:val="center"/>
          </w:tcPr>
          <w:p w14:paraId="2447444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D13C15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59ED2D7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7AF6795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5C9AA8A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344597B1"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r w:rsidR="00C7266C" w:rsidRPr="00D403F5" w14:paraId="3C1180ED" w14:textId="77777777" w:rsidTr="00C7266C">
        <w:trPr>
          <w:cantSplit/>
        </w:trPr>
        <w:tc>
          <w:tcPr>
            <w:tcW w:w="1794" w:type="dxa"/>
            <w:vAlign w:val="center"/>
          </w:tcPr>
          <w:p w14:paraId="61A82950"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Cubed snailfish</w:t>
            </w:r>
          </w:p>
        </w:tc>
        <w:tc>
          <w:tcPr>
            <w:tcW w:w="1705" w:type="dxa"/>
            <w:vAlign w:val="center"/>
          </w:tcPr>
          <w:p w14:paraId="0B45D04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Liparis </w:t>
            </w:r>
          </w:p>
        </w:tc>
        <w:tc>
          <w:tcPr>
            <w:tcW w:w="1626" w:type="dxa"/>
            <w:vAlign w:val="center"/>
          </w:tcPr>
          <w:p w14:paraId="10543B6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tessellatus</w:t>
            </w:r>
          </w:p>
        </w:tc>
        <w:tc>
          <w:tcPr>
            <w:tcW w:w="1080" w:type="dxa"/>
            <w:vAlign w:val="center"/>
          </w:tcPr>
          <w:p w14:paraId="0A78228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w:t>
            </w:r>
          </w:p>
        </w:tc>
        <w:tc>
          <w:tcPr>
            <w:tcW w:w="1530" w:type="dxa"/>
            <w:shd w:val="clear" w:color="auto" w:fill="auto"/>
            <w:vAlign w:val="center"/>
          </w:tcPr>
          <w:p w14:paraId="3DD0964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06217BA9"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lang w:val="en-US"/>
              </w:rPr>
              <w:t>PCR</w:t>
            </w:r>
          </w:p>
        </w:tc>
        <w:tc>
          <w:tcPr>
            <w:tcW w:w="715" w:type="dxa"/>
            <w:shd w:val="clear" w:color="auto" w:fill="auto"/>
            <w:vAlign w:val="center"/>
          </w:tcPr>
          <w:p w14:paraId="4D91A46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675D3BD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7ECC9B7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0A7401B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1F727DD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06531321"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r w:rsidR="00C7266C" w:rsidRPr="00D403F5" w14:paraId="6B4D0F21" w14:textId="77777777" w:rsidTr="00C7266C">
        <w:trPr>
          <w:cantSplit/>
        </w:trPr>
        <w:tc>
          <w:tcPr>
            <w:tcW w:w="1794" w:type="dxa"/>
            <w:vAlign w:val="center"/>
          </w:tcPr>
          <w:p w14:paraId="068BD6D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European eel</w:t>
            </w:r>
          </w:p>
        </w:tc>
        <w:tc>
          <w:tcPr>
            <w:tcW w:w="1705" w:type="dxa"/>
            <w:vAlign w:val="center"/>
          </w:tcPr>
          <w:p w14:paraId="3DBCFE2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Anguilla </w:t>
            </w:r>
          </w:p>
        </w:tc>
        <w:tc>
          <w:tcPr>
            <w:tcW w:w="1626" w:type="dxa"/>
            <w:vAlign w:val="center"/>
          </w:tcPr>
          <w:p w14:paraId="166EB2B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anguilla </w:t>
            </w:r>
          </w:p>
        </w:tc>
        <w:tc>
          <w:tcPr>
            <w:tcW w:w="1080" w:type="dxa"/>
            <w:vAlign w:val="center"/>
          </w:tcPr>
          <w:p w14:paraId="2FCA4E0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III</w:t>
            </w:r>
          </w:p>
        </w:tc>
        <w:tc>
          <w:tcPr>
            <w:tcW w:w="1530" w:type="dxa"/>
            <w:shd w:val="clear" w:color="auto" w:fill="auto"/>
            <w:vAlign w:val="center"/>
          </w:tcPr>
          <w:p w14:paraId="7F20239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0F01D815"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Viral isolation, neutralization test</w:t>
            </w:r>
          </w:p>
        </w:tc>
        <w:tc>
          <w:tcPr>
            <w:tcW w:w="715" w:type="dxa"/>
            <w:shd w:val="clear" w:color="auto" w:fill="auto"/>
            <w:vAlign w:val="center"/>
          </w:tcPr>
          <w:p w14:paraId="54CB661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540" w:type="dxa"/>
            <w:shd w:val="clear" w:color="auto" w:fill="auto"/>
            <w:vAlign w:val="center"/>
          </w:tcPr>
          <w:p w14:paraId="1A18264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2B80FB7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455" w:type="dxa"/>
            <w:shd w:val="clear" w:color="auto" w:fill="auto"/>
            <w:vAlign w:val="center"/>
          </w:tcPr>
          <w:p w14:paraId="0E3BA1E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1170" w:type="dxa"/>
            <w:vAlign w:val="center"/>
          </w:tcPr>
          <w:p w14:paraId="20BEF21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58590CC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Jorgensen</w:t>
            </w:r>
            <w:r w:rsidRPr="00D403F5">
              <w:rPr>
                <w:rFonts w:ascii="Arial" w:hAnsi="Arial" w:cs="Arial"/>
                <w:i/>
                <w:iCs/>
                <w:color w:val="000000"/>
                <w:sz w:val="18"/>
                <w:szCs w:val="18"/>
                <w:lang w:val="nb-NO"/>
              </w:rPr>
              <w:t xml:space="preserve"> et al</w:t>
            </w:r>
            <w:r w:rsidRPr="00D403F5">
              <w:rPr>
                <w:rFonts w:ascii="Arial" w:hAnsi="Arial" w:cs="Arial"/>
                <w:color w:val="000000"/>
                <w:sz w:val="18"/>
                <w:szCs w:val="18"/>
              </w:rPr>
              <w:t xml:space="preserve">., </w:t>
            </w:r>
            <w:r w:rsidRPr="00D403F5">
              <w:rPr>
                <w:rFonts w:ascii="Arial" w:hAnsi="Arial" w:cs="Arial"/>
                <w:sz w:val="18"/>
                <w:szCs w:val="18"/>
              </w:rPr>
              <w:t>1994</w:t>
            </w:r>
          </w:p>
        </w:tc>
      </w:tr>
      <w:tr w:rsidR="00C7266C" w:rsidRPr="00D403F5" w14:paraId="47AFCE6D" w14:textId="77777777" w:rsidTr="00C7266C">
        <w:trPr>
          <w:cantSplit/>
        </w:trPr>
        <w:tc>
          <w:tcPr>
            <w:tcW w:w="1794" w:type="dxa"/>
            <w:vAlign w:val="center"/>
          </w:tcPr>
          <w:p w14:paraId="064A4C1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European sea bass</w:t>
            </w:r>
          </w:p>
        </w:tc>
        <w:tc>
          <w:tcPr>
            <w:tcW w:w="1705" w:type="dxa"/>
            <w:vAlign w:val="center"/>
          </w:tcPr>
          <w:p w14:paraId="6B55E5C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Dicentrarchus</w:t>
            </w:r>
          </w:p>
        </w:tc>
        <w:tc>
          <w:tcPr>
            <w:tcW w:w="1626" w:type="dxa"/>
            <w:vAlign w:val="center"/>
          </w:tcPr>
          <w:p w14:paraId="595D9BF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 labrax</w:t>
            </w:r>
          </w:p>
        </w:tc>
        <w:tc>
          <w:tcPr>
            <w:tcW w:w="1080" w:type="dxa"/>
            <w:vAlign w:val="center"/>
          </w:tcPr>
          <w:p w14:paraId="773589A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Ie</w:t>
            </w:r>
          </w:p>
        </w:tc>
        <w:tc>
          <w:tcPr>
            <w:tcW w:w="1530" w:type="dxa"/>
            <w:shd w:val="clear" w:color="auto" w:fill="auto"/>
            <w:vAlign w:val="center"/>
          </w:tcPr>
          <w:p w14:paraId="5BEDCE1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E</w:t>
            </w:r>
          </w:p>
        </w:tc>
        <w:tc>
          <w:tcPr>
            <w:tcW w:w="1620" w:type="dxa"/>
            <w:shd w:val="clear" w:color="auto" w:fill="auto"/>
            <w:vAlign w:val="center"/>
          </w:tcPr>
          <w:p w14:paraId="4D0811B6"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cultivature and ELISA</w:t>
            </w:r>
          </w:p>
        </w:tc>
        <w:tc>
          <w:tcPr>
            <w:tcW w:w="715" w:type="dxa"/>
            <w:shd w:val="clear" w:color="auto" w:fill="auto"/>
            <w:vAlign w:val="center"/>
          </w:tcPr>
          <w:p w14:paraId="499C464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0B41503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63AE09F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26C1425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5F1AD5E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238BDD26"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Ogut &amp; Altuntas 2014</w:t>
            </w:r>
          </w:p>
        </w:tc>
      </w:tr>
      <w:tr w:rsidR="00C7266C" w:rsidRPr="00D403F5" w14:paraId="4453D72A" w14:textId="77777777" w:rsidTr="00C7266C">
        <w:trPr>
          <w:cantSplit/>
        </w:trPr>
        <w:tc>
          <w:tcPr>
            <w:tcW w:w="1794" w:type="dxa"/>
            <w:vAlign w:val="center"/>
          </w:tcPr>
          <w:p w14:paraId="3E8EFA5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Fallfish</w:t>
            </w:r>
          </w:p>
        </w:tc>
        <w:tc>
          <w:tcPr>
            <w:tcW w:w="1705" w:type="dxa"/>
            <w:vAlign w:val="center"/>
          </w:tcPr>
          <w:p w14:paraId="0E26FE8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Semotilus </w:t>
            </w:r>
          </w:p>
        </w:tc>
        <w:tc>
          <w:tcPr>
            <w:tcW w:w="1626" w:type="dxa"/>
            <w:vAlign w:val="center"/>
          </w:tcPr>
          <w:p w14:paraId="08FE49F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corporalis</w:t>
            </w:r>
          </w:p>
        </w:tc>
        <w:tc>
          <w:tcPr>
            <w:tcW w:w="1080" w:type="dxa"/>
            <w:vAlign w:val="center"/>
          </w:tcPr>
          <w:p w14:paraId="1E6978C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IVb</w:t>
            </w:r>
          </w:p>
        </w:tc>
        <w:tc>
          <w:tcPr>
            <w:tcW w:w="1530" w:type="dxa"/>
            <w:shd w:val="clear" w:color="auto" w:fill="auto"/>
            <w:vAlign w:val="center"/>
          </w:tcPr>
          <w:p w14:paraId="4F4B4C8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16C38F8B"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RT-PCR</w:t>
            </w:r>
          </w:p>
        </w:tc>
        <w:tc>
          <w:tcPr>
            <w:tcW w:w="715" w:type="dxa"/>
            <w:shd w:val="clear" w:color="auto" w:fill="auto"/>
            <w:vAlign w:val="center"/>
          </w:tcPr>
          <w:p w14:paraId="6766795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614936F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50CED5C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29EC460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684660D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6EFEE994"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Cornwell </w:t>
            </w:r>
            <w:r w:rsidRPr="00D403F5">
              <w:rPr>
                <w:rFonts w:ascii="Arial" w:hAnsi="Arial" w:cs="Arial"/>
                <w:i/>
                <w:iCs/>
                <w:color w:val="000000"/>
                <w:sz w:val="18"/>
                <w:szCs w:val="18"/>
                <w:lang w:val="nb-NO"/>
              </w:rPr>
              <w:t>et al</w:t>
            </w:r>
            <w:r w:rsidRPr="00D403F5">
              <w:rPr>
                <w:rFonts w:ascii="Arial" w:hAnsi="Arial" w:cs="Arial"/>
                <w:color w:val="000000"/>
                <w:sz w:val="18"/>
                <w:szCs w:val="18"/>
              </w:rPr>
              <w:t>., 2015</w:t>
            </w:r>
          </w:p>
        </w:tc>
      </w:tr>
      <w:tr w:rsidR="00C7266C" w:rsidRPr="00D403F5" w14:paraId="591E2006" w14:textId="77777777" w:rsidTr="00C7266C">
        <w:trPr>
          <w:cantSplit/>
        </w:trPr>
        <w:tc>
          <w:tcPr>
            <w:tcW w:w="1794" w:type="dxa"/>
            <w:vAlign w:val="center"/>
          </w:tcPr>
          <w:p w14:paraId="5F723E9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Flathead grey mullet</w:t>
            </w:r>
          </w:p>
        </w:tc>
        <w:tc>
          <w:tcPr>
            <w:tcW w:w="1705" w:type="dxa"/>
            <w:vAlign w:val="center"/>
          </w:tcPr>
          <w:p w14:paraId="3CD8535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Mugil</w:t>
            </w:r>
          </w:p>
        </w:tc>
        <w:tc>
          <w:tcPr>
            <w:tcW w:w="1626" w:type="dxa"/>
            <w:vAlign w:val="center"/>
          </w:tcPr>
          <w:p w14:paraId="52020FB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cephalus</w:t>
            </w:r>
          </w:p>
        </w:tc>
        <w:tc>
          <w:tcPr>
            <w:tcW w:w="1080" w:type="dxa"/>
            <w:vAlign w:val="center"/>
          </w:tcPr>
          <w:p w14:paraId="3420C009"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IVa</w:t>
            </w:r>
          </w:p>
        </w:tc>
        <w:tc>
          <w:tcPr>
            <w:tcW w:w="1530" w:type="dxa"/>
            <w:shd w:val="clear" w:color="auto" w:fill="auto"/>
            <w:vAlign w:val="center"/>
          </w:tcPr>
          <w:p w14:paraId="6773DEB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620" w:type="dxa"/>
            <w:shd w:val="clear" w:color="auto" w:fill="auto"/>
            <w:vAlign w:val="center"/>
          </w:tcPr>
          <w:p w14:paraId="63346E05"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PCR</w:t>
            </w:r>
          </w:p>
        </w:tc>
        <w:tc>
          <w:tcPr>
            <w:tcW w:w="715" w:type="dxa"/>
            <w:shd w:val="clear" w:color="auto" w:fill="auto"/>
            <w:vAlign w:val="center"/>
          </w:tcPr>
          <w:p w14:paraId="6D6D979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205DA3F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4369383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369D7F6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532C5BF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67D1079E"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r w:rsidR="00C7266C" w:rsidRPr="00D403F5" w14:paraId="4DC48192" w14:textId="77777777" w:rsidTr="00C7266C">
        <w:trPr>
          <w:cantSplit/>
        </w:trPr>
        <w:tc>
          <w:tcPr>
            <w:tcW w:w="1794" w:type="dxa"/>
            <w:vAlign w:val="center"/>
          </w:tcPr>
          <w:p w14:paraId="73BF6809" w14:textId="77777777" w:rsidR="00C7266C" w:rsidRPr="00D403F5" w:rsidRDefault="00C7266C" w:rsidP="00D403F5">
            <w:pPr>
              <w:spacing w:after="0"/>
              <w:rPr>
                <w:rFonts w:ascii="Arial" w:hAnsi="Arial" w:cs="Arial"/>
                <w:color w:val="FF0000"/>
                <w:sz w:val="18"/>
                <w:szCs w:val="18"/>
                <w:lang w:val="en-US"/>
              </w:rPr>
            </w:pPr>
            <w:r w:rsidRPr="00D403F5">
              <w:rPr>
                <w:rFonts w:ascii="Arial" w:hAnsi="Arial" w:cs="Arial"/>
                <w:color w:val="000000"/>
                <w:sz w:val="18"/>
                <w:szCs w:val="18"/>
              </w:rPr>
              <w:t xml:space="preserve">Fourbeard rockling </w:t>
            </w:r>
          </w:p>
        </w:tc>
        <w:tc>
          <w:tcPr>
            <w:tcW w:w="1705" w:type="dxa"/>
            <w:vAlign w:val="center"/>
          </w:tcPr>
          <w:p w14:paraId="110703A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Enchelyopus </w:t>
            </w:r>
          </w:p>
        </w:tc>
        <w:tc>
          <w:tcPr>
            <w:tcW w:w="1626" w:type="dxa"/>
            <w:vAlign w:val="center"/>
          </w:tcPr>
          <w:p w14:paraId="5523E42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cimbrius</w:t>
            </w:r>
          </w:p>
        </w:tc>
        <w:tc>
          <w:tcPr>
            <w:tcW w:w="1080" w:type="dxa"/>
            <w:vAlign w:val="center"/>
          </w:tcPr>
          <w:p w14:paraId="5CF56943"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Ib</w:t>
            </w:r>
          </w:p>
        </w:tc>
        <w:tc>
          <w:tcPr>
            <w:tcW w:w="1530" w:type="dxa"/>
            <w:shd w:val="clear" w:color="auto" w:fill="auto"/>
            <w:vAlign w:val="center"/>
          </w:tcPr>
          <w:p w14:paraId="4DD4242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620" w:type="dxa"/>
            <w:shd w:val="clear" w:color="auto" w:fill="auto"/>
            <w:vAlign w:val="center"/>
          </w:tcPr>
          <w:p w14:paraId="5E7BCCD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w:t>
            </w:r>
          </w:p>
        </w:tc>
        <w:tc>
          <w:tcPr>
            <w:tcW w:w="715" w:type="dxa"/>
            <w:shd w:val="clear" w:color="auto" w:fill="auto"/>
            <w:vAlign w:val="center"/>
          </w:tcPr>
          <w:p w14:paraId="4E6DA0A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EB8227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59102C1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5C7852E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0F11855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2E354C7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Mortensen </w:t>
            </w:r>
            <w:r w:rsidRPr="00D403F5">
              <w:rPr>
                <w:rFonts w:ascii="Arial" w:hAnsi="Arial" w:cs="Arial"/>
                <w:i/>
                <w:iCs/>
                <w:color w:val="000000"/>
                <w:sz w:val="18"/>
                <w:szCs w:val="18"/>
                <w:lang w:val="nb-NO"/>
              </w:rPr>
              <w:t>et al</w:t>
            </w:r>
            <w:r w:rsidRPr="00D403F5">
              <w:rPr>
                <w:rFonts w:ascii="Arial" w:hAnsi="Arial" w:cs="Arial"/>
                <w:color w:val="000000"/>
                <w:sz w:val="18"/>
                <w:szCs w:val="18"/>
              </w:rPr>
              <w:t>., 1999</w:t>
            </w:r>
          </w:p>
        </w:tc>
      </w:tr>
      <w:tr w:rsidR="00C7266C" w:rsidRPr="00D403F5" w14:paraId="70181D43" w14:textId="77777777" w:rsidTr="00C7266C">
        <w:trPr>
          <w:cantSplit/>
        </w:trPr>
        <w:tc>
          <w:tcPr>
            <w:tcW w:w="1794" w:type="dxa"/>
            <w:vAlign w:val="center"/>
          </w:tcPr>
          <w:p w14:paraId="06ABAB4A" w14:textId="77777777" w:rsidR="00C7266C" w:rsidRPr="00D403F5" w:rsidRDefault="00C7266C" w:rsidP="00D403F5">
            <w:pPr>
              <w:spacing w:after="0"/>
              <w:rPr>
                <w:rFonts w:ascii="Arial" w:hAnsi="Arial" w:cs="Arial"/>
                <w:color w:val="FF0000"/>
                <w:sz w:val="18"/>
                <w:szCs w:val="18"/>
                <w:lang w:val="en-US"/>
              </w:rPr>
            </w:pPr>
            <w:r w:rsidRPr="00D403F5">
              <w:rPr>
                <w:rFonts w:ascii="Arial" w:hAnsi="Arial" w:cs="Arial"/>
                <w:color w:val="333333"/>
                <w:sz w:val="18"/>
                <w:szCs w:val="18"/>
              </w:rPr>
              <w:t>Garfish</w:t>
            </w:r>
          </w:p>
        </w:tc>
        <w:tc>
          <w:tcPr>
            <w:tcW w:w="1705" w:type="dxa"/>
            <w:vAlign w:val="center"/>
          </w:tcPr>
          <w:p w14:paraId="02D6E2E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Belone </w:t>
            </w:r>
          </w:p>
        </w:tc>
        <w:tc>
          <w:tcPr>
            <w:tcW w:w="1626" w:type="dxa"/>
            <w:vAlign w:val="center"/>
          </w:tcPr>
          <w:p w14:paraId="08CC0B3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belone</w:t>
            </w:r>
          </w:p>
        </w:tc>
        <w:tc>
          <w:tcPr>
            <w:tcW w:w="1080" w:type="dxa"/>
            <w:vAlign w:val="center"/>
          </w:tcPr>
          <w:p w14:paraId="16D71F84"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Ie</w:t>
            </w:r>
          </w:p>
        </w:tc>
        <w:tc>
          <w:tcPr>
            <w:tcW w:w="1530" w:type="dxa"/>
            <w:shd w:val="clear" w:color="auto" w:fill="auto"/>
            <w:vAlign w:val="center"/>
          </w:tcPr>
          <w:p w14:paraId="55E0CFF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620" w:type="dxa"/>
            <w:shd w:val="clear" w:color="auto" w:fill="auto"/>
            <w:vAlign w:val="center"/>
          </w:tcPr>
          <w:p w14:paraId="2C969966"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and PCR</w:t>
            </w:r>
          </w:p>
        </w:tc>
        <w:tc>
          <w:tcPr>
            <w:tcW w:w="715" w:type="dxa"/>
            <w:shd w:val="clear" w:color="auto" w:fill="auto"/>
            <w:vAlign w:val="center"/>
          </w:tcPr>
          <w:p w14:paraId="2887A07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7622E65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3EB88E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6DEFAB9B"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1E97412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2BAB924B"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Ogut &amp; Altuntas, 2014</w:t>
            </w:r>
          </w:p>
        </w:tc>
      </w:tr>
      <w:tr w:rsidR="00C7266C" w:rsidRPr="00D403F5" w14:paraId="1A19E2B4"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6827814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Golden shiner</w:t>
            </w:r>
          </w:p>
        </w:tc>
        <w:tc>
          <w:tcPr>
            <w:tcW w:w="1705" w:type="dxa"/>
            <w:vAlign w:val="center"/>
          </w:tcPr>
          <w:p w14:paraId="4E96ACC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Notemigonus </w:t>
            </w:r>
          </w:p>
        </w:tc>
        <w:tc>
          <w:tcPr>
            <w:tcW w:w="1626" w:type="dxa"/>
            <w:vAlign w:val="center"/>
          </w:tcPr>
          <w:p w14:paraId="056FF69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crysoleucas</w:t>
            </w:r>
          </w:p>
        </w:tc>
        <w:tc>
          <w:tcPr>
            <w:tcW w:w="1080" w:type="dxa"/>
            <w:vAlign w:val="center"/>
          </w:tcPr>
          <w:p w14:paraId="3352ADBB"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IVb</w:t>
            </w:r>
          </w:p>
        </w:tc>
        <w:tc>
          <w:tcPr>
            <w:tcW w:w="1530" w:type="dxa"/>
            <w:shd w:val="clear" w:color="auto" w:fill="auto"/>
            <w:vAlign w:val="center"/>
          </w:tcPr>
          <w:p w14:paraId="05DFBA5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620" w:type="dxa"/>
            <w:shd w:val="clear" w:color="auto" w:fill="auto"/>
            <w:vAlign w:val="center"/>
          </w:tcPr>
          <w:p w14:paraId="72FCB2E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RT-PCR</w:t>
            </w:r>
          </w:p>
        </w:tc>
        <w:tc>
          <w:tcPr>
            <w:tcW w:w="715" w:type="dxa"/>
            <w:shd w:val="clear" w:color="auto" w:fill="auto"/>
            <w:vAlign w:val="center"/>
          </w:tcPr>
          <w:p w14:paraId="63677E0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145B1BB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06437D1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6622E95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645EB6D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20989F09"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Cornwell </w:t>
            </w:r>
            <w:r w:rsidRPr="00D403F5">
              <w:rPr>
                <w:rFonts w:ascii="Arial" w:hAnsi="Arial" w:cs="Arial"/>
                <w:i/>
                <w:iCs/>
                <w:color w:val="000000"/>
                <w:sz w:val="18"/>
                <w:szCs w:val="18"/>
                <w:lang w:val="nb-NO"/>
              </w:rPr>
              <w:t>et al</w:t>
            </w:r>
            <w:r w:rsidRPr="00D403F5">
              <w:rPr>
                <w:rFonts w:ascii="Arial" w:hAnsi="Arial" w:cs="Arial"/>
                <w:color w:val="000000"/>
                <w:sz w:val="18"/>
                <w:szCs w:val="18"/>
              </w:rPr>
              <w:t>., 2015</w:t>
            </w:r>
          </w:p>
        </w:tc>
      </w:tr>
      <w:tr w:rsidR="00C7266C" w:rsidRPr="00D403F5" w14:paraId="1363D8DA"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tcPr>
          <w:p w14:paraId="6E1AE35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Gray gurnard</w:t>
            </w:r>
          </w:p>
        </w:tc>
        <w:tc>
          <w:tcPr>
            <w:tcW w:w="1705" w:type="dxa"/>
            <w:vAlign w:val="center"/>
          </w:tcPr>
          <w:p w14:paraId="1890532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Eutrigla</w:t>
            </w:r>
          </w:p>
        </w:tc>
        <w:tc>
          <w:tcPr>
            <w:tcW w:w="1626" w:type="dxa"/>
            <w:vAlign w:val="center"/>
          </w:tcPr>
          <w:p w14:paraId="73D3C5A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gurnardus</w:t>
            </w:r>
          </w:p>
        </w:tc>
        <w:tc>
          <w:tcPr>
            <w:tcW w:w="1080" w:type="dxa"/>
            <w:vAlign w:val="center"/>
          </w:tcPr>
          <w:p w14:paraId="1E519AF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III</w:t>
            </w:r>
          </w:p>
        </w:tc>
        <w:tc>
          <w:tcPr>
            <w:tcW w:w="1530" w:type="dxa"/>
            <w:shd w:val="clear" w:color="auto" w:fill="auto"/>
          </w:tcPr>
          <w:p w14:paraId="3BB3AC2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tcPr>
          <w:p w14:paraId="76E068F9"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sequencing</w:t>
            </w:r>
          </w:p>
        </w:tc>
        <w:tc>
          <w:tcPr>
            <w:tcW w:w="715" w:type="dxa"/>
            <w:shd w:val="clear" w:color="auto" w:fill="auto"/>
            <w:vAlign w:val="center"/>
          </w:tcPr>
          <w:p w14:paraId="1A280E9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0DC5AE7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73C3211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1FD92DA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69B8048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tcPr>
          <w:p w14:paraId="5391973D"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Wallace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2015</w:t>
            </w:r>
          </w:p>
        </w:tc>
      </w:tr>
      <w:tr w:rsidR="00C7266C" w:rsidRPr="00D403F5" w14:paraId="67850463"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7882E6E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Greater amberjack</w:t>
            </w:r>
          </w:p>
        </w:tc>
        <w:tc>
          <w:tcPr>
            <w:tcW w:w="1705" w:type="dxa"/>
            <w:vAlign w:val="center"/>
          </w:tcPr>
          <w:p w14:paraId="50E21A1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Seriola </w:t>
            </w:r>
          </w:p>
        </w:tc>
        <w:tc>
          <w:tcPr>
            <w:tcW w:w="1626" w:type="dxa"/>
            <w:vAlign w:val="center"/>
          </w:tcPr>
          <w:p w14:paraId="0D0FD84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dumerili</w:t>
            </w:r>
          </w:p>
        </w:tc>
        <w:tc>
          <w:tcPr>
            <w:tcW w:w="1080" w:type="dxa"/>
            <w:vAlign w:val="center"/>
          </w:tcPr>
          <w:p w14:paraId="33E8A8D5"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IVa</w:t>
            </w:r>
          </w:p>
        </w:tc>
        <w:tc>
          <w:tcPr>
            <w:tcW w:w="1530" w:type="dxa"/>
            <w:shd w:val="clear" w:color="auto" w:fill="auto"/>
            <w:vAlign w:val="center"/>
          </w:tcPr>
          <w:p w14:paraId="7FA1BE1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620" w:type="dxa"/>
            <w:shd w:val="clear" w:color="auto" w:fill="auto"/>
            <w:vAlign w:val="center"/>
          </w:tcPr>
          <w:p w14:paraId="7B06092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PCR, cell culture, IFAT</w:t>
            </w:r>
          </w:p>
        </w:tc>
        <w:tc>
          <w:tcPr>
            <w:tcW w:w="715" w:type="dxa"/>
            <w:shd w:val="clear" w:color="auto" w:fill="auto"/>
            <w:vAlign w:val="center"/>
          </w:tcPr>
          <w:p w14:paraId="319977E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679AB4C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51750C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5A81B0A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3C6243B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20CCAFE7"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OIE, 2013</w:t>
            </w:r>
          </w:p>
        </w:tc>
      </w:tr>
    </w:tbl>
    <w:p w14:paraId="75063123" w14:textId="77777777" w:rsidR="00C7266C" w:rsidRPr="00D403F5" w:rsidRDefault="00C7266C" w:rsidP="00D403F5">
      <w:pPr>
        <w:spacing w:after="240"/>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0998107E" w14:textId="77777777" w:rsidR="00C7266C" w:rsidRPr="00D403F5" w:rsidRDefault="00C7266C" w:rsidP="00D403F5">
      <w:pPr>
        <w:spacing w:after="240"/>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755ADE7C"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tcPr>
          <w:p w14:paraId="29BD6028" w14:textId="77777777" w:rsidR="00C7266C" w:rsidRPr="00D403F5" w:rsidRDefault="00C7266C" w:rsidP="00D403F5">
            <w:pPr>
              <w:spacing w:after="0"/>
              <w:jc w:val="center"/>
              <w:rPr>
                <w:rFonts w:ascii="Arial" w:hAnsi="Arial" w:cs="Arial"/>
                <w:b/>
                <w:sz w:val="18"/>
                <w:szCs w:val="18"/>
              </w:rPr>
            </w:pPr>
            <w:r w:rsidRPr="00D403F5">
              <w:rPr>
                <w:rFonts w:ascii="Arial" w:hAnsi="Arial" w:cs="Arial"/>
                <w:b/>
                <w:sz w:val="18"/>
                <w:szCs w:val="18"/>
              </w:rPr>
              <w:t>Common name</w:t>
            </w:r>
          </w:p>
        </w:tc>
        <w:tc>
          <w:tcPr>
            <w:tcW w:w="1705" w:type="dxa"/>
          </w:tcPr>
          <w:p w14:paraId="611EA2B7"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Genus</w:t>
            </w:r>
          </w:p>
        </w:tc>
        <w:tc>
          <w:tcPr>
            <w:tcW w:w="1626" w:type="dxa"/>
          </w:tcPr>
          <w:p w14:paraId="6F552B8E"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Species</w:t>
            </w:r>
          </w:p>
        </w:tc>
        <w:tc>
          <w:tcPr>
            <w:tcW w:w="1080" w:type="dxa"/>
          </w:tcPr>
          <w:p w14:paraId="3174E810"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b/>
                <w:sz w:val="18"/>
                <w:szCs w:val="18"/>
              </w:rPr>
              <w:t>Genotype</w:t>
            </w:r>
          </w:p>
        </w:tc>
        <w:tc>
          <w:tcPr>
            <w:tcW w:w="1530" w:type="dxa"/>
            <w:shd w:val="clear" w:color="auto" w:fill="auto"/>
          </w:tcPr>
          <w:p w14:paraId="6CF782DB"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6E63EB9D"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0A52E0FF"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288E4CF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b/>
                <w:sz w:val="18"/>
                <w:szCs w:val="18"/>
              </w:rPr>
              <w:t>Outcome</w:t>
            </w:r>
          </w:p>
        </w:tc>
        <w:tc>
          <w:tcPr>
            <w:tcW w:w="2070" w:type="dxa"/>
            <w:shd w:val="clear" w:color="auto" w:fill="auto"/>
          </w:tcPr>
          <w:p w14:paraId="762B474A"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References</w:t>
            </w:r>
          </w:p>
        </w:tc>
      </w:tr>
      <w:tr w:rsidR="00C7266C" w:rsidRPr="00D403F5" w14:paraId="105C216E"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3A163DF3" w14:textId="77777777" w:rsidR="00C7266C" w:rsidRPr="00D403F5" w:rsidRDefault="00C7266C" w:rsidP="00D403F5">
            <w:pPr>
              <w:spacing w:after="0"/>
              <w:rPr>
                <w:rFonts w:ascii="Arial" w:hAnsi="Arial" w:cs="Arial"/>
                <w:color w:val="000000"/>
                <w:sz w:val="18"/>
                <w:szCs w:val="18"/>
              </w:rPr>
            </w:pPr>
          </w:p>
        </w:tc>
        <w:tc>
          <w:tcPr>
            <w:tcW w:w="1705" w:type="dxa"/>
            <w:vAlign w:val="center"/>
          </w:tcPr>
          <w:p w14:paraId="02535358" w14:textId="77777777" w:rsidR="00C7266C" w:rsidRPr="00D403F5" w:rsidRDefault="00C7266C" w:rsidP="00D403F5">
            <w:pPr>
              <w:spacing w:after="0"/>
              <w:jc w:val="center"/>
              <w:rPr>
                <w:rFonts w:ascii="Arial" w:hAnsi="Arial" w:cs="Arial"/>
                <w:i/>
                <w:iCs/>
                <w:color w:val="000000"/>
                <w:sz w:val="18"/>
                <w:szCs w:val="18"/>
              </w:rPr>
            </w:pPr>
          </w:p>
        </w:tc>
        <w:tc>
          <w:tcPr>
            <w:tcW w:w="1626" w:type="dxa"/>
            <w:vAlign w:val="center"/>
          </w:tcPr>
          <w:p w14:paraId="51B1160F" w14:textId="77777777" w:rsidR="00C7266C" w:rsidRPr="00D403F5" w:rsidRDefault="00C7266C" w:rsidP="00D403F5">
            <w:pPr>
              <w:spacing w:after="0"/>
              <w:jc w:val="center"/>
              <w:rPr>
                <w:rFonts w:ascii="Arial" w:hAnsi="Arial" w:cs="Arial"/>
                <w:i/>
                <w:iCs/>
                <w:color w:val="000000"/>
                <w:sz w:val="18"/>
                <w:szCs w:val="18"/>
              </w:rPr>
            </w:pPr>
          </w:p>
        </w:tc>
        <w:tc>
          <w:tcPr>
            <w:tcW w:w="1080" w:type="dxa"/>
            <w:vAlign w:val="center"/>
          </w:tcPr>
          <w:p w14:paraId="11A8150C" w14:textId="77777777" w:rsidR="00C7266C" w:rsidRPr="00D403F5" w:rsidRDefault="00C7266C" w:rsidP="00D403F5">
            <w:pPr>
              <w:spacing w:after="0"/>
              <w:jc w:val="center"/>
              <w:rPr>
                <w:rFonts w:ascii="Arial" w:hAnsi="Arial" w:cs="Arial"/>
                <w:color w:val="000000"/>
                <w:sz w:val="18"/>
                <w:szCs w:val="18"/>
              </w:rPr>
            </w:pPr>
          </w:p>
        </w:tc>
        <w:tc>
          <w:tcPr>
            <w:tcW w:w="1530" w:type="dxa"/>
            <w:shd w:val="clear" w:color="auto" w:fill="auto"/>
            <w:vAlign w:val="center"/>
          </w:tcPr>
          <w:p w14:paraId="783C1E6F" w14:textId="77777777" w:rsidR="00C7266C" w:rsidRPr="00D403F5" w:rsidRDefault="00C7266C" w:rsidP="00D403F5">
            <w:pPr>
              <w:spacing w:after="0"/>
              <w:jc w:val="center"/>
              <w:rPr>
                <w:rFonts w:ascii="Arial" w:hAnsi="Arial" w:cs="Arial"/>
                <w:color w:val="000000"/>
                <w:sz w:val="18"/>
                <w:szCs w:val="18"/>
              </w:rPr>
            </w:pPr>
          </w:p>
        </w:tc>
        <w:tc>
          <w:tcPr>
            <w:tcW w:w="1620" w:type="dxa"/>
            <w:shd w:val="clear" w:color="auto" w:fill="auto"/>
            <w:vAlign w:val="center"/>
          </w:tcPr>
          <w:p w14:paraId="3568878E" w14:textId="77777777" w:rsidR="00C7266C" w:rsidRPr="00D403F5" w:rsidRDefault="00C7266C" w:rsidP="00D403F5">
            <w:pPr>
              <w:spacing w:after="0"/>
              <w:rPr>
                <w:rFonts w:ascii="Arial" w:hAnsi="Arial" w:cs="Arial"/>
                <w:color w:val="000000"/>
                <w:sz w:val="18"/>
                <w:szCs w:val="18"/>
              </w:rPr>
            </w:pPr>
          </w:p>
        </w:tc>
        <w:tc>
          <w:tcPr>
            <w:tcW w:w="715" w:type="dxa"/>
            <w:shd w:val="clear" w:color="auto" w:fill="auto"/>
            <w:vAlign w:val="center"/>
          </w:tcPr>
          <w:p w14:paraId="06251666"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A</w:t>
            </w:r>
          </w:p>
        </w:tc>
        <w:tc>
          <w:tcPr>
            <w:tcW w:w="540" w:type="dxa"/>
            <w:shd w:val="clear" w:color="auto" w:fill="auto"/>
            <w:vAlign w:val="center"/>
          </w:tcPr>
          <w:p w14:paraId="57D9094A"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B</w:t>
            </w:r>
          </w:p>
        </w:tc>
        <w:tc>
          <w:tcPr>
            <w:tcW w:w="540" w:type="dxa"/>
            <w:shd w:val="clear" w:color="auto" w:fill="auto"/>
            <w:vAlign w:val="center"/>
          </w:tcPr>
          <w:p w14:paraId="3C464B9A"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C</w:t>
            </w:r>
          </w:p>
        </w:tc>
        <w:tc>
          <w:tcPr>
            <w:tcW w:w="455" w:type="dxa"/>
            <w:shd w:val="clear" w:color="auto" w:fill="auto"/>
            <w:vAlign w:val="center"/>
          </w:tcPr>
          <w:p w14:paraId="6FCF261D" w14:textId="77777777" w:rsidR="00C7266C" w:rsidRPr="00D403F5" w:rsidRDefault="00C7266C" w:rsidP="00D403F5">
            <w:pPr>
              <w:spacing w:after="0"/>
              <w:jc w:val="center"/>
              <w:rPr>
                <w:rFonts w:ascii="Arial" w:hAnsi="Arial" w:cs="Arial"/>
                <w:color w:val="000000"/>
                <w:sz w:val="18"/>
                <w:szCs w:val="18"/>
              </w:rPr>
            </w:pPr>
          </w:p>
        </w:tc>
        <w:tc>
          <w:tcPr>
            <w:tcW w:w="1170" w:type="dxa"/>
            <w:vAlign w:val="center"/>
          </w:tcPr>
          <w:p w14:paraId="78F61833" w14:textId="77777777" w:rsidR="00C7266C" w:rsidRPr="00D403F5" w:rsidRDefault="00C7266C" w:rsidP="00D403F5">
            <w:pPr>
              <w:spacing w:after="0"/>
              <w:jc w:val="center"/>
              <w:rPr>
                <w:rFonts w:ascii="Arial" w:hAnsi="Arial" w:cs="Arial"/>
                <w:color w:val="000000"/>
                <w:sz w:val="18"/>
                <w:szCs w:val="18"/>
                <w:lang w:val="en-US"/>
              </w:rPr>
            </w:pPr>
          </w:p>
        </w:tc>
        <w:tc>
          <w:tcPr>
            <w:tcW w:w="2070" w:type="dxa"/>
            <w:shd w:val="clear" w:color="auto" w:fill="auto"/>
            <w:vAlign w:val="center"/>
          </w:tcPr>
          <w:p w14:paraId="140B4B80" w14:textId="77777777" w:rsidR="00C7266C" w:rsidRPr="00D403F5" w:rsidRDefault="00C7266C" w:rsidP="00D403F5">
            <w:pPr>
              <w:spacing w:after="0"/>
              <w:rPr>
                <w:rFonts w:ascii="Arial" w:hAnsi="Arial" w:cs="Arial"/>
                <w:color w:val="000000"/>
                <w:sz w:val="18"/>
                <w:szCs w:val="18"/>
              </w:rPr>
            </w:pPr>
          </w:p>
        </w:tc>
      </w:tr>
      <w:tr w:rsidR="00C7266C" w:rsidRPr="00D403F5" w14:paraId="4A82120B"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397B27B8"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Greenland halibut</w:t>
            </w:r>
          </w:p>
        </w:tc>
        <w:tc>
          <w:tcPr>
            <w:tcW w:w="1705" w:type="dxa"/>
            <w:vAlign w:val="center"/>
          </w:tcPr>
          <w:p w14:paraId="44AF7E8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Reinhardtius </w:t>
            </w:r>
          </w:p>
        </w:tc>
        <w:tc>
          <w:tcPr>
            <w:tcW w:w="1626" w:type="dxa"/>
            <w:vAlign w:val="center"/>
          </w:tcPr>
          <w:p w14:paraId="1B9511B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hippoglossoides</w:t>
            </w:r>
          </w:p>
        </w:tc>
        <w:tc>
          <w:tcPr>
            <w:tcW w:w="1080" w:type="dxa"/>
            <w:vAlign w:val="center"/>
          </w:tcPr>
          <w:p w14:paraId="40D4DD03"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III</w:t>
            </w:r>
          </w:p>
        </w:tc>
        <w:tc>
          <w:tcPr>
            <w:tcW w:w="1530" w:type="dxa"/>
            <w:shd w:val="clear" w:color="auto" w:fill="auto"/>
            <w:vAlign w:val="center"/>
          </w:tcPr>
          <w:p w14:paraId="412FA5E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620" w:type="dxa"/>
            <w:shd w:val="clear" w:color="auto" w:fill="auto"/>
            <w:vAlign w:val="center"/>
          </w:tcPr>
          <w:p w14:paraId="5BFBE196"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IFAT, RT-PCR</w:t>
            </w:r>
          </w:p>
        </w:tc>
        <w:tc>
          <w:tcPr>
            <w:tcW w:w="715" w:type="dxa"/>
            <w:shd w:val="clear" w:color="auto" w:fill="auto"/>
            <w:vAlign w:val="center"/>
          </w:tcPr>
          <w:p w14:paraId="690A157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42E5D47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0613A99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3B5E356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2833ED6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6B26CC8C"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Dopazo </w:t>
            </w:r>
            <w:r w:rsidRPr="00D403F5">
              <w:rPr>
                <w:rFonts w:ascii="Arial" w:hAnsi="Arial" w:cs="Arial"/>
                <w:i/>
                <w:iCs/>
                <w:color w:val="000000"/>
                <w:sz w:val="18"/>
                <w:szCs w:val="18"/>
                <w:lang w:val="nb-NO"/>
              </w:rPr>
              <w:t>et al</w:t>
            </w:r>
            <w:r w:rsidRPr="00D403F5">
              <w:rPr>
                <w:rFonts w:ascii="Arial" w:hAnsi="Arial" w:cs="Arial"/>
                <w:color w:val="000000"/>
                <w:sz w:val="18"/>
                <w:szCs w:val="18"/>
              </w:rPr>
              <w:t>., 2002</w:t>
            </w:r>
          </w:p>
        </w:tc>
      </w:tr>
      <w:bookmarkEnd w:id="102"/>
      <w:tr w:rsidR="00C7266C" w:rsidRPr="00D403F5" w14:paraId="2A6D5643"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7AFAFB25" w14:textId="77777777" w:rsidR="00C7266C" w:rsidRPr="00D403F5" w:rsidRDefault="00C7266C" w:rsidP="00D403F5">
            <w:pPr>
              <w:spacing w:after="0"/>
              <w:rPr>
                <w:rFonts w:ascii="Arial" w:hAnsi="Arial" w:cs="Arial"/>
                <w:sz w:val="18"/>
                <w:szCs w:val="18"/>
              </w:rPr>
            </w:pPr>
            <w:r w:rsidRPr="00D403F5">
              <w:rPr>
                <w:rFonts w:ascii="Arial" w:hAnsi="Arial" w:cs="Arial"/>
                <w:color w:val="000000"/>
                <w:sz w:val="18"/>
                <w:szCs w:val="18"/>
              </w:rPr>
              <w:t>Haddock</w:t>
            </w:r>
          </w:p>
        </w:tc>
        <w:tc>
          <w:tcPr>
            <w:tcW w:w="1705" w:type="dxa"/>
            <w:vAlign w:val="center"/>
          </w:tcPr>
          <w:p w14:paraId="0981C1C4"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color w:val="000000"/>
                <w:sz w:val="18"/>
                <w:szCs w:val="18"/>
              </w:rPr>
              <w:t xml:space="preserve">Melanogrammus </w:t>
            </w:r>
          </w:p>
        </w:tc>
        <w:tc>
          <w:tcPr>
            <w:tcW w:w="1626" w:type="dxa"/>
            <w:vAlign w:val="center"/>
          </w:tcPr>
          <w:p w14:paraId="51F33154"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color w:val="000000"/>
                <w:sz w:val="18"/>
                <w:szCs w:val="18"/>
              </w:rPr>
              <w:t>aeglefinus</w:t>
            </w:r>
          </w:p>
        </w:tc>
        <w:tc>
          <w:tcPr>
            <w:tcW w:w="1080" w:type="dxa"/>
            <w:vAlign w:val="center"/>
          </w:tcPr>
          <w:p w14:paraId="79B83509" w14:textId="77777777" w:rsidR="00C7266C" w:rsidRPr="00D403F5" w:rsidRDefault="00C7266C" w:rsidP="00D403F5">
            <w:pPr>
              <w:spacing w:after="0"/>
              <w:jc w:val="center"/>
              <w:rPr>
                <w:rFonts w:ascii="Arial" w:hAnsi="Arial" w:cs="Arial"/>
                <w:color w:val="000000"/>
                <w:sz w:val="18"/>
                <w:szCs w:val="18"/>
                <w:lang w:val="nb-NO"/>
              </w:rPr>
            </w:pPr>
            <w:r w:rsidRPr="00D403F5">
              <w:rPr>
                <w:rFonts w:ascii="Arial" w:hAnsi="Arial" w:cs="Arial"/>
                <w:color w:val="000000"/>
                <w:sz w:val="18"/>
                <w:szCs w:val="18"/>
                <w:lang w:val="nb-NO"/>
              </w:rPr>
              <w:t>III</w:t>
            </w:r>
          </w:p>
        </w:tc>
        <w:tc>
          <w:tcPr>
            <w:tcW w:w="1530" w:type="dxa"/>
            <w:shd w:val="clear" w:color="auto" w:fill="auto"/>
            <w:vAlign w:val="center"/>
          </w:tcPr>
          <w:p w14:paraId="2AD78C16"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color w:val="000000"/>
                <w:sz w:val="18"/>
                <w:szCs w:val="18"/>
                <w:lang w:val="nb-NO"/>
              </w:rPr>
              <w:t>N</w:t>
            </w:r>
          </w:p>
        </w:tc>
        <w:tc>
          <w:tcPr>
            <w:tcW w:w="1620" w:type="dxa"/>
            <w:shd w:val="clear" w:color="auto" w:fill="auto"/>
            <w:vAlign w:val="center"/>
          </w:tcPr>
          <w:p w14:paraId="2A25FE89" w14:textId="77777777" w:rsidR="00C7266C" w:rsidRPr="00D403F5" w:rsidRDefault="00C7266C" w:rsidP="00D403F5">
            <w:pPr>
              <w:spacing w:after="0"/>
              <w:rPr>
                <w:rFonts w:ascii="Arial" w:hAnsi="Arial" w:cs="Arial"/>
                <w:sz w:val="18"/>
                <w:szCs w:val="18"/>
                <w:lang w:val="en-US"/>
              </w:rPr>
            </w:pPr>
            <w:r w:rsidRPr="00D403F5">
              <w:rPr>
                <w:rFonts w:ascii="Arial" w:hAnsi="Arial" w:cs="Arial"/>
                <w:color w:val="000000"/>
                <w:sz w:val="18"/>
                <w:szCs w:val="18"/>
                <w:lang w:val="en-US"/>
              </w:rPr>
              <w:t>Cell culture IFAT and ELISA</w:t>
            </w:r>
          </w:p>
        </w:tc>
        <w:tc>
          <w:tcPr>
            <w:tcW w:w="715" w:type="dxa"/>
            <w:shd w:val="clear" w:color="auto" w:fill="auto"/>
            <w:vAlign w:val="center"/>
          </w:tcPr>
          <w:p w14:paraId="0EA29FBF"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ND</w:t>
            </w:r>
          </w:p>
        </w:tc>
        <w:tc>
          <w:tcPr>
            <w:tcW w:w="540" w:type="dxa"/>
            <w:shd w:val="clear" w:color="auto" w:fill="auto"/>
            <w:vAlign w:val="center"/>
          </w:tcPr>
          <w:p w14:paraId="0FD70AED"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Y</w:t>
            </w:r>
          </w:p>
        </w:tc>
        <w:tc>
          <w:tcPr>
            <w:tcW w:w="540" w:type="dxa"/>
            <w:shd w:val="clear" w:color="auto" w:fill="auto"/>
            <w:vAlign w:val="center"/>
          </w:tcPr>
          <w:p w14:paraId="47CAE3D7"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N</w:t>
            </w:r>
          </w:p>
        </w:tc>
        <w:tc>
          <w:tcPr>
            <w:tcW w:w="455" w:type="dxa"/>
            <w:shd w:val="clear" w:color="auto" w:fill="auto"/>
            <w:vAlign w:val="center"/>
          </w:tcPr>
          <w:p w14:paraId="4D937C5B" w14:textId="77777777" w:rsidR="00C7266C" w:rsidRPr="00D403F5" w:rsidRDefault="00C7266C" w:rsidP="00D403F5">
            <w:pPr>
              <w:spacing w:after="0"/>
              <w:jc w:val="center"/>
              <w:rPr>
                <w:rFonts w:ascii="Arial" w:hAnsi="Arial" w:cs="Arial"/>
                <w:sz w:val="18"/>
                <w:szCs w:val="18"/>
              </w:rPr>
            </w:pPr>
            <w:r w:rsidRPr="00D403F5">
              <w:rPr>
                <w:rFonts w:ascii="Arial" w:hAnsi="Arial" w:cs="Arial"/>
                <w:color w:val="000000"/>
                <w:sz w:val="18"/>
                <w:szCs w:val="18"/>
              </w:rPr>
              <w:t>N</w:t>
            </w:r>
          </w:p>
        </w:tc>
        <w:tc>
          <w:tcPr>
            <w:tcW w:w="1170" w:type="dxa"/>
            <w:vAlign w:val="center"/>
          </w:tcPr>
          <w:p w14:paraId="2E16935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331E3F40" w14:textId="77777777" w:rsidR="00C7266C" w:rsidRPr="00D403F5" w:rsidRDefault="00C7266C" w:rsidP="00D403F5">
            <w:pPr>
              <w:spacing w:after="0"/>
              <w:rPr>
                <w:rFonts w:ascii="Arial" w:hAnsi="Arial" w:cs="Arial"/>
                <w:sz w:val="18"/>
                <w:szCs w:val="18"/>
              </w:rPr>
            </w:pPr>
            <w:r w:rsidRPr="00D403F5">
              <w:rPr>
                <w:rFonts w:ascii="Arial" w:hAnsi="Arial" w:cs="Arial"/>
                <w:color w:val="000000"/>
                <w:sz w:val="18"/>
                <w:szCs w:val="18"/>
              </w:rPr>
              <w:t>Smail, 2000</w:t>
            </w:r>
          </w:p>
        </w:tc>
      </w:tr>
      <w:tr w:rsidR="00C7266C" w:rsidRPr="00D403F5" w14:paraId="7775E024"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3F932447" w14:textId="77777777" w:rsidR="00C7266C" w:rsidRPr="00D403F5" w:rsidRDefault="00C7266C" w:rsidP="00D403F5">
            <w:pPr>
              <w:spacing w:after="0"/>
              <w:rPr>
                <w:rFonts w:ascii="Arial" w:hAnsi="Arial" w:cs="Arial"/>
                <w:sz w:val="18"/>
                <w:szCs w:val="18"/>
              </w:rPr>
            </w:pPr>
            <w:bookmarkStart w:id="107" w:name="_Hlk523910458"/>
            <w:r w:rsidRPr="00D403F5">
              <w:rPr>
                <w:rFonts w:ascii="Arial" w:hAnsi="Arial" w:cs="Arial"/>
                <w:sz w:val="18"/>
                <w:szCs w:val="18"/>
              </w:rPr>
              <w:t>Izu scorpionfish</w:t>
            </w:r>
          </w:p>
        </w:tc>
        <w:tc>
          <w:tcPr>
            <w:tcW w:w="1705" w:type="dxa"/>
            <w:vAlign w:val="center"/>
          </w:tcPr>
          <w:p w14:paraId="0AE38CC4"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Scorpaena</w:t>
            </w:r>
          </w:p>
        </w:tc>
        <w:tc>
          <w:tcPr>
            <w:tcW w:w="1626" w:type="dxa"/>
            <w:vAlign w:val="center"/>
          </w:tcPr>
          <w:p w14:paraId="569BEDEE"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izensis</w:t>
            </w:r>
          </w:p>
        </w:tc>
        <w:tc>
          <w:tcPr>
            <w:tcW w:w="1080" w:type="dxa"/>
            <w:vAlign w:val="center"/>
          </w:tcPr>
          <w:p w14:paraId="37039C2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w:t>
            </w:r>
          </w:p>
        </w:tc>
        <w:tc>
          <w:tcPr>
            <w:tcW w:w="1530" w:type="dxa"/>
            <w:shd w:val="clear" w:color="auto" w:fill="auto"/>
            <w:vAlign w:val="center"/>
          </w:tcPr>
          <w:p w14:paraId="208B4696"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lang w:val="en-US"/>
              </w:rPr>
              <w:t>N</w:t>
            </w:r>
          </w:p>
        </w:tc>
        <w:tc>
          <w:tcPr>
            <w:tcW w:w="1620" w:type="dxa"/>
            <w:shd w:val="clear" w:color="auto" w:fill="auto"/>
            <w:vAlign w:val="center"/>
          </w:tcPr>
          <w:p w14:paraId="1A1FB2F9" w14:textId="77777777" w:rsidR="00C7266C" w:rsidRPr="00D403F5" w:rsidRDefault="00C7266C" w:rsidP="00D403F5">
            <w:pPr>
              <w:spacing w:after="0"/>
              <w:rPr>
                <w:rFonts w:ascii="Arial" w:hAnsi="Arial" w:cs="Arial"/>
                <w:sz w:val="18"/>
                <w:szCs w:val="18"/>
              </w:rPr>
            </w:pPr>
            <w:r w:rsidRPr="00D403F5">
              <w:rPr>
                <w:rFonts w:ascii="Arial" w:hAnsi="Arial" w:cs="Arial"/>
                <w:sz w:val="18"/>
                <w:szCs w:val="18"/>
                <w:lang w:val="en-US"/>
              </w:rPr>
              <w:t>PCR</w:t>
            </w:r>
          </w:p>
        </w:tc>
        <w:tc>
          <w:tcPr>
            <w:tcW w:w="715" w:type="dxa"/>
            <w:shd w:val="clear" w:color="auto" w:fill="auto"/>
            <w:vAlign w:val="center"/>
          </w:tcPr>
          <w:p w14:paraId="4D21C310"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ND</w:t>
            </w:r>
          </w:p>
        </w:tc>
        <w:tc>
          <w:tcPr>
            <w:tcW w:w="540" w:type="dxa"/>
            <w:shd w:val="clear" w:color="auto" w:fill="auto"/>
            <w:vAlign w:val="center"/>
          </w:tcPr>
          <w:p w14:paraId="23451707"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N</w:t>
            </w:r>
          </w:p>
        </w:tc>
        <w:tc>
          <w:tcPr>
            <w:tcW w:w="540" w:type="dxa"/>
            <w:shd w:val="clear" w:color="auto" w:fill="auto"/>
            <w:vAlign w:val="center"/>
          </w:tcPr>
          <w:p w14:paraId="2C9135B2"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N</w:t>
            </w:r>
          </w:p>
        </w:tc>
        <w:tc>
          <w:tcPr>
            <w:tcW w:w="455" w:type="dxa"/>
            <w:shd w:val="clear" w:color="auto" w:fill="auto"/>
            <w:vAlign w:val="center"/>
          </w:tcPr>
          <w:p w14:paraId="59C5B272"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Y</w:t>
            </w:r>
          </w:p>
        </w:tc>
        <w:tc>
          <w:tcPr>
            <w:tcW w:w="1170" w:type="dxa"/>
            <w:vAlign w:val="center"/>
          </w:tcPr>
          <w:p w14:paraId="105BB5E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lang w:val="en-US"/>
              </w:rPr>
              <w:t>2</w:t>
            </w:r>
          </w:p>
        </w:tc>
        <w:tc>
          <w:tcPr>
            <w:tcW w:w="2070" w:type="dxa"/>
            <w:shd w:val="clear" w:color="auto" w:fill="auto"/>
            <w:vAlign w:val="center"/>
          </w:tcPr>
          <w:p w14:paraId="295D32E2" w14:textId="77777777" w:rsidR="00C7266C" w:rsidRPr="00D403F5" w:rsidRDefault="00C7266C" w:rsidP="00D403F5">
            <w:pPr>
              <w:spacing w:after="0"/>
              <w:rPr>
                <w:rFonts w:ascii="Arial" w:hAnsi="Arial" w:cs="Arial"/>
                <w:sz w:val="18"/>
                <w:szCs w:val="18"/>
              </w:rPr>
            </w:pPr>
            <w:r w:rsidRPr="00D403F5">
              <w:rPr>
                <w:rFonts w:ascii="Arial" w:hAnsi="Arial" w:cs="Arial"/>
                <w:sz w:val="18"/>
                <w:szCs w:val="18"/>
              </w:rPr>
              <w:t xml:space="preserve">Lee </w:t>
            </w:r>
            <w:r w:rsidRPr="00D403F5">
              <w:rPr>
                <w:rFonts w:ascii="Arial" w:hAnsi="Arial" w:cs="Arial"/>
                <w:i/>
                <w:iCs/>
                <w:sz w:val="18"/>
                <w:szCs w:val="18"/>
              </w:rPr>
              <w:t>et al.,</w:t>
            </w:r>
            <w:r w:rsidRPr="00D403F5">
              <w:rPr>
                <w:rFonts w:ascii="Arial" w:hAnsi="Arial" w:cs="Arial"/>
                <w:sz w:val="18"/>
                <w:szCs w:val="18"/>
              </w:rPr>
              <w:t xml:space="preserve"> 2007</w:t>
            </w:r>
          </w:p>
        </w:tc>
      </w:tr>
      <w:tr w:rsidR="00C7266C" w:rsidRPr="00D403F5" w14:paraId="29263A08"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0024AF55"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 xml:space="preserve">Japanese fluvial sculpin </w:t>
            </w:r>
          </w:p>
        </w:tc>
        <w:tc>
          <w:tcPr>
            <w:tcW w:w="1705" w:type="dxa"/>
            <w:vAlign w:val="center"/>
          </w:tcPr>
          <w:p w14:paraId="1A66F2B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Cottus </w:t>
            </w:r>
          </w:p>
        </w:tc>
        <w:tc>
          <w:tcPr>
            <w:tcW w:w="1626" w:type="dxa"/>
            <w:vAlign w:val="center"/>
          </w:tcPr>
          <w:p w14:paraId="7A7A687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pollux </w:t>
            </w:r>
          </w:p>
        </w:tc>
        <w:tc>
          <w:tcPr>
            <w:tcW w:w="1080" w:type="dxa"/>
            <w:vAlign w:val="center"/>
          </w:tcPr>
          <w:p w14:paraId="450598F7"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IVb</w:t>
            </w:r>
          </w:p>
        </w:tc>
        <w:tc>
          <w:tcPr>
            <w:tcW w:w="1530" w:type="dxa"/>
            <w:shd w:val="clear" w:color="auto" w:fill="auto"/>
            <w:vAlign w:val="center"/>
          </w:tcPr>
          <w:p w14:paraId="02CA069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E</w:t>
            </w:r>
          </w:p>
        </w:tc>
        <w:tc>
          <w:tcPr>
            <w:tcW w:w="1620" w:type="dxa"/>
            <w:shd w:val="clear" w:color="auto" w:fill="auto"/>
            <w:vAlign w:val="center"/>
          </w:tcPr>
          <w:p w14:paraId="1B6B6D94"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RT-PCR and cell culture</w:t>
            </w:r>
          </w:p>
        </w:tc>
        <w:tc>
          <w:tcPr>
            <w:tcW w:w="715" w:type="dxa"/>
            <w:shd w:val="clear" w:color="auto" w:fill="auto"/>
            <w:vAlign w:val="center"/>
          </w:tcPr>
          <w:p w14:paraId="03578C6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0B125E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707DF6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4411DC5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7C3DD2D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6ACF2E0B"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Ito &amp; Olesen, 2013</w:t>
            </w:r>
          </w:p>
        </w:tc>
      </w:tr>
      <w:tr w:rsidR="00C7266C" w:rsidRPr="00D403F5" w14:paraId="2D51B635"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3A8D1D3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 xml:space="preserve">Japanese rice fish </w:t>
            </w:r>
          </w:p>
        </w:tc>
        <w:tc>
          <w:tcPr>
            <w:tcW w:w="1705" w:type="dxa"/>
            <w:vAlign w:val="center"/>
          </w:tcPr>
          <w:p w14:paraId="52A7D9A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Oryzias</w:t>
            </w:r>
          </w:p>
        </w:tc>
        <w:tc>
          <w:tcPr>
            <w:tcW w:w="1626" w:type="dxa"/>
            <w:vAlign w:val="center"/>
          </w:tcPr>
          <w:p w14:paraId="0C556E0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 latipes</w:t>
            </w:r>
          </w:p>
        </w:tc>
        <w:tc>
          <w:tcPr>
            <w:tcW w:w="1080" w:type="dxa"/>
            <w:vAlign w:val="center"/>
          </w:tcPr>
          <w:p w14:paraId="446AC946"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IVb</w:t>
            </w:r>
          </w:p>
        </w:tc>
        <w:tc>
          <w:tcPr>
            <w:tcW w:w="1530" w:type="dxa"/>
            <w:shd w:val="clear" w:color="auto" w:fill="auto"/>
            <w:vAlign w:val="center"/>
          </w:tcPr>
          <w:p w14:paraId="4FB86E4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E</w:t>
            </w:r>
          </w:p>
        </w:tc>
        <w:tc>
          <w:tcPr>
            <w:tcW w:w="1620" w:type="dxa"/>
            <w:shd w:val="clear" w:color="auto" w:fill="auto"/>
            <w:vAlign w:val="center"/>
          </w:tcPr>
          <w:p w14:paraId="716A75B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RT-PCR and cell culture</w:t>
            </w:r>
          </w:p>
        </w:tc>
        <w:tc>
          <w:tcPr>
            <w:tcW w:w="715" w:type="dxa"/>
            <w:shd w:val="clear" w:color="auto" w:fill="auto"/>
            <w:vAlign w:val="center"/>
          </w:tcPr>
          <w:p w14:paraId="1C3235D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4D4721B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CE42E7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18D7305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1265904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5D5BFEF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Ito &amp; Olesen, 2013</w:t>
            </w:r>
          </w:p>
        </w:tc>
      </w:tr>
      <w:tr w:rsidR="00C7266C" w:rsidRPr="00D403F5" w14:paraId="77741537"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tcPr>
          <w:p w14:paraId="32C7CC9F" w14:textId="77777777" w:rsidR="00C7266C" w:rsidRPr="00D403F5" w:rsidRDefault="00C7266C" w:rsidP="00D403F5">
            <w:pPr>
              <w:spacing w:after="0"/>
              <w:rPr>
                <w:rFonts w:ascii="Arial" w:hAnsi="Arial" w:cs="Arial"/>
                <w:sz w:val="18"/>
                <w:szCs w:val="18"/>
                <w:lang w:val="en-US"/>
              </w:rPr>
            </w:pPr>
            <w:bookmarkStart w:id="108" w:name="_Hlk20721561"/>
            <w:r w:rsidRPr="00D403F5">
              <w:rPr>
                <w:rFonts w:ascii="Arial" w:hAnsi="Arial" w:cs="Arial"/>
                <w:sz w:val="18"/>
                <w:szCs w:val="18"/>
              </w:rPr>
              <w:t>Largehead hairtail</w:t>
            </w:r>
          </w:p>
        </w:tc>
        <w:tc>
          <w:tcPr>
            <w:tcW w:w="1705" w:type="dxa"/>
            <w:vAlign w:val="center"/>
          </w:tcPr>
          <w:p w14:paraId="3601C08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Trichiurus </w:t>
            </w:r>
          </w:p>
        </w:tc>
        <w:tc>
          <w:tcPr>
            <w:tcW w:w="1626" w:type="dxa"/>
            <w:vAlign w:val="center"/>
          </w:tcPr>
          <w:p w14:paraId="7C441A4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lepturus</w:t>
            </w:r>
          </w:p>
        </w:tc>
        <w:tc>
          <w:tcPr>
            <w:tcW w:w="1080" w:type="dxa"/>
            <w:vAlign w:val="center"/>
          </w:tcPr>
          <w:p w14:paraId="5BB07C0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IVa</w:t>
            </w:r>
          </w:p>
        </w:tc>
        <w:tc>
          <w:tcPr>
            <w:tcW w:w="1530" w:type="dxa"/>
            <w:shd w:val="clear" w:color="auto" w:fill="auto"/>
          </w:tcPr>
          <w:p w14:paraId="1C92931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tcPr>
          <w:p w14:paraId="3E210FC7"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lang w:val="en-US"/>
              </w:rPr>
              <w:t>PCR</w:t>
            </w:r>
          </w:p>
        </w:tc>
        <w:tc>
          <w:tcPr>
            <w:tcW w:w="715" w:type="dxa"/>
            <w:shd w:val="clear" w:color="auto" w:fill="auto"/>
            <w:vAlign w:val="center"/>
          </w:tcPr>
          <w:p w14:paraId="156710E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2E00059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51E3815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1FE5E0B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tcPr>
          <w:p w14:paraId="50EB8F5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tcPr>
          <w:p w14:paraId="77E71741"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r w:rsidR="00C7266C" w:rsidRPr="00D403F5" w14:paraId="54DA2DD7"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tcPr>
          <w:p w14:paraId="3B5EE1E1"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Lesser Argentine</w:t>
            </w:r>
          </w:p>
        </w:tc>
        <w:tc>
          <w:tcPr>
            <w:tcW w:w="1705" w:type="dxa"/>
            <w:vAlign w:val="center"/>
          </w:tcPr>
          <w:p w14:paraId="420C5B2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Argentina </w:t>
            </w:r>
          </w:p>
        </w:tc>
        <w:tc>
          <w:tcPr>
            <w:tcW w:w="1626" w:type="dxa"/>
            <w:vAlign w:val="center"/>
          </w:tcPr>
          <w:p w14:paraId="6F123FB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sphyraena</w:t>
            </w:r>
          </w:p>
        </w:tc>
        <w:tc>
          <w:tcPr>
            <w:tcW w:w="1080" w:type="dxa"/>
            <w:vAlign w:val="center"/>
          </w:tcPr>
          <w:p w14:paraId="2A2300B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Ib</w:t>
            </w:r>
          </w:p>
        </w:tc>
        <w:tc>
          <w:tcPr>
            <w:tcW w:w="1530" w:type="dxa"/>
            <w:shd w:val="clear" w:color="auto" w:fill="auto"/>
          </w:tcPr>
          <w:p w14:paraId="1BDF06A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tcPr>
          <w:p w14:paraId="560E376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 and PCR</w:t>
            </w:r>
          </w:p>
        </w:tc>
        <w:tc>
          <w:tcPr>
            <w:tcW w:w="715" w:type="dxa"/>
            <w:shd w:val="clear" w:color="auto" w:fill="auto"/>
            <w:vAlign w:val="center"/>
          </w:tcPr>
          <w:p w14:paraId="7A6FB63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2AAD5ED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581C9DF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5CE6207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tcPr>
          <w:p w14:paraId="037782F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tcPr>
          <w:p w14:paraId="1AE8177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Mortensen </w:t>
            </w:r>
            <w:r w:rsidRPr="00D403F5">
              <w:rPr>
                <w:rFonts w:ascii="Arial" w:hAnsi="Arial" w:cs="Arial"/>
                <w:i/>
                <w:iCs/>
                <w:color w:val="000000"/>
                <w:sz w:val="18"/>
                <w:szCs w:val="18"/>
                <w:lang w:val="nb-NO"/>
              </w:rPr>
              <w:t>et al</w:t>
            </w:r>
            <w:r w:rsidRPr="00D403F5">
              <w:rPr>
                <w:rFonts w:ascii="Arial" w:hAnsi="Arial" w:cs="Arial"/>
                <w:color w:val="000000"/>
                <w:sz w:val="18"/>
                <w:szCs w:val="18"/>
              </w:rPr>
              <w:t>., 1999</w:t>
            </w:r>
          </w:p>
        </w:tc>
      </w:tr>
      <w:tr w:rsidR="00C7266C" w:rsidRPr="00D403F5" w14:paraId="29F5918F"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511D6E9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Marine medaka </w:t>
            </w:r>
          </w:p>
        </w:tc>
        <w:tc>
          <w:tcPr>
            <w:tcW w:w="1705" w:type="dxa"/>
            <w:vAlign w:val="center"/>
          </w:tcPr>
          <w:p w14:paraId="7129713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Oryzias </w:t>
            </w:r>
          </w:p>
        </w:tc>
        <w:tc>
          <w:tcPr>
            <w:tcW w:w="1626" w:type="dxa"/>
            <w:vAlign w:val="center"/>
          </w:tcPr>
          <w:p w14:paraId="5DEA738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dancena </w:t>
            </w:r>
          </w:p>
        </w:tc>
        <w:tc>
          <w:tcPr>
            <w:tcW w:w="1080" w:type="dxa"/>
            <w:vAlign w:val="center"/>
          </w:tcPr>
          <w:p w14:paraId="065EBC4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IVa</w:t>
            </w:r>
          </w:p>
        </w:tc>
        <w:tc>
          <w:tcPr>
            <w:tcW w:w="1530" w:type="dxa"/>
            <w:shd w:val="clear" w:color="auto" w:fill="auto"/>
            <w:vAlign w:val="center"/>
          </w:tcPr>
          <w:p w14:paraId="7B69355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E</w:t>
            </w:r>
          </w:p>
        </w:tc>
        <w:tc>
          <w:tcPr>
            <w:tcW w:w="1620" w:type="dxa"/>
            <w:shd w:val="clear" w:color="auto" w:fill="auto"/>
            <w:vAlign w:val="center"/>
          </w:tcPr>
          <w:p w14:paraId="0E307D76"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Ref. strain FYoesu05</w:t>
            </w:r>
          </w:p>
        </w:tc>
        <w:tc>
          <w:tcPr>
            <w:tcW w:w="715" w:type="dxa"/>
            <w:shd w:val="clear" w:color="auto" w:fill="auto"/>
            <w:vAlign w:val="center"/>
          </w:tcPr>
          <w:p w14:paraId="7549E18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540" w:type="dxa"/>
            <w:shd w:val="clear" w:color="auto" w:fill="auto"/>
            <w:vAlign w:val="center"/>
          </w:tcPr>
          <w:p w14:paraId="2E5D9A5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540" w:type="dxa"/>
            <w:shd w:val="clear" w:color="auto" w:fill="auto"/>
            <w:vAlign w:val="center"/>
          </w:tcPr>
          <w:p w14:paraId="57F79C9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 xml:space="preserve">Y </w:t>
            </w:r>
          </w:p>
        </w:tc>
        <w:tc>
          <w:tcPr>
            <w:tcW w:w="455" w:type="dxa"/>
            <w:shd w:val="clear" w:color="auto" w:fill="auto"/>
            <w:vAlign w:val="center"/>
          </w:tcPr>
          <w:p w14:paraId="513FB05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1170" w:type="dxa"/>
            <w:vAlign w:val="center"/>
          </w:tcPr>
          <w:p w14:paraId="135CBEC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680F31C7" w14:textId="77777777" w:rsidR="00C7266C" w:rsidRPr="00D403F5" w:rsidRDefault="00C7266C" w:rsidP="00D403F5">
            <w:pPr>
              <w:spacing w:after="0"/>
              <w:rPr>
                <w:rFonts w:ascii="Arial" w:hAnsi="Arial" w:cs="Arial"/>
                <w:color w:val="000000"/>
                <w:sz w:val="18"/>
                <w:szCs w:val="18"/>
                <w:lang w:val="nb-NO"/>
              </w:rPr>
            </w:pPr>
            <w:r w:rsidRPr="00D403F5">
              <w:rPr>
                <w:rFonts w:ascii="Arial" w:hAnsi="Arial" w:cs="Arial"/>
                <w:sz w:val="18"/>
                <w:szCs w:val="18"/>
                <w:lang w:val="nb-NO"/>
              </w:rPr>
              <w:t xml:space="preserve">Wi-Sik Kim </w:t>
            </w:r>
            <w:r w:rsidRPr="00D403F5">
              <w:rPr>
                <w:rFonts w:ascii="Arial" w:hAnsi="Arial" w:cs="Arial"/>
                <w:i/>
                <w:iCs/>
                <w:color w:val="000000"/>
                <w:sz w:val="18"/>
                <w:szCs w:val="18"/>
                <w:lang w:val="nb-NO"/>
              </w:rPr>
              <w:t>et al</w:t>
            </w:r>
            <w:r w:rsidRPr="00D403F5">
              <w:rPr>
                <w:rFonts w:ascii="Arial" w:hAnsi="Arial" w:cs="Arial"/>
                <w:color w:val="000000"/>
                <w:sz w:val="18"/>
                <w:szCs w:val="18"/>
                <w:lang w:val="nb-NO"/>
              </w:rPr>
              <w:t xml:space="preserve">., </w:t>
            </w:r>
            <w:r w:rsidRPr="00D403F5">
              <w:rPr>
                <w:rFonts w:ascii="Arial" w:hAnsi="Arial" w:cs="Arial"/>
                <w:sz w:val="18"/>
                <w:szCs w:val="18"/>
                <w:lang w:val="nb-NO"/>
              </w:rPr>
              <w:t>2013 (Marine medaka)</w:t>
            </w:r>
          </w:p>
        </w:tc>
      </w:tr>
      <w:tr w:rsidR="00C7266C" w:rsidRPr="00D403F5" w14:paraId="39CFAEFA"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4CDDF4D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North Pacific hake</w:t>
            </w:r>
          </w:p>
        </w:tc>
        <w:tc>
          <w:tcPr>
            <w:tcW w:w="1705" w:type="dxa"/>
            <w:vAlign w:val="center"/>
          </w:tcPr>
          <w:p w14:paraId="7A079AE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Merluccius </w:t>
            </w:r>
          </w:p>
        </w:tc>
        <w:tc>
          <w:tcPr>
            <w:tcW w:w="1626" w:type="dxa"/>
            <w:vAlign w:val="center"/>
          </w:tcPr>
          <w:p w14:paraId="10CF4B5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productus</w:t>
            </w:r>
          </w:p>
        </w:tc>
        <w:tc>
          <w:tcPr>
            <w:tcW w:w="1080" w:type="dxa"/>
            <w:vAlign w:val="center"/>
          </w:tcPr>
          <w:p w14:paraId="7B8B23B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IVa</w:t>
            </w:r>
          </w:p>
        </w:tc>
        <w:tc>
          <w:tcPr>
            <w:tcW w:w="1530" w:type="dxa"/>
            <w:shd w:val="clear" w:color="auto" w:fill="auto"/>
            <w:vAlign w:val="center"/>
          </w:tcPr>
          <w:p w14:paraId="23E744F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7A4E2EE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and neutralisation</w:t>
            </w:r>
          </w:p>
        </w:tc>
        <w:tc>
          <w:tcPr>
            <w:tcW w:w="715" w:type="dxa"/>
            <w:shd w:val="clear" w:color="auto" w:fill="auto"/>
            <w:vAlign w:val="center"/>
          </w:tcPr>
          <w:p w14:paraId="246AD02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30BF44E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4C30D4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39E097C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782BC8B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42BF23D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Meyers </w:t>
            </w:r>
            <w:r w:rsidRPr="00D403F5">
              <w:rPr>
                <w:rFonts w:ascii="Arial" w:hAnsi="Arial" w:cs="Arial"/>
                <w:i/>
                <w:iCs/>
                <w:color w:val="000000"/>
                <w:sz w:val="18"/>
                <w:szCs w:val="18"/>
                <w:lang w:val="nb-NO"/>
              </w:rPr>
              <w:t>et al</w:t>
            </w:r>
            <w:r w:rsidRPr="00D403F5">
              <w:rPr>
                <w:rFonts w:ascii="Arial" w:hAnsi="Arial" w:cs="Arial"/>
                <w:color w:val="000000"/>
                <w:sz w:val="18"/>
                <w:szCs w:val="18"/>
              </w:rPr>
              <w:t>., 1999</w:t>
            </w:r>
          </w:p>
        </w:tc>
      </w:tr>
      <w:tr w:rsidR="00C7266C" w:rsidRPr="00D403F5" w14:paraId="48C84DBC"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tcPr>
          <w:p w14:paraId="6F78708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Poor cod </w:t>
            </w:r>
          </w:p>
        </w:tc>
        <w:tc>
          <w:tcPr>
            <w:tcW w:w="1705" w:type="dxa"/>
            <w:vAlign w:val="center"/>
          </w:tcPr>
          <w:p w14:paraId="7A82D93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Trisopterus </w:t>
            </w:r>
          </w:p>
        </w:tc>
        <w:tc>
          <w:tcPr>
            <w:tcW w:w="1626" w:type="dxa"/>
            <w:vAlign w:val="center"/>
          </w:tcPr>
          <w:p w14:paraId="08D406E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minutus</w:t>
            </w:r>
          </w:p>
        </w:tc>
        <w:tc>
          <w:tcPr>
            <w:tcW w:w="1080" w:type="dxa"/>
            <w:vAlign w:val="center"/>
          </w:tcPr>
          <w:p w14:paraId="4919590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III</w:t>
            </w:r>
          </w:p>
        </w:tc>
        <w:tc>
          <w:tcPr>
            <w:tcW w:w="1530" w:type="dxa"/>
            <w:shd w:val="clear" w:color="auto" w:fill="auto"/>
          </w:tcPr>
          <w:p w14:paraId="6C79599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tcPr>
          <w:p w14:paraId="066E5C29"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cell culture and ELISA</w:t>
            </w:r>
          </w:p>
        </w:tc>
        <w:tc>
          <w:tcPr>
            <w:tcW w:w="715" w:type="dxa"/>
            <w:shd w:val="clear" w:color="auto" w:fill="auto"/>
            <w:vAlign w:val="center"/>
          </w:tcPr>
          <w:p w14:paraId="52D238D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540" w:type="dxa"/>
            <w:shd w:val="clear" w:color="auto" w:fill="auto"/>
            <w:vAlign w:val="center"/>
          </w:tcPr>
          <w:p w14:paraId="65DB161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540" w:type="dxa"/>
            <w:shd w:val="clear" w:color="auto" w:fill="auto"/>
            <w:vAlign w:val="center"/>
          </w:tcPr>
          <w:p w14:paraId="20EBAB4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455" w:type="dxa"/>
            <w:shd w:val="clear" w:color="auto" w:fill="auto"/>
            <w:vAlign w:val="center"/>
          </w:tcPr>
          <w:p w14:paraId="0C178A3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Y</w:t>
            </w:r>
          </w:p>
        </w:tc>
        <w:tc>
          <w:tcPr>
            <w:tcW w:w="1170" w:type="dxa"/>
            <w:vAlign w:val="center"/>
          </w:tcPr>
          <w:p w14:paraId="7E1ECA6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tcPr>
          <w:p w14:paraId="7E48C55C"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King </w:t>
            </w:r>
            <w:r w:rsidRPr="00D403F5">
              <w:rPr>
                <w:rFonts w:ascii="Arial" w:hAnsi="Arial" w:cs="Arial"/>
                <w:i/>
                <w:iCs/>
                <w:sz w:val="18"/>
                <w:szCs w:val="18"/>
              </w:rPr>
              <w:t>et al.,</w:t>
            </w:r>
            <w:r w:rsidRPr="00D403F5">
              <w:rPr>
                <w:rFonts w:ascii="Arial" w:hAnsi="Arial" w:cs="Arial"/>
                <w:sz w:val="18"/>
                <w:szCs w:val="18"/>
              </w:rPr>
              <w:t xml:space="preserve"> 2001a</w:t>
            </w:r>
          </w:p>
        </w:tc>
      </w:tr>
      <w:tr w:rsidR="00C7266C" w:rsidRPr="00D403F5" w14:paraId="3FA4F33E"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475B141E"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Rainbow trout X arctic charr hybrids</w:t>
            </w:r>
          </w:p>
        </w:tc>
        <w:tc>
          <w:tcPr>
            <w:tcW w:w="1705" w:type="dxa"/>
            <w:vAlign w:val="center"/>
          </w:tcPr>
          <w:p w14:paraId="0C1F8F2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Oncorhynchus X Salvelinus </w:t>
            </w:r>
          </w:p>
        </w:tc>
        <w:tc>
          <w:tcPr>
            <w:tcW w:w="1626" w:type="dxa"/>
            <w:vAlign w:val="center"/>
          </w:tcPr>
          <w:p w14:paraId="31C487B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 xml:space="preserve">mykiss X alpinus </w:t>
            </w:r>
          </w:p>
        </w:tc>
        <w:tc>
          <w:tcPr>
            <w:tcW w:w="1080" w:type="dxa"/>
            <w:vAlign w:val="center"/>
          </w:tcPr>
          <w:p w14:paraId="5B98480F"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Ia</w:t>
            </w:r>
          </w:p>
        </w:tc>
        <w:tc>
          <w:tcPr>
            <w:tcW w:w="1530" w:type="dxa"/>
            <w:shd w:val="clear" w:color="auto" w:fill="auto"/>
            <w:vAlign w:val="center"/>
          </w:tcPr>
          <w:p w14:paraId="7C113E9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 xml:space="preserve">E </w:t>
            </w:r>
          </w:p>
        </w:tc>
        <w:tc>
          <w:tcPr>
            <w:tcW w:w="1620" w:type="dxa"/>
            <w:shd w:val="clear" w:color="auto" w:fill="auto"/>
            <w:vAlign w:val="center"/>
          </w:tcPr>
          <w:p w14:paraId="3C9B0A36"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Ref strains (07-71, 34-86, 23-75)</w:t>
            </w:r>
          </w:p>
        </w:tc>
        <w:tc>
          <w:tcPr>
            <w:tcW w:w="715" w:type="dxa"/>
            <w:shd w:val="clear" w:color="auto" w:fill="auto"/>
            <w:vAlign w:val="center"/>
          </w:tcPr>
          <w:p w14:paraId="22E38DE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540" w:type="dxa"/>
            <w:shd w:val="clear" w:color="auto" w:fill="auto"/>
            <w:vAlign w:val="center"/>
          </w:tcPr>
          <w:p w14:paraId="0EC80AC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2B5118D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 xml:space="preserve">Y </w:t>
            </w:r>
          </w:p>
        </w:tc>
        <w:tc>
          <w:tcPr>
            <w:tcW w:w="455" w:type="dxa"/>
            <w:shd w:val="clear" w:color="auto" w:fill="auto"/>
            <w:vAlign w:val="center"/>
          </w:tcPr>
          <w:p w14:paraId="613255E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631582E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4B4C0D3E"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Dorson </w:t>
            </w:r>
            <w:r w:rsidRPr="00D403F5">
              <w:rPr>
                <w:rFonts w:ascii="Arial" w:hAnsi="Arial" w:cs="Arial"/>
                <w:i/>
                <w:iCs/>
                <w:color w:val="000000"/>
                <w:sz w:val="18"/>
                <w:szCs w:val="18"/>
                <w:lang w:val="nb-NO"/>
              </w:rPr>
              <w:t>et al</w:t>
            </w:r>
            <w:r w:rsidRPr="00D403F5">
              <w:rPr>
                <w:rFonts w:ascii="Arial" w:hAnsi="Arial" w:cs="Arial"/>
                <w:color w:val="000000"/>
                <w:sz w:val="18"/>
                <w:szCs w:val="18"/>
              </w:rPr>
              <w:t>., 1991</w:t>
            </w:r>
          </w:p>
        </w:tc>
      </w:tr>
      <w:bookmarkEnd w:id="108"/>
      <w:tr w:rsidR="00C7266C" w:rsidRPr="00D403F5" w14:paraId="67D5ED98"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tcPr>
          <w:p w14:paraId="361464B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Rainbow trout X lake trout hybrids</w:t>
            </w:r>
          </w:p>
        </w:tc>
        <w:tc>
          <w:tcPr>
            <w:tcW w:w="1705" w:type="dxa"/>
            <w:vAlign w:val="center"/>
          </w:tcPr>
          <w:p w14:paraId="4767CBF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Oncorhynchus X Salvelinus</w:t>
            </w:r>
            <w:r w:rsidRPr="00D403F5">
              <w:rPr>
                <w:rFonts w:ascii="Arial" w:hAnsi="Arial" w:cs="Arial"/>
                <w:i/>
                <w:iCs/>
                <w:sz w:val="18"/>
                <w:szCs w:val="18"/>
              </w:rPr>
              <w:tab/>
            </w:r>
          </w:p>
        </w:tc>
        <w:tc>
          <w:tcPr>
            <w:tcW w:w="1626" w:type="dxa"/>
            <w:vAlign w:val="center"/>
          </w:tcPr>
          <w:p w14:paraId="7408B19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mykiss X namaycush</w:t>
            </w:r>
          </w:p>
        </w:tc>
        <w:tc>
          <w:tcPr>
            <w:tcW w:w="1080" w:type="dxa"/>
            <w:vAlign w:val="center"/>
          </w:tcPr>
          <w:p w14:paraId="0C931A60"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Ia</w:t>
            </w:r>
          </w:p>
        </w:tc>
        <w:tc>
          <w:tcPr>
            <w:tcW w:w="1530" w:type="dxa"/>
            <w:shd w:val="clear" w:color="auto" w:fill="auto"/>
            <w:vAlign w:val="center"/>
          </w:tcPr>
          <w:p w14:paraId="026780D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 xml:space="preserve">E </w:t>
            </w:r>
          </w:p>
        </w:tc>
        <w:tc>
          <w:tcPr>
            <w:tcW w:w="1620" w:type="dxa"/>
            <w:shd w:val="clear" w:color="auto" w:fill="auto"/>
            <w:vAlign w:val="center"/>
          </w:tcPr>
          <w:p w14:paraId="57C7434C"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Ref strains (07-71, 34-86, 23-75)</w:t>
            </w:r>
          </w:p>
        </w:tc>
        <w:tc>
          <w:tcPr>
            <w:tcW w:w="715" w:type="dxa"/>
            <w:shd w:val="clear" w:color="auto" w:fill="auto"/>
            <w:vAlign w:val="center"/>
          </w:tcPr>
          <w:p w14:paraId="126DB07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ND</w:t>
            </w:r>
          </w:p>
        </w:tc>
        <w:tc>
          <w:tcPr>
            <w:tcW w:w="540" w:type="dxa"/>
            <w:shd w:val="clear" w:color="auto" w:fill="auto"/>
            <w:vAlign w:val="center"/>
          </w:tcPr>
          <w:p w14:paraId="1517F81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3952D9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Y</w:t>
            </w:r>
          </w:p>
        </w:tc>
        <w:tc>
          <w:tcPr>
            <w:tcW w:w="455" w:type="dxa"/>
            <w:shd w:val="clear" w:color="auto" w:fill="auto"/>
            <w:vAlign w:val="center"/>
          </w:tcPr>
          <w:p w14:paraId="1D02221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1170" w:type="dxa"/>
            <w:vAlign w:val="center"/>
          </w:tcPr>
          <w:p w14:paraId="75E397D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3744DCC3"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Dorson </w:t>
            </w:r>
            <w:r w:rsidRPr="00D403F5">
              <w:rPr>
                <w:rFonts w:ascii="Arial" w:hAnsi="Arial" w:cs="Arial"/>
                <w:i/>
                <w:iCs/>
                <w:color w:val="000000"/>
                <w:sz w:val="18"/>
                <w:szCs w:val="18"/>
                <w:lang w:val="nb-NO"/>
              </w:rPr>
              <w:t>et al</w:t>
            </w:r>
            <w:r w:rsidRPr="00D403F5">
              <w:rPr>
                <w:rFonts w:ascii="Arial" w:hAnsi="Arial" w:cs="Arial"/>
                <w:color w:val="000000"/>
                <w:sz w:val="18"/>
                <w:szCs w:val="18"/>
              </w:rPr>
              <w:t>., 1991</w:t>
            </w:r>
          </w:p>
        </w:tc>
      </w:tr>
      <w:tr w:rsidR="00C7266C" w:rsidRPr="00D403F5" w14:paraId="302B3E0B"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1508C85F" w14:textId="77777777" w:rsidR="00C7266C" w:rsidRPr="00D403F5" w:rsidRDefault="00C7266C" w:rsidP="00D403F5">
            <w:pPr>
              <w:spacing w:after="0"/>
              <w:rPr>
                <w:rFonts w:ascii="Arial" w:hAnsi="Arial" w:cs="Arial"/>
                <w:sz w:val="18"/>
                <w:szCs w:val="18"/>
              </w:rPr>
            </w:pPr>
            <w:r w:rsidRPr="00D403F5">
              <w:rPr>
                <w:rFonts w:ascii="Arial" w:hAnsi="Arial" w:cs="Arial"/>
                <w:sz w:val="18"/>
                <w:szCs w:val="18"/>
              </w:rPr>
              <w:t xml:space="preserve">Rainbow trout X brown trout hybrids </w:t>
            </w:r>
          </w:p>
        </w:tc>
        <w:tc>
          <w:tcPr>
            <w:tcW w:w="1705" w:type="dxa"/>
            <w:vAlign w:val="center"/>
          </w:tcPr>
          <w:p w14:paraId="0CFBAA6C"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Oncorhynchus X</w:t>
            </w:r>
          </w:p>
          <w:p w14:paraId="2DC5B6C5"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 xml:space="preserve">Salmo </w:t>
            </w:r>
          </w:p>
        </w:tc>
        <w:tc>
          <w:tcPr>
            <w:tcW w:w="1626" w:type="dxa"/>
            <w:vAlign w:val="center"/>
          </w:tcPr>
          <w:p w14:paraId="15016CA0"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mykiss X trutta</w:t>
            </w:r>
          </w:p>
        </w:tc>
        <w:tc>
          <w:tcPr>
            <w:tcW w:w="1080" w:type="dxa"/>
            <w:vAlign w:val="center"/>
          </w:tcPr>
          <w:p w14:paraId="72B0ED6B"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Ia</w:t>
            </w:r>
          </w:p>
        </w:tc>
        <w:tc>
          <w:tcPr>
            <w:tcW w:w="1530" w:type="dxa"/>
            <w:shd w:val="clear" w:color="auto" w:fill="auto"/>
            <w:vAlign w:val="center"/>
          </w:tcPr>
          <w:p w14:paraId="08912406"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 xml:space="preserve">E </w:t>
            </w:r>
          </w:p>
        </w:tc>
        <w:tc>
          <w:tcPr>
            <w:tcW w:w="1620" w:type="dxa"/>
            <w:shd w:val="clear" w:color="auto" w:fill="auto"/>
            <w:vAlign w:val="center"/>
          </w:tcPr>
          <w:p w14:paraId="431FC149" w14:textId="77777777" w:rsidR="00C7266C" w:rsidRPr="00D403F5" w:rsidRDefault="00C7266C" w:rsidP="00D403F5">
            <w:pPr>
              <w:spacing w:after="0"/>
              <w:rPr>
                <w:rFonts w:ascii="Arial" w:hAnsi="Arial" w:cs="Arial"/>
                <w:color w:val="000000"/>
                <w:sz w:val="18"/>
                <w:szCs w:val="18"/>
              </w:rPr>
            </w:pPr>
            <w:r w:rsidRPr="00D403F5">
              <w:rPr>
                <w:rFonts w:ascii="Arial" w:hAnsi="Arial" w:cs="Arial"/>
                <w:color w:val="000000"/>
                <w:sz w:val="18"/>
                <w:szCs w:val="18"/>
              </w:rPr>
              <w:t>Ref strains (07-71, 34-86, 23-75)</w:t>
            </w:r>
          </w:p>
        </w:tc>
        <w:tc>
          <w:tcPr>
            <w:tcW w:w="715" w:type="dxa"/>
            <w:shd w:val="clear" w:color="auto" w:fill="auto"/>
            <w:vAlign w:val="center"/>
          </w:tcPr>
          <w:p w14:paraId="3446F5D2"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ND</w:t>
            </w:r>
          </w:p>
        </w:tc>
        <w:tc>
          <w:tcPr>
            <w:tcW w:w="540" w:type="dxa"/>
            <w:shd w:val="clear" w:color="auto" w:fill="auto"/>
            <w:vAlign w:val="center"/>
          </w:tcPr>
          <w:p w14:paraId="21514D23"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N</w:t>
            </w:r>
          </w:p>
        </w:tc>
        <w:tc>
          <w:tcPr>
            <w:tcW w:w="540" w:type="dxa"/>
            <w:shd w:val="clear" w:color="auto" w:fill="auto"/>
            <w:vAlign w:val="center"/>
          </w:tcPr>
          <w:p w14:paraId="4708F50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sz w:val="18"/>
                <w:szCs w:val="18"/>
              </w:rPr>
              <w:t xml:space="preserve">Y </w:t>
            </w:r>
          </w:p>
        </w:tc>
        <w:tc>
          <w:tcPr>
            <w:tcW w:w="455" w:type="dxa"/>
            <w:shd w:val="clear" w:color="auto" w:fill="auto"/>
            <w:vAlign w:val="center"/>
          </w:tcPr>
          <w:p w14:paraId="3DAC1788"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N</w:t>
            </w:r>
          </w:p>
        </w:tc>
        <w:tc>
          <w:tcPr>
            <w:tcW w:w="1170" w:type="dxa"/>
            <w:vAlign w:val="center"/>
          </w:tcPr>
          <w:p w14:paraId="0E0F930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06882620" w14:textId="77777777" w:rsidR="00C7266C" w:rsidRPr="00D403F5" w:rsidRDefault="00C7266C" w:rsidP="00D403F5">
            <w:pPr>
              <w:spacing w:after="0"/>
              <w:rPr>
                <w:rFonts w:ascii="Arial" w:hAnsi="Arial" w:cs="Arial"/>
                <w:color w:val="000000"/>
                <w:sz w:val="18"/>
                <w:szCs w:val="18"/>
              </w:rPr>
            </w:pPr>
            <w:r w:rsidRPr="00D403F5">
              <w:rPr>
                <w:rFonts w:ascii="Arial" w:hAnsi="Arial" w:cs="Arial"/>
                <w:color w:val="000000"/>
                <w:sz w:val="18"/>
                <w:szCs w:val="18"/>
              </w:rPr>
              <w:t xml:space="preserve">Dorson </w:t>
            </w:r>
            <w:r w:rsidRPr="00D403F5">
              <w:rPr>
                <w:rFonts w:ascii="Arial" w:hAnsi="Arial" w:cs="Arial"/>
                <w:i/>
                <w:iCs/>
                <w:color w:val="000000"/>
                <w:sz w:val="18"/>
                <w:szCs w:val="18"/>
                <w:lang w:val="nb-NO"/>
              </w:rPr>
              <w:t>et al</w:t>
            </w:r>
            <w:r w:rsidRPr="00D403F5">
              <w:rPr>
                <w:rFonts w:ascii="Arial" w:hAnsi="Arial" w:cs="Arial"/>
                <w:color w:val="000000"/>
                <w:sz w:val="18"/>
                <w:szCs w:val="18"/>
              </w:rPr>
              <w:t>., 1991</w:t>
            </w:r>
          </w:p>
        </w:tc>
      </w:tr>
    </w:tbl>
    <w:p w14:paraId="05F7EA1E" w14:textId="77777777" w:rsidR="00C7266C" w:rsidRPr="00D403F5" w:rsidRDefault="00C7266C" w:rsidP="00D403F5">
      <w:pPr>
        <w:spacing w:after="240"/>
        <w:jc w:val="right"/>
        <w:rPr>
          <w:rFonts w:ascii="Times New Roman" w:eastAsia="Calibri" w:hAnsi="Times New Roman" w:cs="Times New Roman"/>
          <w:sz w:val="18"/>
          <w:szCs w:val="18"/>
          <w:u w:val="single"/>
          <w:lang w:val="en-US"/>
        </w:rPr>
      </w:pPr>
      <w:r w:rsidRPr="00D403F5">
        <w:rPr>
          <w:sz w:val="18"/>
          <w:szCs w:val="18"/>
        </w:rPr>
        <w:br w:type="page"/>
      </w: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12DD2445" w14:textId="77777777" w:rsidR="00C7266C" w:rsidRPr="00D403F5" w:rsidRDefault="00C7266C" w:rsidP="00D403F5">
      <w:pPr>
        <w:spacing w:after="240"/>
        <w:jc w:val="right"/>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5EF525E4"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tcPr>
          <w:p w14:paraId="48C5145A"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Common name</w:t>
            </w:r>
          </w:p>
        </w:tc>
        <w:tc>
          <w:tcPr>
            <w:tcW w:w="1705" w:type="dxa"/>
          </w:tcPr>
          <w:p w14:paraId="4BAA9DC2"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Genus</w:t>
            </w:r>
          </w:p>
        </w:tc>
        <w:tc>
          <w:tcPr>
            <w:tcW w:w="1626" w:type="dxa"/>
          </w:tcPr>
          <w:p w14:paraId="6B72E5E1" w14:textId="77777777" w:rsidR="00C7266C" w:rsidRPr="00D403F5" w:rsidRDefault="00C7266C" w:rsidP="00D403F5">
            <w:pPr>
              <w:spacing w:after="0"/>
              <w:jc w:val="center"/>
              <w:rPr>
                <w:rFonts w:ascii="Arial" w:hAnsi="Arial" w:cs="Arial"/>
                <w:i/>
                <w:iCs/>
                <w:color w:val="000000"/>
                <w:sz w:val="18"/>
                <w:szCs w:val="18"/>
              </w:rPr>
            </w:pPr>
            <w:r w:rsidRPr="00D403F5">
              <w:rPr>
                <w:rFonts w:ascii="Arial" w:hAnsi="Arial" w:cs="Arial"/>
                <w:b/>
                <w:sz w:val="18"/>
                <w:szCs w:val="18"/>
              </w:rPr>
              <w:t>Species</w:t>
            </w:r>
          </w:p>
        </w:tc>
        <w:tc>
          <w:tcPr>
            <w:tcW w:w="1080" w:type="dxa"/>
          </w:tcPr>
          <w:p w14:paraId="31E9D0B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b/>
                <w:sz w:val="18"/>
                <w:szCs w:val="18"/>
              </w:rPr>
              <w:t>Genotype</w:t>
            </w:r>
          </w:p>
        </w:tc>
        <w:tc>
          <w:tcPr>
            <w:tcW w:w="1530" w:type="dxa"/>
            <w:shd w:val="clear" w:color="auto" w:fill="auto"/>
          </w:tcPr>
          <w:p w14:paraId="71F9C0F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156DC46A"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2F14DED1"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4EB4B64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b/>
                <w:sz w:val="18"/>
                <w:szCs w:val="18"/>
              </w:rPr>
              <w:t>Outcome</w:t>
            </w:r>
          </w:p>
        </w:tc>
        <w:tc>
          <w:tcPr>
            <w:tcW w:w="2070" w:type="dxa"/>
            <w:shd w:val="clear" w:color="auto" w:fill="auto"/>
          </w:tcPr>
          <w:p w14:paraId="05C12D57" w14:textId="77777777" w:rsidR="00C7266C" w:rsidRPr="00D403F5" w:rsidRDefault="00C7266C" w:rsidP="00D403F5">
            <w:pPr>
              <w:spacing w:after="0"/>
              <w:rPr>
                <w:rFonts w:ascii="Arial" w:hAnsi="Arial" w:cs="Arial"/>
                <w:color w:val="000000"/>
                <w:sz w:val="18"/>
                <w:szCs w:val="18"/>
              </w:rPr>
            </w:pPr>
            <w:r w:rsidRPr="00D403F5">
              <w:rPr>
                <w:rFonts w:ascii="Arial" w:hAnsi="Arial" w:cs="Arial"/>
                <w:b/>
                <w:sz w:val="18"/>
                <w:szCs w:val="18"/>
              </w:rPr>
              <w:t>References</w:t>
            </w:r>
          </w:p>
        </w:tc>
      </w:tr>
      <w:tr w:rsidR="00C7266C" w:rsidRPr="00D403F5" w14:paraId="5E9CEC05"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14:paraId="7DBB7A02" w14:textId="77777777" w:rsidR="00C7266C" w:rsidRPr="00D403F5" w:rsidRDefault="00C7266C" w:rsidP="00D403F5">
            <w:pPr>
              <w:spacing w:after="0"/>
              <w:rPr>
                <w:rFonts w:ascii="Arial" w:hAnsi="Arial" w:cs="Arial"/>
                <w:color w:val="000000"/>
                <w:sz w:val="18"/>
                <w:szCs w:val="18"/>
              </w:rPr>
            </w:pPr>
          </w:p>
        </w:tc>
        <w:tc>
          <w:tcPr>
            <w:tcW w:w="1705" w:type="dxa"/>
            <w:vAlign w:val="center"/>
          </w:tcPr>
          <w:p w14:paraId="1C44AB4B" w14:textId="77777777" w:rsidR="00C7266C" w:rsidRPr="00D403F5" w:rsidRDefault="00C7266C" w:rsidP="00D403F5">
            <w:pPr>
              <w:spacing w:after="0"/>
              <w:jc w:val="center"/>
              <w:rPr>
                <w:rFonts w:ascii="Arial" w:hAnsi="Arial" w:cs="Arial"/>
                <w:i/>
                <w:iCs/>
                <w:color w:val="000000"/>
                <w:sz w:val="18"/>
                <w:szCs w:val="18"/>
              </w:rPr>
            </w:pPr>
          </w:p>
        </w:tc>
        <w:tc>
          <w:tcPr>
            <w:tcW w:w="1626" w:type="dxa"/>
            <w:vAlign w:val="center"/>
          </w:tcPr>
          <w:p w14:paraId="116C2CCC" w14:textId="77777777" w:rsidR="00C7266C" w:rsidRPr="00D403F5" w:rsidRDefault="00C7266C" w:rsidP="00D403F5">
            <w:pPr>
              <w:spacing w:after="0"/>
              <w:jc w:val="center"/>
              <w:rPr>
                <w:rFonts w:ascii="Arial" w:hAnsi="Arial" w:cs="Arial"/>
                <w:i/>
                <w:iCs/>
                <w:color w:val="000000"/>
                <w:sz w:val="18"/>
                <w:szCs w:val="18"/>
              </w:rPr>
            </w:pPr>
          </w:p>
        </w:tc>
        <w:tc>
          <w:tcPr>
            <w:tcW w:w="1080" w:type="dxa"/>
            <w:vAlign w:val="center"/>
          </w:tcPr>
          <w:p w14:paraId="7DFF4BB2" w14:textId="77777777" w:rsidR="00C7266C" w:rsidRPr="00D403F5" w:rsidRDefault="00C7266C" w:rsidP="00D403F5">
            <w:pPr>
              <w:spacing w:after="0"/>
              <w:jc w:val="center"/>
              <w:rPr>
                <w:rFonts w:ascii="Arial" w:hAnsi="Arial" w:cs="Arial"/>
                <w:color w:val="000000"/>
                <w:sz w:val="18"/>
                <w:szCs w:val="18"/>
                <w:lang w:val="en-US"/>
              </w:rPr>
            </w:pPr>
          </w:p>
        </w:tc>
        <w:tc>
          <w:tcPr>
            <w:tcW w:w="1530" w:type="dxa"/>
            <w:shd w:val="clear" w:color="auto" w:fill="auto"/>
            <w:vAlign w:val="center"/>
          </w:tcPr>
          <w:p w14:paraId="4607F7B4" w14:textId="77777777" w:rsidR="00C7266C" w:rsidRPr="00D403F5" w:rsidRDefault="00C7266C" w:rsidP="00D403F5">
            <w:pPr>
              <w:spacing w:after="0"/>
              <w:jc w:val="center"/>
              <w:rPr>
                <w:rFonts w:ascii="Arial" w:hAnsi="Arial" w:cs="Arial"/>
                <w:color w:val="000000"/>
                <w:sz w:val="18"/>
                <w:szCs w:val="18"/>
                <w:lang w:val="en-US"/>
              </w:rPr>
            </w:pPr>
          </w:p>
        </w:tc>
        <w:tc>
          <w:tcPr>
            <w:tcW w:w="1620" w:type="dxa"/>
            <w:shd w:val="clear" w:color="auto" w:fill="auto"/>
            <w:vAlign w:val="center"/>
          </w:tcPr>
          <w:p w14:paraId="3AB6A0F6" w14:textId="77777777" w:rsidR="00C7266C" w:rsidRPr="00D403F5" w:rsidRDefault="00C7266C" w:rsidP="00D403F5">
            <w:pPr>
              <w:spacing w:after="0"/>
              <w:rPr>
                <w:rFonts w:ascii="Arial" w:hAnsi="Arial" w:cs="Arial"/>
                <w:color w:val="000000"/>
                <w:sz w:val="18"/>
                <w:szCs w:val="18"/>
              </w:rPr>
            </w:pPr>
          </w:p>
        </w:tc>
        <w:tc>
          <w:tcPr>
            <w:tcW w:w="715" w:type="dxa"/>
            <w:shd w:val="clear" w:color="auto" w:fill="auto"/>
            <w:vAlign w:val="center"/>
          </w:tcPr>
          <w:p w14:paraId="0B49DEC7"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A</w:t>
            </w:r>
          </w:p>
        </w:tc>
        <w:tc>
          <w:tcPr>
            <w:tcW w:w="540" w:type="dxa"/>
            <w:shd w:val="clear" w:color="auto" w:fill="auto"/>
            <w:vAlign w:val="center"/>
          </w:tcPr>
          <w:p w14:paraId="2BF430DE"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B</w:t>
            </w:r>
          </w:p>
        </w:tc>
        <w:tc>
          <w:tcPr>
            <w:tcW w:w="540" w:type="dxa"/>
            <w:shd w:val="clear" w:color="auto" w:fill="auto"/>
            <w:vAlign w:val="center"/>
          </w:tcPr>
          <w:p w14:paraId="52036D71"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sz w:val="18"/>
                <w:szCs w:val="18"/>
              </w:rPr>
              <w:t>C</w:t>
            </w:r>
          </w:p>
        </w:tc>
        <w:tc>
          <w:tcPr>
            <w:tcW w:w="455" w:type="dxa"/>
            <w:shd w:val="clear" w:color="auto" w:fill="auto"/>
            <w:vAlign w:val="center"/>
          </w:tcPr>
          <w:p w14:paraId="688A7C1D" w14:textId="77777777" w:rsidR="00C7266C" w:rsidRPr="00D403F5" w:rsidRDefault="00C7266C" w:rsidP="00D403F5">
            <w:pPr>
              <w:spacing w:after="0"/>
              <w:jc w:val="center"/>
              <w:rPr>
                <w:rFonts w:ascii="Arial" w:hAnsi="Arial" w:cs="Arial"/>
                <w:color w:val="000000"/>
                <w:sz w:val="18"/>
                <w:szCs w:val="18"/>
              </w:rPr>
            </w:pPr>
          </w:p>
        </w:tc>
        <w:tc>
          <w:tcPr>
            <w:tcW w:w="1170" w:type="dxa"/>
            <w:vAlign w:val="center"/>
          </w:tcPr>
          <w:p w14:paraId="23C84C3D" w14:textId="77777777" w:rsidR="00C7266C" w:rsidRPr="00D403F5" w:rsidRDefault="00C7266C" w:rsidP="00D403F5">
            <w:pPr>
              <w:spacing w:after="0"/>
              <w:jc w:val="center"/>
              <w:rPr>
                <w:rFonts w:ascii="Arial" w:hAnsi="Arial" w:cs="Arial"/>
                <w:color w:val="000000"/>
                <w:sz w:val="18"/>
                <w:szCs w:val="18"/>
                <w:lang w:val="en-US"/>
              </w:rPr>
            </w:pPr>
          </w:p>
        </w:tc>
        <w:tc>
          <w:tcPr>
            <w:tcW w:w="2070" w:type="dxa"/>
            <w:shd w:val="clear" w:color="auto" w:fill="auto"/>
            <w:vAlign w:val="center"/>
          </w:tcPr>
          <w:p w14:paraId="5621829F" w14:textId="77777777" w:rsidR="00C7266C" w:rsidRPr="00D403F5" w:rsidRDefault="00C7266C" w:rsidP="00D403F5">
            <w:pPr>
              <w:spacing w:after="0"/>
              <w:rPr>
                <w:rFonts w:ascii="Arial" w:hAnsi="Arial" w:cs="Arial"/>
                <w:color w:val="000000"/>
                <w:sz w:val="18"/>
                <w:szCs w:val="18"/>
              </w:rPr>
            </w:pPr>
          </w:p>
        </w:tc>
      </w:tr>
      <w:tr w:rsidR="00C7266C" w:rsidRPr="00D403F5" w14:paraId="51D4AA4F"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tcPr>
          <w:p w14:paraId="451768F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Sandeel</w:t>
            </w:r>
          </w:p>
        </w:tc>
        <w:tc>
          <w:tcPr>
            <w:tcW w:w="1705" w:type="dxa"/>
            <w:vAlign w:val="center"/>
          </w:tcPr>
          <w:p w14:paraId="2E237E5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Ammodytes</w:t>
            </w:r>
          </w:p>
        </w:tc>
        <w:tc>
          <w:tcPr>
            <w:tcW w:w="1626" w:type="dxa"/>
            <w:vAlign w:val="center"/>
          </w:tcPr>
          <w:p w14:paraId="22B28D9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personatus</w:t>
            </w:r>
          </w:p>
        </w:tc>
        <w:tc>
          <w:tcPr>
            <w:tcW w:w="1080" w:type="dxa"/>
            <w:vAlign w:val="center"/>
          </w:tcPr>
          <w:p w14:paraId="36EDFC3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Ib</w:t>
            </w:r>
          </w:p>
        </w:tc>
        <w:tc>
          <w:tcPr>
            <w:tcW w:w="1530" w:type="dxa"/>
            <w:shd w:val="clear" w:color="auto" w:fill="auto"/>
            <w:vAlign w:val="center"/>
          </w:tcPr>
          <w:p w14:paraId="62F0E20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4E1D0F66"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Cell culture ELISA</w:t>
            </w:r>
          </w:p>
        </w:tc>
        <w:tc>
          <w:tcPr>
            <w:tcW w:w="715" w:type="dxa"/>
            <w:shd w:val="clear" w:color="auto" w:fill="auto"/>
            <w:vAlign w:val="center"/>
          </w:tcPr>
          <w:p w14:paraId="4BE48D8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1A15525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3F04FAE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3D1AFA5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4F03985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57F7A07C"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Skall </w:t>
            </w:r>
            <w:r w:rsidRPr="00D403F5">
              <w:rPr>
                <w:rFonts w:ascii="Arial" w:hAnsi="Arial" w:cs="Arial"/>
                <w:i/>
                <w:iCs/>
                <w:color w:val="000000"/>
                <w:sz w:val="18"/>
                <w:szCs w:val="18"/>
                <w:lang w:val="nb-NO"/>
              </w:rPr>
              <w:t>et al</w:t>
            </w:r>
            <w:r w:rsidRPr="00D403F5">
              <w:rPr>
                <w:rFonts w:ascii="Arial" w:hAnsi="Arial" w:cs="Arial"/>
                <w:color w:val="000000"/>
                <w:sz w:val="18"/>
                <w:szCs w:val="18"/>
              </w:rPr>
              <w:t>., 2005</w:t>
            </w:r>
          </w:p>
        </w:tc>
      </w:tr>
      <w:tr w:rsidR="00C7266C" w:rsidRPr="00D403F5" w14:paraId="1338ED31"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tcPr>
          <w:p w14:paraId="66967CCD"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Shorthead redhorse </w:t>
            </w:r>
          </w:p>
        </w:tc>
        <w:tc>
          <w:tcPr>
            <w:tcW w:w="1705" w:type="dxa"/>
            <w:vAlign w:val="center"/>
          </w:tcPr>
          <w:p w14:paraId="363EB817"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Moxostoma </w:t>
            </w:r>
          </w:p>
        </w:tc>
        <w:tc>
          <w:tcPr>
            <w:tcW w:w="1626" w:type="dxa"/>
            <w:vAlign w:val="center"/>
          </w:tcPr>
          <w:p w14:paraId="1F29084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macrolepidotum</w:t>
            </w:r>
          </w:p>
        </w:tc>
        <w:tc>
          <w:tcPr>
            <w:tcW w:w="1080" w:type="dxa"/>
            <w:vAlign w:val="center"/>
          </w:tcPr>
          <w:p w14:paraId="042E341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IVb</w:t>
            </w:r>
          </w:p>
        </w:tc>
        <w:tc>
          <w:tcPr>
            <w:tcW w:w="1530" w:type="dxa"/>
            <w:shd w:val="clear" w:color="auto" w:fill="auto"/>
            <w:vAlign w:val="center"/>
          </w:tcPr>
          <w:p w14:paraId="7B9098E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E</w:t>
            </w:r>
          </w:p>
        </w:tc>
        <w:tc>
          <w:tcPr>
            <w:tcW w:w="1620" w:type="dxa"/>
            <w:shd w:val="clear" w:color="auto" w:fill="auto"/>
            <w:vAlign w:val="center"/>
          </w:tcPr>
          <w:p w14:paraId="754724F1"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RT-PCR, sequencing</w:t>
            </w:r>
          </w:p>
        </w:tc>
        <w:tc>
          <w:tcPr>
            <w:tcW w:w="715" w:type="dxa"/>
            <w:shd w:val="clear" w:color="auto" w:fill="auto"/>
            <w:vAlign w:val="center"/>
          </w:tcPr>
          <w:p w14:paraId="45612CF5"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3C06932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6347814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4937594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6B690CD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381EDE0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Bowser, 2009</w:t>
            </w:r>
          </w:p>
        </w:tc>
      </w:tr>
      <w:tr w:rsidR="00C7266C" w:rsidRPr="00D403F5" w14:paraId="1D396389"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09F03630"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Silver pomfret</w:t>
            </w:r>
          </w:p>
        </w:tc>
        <w:tc>
          <w:tcPr>
            <w:tcW w:w="1705" w:type="dxa"/>
            <w:vAlign w:val="center"/>
          </w:tcPr>
          <w:p w14:paraId="5F5B8A8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Pampus </w:t>
            </w:r>
          </w:p>
        </w:tc>
        <w:tc>
          <w:tcPr>
            <w:tcW w:w="1626" w:type="dxa"/>
            <w:vAlign w:val="center"/>
          </w:tcPr>
          <w:p w14:paraId="55DF4F7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sz w:val="18"/>
                <w:szCs w:val="18"/>
              </w:rPr>
              <w:t>argenteus</w:t>
            </w:r>
          </w:p>
        </w:tc>
        <w:tc>
          <w:tcPr>
            <w:tcW w:w="1080" w:type="dxa"/>
            <w:vAlign w:val="center"/>
          </w:tcPr>
          <w:p w14:paraId="72F94972"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IV</w:t>
            </w:r>
          </w:p>
        </w:tc>
        <w:tc>
          <w:tcPr>
            <w:tcW w:w="1530" w:type="dxa"/>
            <w:shd w:val="clear" w:color="auto" w:fill="auto"/>
            <w:vAlign w:val="center"/>
          </w:tcPr>
          <w:p w14:paraId="60838ED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620" w:type="dxa"/>
            <w:shd w:val="clear" w:color="auto" w:fill="auto"/>
            <w:vAlign w:val="center"/>
          </w:tcPr>
          <w:p w14:paraId="320C2560"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PCR</w:t>
            </w:r>
          </w:p>
        </w:tc>
        <w:tc>
          <w:tcPr>
            <w:tcW w:w="715" w:type="dxa"/>
            <w:shd w:val="clear" w:color="auto" w:fill="auto"/>
            <w:vAlign w:val="center"/>
          </w:tcPr>
          <w:p w14:paraId="1702A81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5BF780D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411706C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2B6B18F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vAlign w:val="center"/>
          </w:tcPr>
          <w:p w14:paraId="46A9A96D"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75D59170"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2007</w:t>
            </w:r>
          </w:p>
        </w:tc>
      </w:tr>
      <w:tr w:rsidR="00C7266C" w:rsidRPr="00D403F5" w14:paraId="5140B2FB"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3DAC3D2F"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Silver redhorse </w:t>
            </w:r>
          </w:p>
        </w:tc>
        <w:tc>
          <w:tcPr>
            <w:tcW w:w="1705" w:type="dxa"/>
            <w:vAlign w:val="center"/>
          </w:tcPr>
          <w:p w14:paraId="13B419AE"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 xml:space="preserve">Moxostoma </w:t>
            </w:r>
          </w:p>
        </w:tc>
        <w:tc>
          <w:tcPr>
            <w:tcW w:w="1626" w:type="dxa"/>
            <w:vAlign w:val="center"/>
          </w:tcPr>
          <w:p w14:paraId="7F49E75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anisurum</w:t>
            </w:r>
          </w:p>
        </w:tc>
        <w:tc>
          <w:tcPr>
            <w:tcW w:w="1080" w:type="dxa"/>
            <w:vAlign w:val="center"/>
          </w:tcPr>
          <w:p w14:paraId="513E2C6F" w14:textId="77777777" w:rsidR="00C7266C" w:rsidRPr="00D403F5" w:rsidRDefault="00C7266C" w:rsidP="00D403F5">
            <w:pPr>
              <w:spacing w:after="0"/>
              <w:jc w:val="center"/>
              <w:rPr>
                <w:rFonts w:ascii="Arial" w:hAnsi="Arial" w:cs="Arial"/>
                <w:color w:val="000000"/>
                <w:sz w:val="18"/>
                <w:szCs w:val="18"/>
              </w:rPr>
            </w:pPr>
            <w:r w:rsidRPr="00D403F5">
              <w:rPr>
                <w:rFonts w:ascii="Arial" w:hAnsi="Arial" w:cs="Arial"/>
                <w:color w:val="000000"/>
                <w:sz w:val="18"/>
                <w:szCs w:val="18"/>
              </w:rPr>
              <w:t>IVb</w:t>
            </w:r>
          </w:p>
        </w:tc>
        <w:tc>
          <w:tcPr>
            <w:tcW w:w="1530" w:type="dxa"/>
            <w:shd w:val="clear" w:color="auto" w:fill="auto"/>
            <w:vAlign w:val="center"/>
          </w:tcPr>
          <w:p w14:paraId="593B8101"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 </w:t>
            </w:r>
          </w:p>
        </w:tc>
        <w:tc>
          <w:tcPr>
            <w:tcW w:w="1620" w:type="dxa"/>
            <w:shd w:val="clear" w:color="auto" w:fill="auto"/>
            <w:vAlign w:val="center"/>
          </w:tcPr>
          <w:p w14:paraId="5AD0E5AB"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Virus isolation, RT-PCR, sequencing</w:t>
            </w:r>
          </w:p>
        </w:tc>
        <w:tc>
          <w:tcPr>
            <w:tcW w:w="715" w:type="dxa"/>
            <w:shd w:val="clear" w:color="auto" w:fill="auto"/>
            <w:vAlign w:val="center"/>
          </w:tcPr>
          <w:p w14:paraId="1B07B6F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12025C5A"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540" w:type="dxa"/>
            <w:shd w:val="clear" w:color="auto" w:fill="auto"/>
            <w:vAlign w:val="center"/>
          </w:tcPr>
          <w:p w14:paraId="7F9D9486"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455" w:type="dxa"/>
            <w:shd w:val="clear" w:color="auto" w:fill="auto"/>
            <w:vAlign w:val="center"/>
          </w:tcPr>
          <w:p w14:paraId="5B57E2D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1170" w:type="dxa"/>
          </w:tcPr>
          <w:p w14:paraId="55A67692"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6E1FB3C6"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Faisal, 2012</w:t>
            </w:r>
          </w:p>
        </w:tc>
      </w:tr>
      <w:tr w:rsidR="00C7266C" w:rsidRPr="00D403F5" w14:paraId="12F90719"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3A1F315C"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Silvery pout </w:t>
            </w:r>
          </w:p>
        </w:tc>
        <w:tc>
          <w:tcPr>
            <w:tcW w:w="1705" w:type="dxa"/>
            <w:vAlign w:val="center"/>
          </w:tcPr>
          <w:p w14:paraId="59B558A8"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Gadiculus</w:t>
            </w:r>
          </w:p>
        </w:tc>
        <w:tc>
          <w:tcPr>
            <w:tcW w:w="1626" w:type="dxa"/>
            <w:vAlign w:val="center"/>
          </w:tcPr>
          <w:p w14:paraId="1D1714C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i/>
                <w:iCs/>
                <w:color w:val="000000"/>
                <w:sz w:val="18"/>
                <w:szCs w:val="18"/>
              </w:rPr>
              <w:t>argenteus</w:t>
            </w:r>
          </w:p>
        </w:tc>
        <w:tc>
          <w:tcPr>
            <w:tcW w:w="1080" w:type="dxa"/>
            <w:vAlign w:val="center"/>
          </w:tcPr>
          <w:p w14:paraId="1983DCEC"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Ib</w:t>
            </w:r>
          </w:p>
        </w:tc>
        <w:tc>
          <w:tcPr>
            <w:tcW w:w="1530" w:type="dxa"/>
            <w:shd w:val="clear" w:color="auto" w:fill="auto"/>
          </w:tcPr>
          <w:p w14:paraId="72BF1509"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N</w:t>
            </w:r>
          </w:p>
        </w:tc>
        <w:tc>
          <w:tcPr>
            <w:tcW w:w="1620" w:type="dxa"/>
            <w:shd w:val="clear" w:color="auto" w:fill="auto"/>
            <w:vAlign w:val="center"/>
          </w:tcPr>
          <w:p w14:paraId="2796E92A"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color w:val="000000"/>
                <w:sz w:val="18"/>
                <w:szCs w:val="18"/>
              </w:rPr>
              <w:t xml:space="preserve">RT-PCR, sequencing </w:t>
            </w:r>
          </w:p>
        </w:tc>
        <w:tc>
          <w:tcPr>
            <w:tcW w:w="715" w:type="dxa"/>
            <w:shd w:val="clear" w:color="auto" w:fill="auto"/>
            <w:vAlign w:val="center"/>
          </w:tcPr>
          <w:p w14:paraId="637BC38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ND</w:t>
            </w:r>
          </w:p>
        </w:tc>
        <w:tc>
          <w:tcPr>
            <w:tcW w:w="540" w:type="dxa"/>
            <w:shd w:val="clear" w:color="auto" w:fill="auto"/>
            <w:vAlign w:val="center"/>
          </w:tcPr>
          <w:p w14:paraId="1E07FE23"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540" w:type="dxa"/>
            <w:shd w:val="clear" w:color="auto" w:fill="auto"/>
            <w:vAlign w:val="center"/>
          </w:tcPr>
          <w:p w14:paraId="33AD4920"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N</w:t>
            </w:r>
          </w:p>
        </w:tc>
        <w:tc>
          <w:tcPr>
            <w:tcW w:w="455" w:type="dxa"/>
            <w:shd w:val="clear" w:color="auto" w:fill="auto"/>
            <w:vAlign w:val="center"/>
          </w:tcPr>
          <w:p w14:paraId="19DB243F"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rPr>
              <w:t>Y</w:t>
            </w:r>
          </w:p>
        </w:tc>
        <w:tc>
          <w:tcPr>
            <w:tcW w:w="1170" w:type="dxa"/>
          </w:tcPr>
          <w:p w14:paraId="070A53A4" w14:textId="77777777" w:rsidR="00C7266C" w:rsidRPr="00D403F5" w:rsidRDefault="00C7266C" w:rsidP="00D403F5">
            <w:pPr>
              <w:spacing w:after="0"/>
              <w:jc w:val="center"/>
              <w:rPr>
                <w:rFonts w:ascii="Arial" w:hAnsi="Arial" w:cs="Arial"/>
                <w:color w:val="000000"/>
                <w:sz w:val="18"/>
                <w:szCs w:val="18"/>
                <w:lang w:val="en-US"/>
              </w:rPr>
            </w:pPr>
            <w:r w:rsidRPr="00D403F5">
              <w:rPr>
                <w:rFonts w:ascii="Arial" w:hAnsi="Arial" w:cs="Arial"/>
                <w:color w:val="000000"/>
                <w:sz w:val="18"/>
                <w:szCs w:val="18"/>
                <w:lang w:val="en-US"/>
              </w:rPr>
              <w:t>2</w:t>
            </w:r>
          </w:p>
        </w:tc>
        <w:tc>
          <w:tcPr>
            <w:tcW w:w="2070" w:type="dxa"/>
            <w:shd w:val="clear" w:color="auto" w:fill="auto"/>
            <w:vAlign w:val="center"/>
          </w:tcPr>
          <w:p w14:paraId="32376A62" w14:textId="77777777" w:rsidR="00C7266C" w:rsidRPr="00D403F5" w:rsidRDefault="00C7266C" w:rsidP="00D403F5">
            <w:pPr>
              <w:spacing w:after="0"/>
              <w:rPr>
                <w:rFonts w:ascii="Arial" w:hAnsi="Arial" w:cs="Arial"/>
                <w:color w:val="000000"/>
                <w:sz w:val="18"/>
                <w:szCs w:val="18"/>
                <w:lang w:val="en-US"/>
              </w:rPr>
            </w:pPr>
            <w:r w:rsidRPr="00D403F5">
              <w:rPr>
                <w:rFonts w:ascii="Arial" w:hAnsi="Arial" w:cs="Arial"/>
                <w:sz w:val="18"/>
                <w:szCs w:val="18"/>
              </w:rPr>
              <w:t xml:space="preserve">Sandlund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2014</w:t>
            </w:r>
          </w:p>
        </w:tc>
      </w:tr>
      <w:tr w:rsidR="00C7266C" w:rsidRPr="00D403F5" w14:paraId="18844609"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7692073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Striped mullet</w:t>
            </w:r>
          </w:p>
        </w:tc>
        <w:tc>
          <w:tcPr>
            <w:tcW w:w="1705" w:type="dxa"/>
            <w:vAlign w:val="center"/>
          </w:tcPr>
          <w:p w14:paraId="5B2BF7F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Mugil</w:t>
            </w:r>
          </w:p>
        </w:tc>
        <w:tc>
          <w:tcPr>
            <w:tcW w:w="1626" w:type="dxa"/>
            <w:vAlign w:val="center"/>
          </w:tcPr>
          <w:p w14:paraId="40D3911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cephalus</w:t>
            </w:r>
          </w:p>
        </w:tc>
        <w:tc>
          <w:tcPr>
            <w:tcW w:w="1080" w:type="dxa"/>
            <w:vAlign w:val="center"/>
          </w:tcPr>
          <w:p w14:paraId="0F73316D"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IVa</w:t>
            </w:r>
          </w:p>
        </w:tc>
        <w:tc>
          <w:tcPr>
            <w:tcW w:w="1530" w:type="dxa"/>
            <w:shd w:val="clear" w:color="auto" w:fill="auto"/>
            <w:vAlign w:val="center"/>
          </w:tcPr>
          <w:p w14:paraId="513BC9E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1620" w:type="dxa"/>
            <w:shd w:val="clear" w:color="auto" w:fill="auto"/>
            <w:vAlign w:val="center"/>
          </w:tcPr>
          <w:p w14:paraId="7DBEBD86"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Viral isolation, PCR</w:t>
            </w:r>
          </w:p>
        </w:tc>
        <w:tc>
          <w:tcPr>
            <w:tcW w:w="715" w:type="dxa"/>
            <w:shd w:val="clear" w:color="auto" w:fill="auto"/>
            <w:vAlign w:val="center"/>
          </w:tcPr>
          <w:p w14:paraId="1979A68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6AF58132"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676A4F4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455" w:type="dxa"/>
            <w:shd w:val="clear" w:color="auto" w:fill="auto"/>
            <w:vAlign w:val="center"/>
          </w:tcPr>
          <w:p w14:paraId="74712BA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34A41748"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2</w:t>
            </w:r>
          </w:p>
        </w:tc>
        <w:tc>
          <w:tcPr>
            <w:tcW w:w="2070" w:type="dxa"/>
            <w:shd w:val="clear" w:color="auto" w:fill="auto"/>
            <w:vAlign w:val="center"/>
          </w:tcPr>
          <w:p w14:paraId="161E03C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Kim &amp; Park, 2004</w:t>
            </w:r>
          </w:p>
        </w:tc>
      </w:tr>
      <w:tr w:rsidR="00C7266C" w:rsidRPr="00D403F5" w14:paraId="74F224EC"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257F7F1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Surf smelt</w:t>
            </w:r>
          </w:p>
        </w:tc>
        <w:tc>
          <w:tcPr>
            <w:tcW w:w="1705" w:type="dxa"/>
            <w:tcBorders>
              <w:bottom w:val="single" w:sz="4" w:space="0" w:color="auto"/>
            </w:tcBorders>
            <w:vAlign w:val="center"/>
          </w:tcPr>
          <w:p w14:paraId="273B7B8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Hypomesus </w:t>
            </w:r>
          </w:p>
        </w:tc>
        <w:tc>
          <w:tcPr>
            <w:tcW w:w="1626" w:type="dxa"/>
            <w:tcBorders>
              <w:bottom w:val="single" w:sz="4" w:space="0" w:color="auto"/>
            </w:tcBorders>
            <w:vAlign w:val="center"/>
          </w:tcPr>
          <w:p w14:paraId="2FFFED80"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pretiosus</w:t>
            </w:r>
          </w:p>
        </w:tc>
        <w:tc>
          <w:tcPr>
            <w:tcW w:w="1080" w:type="dxa"/>
            <w:tcBorders>
              <w:bottom w:val="single" w:sz="4" w:space="0" w:color="auto"/>
            </w:tcBorders>
            <w:vAlign w:val="center"/>
          </w:tcPr>
          <w:p w14:paraId="08470518"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ND</w:t>
            </w:r>
          </w:p>
        </w:tc>
        <w:tc>
          <w:tcPr>
            <w:tcW w:w="1530" w:type="dxa"/>
            <w:tcBorders>
              <w:bottom w:val="single" w:sz="4" w:space="0" w:color="auto"/>
            </w:tcBorders>
            <w:shd w:val="clear" w:color="auto" w:fill="auto"/>
            <w:vAlign w:val="center"/>
          </w:tcPr>
          <w:p w14:paraId="279B290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N/E</w:t>
            </w:r>
          </w:p>
        </w:tc>
        <w:tc>
          <w:tcPr>
            <w:tcW w:w="1620" w:type="dxa"/>
            <w:tcBorders>
              <w:bottom w:val="single" w:sz="4" w:space="0" w:color="auto"/>
            </w:tcBorders>
            <w:shd w:val="clear" w:color="auto" w:fill="auto"/>
            <w:vAlign w:val="center"/>
          </w:tcPr>
          <w:p w14:paraId="06820468"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and RT-PCR</w:t>
            </w:r>
          </w:p>
        </w:tc>
        <w:tc>
          <w:tcPr>
            <w:tcW w:w="715" w:type="dxa"/>
            <w:shd w:val="clear" w:color="auto" w:fill="auto"/>
            <w:vAlign w:val="center"/>
          </w:tcPr>
          <w:p w14:paraId="44EFBDD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3C535D9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653B2ED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455" w:type="dxa"/>
            <w:shd w:val="clear" w:color="auto" w:fill="auto"/>
            <w:vAlign w:val="center"/>
          </w:tcPr>
          <w:p w14:paraId="2A7FFF8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0B7A1A8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2</w:t>
            </w:r>
          </w:p>
        </w:tc>
        <w:tc>
          <w:tcPr>
            <w:tcW w:w="2070" w:type="dxa"/>
            <w:shd w:val="clear" w:color="auto" w:fill="auto"/>
            <w:vAlign w:val="center"/>
          </w:tcPr>
          <w:p w14:paraId="6658BA5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Hedrick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2003</w:t>
            </w:r>
          </w:p>
        </w:tc>
      </w:tr>
      <w:tr w:rsidR="00C7266C" w:rsidRPr="00D403F5" w14:paraId="24474E5F" w14:textId="77777777" w:rsidTr="00C7266C">
        <w:trPr>
          <w:cantSplit/>
        </w:trPr>
        <w:tc>
          <w:tcPr>
            <w:tcW w:w="1794" w:type="dxa"/>
            <w:tcBorders>
              <w:top w:val="single" w:sz="4" w:space="0" w:color="auto"/>
              <w:left w:val="single" w:sz="4" w:space="0" w:color="auto"/>
              <w:bottom w:val="single" w:sz="4" w:space="0" w:color="auto"/>
              <w:right w:val="nil"/>
            </w:tcBorders>
            <w:shd w:val="clear" w:color="auto" w:fill="auto"/>
            <w:vAlign w:val="center"/>
          </w:tcPr>
          <w:p w14:paraId="087F7935"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Tiger muskellunge X Northern pike hybrids</w:t>
            </w:r>
          </w:p>
        </w:tc>
        <w:tc>
          <w:tcPr>
            <w:tcW w:w="1705" w:type="dxa"/>
            <w:tcBorders>
              <w:top w:val="single" w:sz="4" w:space="0" w:color="auto"/>
              <w:bottom w:val="single" w:sz="4" w:space="0" w:color="auto"/>
            </w:tcBorders>
            <w:vAlign w:val="center"/>
          </w:tcPr>
          <w:p w14:paraId="1D59A95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Esox </w:t>
            </w:r>
          </w:p>
        </w:tc>
        <w:tc>
          <w:tcPr>
            <w:tcW w:w="1626" w:type="dxa"/>
            <w:tcBorders>
              <w:top w:val="single" w:sz="4" w:space="0" w:color="auto"/>
              <w:bottom w:val="single" w:sz="4" w:space="0" w:color="auto"/>
            </w:tcBorders>
            <w:vAlign w:val="center"/>
          </w:tcPr>
          <w:p w14:paraId="13C151B5"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masquinongy X lucius</w:t>
            </w:r>
          </w:p>
        </w:tc>
        <w:tc>
          <w:tcPr>
            <w:tcW w:w="1080" w:type="dxa"/>
            <w:tcBorders>
              <w:top w:val="single" w:sz="4" w:space="0" w:color="auto"/>
              <w:bottom w:val="single" w:sz="4" w:space="0" w:color="auto"/>
            </w:tcBorders>
            <w:vAlign w:val="center"/>
          </w:tcPr>
          <w:p w14:paraId="7A6858F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IVb</w:t>
            </w:r>
          </w:p>
        </w:tc>
        <w:tc>
          <w:tcPr>
            <w:tcW w:w="1530" w:type="dxa"/>
            <w:tcBorders>
              <w:top w:val="single" w:sz="4" w:space="0" w:color="auto"/>
              <w:bottom w:val="single" w:sz="4" w:space="0" w:color="auto"/>
            </w:tcBorders>
            <w:shd w:val="clear" w:color="auto" w:fill="auto"/>
            <w:vAlign w:val="center"/>
          </w:tcPr>
          <w:p w14:paraId="10297E6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tcBorders>
              <w:top w:val="single" w:sz="4" w:space="0" w:color="auto"/>
              <w:bottom w:val="single" w:sz="4" w:space="0" w:color="auto"/>
            </w:tcBorders>
            <w:shd w:val="clear" w:color="auto" w:fill="auto"/>
            <w:vAlign w:val="center"/>
          </w:tcPr>
          <w:p w14:paraId="22E40A1E"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Cell culture, PCR</w:t>
            </w:r>
          </w:p>
        </w:tc>
        <w:tc>
          <w:tcPr>
            <w:tcW w:w="715" w:type="dxa"/>
            <w:shd w:val="clear" w:color="auto" w:fill="auto"/>
            <w:vAlign w:val="center"/>
          </w:tcPr>
          <w:p w14:paraId="2164F7A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397E1BA3"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35F6FEC1"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w:t>
            </w:r>
          </w:p>
        </w:tc>
        <w:tc>
          <w:tcPr>
            <w:tcW w:w="455" w:type="dxa"/>
            <w:shd w:val="clear" w:color="auto" w:fill="auto"/>
            <w:vAlign w:val="center"/>
          </w:tcPr>
          <w:p w14:paraId="5F97F0FA"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63048FD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2</w:t>
            </w:r>
          </w:p>
        </w:tc>
        <w:tc>
          <w:tcPr>
            <w:tcW w:w="2070" w:type="dxa"/>
            <w:shd w:val="clear" w:color="auto" w:fill="auto"/>
            <w:vAlign w:val="center"/>
          </w:tcPr>
          <w:p w14:paraId="41102AD0"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Getchell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2013</w:t>
            </w:r>
          </w:p>
        </w:tc>
      </w:tr>
      <w:tr w:rsidR="00C7266C" w:rsidRPr="00D403F5" w14:paraId="2ECECA2C"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14:paraId="5E966010"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Trout Perch</w:t>
            </w:r>
          </w:p>
        </w:tc>
        <w:tc>
          <w:tcPr>
            <w:tcW w:w="1705" w:type="dxa"/>
            <w:tcBorders>
              <w:top w:val="single" w:sz="4" w:space="0" w:color="auto"/>
            </w:tcBorders>
            <w:vAlign w:val="center"/>
          </w:tcPr>
          <w:p w14:paraId="49F01F9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 xml:space="preserve">Percopsis </w:t>
            </w:r>
          </w:p>
        </w:tc>
        <w:tc>
          <w:tcPr>
            <w:tcW w:w="1626" w:type="dxa"/>
            <w:tcBorders>
              <w:top w:val="single" w:sz="4" w:space="0" w:color="auto"/>
            </w:tcBorders>
            <w:vAlign w:val="center"/>
          </w:tcPr>
          <w:p w14:paraId="1BF83B7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i/>
                <w:iCs/>
                <w:sz w:val="18"/>
                <w:szCs w:val="18"/>
              </w:rPr>
              <w:t>omiscomaycus</w:t>
            </w:r>
          </w:p>
        </w:tc>
        <w:tc>
          <w:tcPr>
            <w:tcW w:w="1080" w:type="dxa"/>
            <w:tcBorders>
              <w:top w:val="single" w:sz="4" w:space="0" w:color="auto"/>
            </w:tcBorders>
            <w:vAlign w:val="center"/>
          </w:tcPr>
          <w:p w14:paraId="1D0E481B"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IVb</w:t>
            </w:r>
          </w:p>
        </w:tc>
        <w:tc>
          <w:tcPr>
            <w:tcW w:w="1530" w:type="dxa"/>
            <w:tcBorders>
              <w:top w:val="single" w:sz="4" w:space="0" w:color="auto"/>
            </w:tcBorders>
            <w:shd w:val="clear" w:color="auto" w:fill="auto"/>
            <w:vAlign w:val="center"/>
          </w:tcPr>
          <w:p w14:paraId="47F101A9"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N</w:t>
            </w:r>
          </w:p>
        </w:tc>
        <w:tc>
          <w:tcPr>
            <w:tcW w:w="1620" w:type="dxa"/>
            <w:tcBorders>
              <w:top w:val="single" w:sz="4" w:space="0" w:color="auto"/>
            </w:tcBorders>
            <w:shd w:val="clear" w:color="auto" w:fill="auto"/>
            <w:vAlign w:val="center"/>
          </w:tcPr>
          <w:p w14:paraId="03D97FAC"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sequencing</w:t>
            </w:r>
          </w:p>
        </w:tc>
        <w:tc>
          <w:tcPr>
            <w:tcW w:w="715" w:type="dxa"/>
            <w:shd w:val="clear" w:color="auto" w:fill="auto"/>
            <w:vAlign w:val="center"/>
          </w:tcPr>
          <w:p w14:paraId="4A03A3B4"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540" w:type="dxa"/>
            <w:shd w:val="clear" w:color="auto" w:fill="auto"/>
            <w:vAlign w:val="center"/>
          </w:tcPr>
          <w:p w14:paraId="08AC0F67"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540" w:type="dxa"/>
            <w:shd w:val="clear" w:color="auto" w:fill="auto"/>
            <w:vAlign w:val="center"/>
          </w:tcPr>
          <w:p w14:paraId="4BD7A22E"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ND</w:t>
            </w:r>
          </w:p>
        </w:tc>
        <w:tc>
          <w:tcPr>
            <w:tcW w:w="455" w:type="dxa"/>
            <w:shd w:val="clear" w:color="auto" w:fill="auto"/>
            <w:vAlign w:val="center"/>
          </w:tcPr>
          <w:p w14:paraId="2A75AEA8"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rPr>
              <w:t>Y</w:t>
            </w:r>
          </w:p>
        </w:tc>
        <w:tc>
          <w:tcPr>
            <w:tcW w:w="1170" w:type="dxa"/>
            <w:vAlign w:val="center"/>
          </w:tcPr>
          <w:p w14:paraId="7FBA24BD"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2</w:t>
            </w:r>
          </w:p>
        </w:tc>
        <w:tc>
          <w:tcPr>
            <w:tcW w:w="2070" w:type="dxa"/>
            <w:shd w:val="clear" w:color="auto" w:fill="auto"/>
            <w:vAlign w:val="center"/>
          </w:tcPr>
          <w:p w14:paraId="23207254"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lang w:val="nb-NO"/>
              </w:rPr>
              <w:t xml:space="preserve">USGS/NACSE database </w:t>
            </w:r>
          </w:p>
        </w:tc>
      </w:tr>
      <w:tr w:rsidR="00C7266C" w:rsidRPr="00D403F5" w14:paraId="69ADEA35"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4E2EC2AA"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White Crappie </w:t>
            </w:r>
          </w:p>
        </w:tc>
        <w:tc>
          <w:tcPr>
            <w:tcW w:w="1705" w:type="dxa"/>
            <w:vAlign w:val="center"/>
          </w:tcPr>
          <w:p w14:paraId="72EED4F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Pomoxis </w:t>
            </w:r>
          </w:p>
        </w:tc>
        <w:tc>
          <w:tcPr>
            <w:tcW w:w="1626" w:type="dxa"/>
            <w:vAlign w:val="center"/>
          </w:tcPr>
          <w:p w14:paraId="4F6BEB9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annuluris </w:t>
            </w:r>
          </w:p>
        </w:tc>
        <w:tc>
          <w:tcPr>
            <w:tcW w:w="1080" w:type="dxa"/>
            <w:vAlign w:val="center"/>
          </w:tcPr>
          <w:p w14:paraId="7A397849"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09C87B7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6B3529C4" w14:textId="77777777" w:rsidR="00C7266C" w:rsidRPr="00D403F5" w:rsidRDefault="00C7266C" w:rsidP="00D403F5">
            <w:pPr>
              <w:spacing w:after="0"/>
              <w:rPr>
                <w:rFonts w:ascii="Arial" w:hAnsi="Arial" w:cs="Arial"/>
                <w:sz w:val="18"/>
                <w:szCs w:val="18"/>
                <w:lang w:val="fr-FR"/>
              </w:rPr>
            </w:pPr>
            <w:r w:rsidRPr="00D403F5">
              <w:rPr>
                <w:rFonts w:ascii="Arial" w:hAnsi="Arial" w:cs="Arial"/>
                <w:sz w:val="18"/>
                <w:szCs w:val="18"/>
                <w:lang w:val="fr-FR"/>
              </w:rPr>
              <w:t xml:space="preserve">Virus isolation RT-PCR, IHC </w:t>
            </w:r>
          </w:p>
        </w:tc>
        <w:tc>
          <w:tcPr>
            <w:tcW w:w="715" w:type="dxa"/>
            <w:shd w:val="clear" w:color="auto" w:fill="auto"/>
            <w:vAlign w:val="center"/>
          </w:tcPr>
          <w:p w14:paraId="7190447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469FFB53"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0279748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087701B5"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588940D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2</w:t>
            </w:r>
          </w:p>
        </w:tc>
        <w:tc>
          <w:tcPr>
            <w:tcW w:w="2070" w:type="dxa"/>
            <w:shd w:val="clear" w:color="auto" w:fill="auto"/>
            <w:vAlign w:val="center"/>
          </w:tcPr>
          <w:p w14:paraId="248A5364"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Al-Hussinee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2011</w:t>
            </w:r>
          </w:p>
        </w:tc>
      </w:tr>
      <w:tr w:rsidR="00C7266C" w:rsidRPr="00D403F5" w14:paraId="788C7669"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4FFEED03"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White sucker</w:t>
            </w:r>
          </w:p>
        </w:tc>
        <w:tc>
          <w:tcPr>
            <w:tcW w:w="1705" w:type="dxa"/>
            <w:vAlign w:val="center"/>
          </w:tcPr>
          <w:p w14:paraId="01D76C4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Catostomus</w:t>
            </w:r>
          </w:p>
        </w:tc>
        <w:tc>
          <w:tcPr>
            <w:tcW w:w="1626" w:type="dxa"/>
            <w:vAlign w:val="center"/>
          </w:tcPr>
          <w:p w14:paraId="4062822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commersonii</w:t>
            </w:r>
          </w:p>
        </w:tc>
        <w:tc>
          <w:tcPr>
            <w:tcW w:w="1080" w:type="dxa"/>
            <w:vAlign w:val="center"/>
          </w:tcPr>
          <w:p w14:paraId="1E27737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6A84E17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06CB42AB"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RT-PCR, sequencing</w:t>
            </w:r>
          </w:p>
        </w:tc>
        <w:tc>
          <w:tcPr>
            <w:tcW w:w="715" w:type="dxa"/>
            <w:shd w:val="clear" w:color="auto" w:fill="auto"/>
            <w:vAlign w:val="center"/>
          </w:tcPr>
          <w:p w14:paraId="3EC94DD2"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4BBB57DE"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540" w:type="dxa"/>
            <w:shd w:val="clear" w:color="auto" w:fill="auto"/>
            <w:vAlign w:val="center"/>
          </w:tcPr>
          <w:p w14:paraId="6D26ACAC"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w:t>
            </w:r>
          </w:p>
        </w:tc>
        <w:tc>
          <w:tcPr>
            <w:tcW w:w="455" w:type="dxa"/>
            <w:shd w:val="clear" w:color="auto" w:fill="auto"/>
            <w:vAlign w:val="center"/>
          </w:tcPr>
          <w:p w14:paraId="7FBB383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4C67BDC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2</w:t>
            </w:r>
          </w:p>
        </w:tc>
        <w:tc>
          <w:tcPr>
            <w:tcW w:w="2070" w:type="dxa"/>
            <w:shd w:val="clear" w:color="auto" w:fill="auto"/>
            <w:vAlign w:val="center"/>
          </w:tcPr>
          <w:p w14:paraId="42E8D050"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 xml:space="preserve">Cornwell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2011</w:t>
            </w:r>
          </w:p>
        </w:tc>
      </w:tr>
      <w:tr w:rsidR="00C7266C" w:rsidRPr="00D403F5" w14:paraId="6192C883"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3FA782D2" w14:textId="77777777" w:rsidR="00C7266C" w:rsidRPr="00D403F5" w:rsidRDefault="00C7266C" w:rsidP="00D403F5">
            <w:pPr>
              <w:spacing w:after="0"/>
              <w:rPr>
                <w:rFonts w:ascii="Arial" w:hAnsi="Arial" w:cs="Arial"/>
                <w:sz w:val="18"/>
                <w:szCs w:val="18"/>
              </w:rPr>
            </w:pPr>
            <w:r w:rsidRPr="00D403F5">
              <w:rPr>
                <w:rFonts w:ascii="Arial" w:hAnsi="Arial" w:cs="Arial"/>
                <w:sz w:val="18"/>
                <w:szCs w:val="18"/>
              </w:rPr>
              <w:t>Yellow croaker</w:t>
            </w:r>
          </w:p>
        </w:tc>
        <w:tc>
          <w:tcPr>
            <w:tcW w:w="1705" w:type="dxa"/>
            <w:vAlign w:val="center"/>
          </w:tcPr>
          <w:p w14:paraId="185282B1"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 xml:space="preserve">Larimichthys </w:t>
            </w:r>
          </w:p>
        </w:tc>
        <w:tc>
          <w:tcPr>
            <w:tcW w:w="1626" w:type="dxa"/>
            <w:vAlign w:val="center"/>
          </w:tcPr>
          <w:p w14:paraId="306C6FF5"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polyactis</w:t>
            </w:r>
          </w:p>
        </w:tc>
        <w:tc>
          <w:tcPr>
            <w:tcW w:w="1080" w:type="dxa"/>
            <w:vAlign w:val="center"/>
          </w:tcPr>
          <w:p w14:paraId="4B0FD18F" w14:textId="77777777" w:rsidR="00C7266C" w:rsidRPr="00D403F5" w:rsidRDefault="00C7266C" w:rsidP="00D403F5">
            <w:pPr>
              <w:spacing w:after="0"/>
              <w:jc w:val="center"/>
              <w:rPr>
                <w:rFonts w:ascii="Arial" w:hAnsi="Arial" w:cs="Arial"/>
                <w:sz w:val="18"/>
                <w:szCs w:val="18"/>
                <w:lang w:val="en-US"/>
              </w:rPr>
            </w:pPr>
            <w:r w:rsidRPr="00D403F5">
              <w:rPr>
                <w:rFonts w:ascii="Arial" w:hAnsi="Arial" w:cs="Arial"/>
                <w:sz w:val="18"/>
                <w:szCs w:val="18"/>
                <w:lang w:val="en-US"/>
              </w:rPr>
              <w:t>IV</w:t>
            </w:r>
          </w:p>
        </w:tc>
        <w:tc>
          <w:tcPr>
            <w:tcW w:w="1530" w:type="dxa"/>
            <w:shd w:val="clear" w:color="auto" w:fill="auto"/>
            <w:vAlign w:val="center"/>
          </w:tcPr>
          <w:p w14:paraId="38E746B2"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en-US"/>
              </w:rPr>
              <w:t>N</w:t>
            </w:r>
          </w:p>
        </w:tc>
        <w:tc>
          <w:tcPr>
            <w:tcW w:w="1620" w:type="dxa"/>
            <w:shd w:val="clear" w:color="auto" w:fill="auto"/>
            <w:vAlign w:val="center"/>
          </w:tcPr>
          <w:p w14:paraId="1B8FFC26" w14:textId="77777777" w:rsidR="00C7266C" w:rsidRPr="00D403F5" w:rsidRDefault="00C7266C" w:rsidP="00D403F5">
            <w:pPr>
              <w:spacing w:after="0"/>
              <w:rPr>
                <w:rFonts w:ascii="Arial" w:hAnsi="Arial" w:cs="Arial"/>
                <w:sz w:val="18"/>
                <w:szCs w:val="18"/>
              </w:rPr>
            </w:pPr>
            <w:r w:rsidRPr="00D403F5">
              <w:rPr>
                <w:rFonts w:ascii="Arial" w:hAnsi="Arial" w:cs="Arial"/>
                <w:sz w:val="18"/>
                <w:szCs w:val="18"/>
              </w:rPr>
              <w:t>PCR</w:t>
            </w:r>
          </w:p>
        </w:tc>
        <w:tc>
          <w:tcPr>
            <w:tcW w:w="715" w:type="dxa"/>
            <w:shd w:val="clear" w:color="auto" w:fill="auto"/>
            <w:vAlign w:val="center"/>
          </w:tcPr>
          <w:p w14:paraId="7DC8FD57"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ND</w:t>
            </w:r>
          </w:p>
        </w:tc>
        <w:tc>
          <w:tcPr>
            <w:tcW w:w="540" w:type="dxa"/>
            <w:shd w:val="clear" w:color="auto" w:fill="auto"/>
            <w:vAlign w:val="center"/>
          </w:tcPr>
          <w:p w14:paraId="22ABF402"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N</w:t>
            </w:r>
          </w:p>
        </w:tc>
        <w:tc>
          <w:tcPr>
            <w:tcW w:w="540" w:type="dxa"/>
            <w:shd w:val="clear" w:color="auto" w:fill="auto"/>
            <w:vAlign w:val="center"/>
          </w:tcPr>
          <w:p w14:paraId="39BCBEE1"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N</w:t>
            </w:r>
          </w:p>
        </w:tc>
        <w:tc>
          <w:tcPr>
            <w:tcW w:w="455" w:type="dxa"/>
            <w:shd w:val="clear" w:color="auto" w:fill="auto"/>
            <w:vAlign w:val="center"/>
          </w:tcPr>
          <w:p w14:paraId="18F38286" w14:textId="77777777" w:rsidR="00C7266C" w:rsidRPr="00D403F5" w:rsidRDefault="00C7266C" w:rsidP="00D403F5">
            <w:pPr>
              <w:spacing w:after="0"/>
              <w:jc w:val="center"/>
              <w:rPr>
                <w:rFonts w:ascii="Arial" w:hAnsi="Arial" w:cs="Arial"/>
                <w:sz w:val="18"/>
                <w:szCs w:val="18"/>
              </w:rPr>
            </w:pPr>
            <w:r w:rsidRPr="00D403F5">
              <w:rPr>
                <w:rFonts w:ascii="Arial" w:hAnsi="Arial" w:cs="Arial"/>
                <w:sz w:val="18"/>
                <w:szCs w:val="18"/>
              </w:rPr>
              <w:t>Y</w:t>
            </w:r>
          </w:p>
        </w:tc>
        <w:tc>
          <w:tcPr>
            <w:tcW w:w="1170" w:type="dxa"/>
            <w:vAlign w:val="center"/>
          </w:tcPr>
          <w:p w14:paraId="50E31EC7"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en-US"/>
              </w:rPr>
              <w:t>2</w:t>
            </w:r>
          </w:p>
        </w:tc>
        <w:tc>
          <w:tcPr>
            <w:tcW w:w="2070" w:type="dxa"/>
            <w:shd w:val="clear" w:color="auto" w:fill="auto"/>
            <w:vAlign w:val="center"/>
          </w:tcPr>
          <w:p w14:paraId="342098CD" w14:textId="77777777" w:rsidR="00C7266C" w:rsidRPr="00D403F5" w:rsidRDefault="00C7266C" w:rsidP="00D403F5">
            <w:pPr>
              <w:spacing w:after="0"/>
              <w:rPr>
                <w:rFonts w:ascii="Arial" w:hAnsi="Arial" w:cs="Arial"/>
                <w:sz w:val="18"/>
                <w:szCs w:val="18"/>
              </w:rPr>
            </w:pPr>
            <w:r w:rsidRPr="00D403F5">
              <w:rPr>
                <w:rFonts w:ascii="Arial" w:hAnsi="Arial" w:cs="Arial"/>
                <w:sz w:val="18"/>
                <w:szCs w:val="18"/>
              </w:rPr>
              <w:t xml:space="preserve">Lee </w:t>
            </w:r>
            <w:r w:rsidRPr="00D403F5">
              <w:rPr>
                <w:rFonts w:ascii="Arial" w:hAnsi="Arial" w:cs="Arial"/>
                <w:i/>
                <w:iCs/>
                <w:color w:val="000000"/>
                <w:sz w:val="18"/>
                <w:szCs w:val="18"/>
                <w:lang w:val="nb-NO"/>
              </w:rPr>
              <w:t>et al</w:t>
            </w:r>
            <w:r w:rsidRPr="00D403F5">
              <w:rPr>
                <w:rFonts w:ascii="Arial" w:hAnsi="Arial" w:cs="Arial"/>
                <w:color w:val="000000"/>
                <w:sz w:val="18"/>
                <w:szCs w:val="18"/>
              </w:rPr>
              <w:t xml:space="preserve">., </w:t>
            </w:r>
            <w:r w:rsidRPr="00D403F5">
              <w:rPr>
                <w:rFonts w:ascii="Arial" w:hAnsi="Arial" w:cs="Arial"/>
                <w:sz w:val="18"/>
                <w:szCs w:val="18"/>
              </w:rPr>
              <w:t>2007</w:t>
            </w:r>
          </w:p>
        </w:tc>
      </w:tr>
      <w:tr w:rsidR="00C7266C" w:rsidRPr="00D403F5" w14:paraId="5785857D" w14:textId="77777777" w:rsidTr="00C7266C">
        <w:trPr>
          <w:cantSplit/>
        </w:trPr>
        <w:tc>
          <w:tcPr>
            <w:tcW w:w="1794" w:type="dxa"/>
            <w:tcBorders>
              <w:top w:val="nil"/>
              <w:left w:val="single" w:sz="4" w:space="0" w:color="auto"/>
              <w:bottom w:val="single" w:sz="4" w:space="0" w:color="auto"/>
              <w:right w:val="single" w:sz="4" w:space="0" w:color="auto"/>
            </w:tcBorders>
            <w:shd w:val="clear" w:color="auto" w:fill="auto"/>
            <w:vAlign w:val="center"/>
          </w:tcPr>
          <w:p w14:paraId="572333D6" w14:textId="77777777" w:rsidR="00C7266C" w:rsidRPr="00D403F5" w:rsidRDefault="00C7266C" w:rsidP="00D403F5">
            <w:pPr>
              <w:spacing w:after="0"/>
              <w:rPr>
                <w:rFonts w:ascii="Arial" w:hAnsi="Arial" w:cs="Arial"/>
                <w:sz w:val="18"/>
                <w:szCs w:val="18"/>
                <w:lang w:val="en-US"/>
              </w:rPr>
            </w:pPr>
            <w:bookmarkStart w:id="109" w:name="_Hlk23239451"/>
            <w:r w:rsidRPr="00D403F5">
              <w:rPr>
                <w:rFonts w:ascii="Arial" w:hAnsi="Arial" w:cs="Arial"/>
                <w:sz w:val="18"/>
                <w:szCs w:val="18"/>
              </w:rPr>
              <w:t>Yoshinobori (Japanese goby)</w:t>
            </w:r>
          </w:p>
        </w:tc>
        <w:tc>
          <w:tcPr>
            <w:tcW w:w="1705" w:type="dxa"/>
            <w:vAlign w:val="center"/>
          </w:tcPr>
          <w:p w14:paraId="7C88884F"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Rhinogobius</w:t>
            </w:r>
          </w:p>
        </w:tc>
        <w:tc>
          <w:tcPr>
            <w:tcW w:w="1626" w:type="dxa"/>
            <w:vAlign w:val="center"/>
          </w:tcPr>
          <w:p w14:paraId="1CE22A4C" w14:textId="77777777" w:rsidR="00C7266C" w:rsidRPr="00D403F5" w:rsidRDefault="00C7266C" w:rsidP="00D403F5">
            <w:pPr>
              <w:spacing w:after="0"/>
              <w:jc w:val="center"/>
              <w:rPr>
                <w:rFonts w:ascii="Arial" w:hAnsi="Arial" w:cs="Arial"/>
                <w:i/>
                <w:iCs/>
                <w:sz w:val="18"/>
                <w:szCs w:val="18"/>
              </w:rPr>
            </w:pPr>
            <w:r w:rsidRPr="00D403F5">
              <w:rPr>
                <w:rFonts w:ascii="Arial" w:hAnsi="Arial" w:cs="Arial"/>
                <w:i/>
                <w:iCs/>
                <w:sz w:val="18"/>
                <w:szCs w:val="18"/>
              </w:rPr>
              <w:t>Sp.</w:t>
            </w:r>
          </w:p>
          <w:p w14:paraId="2B7D7928"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i/>
                <w:iCs/>
                <w:sz w:val="18"/>
                <w:szCs w:val="18"/>
              </w:rPr>
              <w:t xml:space="preserve"> </w:t>
            </w:r>
            <w:r w:rsidRPr="00D403F5">
              <w:rPr>
                <w:rFonts w:ascii="Arial" w:hAnsi="Arial" w:cs="Arial"/>
                <w:sz w:val="18"/>
                <w:szCs w:val="18"/>
              </w:rPr>
              <w:t>(undescribed species)</w:t>
            </w:r>
          </w:p>
        </w:tc>
        <w:tc>
          <w:tcPr>
            <w:tcW w:w="1080" w:type="dxa"/>
            <w:vAlign w:val="center"/>
          </w:tcPr>
          <w:p w14:paraId="079DBB51"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IVb</w:t>
            </w:r>
          </w:p>
        </w:tc>
        <w:tc>
          <w:tcPr>
            <w:tcW w:w="1530" w:type="dxa"/>
            <w:shd w:val="clear" w:color="auto" w:fill="auto"/>
            <w:vAlign w:val="center"/>
          </w:tcPr>
          <w:p w14:paraId="4927C65A"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N</w:t>
            </w:r>
          </w:p>
        </w:tc>
        <w:tc>
          <w:tcPr>
            <w:tcW w:w="1620" w:type="dxa"/>
            <w:shd w:val="clear" w:color="auto" w:fill="auto"/>
            <w:vAlign w:val="center"/>
          </w:tcPr>
          <w:p w14:paraId="15F13FD1" w14:textId="77777777" w:rsidR="00C7266C" w:rsidRPr="00D403F5" w:rsidRDefault="00C7266C" w:rsidP="00D403F5">
            <w:pPr>
              <w:spacing w:after="0"/>
              <w:rPr>
                <w:rFonts w:ascii="Arial" w:hAnsi="Arial" w:cs="Arial"/>
                <w:sz w:val="18"/>
                <w:szCs w:val="18"/>
                <w:lang w:val="en-US"/>
              </w:rPr>
            </w:pPr>
            <w:r w:rsidRPr="00D403F5">
              <w:rPr>
                <w:rFonts w:ascii="Arial" w:hAnsi="Arial" w:cs="Arial"/>
                <w:sz w:val="18"/>
                <w:szCs w:val="18"/>
              </w:rPr>
              <w:t>Virus isolation, RT-PCR</w:t>
            </w:r>
          </w:p>
        </w:tc>
        <w:tc>
          <w:tcPr>
            <w:tcW w:w="715" w:type="dxa"/>
            <w:shd w:val="clear" w:color="auto" w:fill="auto"/>
            <w:vAlign w:val="center"/>
          </w:tcPr>
          <w:p w14:paraId="6329F596"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ND</w:t>
            </w:r>
          </w:p>
        </w:tc>
        <w:tc>
          <w:tcPr>
            <w:tcW w:w="540" w:type="dxa"/>
            <w:shd w:val="clear" w:color="auto" w:fill="auto"/>
            <w:vAlign w:val="center"/>
          </w:tcPr>
          <w:p w14:paraId="5BBF7254"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540" w:type="dxa"/>
            <w:shd w:val="clear" w:color="auto" w:fill="auto"/>
            <w:vAlign w:val="center"/>
          </w:tcPr>
          <w:p w14:paraId="5A91DD80"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455" w:type="dxa"/>
            <w:shd w:val="clear" w:color="auto" w:fill="auto"/>
            <w:vAlign w:val="center"/>
          </w:tcPr>
          <w:p w14:paraId="28EB614D"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rPr>
              <w:t>Y</w:t>
            </w:r>
          </w:p>
        </w:tc>
        <w:tc>
          <w:tcPr>
            <w:tcW w:w="1170" w:type="dxa"/>
            <w:vAlign w:val="center"/>
          </w:tcPr>
          <w:p w14:paraId="69008CBB" w14:textId="77777777" w:rsidR="00C7266C" w:rsidRPr="00D403F5" w:rsidRDefault="00C7266C" w:rsidP="00D403F5">
            <w:pPr>
              <w:spacing w:after="0"/>
              <w:jc w:val="center"/>
              <w:rPr>
                <w:rFonts w:ascii="Arial" w:hAnsi="Arial" w:cs="Arial"/>
                <w:sz w:val="18"/>
                <w:szCs w:val="18"/>
                <w:lang w:val="nb-NO"/>
              </w:rPr>
            </w:pPr>
            <w:r w:rsidRPr="00D403F5">
              <w:rPr>
                <w:rFonts w:ascii="Arial" w:hAnsi="Arial" w:cs="Arial"/>
                <w:sz w:val="18"/>
                <w:szCs w:val="18"/>
                <w:lang w:val="nb-NO"/>
              </w:rPr>
              <w:t>2</w:t>
            </w:r>
          </w:p>
        </w:tc>
        <w:tc>
          <w:tcPr>
            <w:tcW w:w="2070" w:type="dxa"/>
            <w:shd w:val="clear" w:color="auto" w:fill="auto"/>
            <w:vAlign w:val="center"/>
          </w:tcPr>
          <w:p w14:paraId="5523BFE5" w14:textId="77777777" w:rsidR="00C7266C" w:rsidRPr="00D403F5" w:rsidRDefault="00C7266C" w:rsidP="00D403F5">
            <w:pPr>
              <w:spacing w:after="0"/>
              <w:rPr>
                <w:rFonts w:ascii="Arial" w:hAnsi="Arial" w:cs="Arial"/>
                <w:sz w:val="18"/>
                <w:szCs w:val="18"/>
                <w:lang w:val="nb-NO"/>
              </w:rPr>
            </w:pPr>
            <w:r w:rsidRPr="00D403F5">
              <w:rPr>
                <w:rFonts w:ascii="Arial" w:hAnsi="Arial" w:cs="Arial"/>
                <w:sz w:val="18"/>
                <w:szCs w:val="18"/>
              </w:rPr>
              <w:t>Ito &amp; Olesen, 2013</w:t>
            </w:r>
          </w:p>
        </w:tc>
      </w:tr>
      <w:bookmarkEnd w:id="109"/>
    </w:tbl>
    <w:p w14:paraId="385EE952" w14:textId="77777777" w:rsidR="00C7266C" w:rsidRPr="00D403F5" w:rsidRDefault="00C7266C" w:rsidP="00D403F5">
      <w:pPr>
        <w:spacing w:after="0"/>
        <w:jc w:val="right"/>
        <w:rPr>
          <w:rFonts w:eastAsia="Calibri"/>
          <w:sz w:val="18"/>
          <w:szCs w:val="18"/>
          <w:u w:val="single"/>
          <w:lang w:val="en-US"/>
        </w:rPr>
      </w:pPr>
      <w:r w:rsidRPr="00D403F5">
        <w:rPr>
          <w:rFonts w:eastAsia="Calibri"/>
          <w:sz w:val="18"/>
          <w:szCs w:val="18"/>
          <w:u w:val="single"/>
          <w:lang w:val="en-US"/>
        </w:rPr>
        <w:br w:type="page"/>
      </w:r>
    </w:p>
    <w:p w14:paraId="2C29D19F" w14:textId="77777777" w:rsidR="00C7266C" w:rsidRPr="00D403F5" w:rsidRDefault="00C7266C" w:rsidP="00D403F5">
      <w:pPr>
        <w:spacing w:after="240" w:line="240" w:lineRule="auto"/>
        <w:rPr>
          <w:rFonts w:ascii="Times New Roman" w:eastAsia="Calibri" w:hAnsi="Times New Roman" w:cs="Times New Roman"/>
          <w:sz w:val="20"/>
          <w:szCs w:val="20"/>
          <w:u w:val="single"/>
          <w:lang w:val="en-US"/>
        </w:rPr>
      </w:pPr>
      <w:r w:rsidRPr="00D403F5">
        <w:rPr>
          <w:rFonts w:ascii="Times New Roman" w:eastAsia="Calibri" w:hAnsi="Times New Roman" w:cs="Times New Roman"/>
          <w:sz w:val="20"/>
          <w:szCs w:val="20"/>
          <w:u w:val="single"/>
          <w:lang w:val="en-US"/>
        </w:rPr>
        <w:t>Annex 15</w:t>
      </w:r>
      <w:r w:rsidRPr="00D403F5">
        <w:rPr>
          <w:rFonts w:ascii="Times New Roman" w:eastAsia="Calibri" w:hAnsi="Times New Roman" w:cs="Times New Roman"/>
          <w:sz w:val="20"/>
          <w:szCs w:val="20"/>
          <w:lang w:val="en-US"/>
        </w:rPr>
        <w:t xml:space="preserve"> (contd)</w:t>
      </w:r>
    </w:p>
    <w:p w14:paraId="5B5B8AA4" w14:textId="77777777" w:rsidR="00C7266C" w:rsidRPr="00D403F5" w:rsidRDefault="00C7266C" w:rsidP="00D403F5">
      <w:pPr>
        <w:spacing w:after="240" w:line="240" w:lineRule="auto"/>
        <w:rPr>
          <w:rFonts w:ascii="Times New Roman" w:hAnsi="Times New Roman" w:cs="Times New Roman"/>
          <w:sz w:val="20"/>
          <w:szCs w:val="20"/>
        </w:rPr>
      </w:pPr>
      <w:r w:rsidRPr="00D403F5">
        <w:rPr>
          <w:rFonts w:ascii="Times New Roman" w:hAnsi="Times New Roman" w:cs="Times New Roman"/>
          <w:sz w:val="20"/>
          <w:szCs w:val="20"/>
          <w:u w:val="single"/>
        </w:rPr>
        <w:t>Annex I</w:t>
      </w:r>
      <w:r w:rsidRPr="00D403F5">
        <w:rPr>
          <w:rFonts w:ascii="Times New Roman" w:hAnsi="Times New Roman" w:cs="Times New Roman"/>
          <w:sz w:val="20"/>
          <w:szCs w:val="20"/>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0CACD3B2"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tcPr>
          <w:p w14:paraId="61E29329" w14:textId="77777777" w:rsidR="00C7266C" w:rsidRPr="00D403F5" w:rsidRDefault="00C7266C" w:rsidP="00D403F5">
            <w:pPr>
              <w:spacing w:after="0"/>
              <w:rPr>
                <w:rFonts w:ascii="Calibri" w:hAnsi="Calibri" w:cs="Calibri"/>
                <w:color w:val="000000"/>
                <w:sz w:val="18"/>
                <w:szCs w:val="18"/>
              </w:rPr>
            </w:pPr>
            <w:r w:rsidRPr="00D403F5">
              <w:rPr>
                <w:rFonts w:ascii="Arial" w:hAnsi="Arial" w:cs="Arial"/>
                <w:b/>
                <w:sz w:val="18"/>
                <w:szCs w:val="18"/>
              </w:rPr>
              <w:t>Common name</w:t>
            </w:r>
          </w:p>
        </w:tc>
        <w:tc>
          <w:tcPr>
            <w:tcW w:w="1705" w:type="dxa"/>
          </w:tcPr>
          <w:p w14:paraId="4C348714" w14:textId="77777777" w:rsidR="00C7266C" w:rsidRPr="00D403F5" w:rsidRDefault="00C7266C" w:rsidP="00D403F5">
            <w:pPr>
              <w:spacing w:after="0"/>
              <w:jc w:val="center"/>
              <w:rPr>
                <w:rFonts w:ascii="Calibri" w:hAnsi="Calibri" w:cs="Calibri"/>
                <w:i/>
                <w:iCs/>
                <w:color w:val="000000"/>
                <w:sz w:val="18"/>
                <w:szCs w:val="18"/>
              </w:rPr>
            </w:pPr>
            <w:r w:rsidRPr="00D403F5">
              <w:rPr>
                <w:rFonts w:ascii="Arial" w:hAnsi="Arial" w:cs="Arial"/>
                <w:b/>
                <w:sz w:val="18"/>
                <w:szCs w:val="18"/>
              </w:rPr>
              <w:t>Genus</w:t>
            </w:r>
          </w:p>
        </w:tc>
        <w:tc>
          <w:tcPr>
            <w:tcW w:w="1626" w:type="dxa"/>
          </w:tcPr>
          <w:p w14:paraId="162ED56C" w14:textId="77777777" w:rsidR="00C7266C" w:rsidRPr="00D403F5" w:rsidRDefault="00C7266C" w:rsidP="00D403F5">
            <w:pPr>
              <w:spacing w:after="0"/>
              <w:jc w:val="center"/>
              <w:rPr>
                <w:rFonts w:ascii="Calibri" w:hAnsi="Calibri" w:cs="Calibri"/>
                <w:i/>
                <w:iCs/>
                <w:color w:val="000000"/>
                <w:sz w:val="18"/>
                <w:szCs w:val="18"/>
              </w:rPr>
            </w:pPr>
            <w:r w:rsidRPr="00D403F5">
              <w:rPr>
                <w:rFonts w:ascii="Arial" w:hAnsi="Arial" w:cs="Arial"/>
                <w:b/>
                <w:sz w:val="18"/>
                <w:szCs w:val="18"/>
              </w:rPr>
              <w:t>Species</w:t>
            </w:r>
          </w:p>
        </w:tc>
        <w:tc>
          <w:tcPr>
            <w:tcW w:w="1080" w:type="dxa"/>
          </w:tcPr>
          <w:p w14:paraId="1DBE4AD5" w14:textId="77777777" w:rsidR="00C7266C" w:rsidRPr="00D403F5" w:rsidRDefault="00C7266C" w:rsidP="00D403F5">
            <w:pPr>
              <w:spacing w:after="0"/>
              <w:jc w:val="center"/>
              <w:rPr>
                <w:color w:val="000000"/>
                <w:sz w:val="18"/>
                <w:szCs w:val="18"/>
                <w:lang w:val="en-US"/>
              </w:rPr>
            </w:pPr>
            <w:r w:rsidRPr="00D403F5">
              <w:rPr>
                <w:rFonts w:ascii="Arial" w:hAnsi="Arial" w:cs="Arial"/>
                <w:b/>
                <w:sz w:val="18"/>
                <w:szCs w:val="18"/>
              </w:rPr>
              <w:t>Genotype</w:t>
            </w:r>
          </w:p>
        </w:tc>
        <w:tc>
          <w:tcPr>
            <w:tcW w:w="1530" w:type="dxa"/>
            <w:shd w:val="clear" w:color="auto" w:fill="auto"/>
          </w:tcPr>
          <w:p w14:paraId="28498281" w14:textId="77777777" w:rsidR="00C7266C" w:rsidRPr="00D403F5" w:rsidRDefault="00C7266C" w:rsidP="00D403F5">
            <w:pPr>
              <w:spacing w:after="0"/>
              <w:jc w:val="center"/>
              <w:rPr>
                <w:color w:val="000000"/>
                <w:sz w:val="18"/>
                <w:szCs w:val="18"/>
                <w:lang w:val="en-US"/>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27206063" w14:textId="77777777" w:rsidR="00C7266C" w:rsidRPr="00D403F5" w:rsidRDefault="00C7266C" w:rsidP="00D403F5">
            <w:pPr>
              <w:spacing w:after="0"/>
              <w:rPr>
                <w:rFonts w:ascii="Calibri" w:hAnsi="Calibri" w:cs="Calibri"/>
                <w:color w:val="000000"/>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201E816B"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4D57BC56" w14:textId="77777777" w:rsidR="00C7266C" w:rsidRPr="00D403F5" w:rsidRDefault="00C7266C" w:rsidP="00D403F5">
            <w:pPr>
              <w:spacing w:after="0"/>
              <w:jc w:val="center"/>
              <w:rPr>
                <w:color w:val="000000"/>
                <w:sz w:val="18"/>
                <w:szCs w:val="18"/>
                <w:lang w:val="en-US"/>
              </w:rPr>
            </w:pPr>
            <w:r w:rsidRPr="00D403F5">
              <w:rPr>
                <w:rFonts w:ascii="Arial" w:hAnsi="Arial" w:cs="Arial"/>
                <w:b/>
                <w:sz w:val="18"/>
                <w:szCs w:val="18"/>
              </w:rPr>
              <w:t>Outcome</w:t>
            </w:r>
          </w:p>
        </w:tc>
        <w:tc>
          <w:tcPr>
            <w:tcW w:w="2070" w:type="dxa"/>
            <w:shd w:val="clear" w:color="auto" w:fill="auto"/>
          </w:tcPr>
          <w:p w14:paraId="39E1209C" w14:textId="77777777" w:rsidR="00C7266C" w:rsidRPr="00D403F5" w:rsidRDefault="00C7266C" w:rsidP="00D403F5">
            <w:pPr>
              <w:spacing w:after="0"/>
              <w:rPr>
                <w:rFonts w:cstheme="minorHAnsi"/>
                <w:color w:val="000000"/>
                <w:sz w:val="18"/>
                <w:szCs w:val="18"/>
              </w:rPr>
            </w:pPr>
            <w:r w:rsidRPr="00D403F5">
              <w:rPr>
                <w:rFonts w:ascii="Arial" w:hAnsi="Arial" w:cs="Arial"/>
                <w:b/>
                <w:sz w:val="18"/>
                <w:szCs w:val="18"/>
              </w:rPr>
              <w:t>References</w:t>
            </w:r>
          </w:p>
        </w:tc>
      </w:tr>
      <w:tr w:rsidR="00C7266C" w:rsidRPr="00D403F5" w14:paraId="5FA8B991"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14:paraId="5D421107" w14:textId="77777777" w:rsidR="00C7266C" w:rsidRPr="00D403F5" w:rsidRDefault="00C7266C" w:rsidP="00D403F5">
            <w:pPr>
              <w:spacing w:after="0"/>
              <w:rPr>
                <w:rFonts w:ascii="Calibri" w:hAnsi="Calibri" w:cs="Calibri"/>
                <w:color w:val="000000"/>
                <w:sz w:val="18"/>
                <w:szCs w:val="18"/>
              </w:rPr>
            </w:pPr>
          </w:p>
        </w:tc>
        <w:tc>
          <w:tcPr>
            <w:tcW w:w="1705" w:type="dxa"/>
            <w:vAlign w:val="center"/>
          </w:tcPr>
          <w:p w14:paraId="4A9430AE" w14:textId="77777777" w:rsidR="00C7266C" w:rsidRPr="00D403F5" w:rsidRDefault="00C7266C" w:rsidP="00D403F5">
            <w:pPr>
              <w:spacing w:after="0"/>
              <w:jc w:val="center"/>
              <w:rPr>
                <w:rFonts w:ascii="Calibri" w:hAnsi="Calibri" w:cs="Calibri"/>
                <w:i/>
                <w:iCs/>
                <w:color w:val="000000"/>
                <w:sz w:val="18"/>
                <w:szCs w:val="18"/>
              </w:rPr>
            </w:pPr>
          </w:p>
        </w:tc>
        <w:tc>
          <w:tcPr>
            <w:tcW w:w="1626" w:type="dxa"/>
            <w:vAlign w:val="center"/>
          </w:tcPr>
          <w:p w14:paraId="321C55B5" w14:textId="77777777" w:rsidR="00C7266C" w:rsidRPr="00D403F5" w:rsidRDefault="00C7266C" w:rsidP="00D403F5">
            <w:pPr>
              <w:spacing w:after="0"/>
              <w:jc w:val="center"/>
              <w:rPr>
                <w:rFonts w:ascii="Calibri" w:hAnsi="Calibri" w:cs="Calibri"/>
                <w:i/>
                <w:iCs/>
                <w:color w:val="000000"/>
                <w:sz w:val="18"/>
                <w:szCs w:val="18"/>
              </w:rPr>
            </w:pPr>
          </w:p>
        </w:tc>
        <w:tc>
          <w:tcPr>
            <w:tcW w:w="1080" w:type="dxa"/>
            <w:vAlign w:val="center"/>
          </w:tcPr>
          <w:p w14:paraId="0410DA13" w14:textId="77777777" w:rsidR="00C7266C" w:rsidRPr="00D403F5" w:rsidRDefault="00C7266C" w:rsidP="00D403F5">
            <w:pPr>
              <w:spacing w:after="0"/>
              <w:jc w:val="center"/>
              <w:rPr>
                <w:color w:val="000000"/>
                <w:sz w:val="18"/>
                <w:szCs w:val="18"/>
                <w:lang w:val="en-US"/>
              </w:rPr>
            </w:pPr>
          </w:p>
        </w:tc>
        <w:tc>
          <w:tcPr>
            <w:tcW w:w="1530" w:type="dxa"/>
            <w:shd w:val="clear" w:color="auto" w:fill="auto"/>
            <w:vAlign w:val="center"/>
          </w:tcPr>
          <w:p w14:paraId="158AABCC" w14:textId="77777777" w:rsidR="00C7266C" w:rsidRPr="00D403F5" w:rsidRDefault="00C7266C" w:rsidP="00D403F5">
            <w:pPr>
              <w:spacing w:after="0"/>
              <w:jc w:val="center"/>
              <w:rPr>
                <w:color w:val="000000"/>
                <w:sz w:val="18"/>
                <w:szCs w:val="18"/>
                <w:lang w:val="en-US"/>
              </w:rPr>
            </w:pPr>
          </w:p>
        </w:tc>
        <w:tc>
          <w:tcPr>
            <w:tcW w:w="1620" w:type="dxa"/>
            <w:shd w:val="clear" w:color="auto" w:fill="auto"/>
            <w:vAlign w:val="center"/>
          </w:tcPr>
          <w:p w14:paraId="03ED80FD" w14:textId="77777777" w:rsidR="00C7266C" w:rsidRPr="00D403F5" w:rsidRDefault="00C7266C" w:rsidP="00D403F5">
            <w:pPr>
              <w:spacing w:after="0"/>
              <w:rPr>
                <w:rFonts w:ascii="Calibri" w:hAnsi="Calibri" w:cs="Calibri"/>
                <w:color w:val="000000"/>
                <w:sz w:val="18"/>
                <w:szCs w:val="18"/>
              </w:rPr>
            </w:pPr>
          </w:p>
        </w:tc>
        <w:tc>
          <w:tcPr>
            <w:tcW w:w="715" w:type="dxa"/>
            <w:shd w:val="clear" w:color="auto" w:fill="auto"/>
            <w:vAlign w:val="center"/>
          </w:tcPr>
          <w:p w14:paraId="497A0F26"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sz w:val="18"/>
                <w:szCs w:val="18"/>
              </w:rPr>
              <w:t>A</w:t>
            </w:r>
          </w:p>
        </w:tc>
        <w:tc>
          <w:tcPr>
            <w:tcW w:w="540" w:type="dxa"/>
            <w:shd w:val="clear" w:color="auto" w:fill="auto"/>
            <w:vAlign w:val="center"/>
          </w:tcPr>
          <w:p w14:paraId="6AA40935"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sz w:val="18"/>
                <w:szCs w:val="18"/>
              </w:rPr>
              <w:t>B</w:t>
            </w:r>
          </w:p>
        </w:tc>
        <w:tc>
          <w:tcPr>
            <w:tcW w:w="540" w:type="dxa"/>
            <w:shd w:val="clear" w:color="auto" w:fill="auto"/>
            <w:vAlign w:val="center"/>
          </w:tcPr>
          <w:p w14:paraId="32021F61"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sz w:val="18"/>
                <w:szCs w:val="18"/>
              </w:rPr>
              <w:t>C</w:t>
            </w:r>
          </w:p>
        </w:tc>
        <w:tc>
          <w:tcPr>
            <w:tcW w:w="455" w:type="dxa"/>
            <w:shd w:val="clear" w:color="auto" w:fill="auto"/>
            <w:vAlign w:val="center"/>
          </w:tcPr>
          <w:p w14:paraId="167AA003" w14:textId="77777777" w:rsidR="00C7266C" w:rsidRPr="00D403F5" w:rsidRDefault="00C7266C" w:rsidP="00D403F5">
            <w:pPr>
              <w:spacing w:after="0"/>
              <w:jc w:val="center"/>
              <w:rPr>
                <w:rFonts w:ascii="Calibri" w:hAnsi="Calibri" w:cs="Calibri"/>
                <w:color w:val="000000"/>
                <w:sz w:val="18"/>
                <w:szCs w:val="18"/>
              </w:rPr>
            </w:pPr>
          </w:p>
        </w:tc>
        <w:tc>
          <w:tcPr>
            <w:tcW w:w="1170" w:type="dxa"/>
            <w:vAlign w:val="center"/>
          </w:tcPr>
          <w:p w14:paraId="79594969" w14:textId="77777777" w:rsidR="00C7266C" w:rsidRPr="00D403F5" w:rsidRDefault="00C7266C" w:rsidP="00D403F5">
            <w:pPr>
              <w:spacing w:after="0"/>
              <w:jc w:val="center"/>
              <w:rPr>
                <w:color w:val="000000"/>
                <w:sz w:val="18"/>
                <w:szCs w:val="18"/>
                <w:lang w:val="en-US"/>
              </w:rPr>
            </w:pPr>
          </w:p>
        </w:tc>
        <w:tc>
          <w:tcPr>
            <w:tcW w:w="2070" w:type="dxa"/>
            <w:shd w:val="clear" w:color="auto" w:fill="auto"/>
            <w:vAlign w:val="center"/>
          </w:tcPr>
          <w:p w14:paraId="7162356E" w14:textId="77777777" w:rsidR="00C7266C" w:rsidRPr="00D403F5" w:rsidRDefault="00C7266C" w:rsidP="00D403F5">
            <w:pPr>
              <w:spacing w:after="0"/>
              <w:rPr>
                <w:rFonts w:cstheme="minorHAnsi"/>
                <w:color w:val="000000"/>
                <w:sz w:val="18"/>
                <w:szCs w:val="18"/>
              </w:rPr>
            </w:pPr>
          </w:p>
        </w:tc>
      </w:tr>
      <w:tr w:rsidR="00C7266C" w:rsidRPr="00D403F5" w14:paraId="39D71D94" w14:textId="77777777" w:rsidTr="00C7266C">
        <w:trPr>
          <w:cantSplit/>
        </w:trPr>
        <w:tc>
          <w:tcPr>
            <w:tcW w:w="1794" w:type="dxa"/>
            <w:shd w:val="clear" w:color="auto" w:fill="F2F2F2" w:themeFill="background1" w:themeFillShade="F2"/>
          </w:tcPr>
          <w:p w14:paraId="66E3CC36" w14:textId="77777777" w:rsidR="00C7266C" w:rsidRPr="00D403F5" w:rsidRDefault="00C7266C" w:rsidP="00D403F5">
            <w:pPr>
              <w:spacing w:after="0"/>
              <w:jc w:val="center"/>
              <w:rPr>
                <w:b/>
                <w:bCs/>
                <w:i/>
                <w:iCs/>
                <w:color w:val="000000"/>
                <w:sz w:val="18"/>
                <w:szCs w:val="18"/>
                <w:lang w:val="en-US"/>
              </w:rPr>
            </w:pPr>
          </w:p>
        </w:tc>
        <w:tc>
          <w:tcPr>
            <w:tcW w:w="13051" w:type="dxa"/>
            <w:gridSpan w:val="11"/>
            <w:shd w:val="clear" w:color="auto" w:fill="F2F2F2" w:themeFill="background1" w:themeFillShade="F2"/>
          </w:tcPr>
          <w:p w14:paraId="4C1E19F8" w14:textId="77777777" w:rsidR="00C7266C" w:rsidRPr="00D403F5" w:rsidRDefault="00C7266C" w:rsidP="00D403F5">
            <w:pPr>
              <w:spacing w:after="0"/>
              <w:jc w:val="center"/>
              <w:rPr>
                <w:b/>
                <w:bCs/>
                <w:i/>
                <w:iCs/>
                <w:color w:val="000000"/>
                <w:sz w:val="18"/>
                <w:szCs w:val="18"/>
                <w:lang w:val="en-US"/>
              </w:rPr>
            </w:pPr>
            <w:r w:rsidRPr="00D403F5">
              <w:rPr>
                <w:b/>
                <w:bCs/>
                <w:i/>
                <w:iCs/>
                <w:color w:val="000000"/>
                <w:sz w:val="18"/>
                <w:szCs w:val="18"/>
                <w:lang w:val="en-US"/>
              </w:rPr>
              <w:t>Score 3</w:t>
            </w:r>
          </w:p>
        </w:tc>
      </w:tr>
      <w:tr w:rsidR="00C7266C" w:rsidRPr="00D403F5" w14:paraId="0B250DA8" w14:textId="77777777" w:rsidTr="00C7266C">
        <w:trPr>
          <w:cantSplit/>
        </w:trPr>
        <w:tc>
          <w:tcPr>
            <w:tcW w:w="1794" w:type="dxa"/>
            <w:vAlign w:val="center"/>
          </w:tcPr>
          <w:p w14:paraId="0C96927B" w14:textId="77777777" w:rsidR="00C7266C" w:rsidRPr="00D403F5" w:rsidRDefault="00C7266C" w:rsidP="00D403F5">
            <w:pPr>
              <w:spacing w:after="0"/>
              <w:rPr>
                <w:rFonts w:cstheme="minorHAnsi"/>
                <w:color w:val="000000"/>
                <w:sz w:val="18"/>
                <w:szCs w:val="18"/>
                <w:lang w:val="en-US"/>
              </w:rPr>
            </w:pPr>
            <w:bookmarkStart w:id="110" w:name="_Hlk20721819"/>
            <w:bookmarkStart w:id="111" w:name="_Hlk20721832"/>
            <w:r w:rsidRPr="00D403F5">
              <w:rPr>
                <w:rFonts w:cstheme="minorHAnsi"/>
                <w:color w:val="000000"/>
                <w:sz w:val="18"/>
                <w:szCs w:val="18"/>
              </w:rPr>
              <w:t xml:space="preserve">Black cod </w:t>
            </w:r>
            <w:bookmarkEnd w:id="110"/>
            <w:r w:rsidRPr="00D403F5">
              <w:rPr>
                <w:rFonts w:cstheme="minorHAnsi"/>
                <w:color w:val="000000"/>
                <w:sz w:val="18"/>
                <w:szCs w:val="18"/>
              </w:rPr>
              <w:t>= Sablefish</w:t>
            </w:r>
          </w:p>
        </w:tc>
        <w:tc>
          <w:tcPr>
            <w:tcW w:w="1705" w:type="dxa"/>
            <w:vAlign w:val="center"/>
          </w:tcPr>
          <w:p w14:paraId="077E38C0" w14:textId="77777777" w:rsidR="00C7266C" w:rsidRPr="00D403F5" w:rsidRDefault="00C7266C" w:rsidP="00D403F5">
            <w:pPr>
              <w:spacing w:after="0"/>
              <w:jc w:val="center"/>
              <w:rPr>
                <w:rFonts w:cstheme="minorHAnsi"/>
                <w:color w:val="000000"/>
                <w:sz w:val="18"/>
                <w:szCs w:val="18"/>
                <w:lang w:val="nb-NO"/>
              </w:rPr>
            </w:pPr>
            <w:r w:rsidRPr="00D403F5">
              <w:rPr>
                <w:rFonts w:cstheme="minorHAnsi"/>
                <w:i/>
                <w:iCs/>
                <w:color w:val="000000"/>
                <w:sz w:val="18"/>
                <w:szCs w:val="18"/>
              </w:rPr>
              <w:t xml:space="preserve">Anoplopoma </w:t>
            </w:r>
          </w:p>
        </w:tc>
        <w:tc>
          <w:tcPr>
            <w:tcW w:w="1626" w:type="dxa"/>
            <w:vAlign w:val="center"/>
          </w:tcPr>
          <w:p w14:paraId="1053DCD8" w14:textId="77777777" w:rsidR="00C7266C" w:rsidRPr="00D403F5" w:rsidRDefault="00C7266C" w:rsidP="00D403F5">
            <w:pPr>
              <w:spacing w:after="0"/>
              <w:jc w:val="center"/>
              <w:rPr>
                <w:rFonts w:cstheme="minorHAnsi"/>
                <w:color w:val="000000"/>
                <w:sz w:val="18"/>
                <w:szCs w:val="18"/>
                <w:lang w:val="nb-NO"/>
              </w:rPr>
            </w:pPr>
            <w:r w:rsidRPr="00D403F5">
              <w:rPr>
                <w:rFonts w:cstheme="minorHAnsi"/>
                <w:i/>
                <w:iCs/>
                <w:color w:val="000000"/>
                <w:sz w:val="18"/>
                <w:szCs w:val="18"/>
              </w:rPr>
              <w:t>fimbria</w:t>
            </w:r>
          </w:p>
        </w:tc>
        <w:tc>
          <w:tcPr>
            <w:tcW w:w="1080" w:type="dxa"/>
            <w:vAlign w:val="center"/>
          </w:tcPr>
          <w:p w14:paraId="7C4BFBB1" w14:textId="77777777" w:rsidR="00C7266C" w:rsidRPr="00D403F5" w:rsidRDefault="00C7266C" w:rsidP="00D403F5">
            <w:pPr>
              <w:spacing w:after="0"/>
              <w:jc w:val="center"/>
              <w:rPr>
                <w:rFonts w:cstheme="minorHAnsi"/>
                <w:color w:val="000000"/>
                <w:sz w:val="18"/>
                <w:szCs w:val="18"/>
                <w:lang w:val="nb-NO"/>
              </w:rPr>
            </w:pPr>
          </w:p>
        </w:tc>
        <w:tc>
          <w:tcPr>
            <w:tcW w:w="1530" w:type="dxa"/>
            <w:shd w:val="clear" w:color="auto" w:fill="auto"/>
            <w:vAlign w:val="center"/>
          </w:tcPr>
          <w:p w14:paraId="0A03C278"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N</w:t>
            </w:r>
          </w:p>
        </w:tc>
        <w:tc>
          <w:tcPr>
            <w:tcW w:w="1620" w:type="dxa"/>
            <w:shd w:val="clear" w:color="auto" w:fill="auto"/>
            <w:vAlign w:val="center"/>
          </w:tcPr>
          <w:p w14:paraId="4D483129" w14:textId="77777777" w:rsidR="00C7266C" w:rsidRPr="00D403F5" w:rsidRDefault="00C7266C" w:rsidP="00D403F5">
            <w:pPr>
              <w:spacing w:after="0"/>
              <w:rPr>
                <w:rFonts w:cstheme="minorHAnsi"/>
                <w:color w:val="000000"/>
                <w:sz w:val="18"/>
                <w:szCs w:val="18"/>
                <w:lang w:val="nb-NO"/>
              </w:rPr>
            </w:pPr>
            <w:r w:rsidRPr="00D403F5">
              <w:rPr>
                <w:rFonts w:cstheme="minorHAnsi"/>
                <w:color w:val="000000"/>
                <w:sz w:val="18"/>
                <w:szCs w:val="18"/>
                <w:lang w:val="nb-NO"/>
              </w:rPr>
              <w:t>PCR</w:t>
            </w:r>
          </w:p>
        </w:tc>
        <w:tc>
          <w:tcPr>
            <w:tcW w:w="715" w:type="dxa"/>
            <w:shd w:val="clear" w:color="auto" w:fill="auto"/>
            <w:vAlign w:val="center"/>
          </w:tcPr>
          <w:p w14:paraId="6592DB3E"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ND</w:t>
            </w:r>
          </w:p>
        </w:tc>
        <w:tc>
          <w:tcPr>
            <w:tcW w:w="540" w:type="dxa"/>
            <w:shd w:val="clear" w:color="auto" w:fill="auto"/>
            <w:vAlign w:val="center"/>
          </w:tcPr>
          <w:p w14:paraId="4DF1C233"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ND</w:t>
            </w:r>
          </w:p>
        </w:tc>
        <w:tc>
          <w:tcPr>
            <w:tcW w:w="540" w:type="dxa"/>
            <w:shd w:val="clear" w:color="auto" w:fill="auto"/>
            <w:vAlign w:val="center"/>
          </w:tcPr>
          <w:p w14:paraId="4EB3EEDA"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ND</w:t>
            </w:r>
          </w:p>
        </w:tc>
        <w:tc>
          <w:tcPr>
            <w:tcW w:w="455" w:type="dxa"/>
            <w:shd w:val="clear" w:color="auto" w:fill="auto"/>
            <w:vAlign w:val="center"/>
          </w:tcPr>
          <w:p w14:paraId="67DEF03E"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rPr>
              <w:t>Y</w:t>
            </w:r>
          </w:p>
        </w:tc>
        <w:tc>
          <w:tcPr>
            <w:tcW w:w="1170" w:type="dxa"/>
            <w:vAlign w:val="center"/>
          </w:tcPr>
          <w:p w14:paraId="6EB36C90" w14:textId="77777777" w:rsidR="00C7266C" w:rsidRPr="00D403F5" w:rsidRDefault="00C7266C" w:rsidP="00D403F5">
            <w:pPr>
              <w:spacing w:after="0"/>
              <w:jc w:val="center"/>
              <w:rPr>
                <w:rFonts w:cstheme="minorHAnsi"/>
                <w:color w:val="000000"/>
                <w:sz w:val="18"/>
                <w:szCs w:val="18"/>
                <w:lang w:val="nb-NO"/>
              </w:rPr>
            </w:pPr>
            <w:r w:rsidRPr="00D403F5">
              <w:rPr>
                <w:rFonts w:cstheme="minorHAnsi"/>
                <w:color w:val="000000"/>
                <w:sz w:val="18"/>
                <w:szCs w:val="18"/>
                <w:lang w:val="nb-NO"/>
              </w:rPr>
              <w:t>3</w:t>
            </w:r>
          </w:p>
        </w:tc>
        <w:tc>
          <w:tcPr>
            <w:tcW w:w="2070" w:type="dxa"/>
            <w:shd w:val="clear" w:color="auto" w:fill="auto"/>
            <w:vAlign w:val="center"/>
          </w:tcPr>
          <w:p w14:paraId="7458BBAF" w14:textId="77777777" w:rsidR="00C7266C" w:rsidRPr="00D403F5" w:rsidRDefault="00C7266C" w:rsidP="00D403F5">
            <w:pPr>
              <w:spacing w:after="0"/>
              <w:rPr>
                <w:rFonts w:cstheme="minorHAnsi"/>
                <w:color w:val="000000"/>
                <w:sz w:val="18"/>
                <w:szCs w:val="18"/>
                <w:lang w:val="en-US"/>
              </w:rPr>
            </w:pPr>
            <w:r w:rsidRPr="00D403F5">
              <w:rPr>
                <w:rFonts w:cstheme="minorHAnsi"/>
                <w:color w:val="000000"/>
                <w:sz w:val="18"/>
                <w:szCs w:val="18"/>
              </w:rPr>
              <w:t xml:space="preserve">Hedrick </w:t>
            </w:r>
            <w:r w:rsidRPr="00D403F5">
              <w:rPr>
                <w:rFonts w:cstheme="minorHAnsi"/>
                <w:i/>
                <w:iCs/>
                <w:color w:val="000000"/>
                <w:sz w:val="18"/>
                <w:szCs w:val="18"/>
                <w:lang w:val="nb-NO"/>
              </w:rPr>
              <w:t>et al</w:t>
            </w:r>
            <w:r w:rsidRPr="00D403F5">
              <w:rPr>
                <w:rFonts w:cstheme="minorHAnsi"/>
                <w:color w:val="000000"/>
                <w:sz w:val="18"/>
                <w:szCs w:val="18"/>
              </w:rPr>
              <w:t>., 2003</w:t>
            </w:r>
          </w:p>
        </w:tc>
      </w:tr>
      <w:bookmarkEnd w:id="111"/>
      <w:tr w:rsidR="00C7266C" w:rsidRPr="00D403F5" w14:paraId="4A247FFA" w14:textId="77777777" w:rsidTr="00C7266C">
        <w:trPr>
          <w:cantSplit/>
        </w:trPr>
        <w:tc>
          <w:tcPr>
            <w:tcW w:w="1794" w:type="dxa"/>
            <w:shd w:val="clear" w:color="auto" w:fill="F2F2F2" w:themeFill="background1" w:themeFillShade="F2"/>
          </w:tcPr>
          <w:p w14:paraId="27899ADC" w14:textId="77777777" w:rsidR="00C7266C" w:rsidRPr="00D403F5" w:rsidRDefault="00C7266C" w:rsidP="00D403F5">
            <w:pPr>
              <w:spacing w:after="0"/>
              <w:jc w:val="center"/>
              <w:rPr>
                <w:rFonts w:cstheme="minorHAnsi"/>
                <w:b/>
                <w:bCs/>
                <w:i/>
                <w:iCs/>
                <w:color w:val="000000"/>
                <w:sz w:val="18"/>
                <w:szCs w:val="18"/>
              </w:rPr>
            </w:pPr>
          </w:p>
        </w:tc>
        <w:tc>
          <w:tcPr>
            <w:tcW w:w="13051" w:type="dxa"/>
            <w:gridSpan w:val="11"/>
            <w:shd w:val="clear" w:color="auto" w:fill="F2F2F2" w:themeFill="background1" w:themeFillShade="F2"/>
            <w:vAlign w:val="center"/>
          </w:tcPr>
          <w:p w14:paraId="65069F92" w14:textId="77777777" w:rsidR="00C7266C" w:rsidRPr="00D403F5" w:rsidRDefault="00C7266C" w:rsidP="00D403F5">
            <w:pPr>
              <w:spacing w:after="0"/>
              <w:jc w:val="center"/>
              <w:rPr>
                <w:rFonts w:cstheme="minorHAnsi"/>
                <w:i/>
                <w:iCs/>
                <w:color w:val="000000"/>
                <w:sz w:val="18"/>
                <w:szCs w:val="18"/>
                <w:lang w:val="en-US"/>
              </w:rPr>
            </w:pPr>
            <w:r w:rsidRPr="00D403F5">
              <w:rPr>
                <w:rFonts w:cstheme="minorHAnsi"/>
                <w:b/>
                <w:bCs/>
                <w:i/>
                <w:iCs/>
                <w:color w:val="000000"/>
                <w:sz w:val="18"/>
                <w:szCs w:val="18"/>
              </w:rPr>
              <w:t>Score 4</w:t>
            </w:r>
          </w:p>
        </w:tc>
      </w:tr>
      <w:tr w:rsidR="00C7266C" w:rsidRPr="00D403F5" w14:paraId="74073EBF" w14:textId="77777777" w:rsidTr="00C7266C">
        <w:trPr>
          <w:cantSplit/>
        </w:trPr>
        <w:tc>
          <w:tcPr>
            <w:tcW w:w="1794" w:type="dxa"/>
          </w:tcPr>
          <w:p w14:paraId="754E6EC9" w14:textId="77777777" w:rsidR="00C7266C" w:rsidRPr="00D403F5" w:rsidRDefault="00C7266C" w:rsidP="00D403F5">
            <w:pPr>
              <w:spacing w:after="0"/>
              <w:rPr>
                <w:rFonts w:cstheme="minorHAnsi"/>
                <w:color w:val="000000"/>
                <w:sz w:val="18"/>
                <w:szCs w:val="18"/>
              </w:rPr>
            </w:pPr>
          </w:p>
        </w:tc>
        <w:tc>
          <w:tcPr>
            <w:tcW w:w="13051" w:type="dxa"/>
            <w:gridSpan w:val="11"/>
            <w:vAlign w:val="center"/>
          </w:tcPr>
          <w:p w14:paraId="5CFD1479"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No species were found to be non-susceptible to infection with VHSV</w:t>
            </w:r>
          </w:p>
        </w:tc>
      </w:tr>
      <w:tr w:rsidR="00C7266C" w:rsidRPr="00D403F5" w14:paraId="3B2077BF" w14:textId="77777777" w:rsidTr="00C7266C">
        <w:trPr>
          <w:cantSplit/>
        </w:trPr>
        <w:tc>
          <w:tcPr>
            <w:tcW w:w="1794" w:type="dxa"/>
            <w:shd w:val="clear" w:color="auto" w:fill="F2F2F2" w:themeFill="background1" w:themeFillShade="F2"/>
          </w:tcPr>
          <w:p w14:paraId="54FF0897" w14:textId="77777777" w:rsidR="00C7266C" w:rsidRPr="00D403F5" w:rsidRDefault="00C7266C" w:rsidP="00D403F5">
            <w:pPr>
              <w:spacing w:after="0"/>
              <w:jc w:val="center"/>
              <w:rPr>
                <w:rFonts w:cstheme="minorHAnsi"/>
                <w:b/>
                <w:bCs/>
                <w:i/>
                <w:iCs/>
                <w:color w:val="000000"/>
                <w:sz w:val="18"/>
                <w:szCs w:val="18"/>
                <w:lang w:val="en-US"/>
              </w:rPr>
            </w:pPr>
          </w:p>
        </w:tc>
        <w:tc>
          <w:tcPr>
            <w:tcW w:w="13051" w:type="dxa"/>
            <w:gridSpan w:val="11"/>
            <w:shd w:val="clear" w:color="auto" w:fill="F2F2F2" w:themeFill="background1" w:themeFillShade="F2"/>
            <w:vAlign w:val="center"/>
          </w:tcPr>
          <w:p w14:paraId="56F97593" w14:textId="77777777" w:rsidR="00C7266C" w:rsidRPr="00D403F5" w:rsidRDefault="00C7266C" w:rsidP="00D403F5">
            <w:pPr>
              <w:spacing w:after="0"/>
              <w:jc w:val="center"/>
              <w:rPr>
                <w:rFonts w:cstheme="minorHAnsi"/>
                <w:b/>
                <w:bCs/>
                <w:i/>
                <w:iCs/>
                <w:color w:val="000000"/>
                <w:sz w:val="18"/>
                <w:szCs w:val="18"/>
              </w:rPr>
            </w:pPr>
            <w:r w:rsidRPr="00D403F5">
              <w:rPr>
                <w:rFonts w:cstheme="minorHAnsi"/>
                <w:b/>
                <w:bCs/>
                <w:i/>
                <w:iCs/>
                <w:color w:val="000000"/>
                <w:sz w:val="18"/>
                <w:szCs w:val="18"/>
                <w:lang w:val="en-US"/>
              </w:rPr>
              <w:t>Vectors</w:t>
            </w:r>
          </w:p>
        </w:tc>
      </w:tr>
      <w:tr w:rsidR="00C7266C" w:rsidRPr="00D403F5" w14:paraId="5C4280D2" w14:textId="77777777" w:rsidTr="00C7266C">
        <w:trPr>
          <w:cantSplit/>
        </w:trPr>
        <w:tc>
          <w:tcPr>
            <w:tcW w:w="1794" w:type="dxa"/>
            <w:vAlign w:val="center"/>
          </w:tcPr>
          <w:p w14:paraId="679EB114" w14:textId="77777777" w:rsidR="00C7266C" w:rsidRPr="00D403F5" w:rsidRDefault="00C7266C" w:rsidP="00D403F5">
            <w:pPr>
              <w:spacing w:after="0"/>
              <w:rPr>
                <w:rFonts w:cstheme="minorHAnsi"/>
                <w:color w:val="000000"/>
                <w:sz w:val="18"/>
                <w:szCs w:val="18"/>
              </w:rPr>
            </w:pPr>
            <w:r w:rsidRPr="00D403F5">
              <w:rPr>
                <w:rFonts w:cstheme="minorHAnsi"/>
                <w:sz w:val="18"/>
                <w:szCs w:val="18"/>
              </w:rPr>
              <w:t>Amphipod</w:t>
            </w:r>
          </w:p>
        </w:tc>
        <w:tc>
          <w:tcPr>
            <w:tcW w:w="1705" w:type="dxa"/>
            <w:vAlign w:val="center"/>
          </w:tcPr>
          <w:p w14:paraId="4DFC2C2C" w14:textId="77777777" w:rsidR="00C7266C" w:rsidRPr="00D403F5" w:rsidRDefault="00C7266C" w:rsidP="00D403F5">
            <w:pPr>
              <w:spacing w:after="0"/>
              <w:rPr>
                <w:rFonts w:cstheme="minorHAnsi"/>
                <w:color w:val="000000"/>
                <w:sz w:val="18"/>
                <w:szCs w:val="18"/>
              </w:rPr>
            </w:pPr>
            <w:r w:rsidRPr="00D403F5">
              <w:rPr>
                <w:rFonts w:cstheme="minorHAnsi"/>
                <w:i/>
                <w:iCs/>
                <w:color w:val="000000"/>
                <w:sz w:val="18"/>
                <w:szCs w:val="18"/>
              </w:rPr>
              <w:t>Hyalellea</w:t>
            </w:r>
          </w:p>
        </w:tc>
        <w:tc>
          <w:tcPr>
            <w:tcW w:w="1626" w:type="dxa"/>
            <w:vAlign w:val="center"/>
          </w:tcPr>
          <w:p w14:paraId="5E378101" w14:textId="77777777" w:rsidR="00C7266C" w:rsidRPr="00D403F5" w:rsidRDefault="00C7266C" w:rsidP="00D403F5">
            <w:pPr>
              <w:spacing w:after="0"/>
              <w:rPr>
                <w:rFonts w:cstheme="minorHAnsi"/>
                <w:i/>
                <w:iCs/>
                <w:sz w:val="18"/>
                <w:szCs w:val="18"/>
              </w:rPr>
            </w:pPr>
            <w:r w:rsidRPr="00D403F5">
              <w:rPr>
                <w:rFonts w:cstheme="minorHAnsi"/>
                <w:i/>
                <w:iCs/>
                <w:sz w:val="18"/>
                <w:szCs w:val="18"/>
              </w:rPr>
              <w:t>spp.</w:t>
            </w:r>
          </w:p>
        </w:tc>
        <w:tc>
          <w:tcPr>
            <w:tcW w:w="1080" w:type="dxa"/>
            <w:vAlign w:val="center"/>
          </w:tcPr>
          <w:p w14:paraId="125CE838"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IVb</w:t>
            </w:r>
          </w:p>
        </w:tc>
        <w:tc>
          <w:tcPr>
            <w:tcW w:w="1530" w:type="dxa"/>
            <w:vAlign w:val="center"/>
          </w:tcPr>
          <w:p w14:paraId="1145728E"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lang w:val="en-US"/>
              </w:rPr>
              <w:t>N</w:t>
            </w:r>
          </w:p>
        </w:tc>
        <w:tc>
          <w:tcPr>
            <w:tcW w:w="1620" w:type="dxa"/>
            <w:vAlign w:val="center"/>
          </w:tcPr>
          <w:p w14:paraId="30486CA1"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rRT-PCR</w:t>
            </w:r>
          </w:p>
        </w:tc>
        <w:tc>
          <w:tcPr>
            <w:tcW w:w="715" w:type="dxa"/>
            <w:vAlign w:val="center"/>
          </w:tcPr>
          <w:p w14:paraId="657C3B6C"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ND</w:t>
            </w:r>
          </w:p>
        </w:tc>
        <w:tc>
          <w:tcPr>
            <w:tcW w:w="540" w:type="dxa"/>
            <w:vAlign w:val="center"/>
          </w:tcPr>
          <w:p w14:paraId="6A007D64"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540" w:type="dxa"/>
            <w:vAlign w:val="center"/>
          </w:tcPr>
          <w:p w14:paraId="2FD75965"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455" w:type="dxa"/>
            <w:vAlign w:val="center"/>
          </w:tcPr>
          <w:p w14:paraId="738D3907"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1170" w:type="dxa"/>
            <w:vAlign w:val="center"/>
          </w:tcPr>
          <w:p w14:paraId="0BD1AA5F"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lang w:val="en-US"/>
              </w:rPr>
              <w:t>3</w:t>
            </w:r>
          </w:p>
        </w:tc>
        <w:tc>
          <w:tcPr>
            <w:tcW w:w="2070" w:type="dxa"/>
            <w:vAlign w:val="center"/>
          </w:tcPr>
          <w:p w14:paraId="0581B67D"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 xml:space="preserve">Throckmorton </w:t>
            </w:r>
            <w:r w:rsidRPr="00D403F5">
              <w:rPr>
                <w:rFonts w:cstheme="minorHAnsi"/>
                <w:i/>
                <w:iCs/>
                <w:color w:val="000000"/>
                <w:sz w:val="18"/>
                <w:szCs w:val="18"/>
                <w:lang w:val="nb-NO"/>
              </w:rPr>
              <w:t>et al</w:t>
            </w:r>
            <w:r w:rsidRPr="00D403F5">
              <w:rPr>
                <w:rFonts w:cstheme="minorHAnsi"/>
                <w:color w:val="000000"/>
                <w:sz w:val="18"/>
                <w:szCs w:val="18"/>
              </w:rPr>
              <w:t>., 2017</w:t>
            </w:r>
          </w:p>
        </w:tc>
      </w:tr>
      <w:tr w:rsidR="00C7266C" w:rsidRPr="00D403F5" w14:paraId="21B8CC5F" w14:textId="77777777" w:rsidTr="00C7266C">
        <w:trPr>
          <w:cantSplit/>
        </w:trPr>
        <w:tc>
          <w:tcPr>
            <w:tcW w:w="1794" w:type="dxa"/>
            <w:vAlign w:val="center"/>
          </w:tcPr>
          <w:p w14:paraId="7E54E6F4" w14:textId="77777777" w:rsidR="00C7266C" w:rsidRPr="00D403F5" w:rsidRDefault="00C7266C" w:rsidP="00D403F5">
            <w:pPr>
              <w:spacing w:after="0"/>
              <w:rPr>
                <w:rFonts w:cstheme="minorHAnsi"/>
                <w:color w:val="000000"/>
                <w:sz w:val="18"/>
                <w:szCs w:val="18"/>
              </w:rPr>
            </w:pPr>
            <w:r w:rsidRPr="00D403F5">
              <w:rPr>
                <w:rFonts w:cstheme="minorHAnsi"/>
                <w:sz w:val="18"/>
                <w:szCs w:val="18"/>
              </w:rPr>
              <w:t>Amphipod</w:t>
            </w:r>
          </w:p>
        </w:tc>
        <w:tc>
          <w:tcPr>
            <w:tcW w:w="1705" w:type="dxa"/>
            <w:vAlign w:val="center"/>
          </w:tcPr>
          <w:p w14:paraId="1A2D29B6" w14:textId="77777777" w:rsidR="00C7266C" w:rsidRPr="00D403F5" w:rsidRDefault="00C7266C" w:rsidP="00D403F5">
            <w:pPr>
              <w:spacing w:after="0"/>
              <w:rPr>
                <w:rFonts w:cstheme="minorHAnsi"/>
                <w:color w:val="000000"/>
                <w:sz w:val="18"/>
                <w:szCs w:val="18"/>
              </w:rPr>
            </w:pPr>
            <w:r w:rsidRPr="00D403F5">
              <w:rPr>
                <w:rFonts w:cstheme="minorHAnsi"/>
                <w:i/>
                <w:iCs/>
                <w:color w:val="000000"/>
                <w:sz w:val="18"/>
                <w:szCs w:val="18"/>
              </w:rPr>
              <w:t xml:space="preserve">Diporeia </w:t>
            </w:r>
          </w:p>
        </w:tc>
        <w:tc>
          <w:tcPr>
            <w:tcW w:w="1626" w:type="dxa"/>
            <w:vAlign w:val="center"/>
          </w:tcPr>
          <w:p w14:paraId="51A5E363" w14:textId="77777777" w:rsidR="00C7266C" w:rsidRPr="00D403F5" w:rsidRDefault="00C7266C" w:rsidP="00D403F5">
            <w:pPr>
              <w:spacing w:after="0"/>
              <w:rPr>
                <w:rFonts w:cstheme="minorHAnsi"/>
                <w:i/>
                <w:iCs/>
                <w:sz w:val="18"/>
                <w:szCs w:val="18"/>
              </w:rPr>
            </w:pPr>
            <w:r w:rsidRPr="00D403F5">
              <w:rPr>
                <w:rFonts w:cstheme="minorHAnsi"/>
                <w:i/>
                <w:iCs/>
                <w:sz w:val="18"/>
                <w:szCs w:val="18"/>
              </w:rPr>
              <w:t>ssp.</w:t>
            </w:r>
          </w:p>
        </w:tc>
        <w:tc>
          <w:tcPr>
            <w:tcW w:w="1080" w:type="dxa"/>
            <w:vAlign w:val="center"/>
          </w:tcPr>
          <w:p w14:paraId="6411369D"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IVb</w:t>
            </w:r>
          </w:p>
        </w:tc>
        <w:tc>
          <w:tcPr>
            <w:tcW w:w="1530" w:type="dxa"/>
            <w:vAlign w:val="center"/>
          </w:tcPr>
          <w:p w14:paraId="03690339"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lang w:val="en-US"/>
              </w:rPr>
              <w:t>N</w:t>
            </w:r>
          </w:p>
        </w:tc>
        <w:tc>
          <w:tcPr>
            <w:tcW w:w="1620" w:type="dxa"/>
            <w:vAlign w:val="center"/>
          </w:tcPr>
          <w:p w14:paraId="6EAD618B"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Virus isolation, RT-PCR, sequencing</w:t>
            </w:r>
          </w:p>
        </w:tc>
        <w:tc>
          <w:tcPr>
            <w:tcW w:w="715" w:type="dxa"/>
            <w:vAlign w:val="center"/>
          </w:tcPr>
          <w:p w14:paraId="0C840869"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ND</w:t>
            </w:r>
          </w:p>
        </w:tc>
        <w:tc>
          <w:tcPr>
            <w:tcW w:w="540" w:type="dxa"/>
            <w:vAlign w:val="center"/>
          </w:tcPr>
          <w:p w14:paraId="404361D0"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Y</w:t>
            </w:r>
          </w:p>
        </w:tc>
        <w:tc>
          <w:tcPr>
            <w:tcW w:w="540" w:type="dxa"/>
            <w:vAlign w:val="center"/>
          </w:tcPr>
          <w:p w14:paraId="740C2ED8"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455" w:type="dxa"/>
            <w:vAlign w:val="center"/>
          </w:tcPr>
          <w:p w14:paraId="126DFCD9"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1170" w:type="dxa"/>
            <w:vAlign w:val="center"/>
          </w:tcPr>
          <w:p w14:paraId="2089C55C"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lang w:val="en-US"/>
              </w:rPr>
              <w:t>3</w:t>
            </w:r>
          </w:p>
        </w:tc>
        <w:tc>
          <w:tcPr>
            <w:tcW w:w="2070" w:type="dxa"/>
            <w:vAlign w:val="center"/>
          </w:tcPr>
          <w:p w14:paraId="60651A8F"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Faisal &amp; Winters, 2011</w:t>
            </w:r>
          </w:p>
        </w:tc>
      </w:tr>
      <w:tr w:rsidR="00C7266C" w:rsidRPr="00D403F5" w14:paraId="6309F54F" w14:textId="77777777" w:rsidTr="00C7266C">
        <w:trPr>
          <w:cantSplit/>
        </w:trPr>
        <w:tc>
          <w:tcPr>
            <w:tcW w:w="1794" w:type="dxa"/>
            <w:vAlign w:val="center"/>
          </w:tcPr>
          <w:p w14:paraId="49852BFB" w14:textId="77777777" w:rsidR="00C7266C" w:rsidRPr="00D403F5" w:rsidRDefault="00C7266C" w:rsidP="00D403F5">
            <w:pPr>
              <w:spacing w:after="0"/>
              <w:rPr>
                <w:rFonts w:cstheme="minorHAnsi"/>
                <w:color w:val="000000"/>
                <w:sz w:val="18"/>
                <w:szCs w:val="18"/>
              </w:rPr>
            </w:pPr>
            <w:r w:rsidRPr="00D403F5">
              <w:rPr>
                <w:rFonts w:cstheme="minorHAnsi"/>
                <w:sz w:val="18"/>
                <w:szCs w:val="18"/>
              </w:rPr>
              <w:t>Common snapping turtle</w:t>
            </w:r>
          </w:p>
        </w:tc>
        <w:tc>
          <w:tcPr>
            <w:tcW w:w="1705" w:type="dxa"/>
            <w:vAlign w:val="center"/>
          </w:tcPr>
          <w:p w14:paraId="14F5235D" w14:textId="77777777" w:rsidR="00C7266C" w:rsidRPr="00D403F5" w:rsidRDefault="00C7266C" w:rsidP="00D403F5">
            <w:pPr>
              <w:spacing w:after="0"/>
              <w:rPr>
                <w:rFonts w:cstheme="minorHAnsi"/>
                <w:color w:val="000000"/>
                <w:sz w:val="18"/>
                <w:szCs w:val="18"/>
              </w:rPr>
            </w:pPr>
            <w:r w:rsidRPr="00D403F5">
              <w:rPr>
                <w:rFonts w:cstheme="minorHAnsi"/>
                <w:i/>
                <w:iCs/>
                <w:sz w:val="18"/>
                <w:szCs w:val="18"/>
              </w:rPr>
              <w:t>Chelydra</w:t>
            </w:r>
          </w:p>
        </w:tc>
        <w:tc>
          <w:tcPr>
            <w:tcW w:w="1626" w:type="dxa"/>
            <w:vAlign w:val="center"/>
          </w:tcPr>
          <w:p w14:paraId="1B5A5ED6" w14:textId="77777777" w:rsidR="00C7266C" w:rsidRPr="00D403F5" w:rsidRDefault="00C7266C" w:rsidP="00D403F5">
            <w:pPr>
              <w:spacing w:after="0"/>
              <w:rPr>
                <w:rFonts w:cstheme="minorHAnsi"/>
                <w:i/>
                <w:iCs/>
                <w:sz w:val="18"/>
                <w:szCs w:val="18"/>
              </w:rPr>
            </w:pPr>
            <w:r w:rsidRPr="00D403F5">
              <w:rPr>
                <w:rFonts w:cstheme="minorHAnsi"/>
                <w:i/>
                <w:iCs/>
                <w:sz w:val="18"/>
                <w:szCs w:val="18"/>
              </w:rPr>
              <w:t>serpentine</w:t>
            </w:r>
          </w:p>
        </w:tc>
        <w:tc>
          <w:tcPr>
            <w:tcW w:w="1080" w:type="dxa"/>
            <w:vAlign w:val="center"/>
          </w:tcPr>
          <w:p w14:paraId="74F4E61F"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IVb</w:t>
            </w:r>
          </w:p>
        </w:tc>
        <w:tc>
          <w:tcPr>
            <w:tcW w:w="1530" w:type="dxa"/>
            <w:vAlign w:val="center"/>
          </w:tcPr>
          <w:p w14:paraId="722D1DCF"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lang w:val="en-US"/>
              </w:rPr>
              <w:t>IP/E</w:t>
            </w:r>
          </w:p>
        </w:tc>
        <w:tc>
          <w:tcPr>
            <w:tcW w:w="1620" w:type="dxa"/>
            <w:vAlign w:val="center"/>
          </w:tcPr>
          <w:p w14:paraId="47DD7347"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RT-PCR</w:t>
            </w:r>
          </w:p>
        </w:tc>
        <w:tc>
          <w:tcPr>
            <w:tcW w:w="715" w:type="dxa"/>
            <w:vAlign w:val="center"/>
          </w:tcPr>
          <w:p w14:paraId="159C45FC"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ND</w:t>
            </w:r>
          </w:p>
        </w:tc>
        <w:tc>
          <w:tcPr>
            <w:tcW w:w="540" w:type="dxa"/>
            <w:vAlign w:val="center"/>
          </w:tcPr>
          <w:p w14:paraId="27358A33"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540" w:type="dxa"/>
            <w:vAlign w:val="center"/>
          </w:tcPr>
          <w:p w14:paraId="4C037C1A"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455" w:type="dxa"/>
            <w:vAlign w:val="center"/>
          </w:tcPr>
          <w:p w14:paraId="3CBCC66A"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Y</w:t>
            </w:r>
          </w:p>
        </w:tc>
        <w:tc>
          <w:tcPr>
            <w:tcW w:w="1170" w:type="dxa"/>
            <w:vAlign w:val="center"/>
          </w:tcPr>
          <w:p w14:paraId="3114A999"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lang w:val="en-US"/>
              </w:rPr>
              <w:t>2</w:t>
            </w:r>
          </w:p>
        </w:tc>
        <w:tc>
          <w:tcPr>
            <w:tcW w:w="2070" w:type="dxa"/>
            <w:vAlign w:val="center"/>
          </w:tcPr>
          <w:p w14:paraId="00BB2B4D" w14:textId="77777777" w:rsidR="00C7266C" w:rsidRPr="00D403F5" w:rsidRDefault="00C7266C" w:rsidP="00D403F5">
            <w:pPr>
              <w:spacing w:after="0"/>
              <w:rPr>
                <w:rFonts w:cstheme="minorHAnsi"/>
                <w:color w:val="000000"/>
                <w:sz w:val="18"/>
                <w:szCs w:val="18"/>
                <w:lang w:val="en-US"/>
              </w:rPr>
            </w:pPr>
            <w:r w:rsidRPr="00D403F5">
              <w:rPr>
                <w:rFonts w:cstheme="minorHAnsi"/>
                <w:color w:val="000000"/>
                <w:sz w:val="18"/>
                <w:szCs w:val="18"/>
              </w:rPr>
              <w:t>Goodwin &amp; Merry, 2011</w:t>
            </w:r>
          </w:p>
          <w:p w14:paraId="2778DED9" w14:textId="77777777" w:rsidR="00C7266C" w:rsidRPr="00D403F5" w:rsidRDefault="00C7266C" w:rsidP="00D403F5">
            <w:pPr>
              <w:spacing w:after="0"/>
              <w:rPr>
                <w:rFonts w:cstheme="minorHAnsi"/>
                <w:color w:val="000000"/>
                <w:sz w:val="18"/>
                <w:szCs w:val="18"/>
              </w:rPr>
            </w:pPr>
          </w:p>
        </w:tc>
      </w:tr>
      <w:tr w:rsidR="00C7266C" w:rsidRPr="00D403F5" w14:paraId="05E12475" w14:textId="77777777" w:rsidTr="00C7266C">
        <w:trPr>
          <w:cantSplit/>
        </w:trPr>
        <w:tc>
          <w:tcPr>
            <w:tcW w:w="1794" w:type="dxa"/>
            <w:vAlign w:val="center"/>
          </w:tcPr>
          <w:p w14:paraId="1014D22C" w14:textId="77777777" w:rsidR="00C7266C" w:rsidRPr="00D403F5" w:rsidRDefault="00C7266C" w:rsidP="00D403F5">
            <w:pPr>
              <w:spacing w:after="0"/>
              <w:rPr>
                <w:rFonts w:cstheme="minorHAnsi"/>
                <w:color w:val="000000"/>
                <w:sz w:val="18"/>
                <w:szCs w:val="18"/>
              </w:rPr>
            </w:pPr>
            <w:r w:rsidRPr="00D403F5">
              <w:rPr>
                <w:rFonts w:cstheme="minorHAnsi"/>
                <w:sz w:val="18"/>
                <w:szCs w:val="18"/>
              </w:rPr>
              <w:t>Leech</w:t>
            </w:r>
          </w:p>
        </w:tc>
        <w:tc>
          <w:tcPr>
            <w:tcW w:w="1705" w:type="dxa"/>
            <w:vAlign w:val="center"/>
          </w:tcPr>
          <w:p w14:paraId="09CFA486" w14:textId="77777777" w:rsidR="00C7266C" w:rsidRPr="00D403F5" w:rsidRDefault="00C7266C" w:rsidP="00D403F5">
            <w:pPr>
              <w:spacing w:after="0"/>
              <w:rPr>
                <w:rFonts w:cstheme="minorHAnsi"/>
                <w:color w:val="000000"/>
                <w:sz w:val="18"/>
                <w:szCs w:val="18"/>
              </w:rPr>
            </w:pPr>
            <w:r w:rsidRPr="00D403F5">
              <w:rPr>
                <w:rFonts w:cstheme="minorHAnsi"/>
                <w:i/>
                <w:iCs/>
                <w:color w:val="000000"/>
                <w:sz w:val="18"/>
                <w:szCs w:val="18"/>
              </w:rPr>
              <w:t>Myzobdella</w:t>
            </w:r>
          </w:p>
        </w:tc>
        <w:tc>
          <w:tcPr>
            <w:tcW w:w="1626" w:type="dxa"/>
            <w:vAlign w:val="center"/>
          </w:tcPr>
          <w:p w14:paraId="7DE7678B" w14:textId="77777777" w:rsidR="00C7266C" w:rsidRPr="00D403F5" w:rsidRDefault="00C7266C" w:rsidP="00D403F5">
            <w:pPr>
              <w:spacing w:after="0"/>
              <w:rPr>
                <w:rFonts w:cstheme="minorHAnsi"/>
                <w:i/>
                <w:iCs/>
                <w:sz w:val="18"/>
                <w:szCs w:val="18"/>
              </w:rPr>
            </w:pPr>
            <w:r w:rsidRPr="00D403F5">
              <w:rPr>
                <w:rFonts w:cstheme="minorHAnsi"/>
                <w:i/>
                <w:iCs/>
                <w:sz w:val="18"/>
                <w:szCs w:val="18"/>
              </w:rPr>
              <w:t>lugubris</w:t>
            </w:r>
          </w:p>
        </w:tc>
        <w:tc>
          <w:tcPr>
            <w:tcW w:w="1080" w:type="dxa"/>
            <w:vAlign w:val="center"/>
          </w:tcPr>
          <w:p w14:paraId="317C288C"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IVb</w:t>
            </w:r>
          </w:p>
        </w:tc>
        <w:tc>
          <w:tcPr>
            <w:tcW w:w="1530" w:type="dxa"/>
            <w:vAlign w:val="center"/>
          </w:tcPr>
          <w:p w14:paraId="032C4FAA"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lang w:val="en-US"/>
              </w:rPr>
              <w:t>N</w:t>
            </w:r>
          </w:p>
        </w:tc>
        <w:tc>
          <w:tcPr>
            <w:tcW w:w="1620" w:type="dxa"/>
            <w:vAlign w:val="center"/>
          </w:tcPr>
          <w:p w14:paraId="55F8E733"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Virus isolation, RT-PCR, sequencing</w:t>
            </w:r>
          </w:p>
        </w:tc>
        <w:tc>
          <w:tcPr>
            <w:tcW w:w="715" w:type="dxa"/>
            <w:vAlign w:val="center"/>
          </w:tcPr>
          <w:p w14:paraId="48CA8372"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ND</w:t>
            </w:r>
          </w:p>
        </w:tc>
        <w:tc>
          <w:tcPr>
            <w:tcW w:w="540" w:type="dxa"/>
            <w:vAlign w:val="center"/>
          </w:tcPr>
          <w:p w14:paraId="1C2176D2"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Y</w:t>
            </w:r>
          </w:p>
        </w:tc>
        <w:tc>
          <w:tcPr>
            <w:tcW w:w="540" w:type="dxa"/>
            <w:vAlign w:val="center"/>
          </w:tcPr>
          <w:p w14:paraId="4AD817ED"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455" w:type="dxa"/>
            <w:vAlign w:val="center"/>
          </w:tcPr>
          <w:p w14:paraId="5F1ABD6E"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1170" w:type="dxa"/>
            <w:vAlign w:val="center"/>
          </w:tcPr>
          <w:p w14:paraId="1FE2191A"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lang w:val="en-US"/>
              </w:rPr>
              <w:t>3</w:t>
            </w:r>
          </w:p>
        </w:tc>
        <w:tc>
          <w:tcPr>
            <w:tcW w:w="2070" w:type="dxa"/>
            <w:vAlign w:val="center"/>
          </w:tcPr>
          <w:p w14:paraId="3FE9C2C0"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Faisal &amp; Schultz, 2009</w:t>
            </w:r>
            <w:r w:rsidRPr="00D403F5">
              <w:rPr>
                <w:rFonts w:cstheme="minorHAnsi"/>
                <w:color w:val="000000"/>
                <w:sz w:val="18"/>
                <w:szCs w:val="18"/>
                <w:lang w:val="en-US"/>
              </w:rPr>
              <w:t xml:space="preserve"> </w:t>
            </w:r>
          </w:p>
        </w:tc>
      </w:tr>
      <w:tr w:rsidR="00C7266C" w:rsidRPr="00D403F5" w14:paraId="4103FE90" w14:textId="77777777" w:rsidTr="00C7266C">
        <w:trPr>
          <w:cantSplit/>
        </w:trPr>
        <w:tc>
          <w:tcPr>
            <w:tcW w:w="1794" w:type="dxa"/>
            <w:vAlign w:val="center"/>
          </w:tcPr>
          <w:p w14:paraId="294054C7" w14:textId="77777777" w:rsidR="00C7266C" w:rsidRPr="00D403F5" w:rsidRDefault="00C7266C" w:rsidP="00D403F5">
            <w:pPr>
              <w:spacing w:after="0"/>
              <w:rPr>
                <w:rFonts w:cstheme="minorHAnsi"/>
                <w:sz w:val="18"/>
                <w:szCs w:val="18"/>
              </w:rPr>
            </w:pPr>
            <w:r w:rsidRPr="00D403F5">
              <w:rPr>
                <w:rFonts w:cstheme="minorHAnsi"/>
                <w:sz w:val="18"/>
                <w:szCs w:val="18"/>
              </w:rPr>
              <w:t>Northern map turtle</w:t>
            </w:r>
          </w:p>
        </w:tc>
        <w:tc>
          <w:tcPr>
            <w:tcW w:w="1705" w:type="dxa"/>
            <w:vAlign w:val="center"/>
          </w:tcPr>
          <w:p w14:paraId="24011995" w14:textId="77777777" w:rsidR="00C7266C" w:rsidRPr="00D403F5" w:rsidRDefault="00C7266C" w:rsidP="00D403F5">
            <w:pPr>
              <w:spacing w:after="0"/>
              <w:rPr>
                <w:rFonts w:cstheme="minorHAnsi"/>
                <w:sz w:val="18"/>
                <w:szCs w:val="18"/>
              </w:rPr>
            </w:pPr>
            <w:r w:rsidRPr="00D403F5">
              <w:rPr>
                <w:rFonts w:cstheme="minorHAnsi"/>
                <w:i/>
                <w:iCs/>
                <w:sz w:val="18"/>
                <w:szCs w:val="18"/>
              </w:rPr>
              <w:t>Grapetemys</w:t>
            </w:r>
          </w:p>
        </w:tc>
        <w:tc>
          <w:tcPr>
            <w:tcW w:w="1626" w:type="dxa"/>
            <w:vAlign w:val="center"/>
          </w:tcPr>
          <w:p w14:paraId="593F20F3" w14:textId="77777777" w:rsidR="00C7266C" w:rsidRPr="00D403F5" w:rsidRDefault="00C7266C" w:rsidP="00D403F5">
            <w:pPr>
              <w:spacing w:after="0"/>
              <w:rPr>
                <w:rFonts w:cstheme="minorHAnsi"/>
                <w:i/>
                <w:iCs/>
                <w:sz w:val="18"/>
                <w:szCs w:val="18"/>
              </w:rPr>
            </w:pPr>
            <w:r w:rsidRPr="00D403F5">
              <w:rPr>
                <w:rFonts w:cstheme="minorHAnsi"/>
                <w:i/>
                <w:iCs/>
                <w:sz w:val="18"/>
                <w:szCs w:val="18"/>
              </w:rPr>
              <w:t>geographica</w:t>
            </w:r>
          </w:p>
        </w:tc>
        <w:tc>
          <w:tcPr>
            <w:tcW w:w="1080" w:type="dxa"/>
            <w:vAlign w:val="center"/>
          </w:tcPr>
          <w:p w14:paraId="65DFF07A" w14:textId="77777777" w:rsidR="00C7266C" w:rsidRPr="00D403F5" w:rsidRDefault="00C7266C" w:rsidP="00D403F5">
            <w:pPr>
              <w:spacing w:after="0"/>
              <w:jc w:val="center"/>
              <w:rPr>
                <w:rFonts w:cstheme="minorHAnsi"/>
                <w:sz w:val="18"/>
                <w:szCs w:val="18"/>
              </w:rPr>
            </w:pPr>
            <w:r w:rsidRPr="00D403F5">
              <w:rPr>
                <w:rFonts w:cstheme="minorHAnsi"/>
                <w:sz w:val="18"/>
                <w:szCs w:val="18"/>
              </w:rPr>
              <w:t>IVb</w:t>
            </w:r>
          </w:p>
        </w:tc>
        <w:tc>
          <w:tcPr>
            <w:tcW w:w="1530" w:type="dxa"/>
            <w:vAlign w:val="center"/>
          </w:tcPr>
          <w:p w14:paraId="5B196F3B" w14:textId="77777777" w:rsidR="00C7266C" w:rsidRPr="00D403F5" w:rsidRDefault="00C7266C" w:rsidP="00D403F5">
            <w:pPr>
              <w:spacing w:after="0"/>
              <w:jc w:val="center"/>
              <w:rPr>
                <w:rFonts w:cstheme="minorHAnsi"/>
                <w:sz w:val="18"/>
                <w:szCs w:val="18"/>
              </w:rPr>
            </w:pPr>
            <w:r w:rsidRPr="00D403F5">
              <w:rPr>
                <w:rFonts w:cstheme="minorHAnsi"/>
                <w:sz w:val="18"/>
                <w:szCs w:val="18"/>
                <w:lang w:val="en-US"/>
              </w:rPr>
              <w:t>IP/E</w:t>
            </w:r>
          </w:p>
        </w:tc>
        <w:tc>
          <w:tcPr>
            <w:tcW w:w="1620" w:type="dxa"/>
            <w:vAlign w:val="center"/>
          </w:tcPr>
          <w:p w14:paraId="79CD0E62" w14:textId="77777777" w:rsidR="00C7266C" w:rsidRPr="00D403F5" w:rsidRDefault="00C7266C" w:rsidP="00D403F5">
            <w:pPr>
              <w:spacing w:after="0"/>
              <w:rPr>
                <w:rFonts w:cstheme="minorHAnsi"/>
                <w:sz w:val="18"/>
                <w:szCs w:val="18"/>
              </w:rPr>
            </w:pPr>
            <w:r w:rsidRPr="00D403F5">
              <w:rPr>
                <w:rFonts w:cstheme="minorHAnsi"/>
                <w:sz w:val="18"/>
                <w:szCs w:val="18"/>
              </w:rPr>
              <w:t>Cell culture, RT-PCR</w:t>
            </w:r>
          </w:p>
        </w:tc>
        <w:tc>
          <w:tcPr>
            <w:tcW w:w="715" w:type="dxa"/>
            <w:vAlign w:val="center"/>
          </w:tcPr>
          <w:p w14:paraId="4AADD1A4" w14:textId="77777777" w:rsidR="00C7266C" w:rsidRPr="00D403F5" w:rsidRDefault="00C7266C" w:rsidP="00D403F5">
            <w:pPr>
              <w:spacing w:after="0"/>
              <w:rPr>
                <w:rFonts w:cstheme="minorHAnsi"/>
                <w:sz w:val="18"/>
                <w:szCs w:val="18"/>
              </w:rPr>
            </w:pPr>
            <w:r w:rsidRPr="00D403F5">
              <w:rPr>
                <w:rFonts w:cstheme="minorHAnsi"/>
                <w:sz w:val="18"/>
                <w:szCs w:val="18"/>
              </w:rPr>
              <w:t>ND</w:t>
            </w:r>
          </w:p>
        </w:tc>
        <w:tc>
          <w:tcPr>
            <w:tcW w:w="540" w:type="dxa"/>
            <w:vAlign w:val="center"/>
          </w:tcPr>
          <w:p w14:paraId="09506D27" w14:textId="77777777" w:rsidR="00C7266C" w:rsidRPr="00D403F5" w:rsidRDefault="00C7266C" w:rsidP="00D403F5">
            <w:pPr>
              <w:spacing w:after="0"/>
              <w:rPr>
                <w:rFonts w:cstheme="minorHAnsi"/>
                <w:sz w:val="18"/>
                <w:szCs w:val="18"/>
              </w:rPr>
            </w:pPr>
            <w:r w:rsidRPr="00D403F5">
              <w:rPr>
                <w:rFonts w:cstheme="minorHAnsi"/>
                <w:sz w:val="18"/>
                <w:szCs w:val="18"/>
              </w:rPr>
              <w:t>Y</w:t>
            </w:r>
          </w:p>
        </w:tc>
        <w:tc>
          <w:tcPr>
            <w:tcW w:w="540" w:type="dxa"/>
            <w:vAlign w:val="center"/>
          </w:tcPr>
          <w:p w14:paraId="6D782C36" w14:textId="77777777" w:rsidR="00C7266C" w:rsidRPr="00D403F5" w:rsidRDefault="00C7266C" w:rsidP="00D403F5">
            <w:pPr>
              <w:spacing w:after="0"/>
              <w:rPr>
                <w:rFonts w:cstheme="minorHAnsi"/>
                <w:sz w:val="18"/>
                <w:szCs w:val="18"/>
              </w:rPr>
            </w:pPr>
            <w:r w:rsidRPr="00D403F5">
              <w:rPr>
                <w:rFonts w:cstheme="minorHAnsi"/>
                <w:sz w:val="18"/>
                <w:szCs w:val="18"/>
              </w:rPr>
              <w:t>N</w:t>
            </w:r>
          </w:p>
        </w:tc>
        <w:tc>
          <w:tcPr>
            <w:tcW w:w="455" w:type="dxa"/>
            <w:vAlign w:val="center"/>
          </w:tcPr>
          <w:p w14:paraId="3644F28D" w14:textId="77777777" w:rsidR="00C7266C" w:rsidRPr="00D403F5" w:rsidRDefault="00C7266C" w:rsidP="00D403F5">
            <w:pPr>
              <w:spacing w:after="0"/>
              <w:rPr>
                <w:rFonts w:cstheme="minorHAnsi"/>
                <w:sz w:val="18"/>
                <w:szCs w:val="18"/>
              </w:rPr>
            </w:pPr>
            <w:r w:rsidRPr="00D403F5">
              <w:rPr>
                <w:rFonts w:cstheme="minorHAnsi"/>
                <w:sz w:val="18"/>
                <w:szCs w:val="18"/>
              </w:rPr>
              <w:t>Y</w:t>
            </w:r>
          </w:p>
        </w:tc>
        <w:tc>
          <w:tcPr>
            <w:tcW w:w="1170" w:type="dxa"/>
            <w:vAlign w:val="center"/>
          </w:tcPr>
          <w:p w14:paraId="0E19EA76" w14:textId="77777777" w:rsidR="00C7266C" w:rsidRPr="00D403F5" w:rsidRDefault="00C7266C" w:rsidP="00D403F5">
            <w:pPr>
              <w:spacing w:after="0"/>
              <w:rPr>
                <w:rFonts w:cstheme="minorHAnsi"/>
                <w:sz w:val="18"/>
                <w:szCs w:val="18"/>
              </w:rPr>
            </w:pPr>
            <w:r w:rsidRPr="00D403F5">
              <w:rPr>
                <w:rFonts w:cstheme="minorHAnsi"/>
                <w:sz w:val="18"/>
                <w:szCs w:val="18"/>
                <w:lang w:val="en-US"/>
              </w:rPr>
              <w:t>2</w:t>
            </w:r>
          </w:p>
        </w:tc>
        <w:tc>
          <w:tcPr>
            <w:tcW w:w="2070" w:type="dxa"/>
            <w:vAlign w:val="center"/>
          </w:tcPr>
          <w:p w14:paraId="13445F2D" w14:textId="77777777" w:rsidR="00C7266C" w:rsidRPr="00D403F5" w:rsidRDefault="00C7266C" w:rsidP="00D403F5">
            <w:pPr>
              <w:spacing w:after="0"/>
              <w:rPr>
                <w:rFonts w:cstheme="minorHAnsi"/>
                <w:sz w:val="18"/>
                <w:szCs w:val="18"/>
              </w:rPr>
            </w:pPr>
            <w:r w:rsidRPr="00D403F5">
              <w:rPr>
                <w:rFonts w:cstheme="minorHAnsi"/>
                <w:sz w:val="18"/>
                <w:szCs w:val="18"/>
              </w:rPr>
              <w:t>Goodwin &amp; Merry, 2011</w:t>
            </w:r>
          </w:p>
        </w:tc>
      </w:tr>
      <w:tr w:rsidR="00C7266C" w:rsidRPr="00D403F5" w14:paraId="4AB11E1C" w14:textId="77777777" w:rsidTr="00C7266C">
        <w:trPr>
          <w:cantSplit/>
        </w:trPr>
        <w:tc>
          <w:tcPr>
            <w:tcW w:w="1794" w:type="dxa"/>
            <w:vAlign w:val="center"/>
          </w:tcPr>
          <w:p w14:paraId="5149C383"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 xml:space="preserve">Water flea  </w:t>
            </w:r>
          </w:p>
        </w:tc>
        <w:tc>
          <w:tcPr>
            <w:tcW w:w="1705" w:type="dxa"/>
            <w:vAlign w:val="center"/>
          </w:tcPr>
          <w:p w14:paraId="15DE5355" w14:textId="77777777" w:rsidR="00C7266C" w:rsidRPr="00D403F5" w:rsidRDefault="00C7266C" w:rsidP="00D403F5">
            <w:pPr>
              <w:spacing w:after="0"/>
              <w:rPr>
                <w:rFonts w:cstheme="minorHAnsi"/>
                <w:color w:val="000000"/>
                <w:sz w:val="18"/>
                <w:szCs w:val="18"/>
              </w:rPr>
            </w:pPr>
            <w:r w:rsidRPr="00D403F5">
              <w:rPr>
                <w:rFonts w:cstheme="minorHAnsi"/>
                <w:i/>
                <w:iCs/>
                <w:color w:val="000000"/>
                <w:sz w:val="18"/>
                <w:szCs w:val="18"/>
              </w:rPr>
              <w:t>Moina</w:t>
            </w:r>
          </w:p>
        </w:tc>
        <w:tc>
          <w:tcPr>
            <w:tcW w:w="1626" w:type="dxa"/>
            <w:vAlign w:val="center"/>
          </w:tcPr>
          <w:p w14:paraId="0D2F9616" w14:textId="77777777" w:rsidR="00C7266C" w:rsidRPr="00D403F5" w:rsidRDefault="00C7266C" w:rsidP="00D403F5">
            <w:pPr>
              <w:spacing w:after="0"/>
              <w:rPr>
                <w:rFonts w:cstheme="minorHAnsi"/>
                <w:i/>
                <w:iCs/>
                <w:color w:val="000000"/>
                <w:sz w:val="18"/>
                <w:szCs w:val="18"/>
              </w:rPr>
            </w:pPr>
            <w:r w:rsidRPr="00D403F5">
              <w:rPr>
                <w:rFonts w:cstheme="minorHAnsi"/>
                <w:i/>
                <w:iCs/>
                <w:color w:val="000000"/>
                <w:sz w:val="18"/>
                <w:szCs w:val="18"/>
              </w:rPr>
              <w:t>macrocopa</w:t>
            </w:r>
          </w:p>
        </w:tc>
        <w:tc>
          <w:tcPr>
            <w:tcW w:w="1080" w:type="dxa"/>
            <w:vAlign w:val="center"/>
          </w:tcPr>
          <w:p w14:paraId="759D71ED"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rPr>
              <w:t>Ia</w:t>
            </w:r>
          </w:p>
        </w:tc>
        <w:tc>
          <w:tcPr>
            <w:tcW w:w="1530" w:type="dxa"/>
            <w:vAlign w:val="center"/>
          </w:tcPr>
          <w:p w14:paraId="34288A2F" w14:textId="77777777" w:rsidR="00C7266C" w:rsidRPr="00D403F5" w:rsidRDefault="00C7266C" w:rsidP="00D403F5">
            <w:pPr>
              <w:spacing w:after="0"/>
              <w:jc w:val="center"/>
              <w:rPr>
                <w:rFonts w:cstheme="minorHAnsi"/>
                <w:color w:val="000000"/>
                <w:sz w:val="18"/>
                <w:szCs w:val="18"/>
              </w:rPr>
            </w:pPr>
            <w:r w:rsidRPr="00D403F5">
              <w:rPr>
                <w:rFonts w:cstheme="minorHAnsi"/>
                <w:color w:val="000000"/>
                <w:sz w:val="18"/>
                <w:szCs w:val="18"/>
                <w:lang w:val="en-US"/>
              </w:rPr>
              <w:t>N</w:t>
            </w:r>
          </w:p>
        </w:tc>
        <w:tc>
          <w:tcPr>
            <w:tcW w:w="1620" w:type="dxa"/>
            <w:vAlign w:val="center"/>
          </w:tcPr>
          <w:p w14:paraId="1249F4EF"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Cell culture and RT-PCR</w:t>
            </w:r>
          </w:p>
        </w:tc>
        <w:tc>
          <w:tcPr>
            <w:tcW w:w="715" w:type="dxa"/>
            <w:vAlign w:val="center"/>
          </w:tcPr>
          <w:p w14:paraId="3A462FB8"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540" w:type="dxa"/>
            <w:vAlign w:val="center"/>
          </w:tcPr>
          <w:p w14:paraId="31A176D8"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Y</w:t>
            </w:r>
          </w:p>
        </w:tc>
        <w:tc>
          <w:tcPr>
            <w:tcW w:w="540" w:type="dxa"/>
            <w:vAlign w:val="center"/>
          </w:tcPr>
          <w:p w14:paraId="1A58FD82"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455" w:type="dxa"/>
            <w:vAlign w:val="center"/>
          </w:tcPr>
          <w:p w14:paraId="6302312D"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N</w:t>
            </w:r>
          </w:p>
        </w:tc>
        <w:tc>
          <w:tcPr>
            <w:tcW w:w="1170" w:type="dxa"/>
            <w:vAlign w:val="center"/>
          </w:tcPr>
          <w:p w14:paraId="66257A17"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lang w:val="en-US"/>
              </w:rPr>
              <w:t>3</w:t>
            </w:r>
          </w:p>
        </w:tc>
        <w:tc>
          <w:tcPr>
            <w:tcW w:w="2070" w:type="dxa"/>
            <w:vAlign w:val="center"/>
          </w:tcPr>
          <w:p w14:paraId="46C9B007" w14:textId="77777777" w:rsidR="00C7266C" w:rsidRPr="00D403F5" w:rsidRDefault="00C7266C" w:rsidP="00D403F5">
            <w:pPr>
              <w:spacing w:after="0"/>
              <w:rPr>
                <w:rFonts w:cstheme="minorHAnsi"/>
                <w:color w:val="000000"/>
                <w:sz w:val="18"/>
                <w:szCs w:val="18"/>
                <w:lang w:val="en-US"/>
              </w:rPr>
            </w:pPr>
            <w:r w:rsidRPr="00D403F5">
              <w:rPr>
                <w:rFonts w:cstheme="minorHAnsi"/>
                <w:color w:val="000000"/>
                <w:sz w:val="18"/>
                <w:szCs w:val="18"/>
              </w:rPr>
              <w:t>Ito &amp; Olesen, 2017</w:t>
            </w:r>
          </w:p>
          <w:p w14:paraId="4272D70E" w14:textId="77777777" w:rsidR="00C7266C" w:rsidRPr="00D403F5" w:rsidRDefault="00C7266C" w:rsidP="00D403F5">
            <w:pPr>
              <w:spacing w:after="0"/>
              <w:rPr>
                <w:rFonts w:cstheme="minorHAnsi"/>
                <w:color w:val="000000"/>
                <w:sz w:val="18"/>
                <w:szCs w:val="18"/>
              </w:rPr>
            </w:pPr>
          </w:p>
        </w:tc>
      </w:tr>
      <w:tr w:rsidR="00C7266C" w:rsidRPr="00D403F5" w14:paraId="7D3E5506" w14:textId="77777777" w:rsidTr="00C7266C">
        <w:trPr>
          <w:cantSplit/>
        </w:trPr>
        <w:tc>
          <w:tcPr>
            <w:tcW w:w="1794" w:type="dxa"/>
            <w:shd w:val="clear" w:color="auto" w:fill="F2F2F2" w:themeFill="background1" w:themeFillShade="F2"/>
          </w:tcPr>
          <w:p w14:paraId="07DCF2D7" w14:textId="77777777" w:rsidR="00C7266C" w:rsidRPr="00D403F5" w:rsidRDefault="00C7266C" w:rsidP="00D403F5">
            <w:pPr>
              <w:spacing w:after="0"/>
              <w:jc w:val="center"/>
              <w:rPr>
                <w:rFonts w:cstheme="minorHAnsi"/>
                <w:b/>
                <w:bCs/>
                <w:i/>
                <w:iCs/>
                <w:color w:val="000000"/>
                <w:sz w:val="18"/>
                <w:szCs w:val="18"/>
              </w:rPr>
            </w:pPr>
          </w:p>
        </w:tc>
        <w:tc>
          <w:tcPr>
            <w:tcW w:w="13051" w:type="dxa"/>
            <w:gridSpan w:val="11"/>
            <w:shd w:val="clear" w:color="auto" w:fill="F2F2F2" w:themeFill="background1" w:themeFillShade="F2"/>
            <w:vAlign w:val="center"/>
          </w:tcPr>
          <w:p w14:paraId="425CCD57" w14:textId="77777777" w:rsidR="00C7266C" w:rsidRPr="00D403F5" w:rsidRDefault="00C7266C" w:rsidP="00D403F5">
            <w:pPr>
              <w:spacing w:after="0"/>
              <w:jc w:val="center"/>
              <w:rPr>
                <w:rFonts w:cstheme="minorHAnsi"/>
                <w:b/>
                <w:bCs/>
                <w:i/>
                <w:iCs/>
                <w:color w:val="000000"/>
                <w:sz w:val="18"/>
                <w:szCs w:val="18"/>
              </w:rPr>
            </w:pPr>
            <w:r w:rsidRPr="00D403F5">
              <w:rPr>
                <w:rFonts w:cstheme="minorHAnsi"/>
                <w:b/>
                <w:bCs/>
                <w:i/>
                <w:iCs/>
                <w:color w:val="000000"/>
                <w:sz w:val="18"/>
                <w:szCs w:val="18"/>
              </w:rPr>
              <w:t xml:space="preserve">Species that were assessed but not scored due to insufficient or absence of scientific evidence </w:t>
            </w:r>
          </w:p>
        </w:tc>
      </w:tr>
      <w:tr w:rsidR="00C7266C" w:rsidRPr="00D403F5" w14:paraId="68D63D0A" w14:textId="77777777" w:rsidTr="00C7266C">
        <w:trPr>
          <w:cantSplit/>
        </w:trPr>
        <w:tc>
          <w:tcPr>
            <w:tcW w:w="1794" w:type="dxa"/>
            <w:vAlign w:val="center"/>
          </w:tcPr>
          <w:p w14:paraId="5B50BFE3" w14:textId="77777777" w:rsidR="00C7266C" w:rsidRPr="00D403F5" w:rsidRDefault="00C7266C" w:rsidP="00D403F5">
            <w:pPr>
              <w:spacing w:after="0"/>
              <w:rPr>
                <w:rFonts w:cstheme="minorHAnsi"/>
                <w:color w:val="000000"/>
                <w:sz w:val="18"/>
                <w:szCs w:val="18"/>
              </w:rPr>
            </w:pPr>
            <w:r w:rsidRPr="00D403F5">
              <w:rPr>
                <w:rFonts w:ascii="Calibri" w:hAnsi="Calibri" w:cs="Calibri"/>
                <w:sz w:val="18"/>
                <w:szCs w:val="18"/>
              </w:rPr>
              <w:t xml:space="preserve">Black rockfish  </w:t>
            </w:r>
          </w:p>
        </w:tc>
        <w:tc>
          <w:tcPr>
            <w:tcW w:w="1705" w:type="dxa"/>
            <w:vAlign w:val="center"/>
          </w:tcPr>
          <w:p w14:paraId="43DE5948"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Sebastes</w:t>
            </w:r>
          </w:p>
        </w:tc>
        <w:tc>
          <w:tcPr>
            <w:tcW w:w="1626" w:type="dxa"/>
            <w:vAlign w:val="center"/>
          </w:tcPr>
          <w:p w14:paraId="4413F5A0"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 xml:space="preserve"> inermis</w:t>
            </w:r>
          </w:p>
        </w:tc>
        <w:tc>
          <w:tcPr>
            <w:tcW w:w="1080" w:type="dxa"/>
          </w:tcPr>
          <w:p w14:paraId="4CC2C621" w14:textId="77777777" w:rsidR="00C7266C" w:rsidRPr="00D403F5" w:rsidRDefault="00C7266C" w:rsidP="00D403F5">
            <w:pPr>
              <w:spacing w:after="0"/>
              <w:jc w:val="center"/>
              <w:rPr>
                <w:rFonts w:cstheme="minorHAnsi"/>
                <w:color w:val="000000"/>
                <w:sz w:val="18"/>
                <w:szCs w:val="18"/>
                <w:lang w:val="en-US"/>
              </w:rPr>
            </w:pPr>
          </w:p>
        </w:tc>
        <w:tc>
          <w:tcPr>
            <w:tcW w:w="1530" w:type="dxa"/>
            <w:shd w:val="clear" w:color="auto" w:fill="auto"/>
            <w:vAlign w:val="center"/>
          </w:tcPr>
          <w:p w14:paraId="6737B302" w14:textId="77777777" w:rsidR="00C7266C" w:rsidRPr="00D403F5" w:rsidRDefault="00C7266C" w:rsidP="00D403F5">
            <w:pPr>
              <w:spacing w:after="0"/>
              <w:jc w:val="center"/>
              <w:rPr>
                <w:rFonts w:cstheme="minorHAnsi"/>
                <w:color w:val="000000"/>
                <w:sz w:val="18"/>
                <w:szCs w:val="18"/>
                <w:lang w:val="en-US"/>
              </w:rPr>
            </w:pPr>
          </w:p>
        </w:tc>
        <w:tc>
          <w:tcPr>
            <w:tcW w:w="1620" w:type="dxa"/>
            <w:shd w:val="clear" w:color="auto" w:fill="auto"/>
            <w:vAlign w:val="center"/>
          </w:tcPr>
          <w:p w14:paraId="5EDB3774" w14:textId="77777777" w:rsidR="00C7266C" w:rsidRPr="00D403F5" w:rsidRDefault="00C7266C" w:rsidP="00D403F5">
            <w:pPr>
              <w:spacing w:after="0"/>
              <w:rPr>
                <w:rFonts w:cstheme="minorHAnsi"/>
                <w:color w:val="000000"/>
                <w:sz w:val="18"/>
                <w:szCs w:val="18"/>
              </w:rPr>
            </w:pPr>
          </w:p>
        </w:tc>
        <w:tc>
          <w:tcPr>
            <w:tcW w:w="715" w:type="dxa"/>
            <w:shd w:val="clear" w:color="auto" w:fill="auto"/>
            <w:vAlign w:val="center"/>
          </w:tcPr>
          <w:p w14:paraId="1AEB5447"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510CFA4A"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79EAC232" w14:textId="77777777" w:rsidR="00C7266C" w:rsidRPr="00D403F5" w:rsidRDefault="00C7266C" w:rsidP="00D403F5">
            <w:pPr>
              <w:spacing w:after="0"/>
              <w:jc w:val="center"/>
              <w:rPr>
                <w:rFonts w:cstheme="minorHAnsi"/>
                <w:color w:val="000000"/>
                <w:sz w:val="18"/>
                <w:szCs w:val="18"/>
              </w:rPr>
            </w:pPr>
          </w:p>
        </w:tc>
        <w:tc>
          <w:tcPr>
            <w:tcW w:w="455" w:type="dxa"/>
            <w:shd w:val="clear" w:color="auto" w:fill="auto"/>
            <w:vAlign w:val="center"/>
          </w:tcPr>
          <w:p w14:paraId="3E28E5C9" w14:textId="77777777" w:rsidR="00C7266C" w:rsidRPr="00D403F5" w:rsidRDefault="00C7266C" w:rsidP="00D403F5">
            <w:pPr>
              <w:spacing w:after="0"/>
              <w:jc w:val="center"/>
              <w:rPr>
                <w:rFonts w:cstheme="minorHAnsi"/>
                <w:color w:val="000000"/>
                <w:sz w:val="18"/>
                <w:szCs w:val="18"/>
              </w:rPr>
            </w:pPr>
          </w:p>
        </w:tc>
        <w:tc>
          <w:tcPr>
            <w:tcW w:w="1170" w:type="dxa"/>
            <w:vAlign w:val="center"/>
          </w:tcPr>
          <w:p w14:paraId="42041FF8" w14:textId="77777777" w:rsidR="00C7266C" w:rsidRPr="00D403F5" w:rsidRDefault="00C7266C" w:rsidP="00D403F5">
            <w:pPr>
              <w:spacing w:after="0"/>
              <w:jc w:val="center"/>
              <w:rPr>
                <w:rFonts w:cstheme="minorHAnsi"/>
                <w:color w:val="000000"/>
                <w:sz w:val="18"/>
                <w:szCs w:val="18"/>
                <w:lang w:val="en-US"/>
              </w:rPr>
            </w:pPr>
          </w:p>
        </w:tc>
        <w:tc>
          <w:tcPr>
            <w:tcW w:w="2070" w:type="dxa"/>
            <w:shd w:val="clear" w:color="auto" w:fill="auto"/>
            <w:vAlign w:val="center"/>
          </w:tcPr>
          <w:p w14:paraId="334B3FAA" w14:textId="77777777" w:rsidR="00C7266C" w:rsidRPr="00D403F5" w:rsidRDefault="00C7266C" w:rsidP="00D403F5">
            <w:pPr>
              <w:spacing w:after="0"/>
              <w:rPr>
                <w:rFonts w:cstheme="minorHAnsi"/>
                <w:color w:val="000000"/>
                <w:sz w:val="18"/>
                <w:szCs w:val="18"/>
              </w:rPr>
            </w:pPr>
          </w:p>
        </w:tc>
      </w:tr>
      <w:tr w:rsidR="00C7266C" w:rsidRPr="00D403F5" w14:paraId="7AFD69B2" w14:textId="77777777" w:rsidTr="00C7266C">
        <w:trPr>
          <w:cantSplit/>
        </w:trPr>
        <w:tc>
          <w:tcPr>
            <w:tcW w:w="1794" w:type="dxa"/>
            <w:vAlign w:val="center"/>
          </w:tcPr>
          <w:p w14:paraId="7DF09221" w14:textId="77777777" w:rsidR="00C7266C" w:rsidRPr="00D403F5" w:rsidRDefault="00C7266C" w:rsidP="00D403F5">
            <w:pPr>
              <w:spacing w:after="0"/>
              <w:rPr>
                <w:rFonts w:cstheme="minorHAnsi"/>
                <w:color w:val="000000"/>
                <w:sz w:val="18"/>
                <w:szCs w:val="18"/>
              </w:rPr>
            </w:pPr>
            <w:r w:rsidRPr="00D403F5">
              <w:rPr>
                <w:rFonts w:cstheme="minorHAnsi"/>
                <w:color w:val="000000"/>
                <w:sz w:val="18"/>
                <w:szCs w:val="18"/>
              </w:rPr>
              <w:t>Blackhead seabream</w:t>
            </w:r>
          </w:p>
        </w:tc>
        <w:tc>
          <w:tcPr>
            <w:tcW w:w="1705" w:type="dxa"/>
            <w:vAlign w:val="center"/>
          </w:tcPr>
          <w:p w14:paraId="1122F29A"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Acanthopagrus</w:t>
            </w:r>
          </w:p>
        </w:tc>
        <w:tc>
          <w:tcPr>
            <w:tcW w:w="1626" w:type="dxa"/>
            <w:vAlign w:val="center"/>
          </w:tcPr>
          <w:p w14:paraId="04C1C61B"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schlegeli</w:t>
            </w:r>
          </w:p>
        </w:tc>
        <w:tc>
          <w:tcPr>
            <w:tcW w:w="1080" w:type="dxa"/>
          </w:tcPr>
          <w:p w14:paraId="18D9AA37" w14:textId="77777777" w:rsidR="00C7266C" w:rsidRPr="00D403F5" w:rsidRDefault="00C7266C" w:rsidP="00D403F5">
            <w:pPr>
              <w:spacing w:after="0"/>
              <w:jc w:val="center"/>
              <w:rPr>
                <w:rFonts w:cstheme="minorHAnsi"/>
                <w:color w:val="000000"/>
                <w:sz w:val="18"/>
                <w:szCs w:val="18"/>
                <w:lang w:val="en-US"/>
              </w:rPr>
            </w:pPr>
          </w:p>
        </w:tc>
        <w:tc>
          <w:tcPr>
            <w:tcW w:w="1530" w:type="dxa"/>
            <w:shd w:val="clear" w:color="auto" w:fill="auto"/>
            <w:vAlign w:val="center"/>
          </w:tcPr>
          <w:p w14:paraId="7163C07E" w14:textId="77777777" w:rsidR="00C7266C" w:rsidRPr="00D403F5" w:rsidRDefault="00C7266C" w:rsidP="00D403F5">
            <w:pPr>
              <w:spacing w:after="0"/>
              <w:jc w:val="center"/>
              <w:rPr>
                <w:rFonts w:cstheme="minorHAnsi"/>
                <w:color w:val="000000"/>
                <w:sz w:val="18"/>
                <w:szCs w:val="18"/>
                <w:lang w:val="en-US"/>
              </w:rPr>
            </w:pPr>
          </w:p>
        </w:tc>
        <w:tc>
          <w:tcPr>
            <w:tcW w:w="1620" w:type="dxa"/>
            <w:shd w:val="clear" w:color="auto" w:fill="auto"/>
            <w:vAlign w:val="center"/>
          </w:tcPr>
          <w:p w14:paraId="1ADC8AAD" w14:textId="77777777" w:rsidR="00C7266C" w:rsidRPr="00D403F5" w:rsidRDefault="00C7266C" w:rsidP="00D403F5">
            <w:pPr>
              <w:spacing w:after="0"/>
              <w:rPr>
                <w:rFonts w:cstheme="minorHAnsi"/>
                <w:color w:val="000000"/>
                <w:sz w:val="18"/>
                <w:szCs w:val="18"/>
              </w:rPr>
            </w:pPr>
          </w:p>
        </w:tc>
        <w:tc>
          <w:tcPr>
            <w:tcW w:w="715" w:type="dxa"/>
            <w:shd w:val="clear" w:color="auto" w:fill="auto"/>
            <w:vAlign w:val="center"/>
          </w:tcPr>
          <w:p w14:paraId="19C0CDB7"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14A0A82B"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7260466B" w14:textId="77777777" w:rsidR="00C7266C" w:rsidRPr="00D403F5" w:rsidRDefault="00C7266C" w:rsidP="00D403F5">
            <w:pPr>
              <w:spacing w:after="0"/>
              <w:jc w:val="center"/>
              <w:rPr>
                <w:rFonts w:cstheme="minorHAnsi"/>
                <w:color w:val="000000"/>
                <w:sz w:val="18"/>
                <w:szCs w:val="18"/>
              </w:rPr>
            </w:pPr>
          </w:p>
        </w:tc>
        <w:tc>
          <w:tcPr>
            <w:tcW w:w="455" w:type="dxa"/>
            <w:shd w:val="clear" w:color="auto" w:fill="auto"/>
            <w:vAlign w:val="center"/>
          </w:tcPr>
          <w:p w14:paraId="727A7E0A" w14:textId="77777777" w:rsidR="00C7266C" w:rsidRPr="00D403F5" w:rsidRDefault="00C7266C" w:rsidP="00D403F5">
            <w:pPr>
              <w:spacing w:after="0"/>
              <w:jc w:val="center"/>
              <w:rPr>
                <w:rFonts w:cstheme="minorHAnsi"/>
                <w:color w:val="000000"/>
                <w:sz w:val="18"/>
                <w:szCs w:val="18"/>
              </w:rPr>
            </w:pPr>
          </w:p>
        </w:tc>
        <w:tc>
          <w:tcPr>
            <w:tcW w:w="1170" w:type="dxa"/>
            <w:vAlign w:val="center"/>
          </w:tcPr>
          <w:p w14:paraId="6042398C" w14:textId="77777777" w:rsidR="00C7266C" w:rsidRPr="00D403F5" w:rsidRDefault="00C7266C" w:rsidP="00D403F5">
            <w:pPr>
              <w:spacing w:after="0"/>
              <w:jc w:val="center"/>
              <w:rPr>
                <w:rFonts w:cstheme="minorHAnsi"/>
                <w:color w:val="000000"/>
                <w:sz w:val="18"/>
                <w:szCs w:val="18"/>
                <w:lang w:val="en-US"/>
              </w:rPr>
            </w:pPr>
          </w:p>
        </w:tc>
        <w:tc>
          <w:tcPr>
            <w:tcW w:w="2070" w:type="dxa"/>
            <w:shd w:val="clear" w:color="auto" w:fill="auto"/>
            <w:vAlign w:val="center"/>
          </w:tcPr>
          <w:p w14:paraId="67A689B2" w14:textId="77777777" w:rsidR="00C7266C" w:rsidRPr="00D403F5" w:rsidRDefault="00C7266C" w:rsidP="00D403F5">
            <w:pPr>
              <w:spacing w:after="0"/>
              <w:rPr>
                <w:rFonts w:cstheme="minorHAnsi"/>
                <w:color w:val="000000"/>
                <w:sz w:val="18"/>
                <w:szCs w:val="18"/>
              </w:rPr>
            </w:pPr>
          </w:p>
        </w:tc>
      </w:tr>
      <w:tr w:rsidR="00C7266C" w:rsidRPr="00D403F5" w14:paraId="4FDD672A" w14:textId="77777777" w:rsidTr="00C7266C">
        <w:trPr>
          <w:cantSplit/>
        </w:trPr>
        <w:tc>
          <w:tcPr>
            <w:tcW w:w="1794" w:type="dxa"/>
            <w:vAlign w:val="center"/>
          </w:tcPr>
          <w:p w14:paraId="66CCD16A" w14:textId="77777777" w:rsidR="00C7266C" w:rsidRPr="00D403F5" w:rsidRDefault="00C7266C" w:rsidP="00D403F5">
            <w:pPr>
              <w:spacing w:after="0"/>
              <w:rPr>
                <w:rFonts w:ascii="Calibri" w:hAnsi="Calibri" w:cs="Calibri"/>
                <w:color w:val="000000"/>
                <w:sz w:val="18"/>
                <w:szCs w:val="18"/>
                <w:lang w:val="en-US"/>
              </w:rPr>
            </w:pPr>
            <w:r w:rsidRPr="00D403F5">
              <w:rPr>
                <w:rFonts w:ascii="Calibri" w:hAnsi="Calibri" w:cs="Calibri"/>
                <w:color w:val="000000"/>
                <w:sz w:val="18"/>
                <w:szCs w:val="18"/>
              </w:rPr>
              <w:t>Chum salmon</w:t>
            </w:r>
          </w:p>
        </w:tc>
        <w:tc>
          <w:tcPr>
            <w:tcW w:w="1705" w:type="dxa"/>
            <w:vAlign w:val="center"/>
          </w:tcPr>
          <w:p w14:paraId="5A8AC42B"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 xml:space="preserve">Oncorhynchus </w:t>
            </w:r>
          </w:p>
        </w:tc>
        <w:tc>
          <w:tcPr>
            <w:tcW w:w="1626" w:type="dxa"/>
            <w:vAlign w:val="center"/>
          </w:tcPr>
          <w:p w14:paraId="18949EB5"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keta</w:t>
            </w:r>
          </w:p>
        </w:tc>
        <w:tc>
          <w:tcPr>
            <w:tcW w:w="1080" w:type="dxa"/>
          </w:tcPr>
          <w:p w14:paraId="18994D9D" w14:textId="77777777" w:rsidR="00C7266C" w:rsidRPr="00D403F5" w:rsidRDefault="00C7266C" w:rsidP="00D403F5">
            <w:pPr>
              <w:spacing w:after="0"/>
              <w:jc w:val="center"/>
              <w:rPr>
                <w:rFonts w:cstheme="minorHAnsi"/>
                <w:color w:val="000000"/>
                <w:sz w:val="18"/>
                <w:szCs w:val="18"/>
                <w:lang w:val="en-US"/>
              </w:rPr>
            </w:pPr>
          </w:p>
        </w:tc>
        <w:tc>
          <w:tcPr>
            <w:tcW w:w="1530" w:type="dxa"/>
            <w:shd w:val="clear" w:color="auto" w:fill="auto"/>
            <w:vAlign w:val="center"/>
          </w:tcPr>
          <w:p w14:paraId="4C433AEE" w14:textId="77777777" w:rsidR="00C7266C" w:rsidRPr="00D403F5" w:rsidRDefault="00C7266C" w:rsidP="00D403F5">
            <w:pPr>
              <w:spacing w:after="0"/>
              <w:jc w:val="center"/>
              <w:rPr>
                <w:rFonts w:cstheme="minorHAnsi"/>
                <w:color w:val="000000"/>
                <w:sz w:val="18"/>
                <w:szCs w:val="18"/>
                <w:lang w:val="en-US"/>
              </w:rPr>
            </w:pPr>
          </w:p>
        </w:tc>
        <w:tc>
          <w:tcPr>
            <w:tcW w:w="1620" w:type="dxa"/>
            <w:shd w:val="clear" w:color="auto" w:fill="auto"/>
            <w:vAlign w:val="center"/>
          </w:tcPr>
          <w:p w14:paraId="4A388D75" w14:textId="77777777" w:rsidR="00C7266C" w:rsidRPr="00D403F5" w:rsidRDefault="00C7266C" w:rsidP="00D403F5">
            <w:pPr>
              <w:spacing w:after="0"/>
              <w:rPr>
                <w:rFonts w:cstheme="minorHAnsi"/>
                <w:color w:val="000000"/>
                <w:sz w:val="18"/>
                <w:szCs w:val="18"/>
              </w:rPr>
            </w:pPr>
          </w:p>
        </w:tc>
        <w:tc>
          <w:tcPr>
            <w:tcW w:w="715" w:type="dxa"/>
            <w:shd w:val="clear" w:color="auto" w:fill="auto"/>
            <w:vAlign w:val="center"/>
          </w:tcPr>
          <w:p w14:paraId="7697A8E7"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3337993C"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76FE5B40" w14:textId="77777777" w:rsidR="00C7266C" w:rsidRPr="00D403F5" w:rsidRDefault="00C7266C" w:rsidP="00D403F5">
            <w:pPr>
              <w:spacing w:after="0"/>
              <w:jc w:val="center"/>
              <w:rPr>
                <w:rFonts w:cstheme="minorHAnsi"/>
                <w:color w:val="000000"/>
                <w:sz w:val="18"/>
                <w:szCs w:val="18"/>
              </w:rPr>
            </w:pPr>
          </w:p>
        </w:tc>
        <w:tc>
          <w:tcPr>
            <w:tcW w:w="455" w:type="dxa"/>
            <w:shd w:val="clear" w:color="auto" w:fill="auto"/>
            <w:vAlign w:val="center"/>
          </w:tcPr>
          <w:p w14:paraId="16FF98E5" w14:textId="77777777" w:rsidR="00C7266C" w:rsidRPr="00D403F5" w:rsidRDefault="00C7266C" w:rsidP="00D403F5">
            <w:pPr>
              <w:spacing w:after="0"/>
              <w:jc w:val="center"/>
              <w:rPr>
                <w:rFonts w:cstheme="minorHAnsi"/>
                <w:color w:val="000000"/>
                <w:sz w:val="18"/>
                <w:szCs w:val="18"/>
              </w:rPr>
            </w:pPr>
          </w:p>
        </w:tc>
        <w:tc>
          <w:tcPr>
            <w:tcW w:w="1170" w:type="dxa"/>
            <w:vAlign w:val="center"/>
          </w:tcPr>
          <w:p w14:paraId="66993938" w14:textId="77777777" w:rsidR="00C7266C" w:rsidRPr="00D403F5" w:rsidRDefault="00C7266C" w:rsidP="00D403F5">
            <w:pPr>
              <w:spacing w:after="0"/>
              <w:jc w:val="center"/>
              <w:rPr>
                <w:rFonts w:cstheme="minorHAnsi"/>
                <w:color w:val="000000"/>
                <w:sz w:val="18"/>
                <w:szCs w:val="18"/>
                <w:lang w:val="en-US"/>
              </w:rPr>
            </w:pPr>
          </w:p>
        </w:tc>
        <w:tc>
          <w:tcPr>
            <w:tcW w:w="2070" w:type="dxa"/>
            <w:shd w:val="clear" w:color="auto" w:fill="auto"/>
            <w:vAlign w:val="center"/>
          </w:tcPr>
          <w:p w14:paraId="1F3503BF" w14:textId="77777777" w:rsidR="00C7266C" w:rsidRPr="00D403F5" w:rsidRDefault="00C7266C" w:rsidP="00D403F5">
            <w:pPr>
              <w:spacing w:after="0"/>
              <w:rPr>
                <w:rFonts w:cstheme="minorHAnsi"/>
                <w:color w:val="000000"/>
                <w:sz w:val="18"/>
                <w:szCs w:val="18"/>
              </w:rPr>
            </w:pPr>
          </w:p>
        </w:tc>
      </w:tr>
      <w:tr w:rsidR="00C7266C" w:rsidRPr="00D403F5" w14:paraId="11775442" w14:textId="77777777" w:rsidTr="00C7266C">
        <w:trPr>
          <w:cantSplit/>
        </w:trPr>
        <w:tc>
          <w:tcPr>
            <w:tcW w:w="1794" w:type="dxa"/>
            <w:vAlign w:val="center"/>
          </w:tcPr>
          <w:p w14:paraId="7BCB999C" w14:textId="77777777" w:rsidR="00C7266C" w:rsidRPr="00D403F5" w:rsidRDefault="00C7266C" w:rsidP="00D403F5">
            <w:pPr>
              <w:spacing w:after="0"/>
              <w:rPr>
                <w:rFonts w:ascii="Calibri" w:hAnsi="Calibri" w:cs="Calibri"/>
                <w:color w:val="000000"/>
                <w:sz w:val="18"/>
                <w:szCs w:val="18"/>
                <w:lang w:val="en-US"/>
              </w:rPr>
            </w:pPr>
            <w:r w:rsidRPr="00D403F5">
              <w:rPr>
                <w:rFonts w:ascii="Calibri" w:hAnsi="Calibri" w:cs="Calibri"/>
                <w:color w:val="000000"/>
                <w:sz w:val="18"/>
                <w:szCs w:val="18"/>
              </w:rPr>
              <w:t>English sole</w:t>
            </w:r>
          </w:p>
        </w:tc>
        <w:tc>
          <w:tcPr>
            <w:tcW w:w="1705" w:type="dxa"/>
            <w:vAlign w:val="center"/>
          </w:tcPr>
          <w:p w14:paraId="4CD0F054"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 xml:space="preserve">Parophrys </w:t>
            </w:r>
          </w:p>
        </w:tc>
        <w:tc>
          <w:tcPr>
            <w:tcW w:w="1626" w:type="dxa"/>
            <w:vAlign w:val="center"/>
          </w:tcPr>
          <w:p w14:paraId="06A0ADB2"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vetulus</w:t>
            </w:r>
          </w:p>
        </w:tc>
        <w:tc>
          <w:tcPr>
            <w:tcW w:w="1080" w:type="dxa"/>
          </w:tcPr>
          <w:p w14:paraId="5D343DB5" w14:textId="77777777" w:rsidR="00C7266C" w:rsidRPr="00D403F5" w:rsidRDefault="00C7266C" w:rsidP="00D403F5">
            <w:pPr>
              <w:spacing w:after="0"/>
              <w:jc w:val="center"/>
              <w:rPr>
                <w:rFonts w:cstheme="minorHAnsi"/>
                <w:color w:val="000000"/>
                <w:sz w:val="18"/>
                <w:szCs w:val="18"/>
                <w:lang w:val="en-US"/>
              </w:rPr>
            </w:pPr>
          </w:p>
        </w:tc>
        <w:tc>
          <w:tcPr>
            <w:tcW w:w="1530" w:type="dxa"/>
            <w:shd w:val="clear" w:color="auto" w:fill="auto"/>
            <w:vAlign w:val="center"/>
          </w:tcPr>
          <w:p w14:paraId="383043DD" w14:textId="77777777" w:rsidR="00C7266C" w:rsidRPr="00D403F5" w:rsidRDefault="00C7266C" w:rsidP="00D403F5">
            <w:pPr>
              <w:spacing w:after="0"/>
              <w:jc w:val="center"/>
              <w:rPr>
                <w:rFonts w:cstheme="minorHAnsi"/>
                <w:color w:val="000000"/>
                <w:sz w:val="18"/>
                <w:szCs w:val="18"/>
                <w:lang w:val="en-US"/>
              </w:rPr>
            </w:pPr>
          </w:p>
        </w:tc>
        <w:tc>
          <w:tcPr>
            <w:tcW w:w="1620" w:type="dxa"/>
            <w:shd w:val="clear" w:color="auto" w:fill="auto"/>
            <w:vAlign w:val="center"/>
          </w:tcPr>
          <w:p w14:paraId="2EA83979" w14:textId="77777777" w:rsidR="00C7266C" w:rsidRPr="00D403F5" w:rsidRDefault="00C7266C" w:rsidP="00D403F5">
            <w:pPr>
              <w:spacing w:after="0"/>
              <w:rPr>
                <w:rFonts w:cstheme="minorHAnsi"/>
                <w:color w:val="000000"/>
                <w:sz w:val="18"/>
                <w:szCs w:val="18"/>
              </w:rPr>
            </w:pPr>
          </w:p>
        </w:tc>
        <w:tc>
          <w:tcPr>
            <w:tcW w:w="715" w:type="dxa"/>
            <w:shd w:val="clear" w:color="auto" w:fill="auto"/>
            <w:vAlign w:val="center"/>
          </w:tcPr>
          <w:p w14:paraId="06B195AD"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65C7C298"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3B813CA0" w14:textId="77777777" w:rsidR="00C7266C" w:rsidRPr="00D403F5" w:rsidRDefault="00C7266C" w:rsidP="00D403F5">
            <w:pPr>
              <w:spacing w:after="0"/>
              <w:jc w:val="center"/>
              <w:rPr>
                <w:rFonts w:cstheme="minorHAnsi"/>
                <w:color w:val="000000"/>
                <w:sz w:val="18"/>
                <w:szCs w:val="18"/>
              </w:rPr>
            </w:pPr>
          </w:p>
        </w:tc>
        <w:tc>
          <w:tcPr>
            <w:tcW w:w="455" w:type="dxa"/>
            <w:shd w:val="clear" w:color="auto" w:fill="auto"/>
            <w:vAlign w:val="center"/>
          </w:tcPr>
          <w:p w14:paraId="67FFA62E" w14:textId="77777777" w:rsidR="00C7266C" w:rsidRPr="00D403F5" w:rsidRDefault="00C7266C" w:rsidP="00D403F5">
            <w:pPr>
              <w:spacing w:after="0"/>
              <w:jc w:val="center"/>
              <w:rPr>
                <w:rFonts w:cstheme="minorHAnsi"/>
                <w:color w:val="000000"/>
                <w:sz w:val="18"/>
                <w:szCs w:val="18"/>
              </w:rPr>
            </w:pPr>
          </w:p>
        </w:tc>
        <w:tc>
          <w:tcPr>
            <w:tcW w:w="1170" w:type="dxa"/>
            <w:vAlign w:val="center"/>
          </w:tcPr>
          <w:p w14:paraId="55972DAB" w14:textId="77777777" w:rsidR="00C7266C" w:rsidRPr="00D403F5" w:rsidRDefault="00C7266C" w:rsidP="00D403F5">
            <w:pPr>
              <w:spacing w:after="0"/>
              <w:jc w:val="center"/>
              <w:rPr>
                <w:rFonts w:cstheme="minorHAnsi"/>
                <w:color w:val="000000"/>
                <w:sz w:val="18"/>
                <w:szCs w:val="18"/>
                <w:lang w:val="en-US"/>
              </w:rPr>
            </w:pPr>
          </w:p>
        </w:tc>
        <w:tc>
          <w:tcPr>
            <w:tcW w:w="2070" w:type="dxa"/>
            <w:shd w:val="clear" w:color="auto" w:fill="auto"/>
            <w:vAlign w:val="center"/>
          </w:tcPr>
          <w:p w14:paraId="23BFD5BC" w14:textId="77777777" w:rsidR="00C7266C" w:rsidRPr="00D403F5" w:rsidRDefault="00C7266C" w:rsidP="00D403F5">
            <w:pPr>
              <w:spacing w:after="0"/>
              <w:rPr>
                <w:rFonts w:cstheme="minorHAnsi"/>
                <w:color w:val="000000"/>
                <w:sz w:val="18"/>
                <w:szCs w:val="18"/>
              </w:rPr>
            </w:pPr>
          </w:p>
        </w:tc>
      </w:tr>
    </w:tbl>
    <w:p w14:paraId="29E81BFA" w14:textId="77777777" w:rsidR="00C7266C" w:rsidRPr="00D403F5" w:rsidRDefault="00C7266C" w:rsidP="00D403F5">
      <w:pPr>
        <w:spacing w:after="0"/>
        <w:jc w:val="right"/>
        <w:rPr>
          <w:rFonts w:eastAsia="Calibri"/>
          <w:sz w:val="18"/>
          <w:szCs w:val="18"/>
          <w:u w:val="single"/>
          <w:lang w:val="en-US"/>
        </w:rPr>
      </w:pPr>
      <w:r w:rsidRPr="00D403F5">
        <w:rPr>
          <w:sz w:val="18"/>
          <w:szCs w:val="18"/>
        </w:rPr>
        <w:br w:type="page"/>
      </w:r>
      <w:r w:rsidRPr="00D403F5">
        <w:rPr>
          <w:rFonts w:eastAsia="Calibri"/>
          <w:sz w:val="18"/>
          <w:szCs w:val="18"/>
          <w:u w:val="single"/>
          <w:lang w:val="en-US"/>
        </w:rPr>
        <w:t>Annex 15</w:t>
      </w:r>
      <w:r w:rsidRPr="00D403F5">
        <w:rPr>
          <w:rFonts w:eastAsia="Calibri"/>
          <w:sz w:val="18"/>
          <w:szCs w:val="18"/>
          <w:lang w:val="en-US"/>
        </w:rPr>
        <w:t xml:space="preserve"> (contd)</w:t>
      </w:r>
    </w:p>
    <w:p w14:paraId="488621E8" w14:textId="77777777" w:rsidR="00C7266C" w:rsidRPr="00D403F5" w:rsidRDefault="00C7266C" w:rsidP="00D403F5">
      <w:pPr>
        <w:spacing w:after="0"/>
        <w:jc w:val="right"/>
        <w:rPr>
          <w:sz w:val="18"/>
          <w:szCs w:val="18"/>
        </w:rPr>
      </w:pPr>
      <w:r w:rsidRPr="00D403F5">
        <w:rPr>
          <w:sz w:val="18"/>
          <w:szCs w:val="18"/>
          <w:u w:val="single"/>
        </w:rPr>
        <w:t>Annex I</w:t>
      </w:r>
      <w:r w:rsidRPr="00D403F5">
        <w:rPr>
          <w:sz w:val="18"/>
          <w:szCs w:val="18"/>
        </w:rPr>
        <w:t xml:space="preserve"> (contd)</w:t>
      </w:r>
    </w:p>
    <w:tbl>
      <w:tblPr>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794"/>
        <w:gridCol w:w="1705"/>
        <w:gridCol w:w="1626"/>
        <w:gridCol w:w="1080"/>
        <w:gridCol w:w="1530"/>
        <w:gridCol w:w="1620"/>
        <w:gridCol w:w="715"/>
        <w:gridCol w:w="540"/>
        <w:gridCol w:w="540"/>
        <w:gridCol w:w="455"/>
        <w:gridCol w:w="1170"/>
        <w:gridCol w:w="2070"/>
      </w:tblGrid>
      <w:tr w:rsidR="00C7266C" w:rsidRPr="00D403F5" w14:paraId="6776633E"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tcPr>
          <w:p w14:paraId="5CCFA42F" w14:textId="77777777" w:rsidR="00C7266C" w:rsidRPr="00D403F5" w:rsidRDefault="00C7266C" w:rsidP="00D403F5">
            <w:pPr>
              <w:spacing w:after="0"/>
              <w:rPr>
                <w:rFonts w:ascii="Calibri" w:hAnsi="Calibri" w:cs="Calibri"/>
                <w:color w:val="000000"/>
                <w:sz w:val="18"/>
                <w:szCs w:val="18"/>
              </w:rPr>
            </w:pPr>
            <w:r w:rsidRPr="00D403F5">
              <w:rPr>
                <w:rFonts w:ascii="Arial" w:hAnsi="Arial" w:cs="Arial"/>
                <w:b/>
                <w:sz w:val="18"/>
                <w:szCs w:val="18"/>
              </w:rPr>
              <w:t>Common name</w:t>
            </w:r>
          </w:p>
        </w:tc>
        <w:tc>
          <w:tcPr>
            <w:tcW w:w="1705" w:type="dxa"/>
          </w:tcPr>
          <w:p w14:paraId="24DA964A" w14:textId="77777777" w:rsidR="00C7266C" w:rsidRPr="00D403F5" w:rsidRDefault="00C7266C" w:rsidP="00D403F5">
            <w:pPr>
              <w:spacing w:after="0"/>
              <w:jc w:val="center"/>
              <w:rPr>
                <w:rFonts w:ascii="Calibri" w:hAnsi="Calibri" w:cs="Calibri"/>
                <w:i/>
                <w:iCs/>
                <w:color w:val="000000"/>
                <w:sz w:val="18"/>
                <w:szCs w:val="18"/>
              </w:rPr>
            </w:pPr>
            <w:r w:rsidRPr="00D403F5">
              <w:rPr>
                <w:rFonts w:ascii="Arial" w:hAnsi="Arial" w:cs="Arial"/>
                <w:b/>
                <w:sz w:val="18"/>
                <w:szCs w:val="18"/>
              </w:rPr>
              <w:t>Genus</w:t>
            </w:r>
          </w:p>
        </w:tc>
        <w:tc>
          <w:tcPr>
            <w:tcW w:w="1626" w:type="dxa"/>
          </w:tcPr>
          <w:p w14:paraId="70C447FB" w14:textId="77777777" w:rsidR="00C7266C" w:rsidRPr="00D403F5" w:rsidRDefault="00C7266C" w:rsidP="00D403F5">
            <w:pPr>
              <w:spacing w:after="0"/>
              <w:jc w:val="center"/>
              <w:rPr>
                <w:rFonts w:ascii="Calibri" w:hAnsi="Calibri" w:cs="Calibri"/>
                <w:i/>
                <w:iCs/>
                <w:color w:val="000000"/>
                <w:sz w:val="18"/>
                <w:szCs w:val="18"/>
              </w:rPr>
            </w:pPr>
            <w:r w:rsidRPr="00D403F5">
              <w:rPr>
                <w:rFonts w:ascii="Arial" w:hAnsi="Arial" w:cs="Arial"/>
                <w:b/>
                <w:sz w:val="18"/>
                <w:szCs w:val="18"/>
              </w:rPr>
              <w:t>Species</w:t>
            </w:r>
          </w:p>
        </w:tc>
        <w:tc>
          <w:tcPr>
            <w:tcW w:w="1080" w:type="dxa"/>
          </w:tcPr>
          <w:p w14:paraId="350A63BE" w14:textId="77777777" w:rsidR="00C7266C" w:rsidRPr="00D403F5" w:rsidRDefault="00C7266C" w:rsidP="00D403F5">
            <w:pPr>
              <w:spacing w:after="0"/>
              <w:jc w:val="center"/>
              <w:rPr>
                <w:color w:val="000000"/>
                <w:sz w:val="18"/>
                <w:szCs w:val="18"/>
                <w:lang w:val="en-US"/>
              </w:rPr>
            </w:pPr>
            <w:r w:rsidRPr="00D403F5">
              <w:rPr>
                <w:rFonts w:ascii="Arial" w:hAnsi="Arial" w:cs="Arial"/>
                <w:b/>
                <w:sz w:val="18"/>
                <w:szCs w:val="18"/>
              </w:rPr>
              <w:t>Genotype</w:t>
            </w:r>
          </w:p>
        </w:tc>
        <w:tc>
          <w:tcPr>
            <w:tcW w:w="1530" w:type="dxa"/>
            <w:shd w:val="clear" w:color="auto" w:fill="auto"/>
          </w:tcPr>
          <w:p w14:paraId="6AA137BA" w14:textId="77777777" w:rsidR="00C7266C" w:rsidRPr="00D403F5" w:rsidRDefault="00C7266C" w:rsidP="00D403F5">
            <w:pPr>
              <w:spacing w:after="0"/>
              <w:jc w:val="center"/>
              <w:rPr>
                <w:color w:val="000000"/>
                <w:sz w:val="18"/>
                <w:szCs w:val="18"/>
                <w:lang w:val="en-US"/>
              </w:rPr>
            </w:pPr>
            <w:r w:rsidRPr="00D403F5">
              <w:rPr>
                <w:rFonts w:ascii="Arial" w:hAnsi="Arial" w:cs="Arial"/>
                <w:b/>
                <w:sz w:val="18"/>
                <w:szCs w:val="18"/>
              </w:rPr>
              <w:t>Stage 1:</w:t>
            </w:r>
            <w:r w:rsidRPr="00D403F5">
              <w:rPr>
                <w:rFonts w:ascii="Arial" w:hAnsi="Arial" w:cs="Arial"/>
                <w:b/>
                <w:sz w:val="18"/>
                <w:szCs w:val="18"/>
              </w:rPr>
              <w:br/>
              <w:t>Transmission</w:t>
            </w:r>
          </w:p>
        </w:tc>
        <w:tc>
          <w:tcPr>
            <w:tcW w:w="1620" w:type="dxa"/>
            <w:shd w:val="clear" w:color="auto" w:fill="auto"/>
          </w:tcPr>
          <w:p w14:paraId="45E3D441" w14:textId="77777777" w:rsidR="00C7266C" w:rsidRPr="00D403F5" w:rsidRDefault="00C7266C" w:rsidP="00D403F5">
            <w:pPr>
              <w:spacing w:after="0"/>
              <w:rPr>
                <w:rFonts w:ascii="Calibri" w:hAnsi="Calibri" w:cs="Calibri"/>
                <w:color w:val="000000"/>
                <w:sz w:val="18"/>
                <w:szCs w:val="18"/>
              </w:rPr>
            </w:pPr>
            <w:r w:rsidRPr="00D403F5">
              <w:rPr>
                <w:rFonts w:ascii="Arial" w:hAnsi="Arial" w:cs="Arial"/>
                <w:b/>
                <w:sz w:val="18"/>
                <w:szCs w:val="18"/>
              </w:rPr>
              <w:t>Stage 2:</w:t>
            </w:r>
            <w:r w:rsidRPr="00D403F5">
              <w:rPr>
                <w:rFonts w:ascii="Arial" w:hAnsi="Arial" w:cs="Arial"/>
                <w:b/>
                <w:sz w:val="18"/>
                <w:szCs w:val="18"/>
              </w:rPr>
              <w:br/>
              <w:t>Pathogen identification</w:t>
            </w:r>
          </w:p>
        </w:tc>
        <w:tc>
          <w:tcPr>
            <w:tcW w:w="2250" w:type="dxa"/>
            <w:gridSpan w:val="4"/>
            <w:shd w:val="clear" w:color="auto" w:fill="auto"/>
          </w:tcPr>
          <w:p w14:paraId="50529ADA"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b/>
                <w:sz w:val="18"/>
                <w:szCs w:val="18"/>
              </w:rPr>
              <w:t>Stage 3:</w:t>
            </w:r>
            <w:r w:rsidRPr="00D403F5">
              <w:rPr>
                <w:rFonts w:ascii="Arial" w:hAnsi="Arial" w:cs="Arial"/>
                <w:b/>
                <w:sz w:val="18"/>
                <w:szCs w:val="18"/>
              </w:rPr>
              <w:br/>
              <w:t>Evidence for infection</w:t>
            </w:r>
          </w:p>
        </w:tc>
        <w:tc>
          <w:tcPr>
            <w:tcW w:w="1170" w:type="dxa"/>
          </w:tcPr>
          <w:p w14:paraId="0C0B83DA" w14:textId="77777777" w:rsidR="00C7266C" w:rsidRPr="00D403F5" w:rsidRDefault="00C7266C" w:rsidP="00D403F5">
            <w:pPr>
              <w:spacing w:after="0"/>
              <w:jc w:val="center"/>
              <w:rPr>
                <w:color w:val="000000"/>
                <w:sz w:val="18"/>
                <w:szCs w:val="18"/>
                <w:lang w:val="en-US"/>
              </w:rPr>
            </w:pPr>
            <w:r w:rsidRPr="00D403F5">
              <w:rPr>
                <w:rFonts w:ascii="Arial" w:hAnsi="Arial" w:cs="Arial"/>
                <w:b/>
                <w:sz w:val="18"/>
                <w:szCs w:val="18"/>
              </w:rPr>
              <w:t>Outcome</w:t>
            </w:r>
          </w:p>
        </w:tc>
        <w:tc>
          <w:tcPr>
            <w:tcW w:w="2070" w:type="dxa"/>
            <w:shd w:val="clear" w:color="auto" w:fill="auto"/>
          </w:tcPr>
          <w:p w14:paraId="30CDEFD4" w14:textId="77777777" w:rsidR="00C7266C" w:rsidRPr="00D403F5" w:rsidRDefault="00C7266C" w:rsidP="00D403F5">
            <w:pPr>
              <w:spacing w:after="0"/>
              <w:rPr>
                <w:rFonts w:cstheme="minorHAnsi"/>
                <w:color w:val="000000"/>
                <w:sz w:val="18"/>
                <w:szCs w:val="18"/>
              </w:rPr>
            </w:pPr>
            <w:r w:rsidRPr="00D403F5">
              <w:rPr>
                <w:rFonts w:ascii="Arial" w:hAnsi="Arial" w:cs="Arial"/>
                <w:b/>
                <w:sz w:val="18"/>
                <w:szCs w:val="18"/>
              </w:rPr>
              <w:t>References</w:t>
            </w:r>
          </w:p>
        </w:tc>
      </w:tr>
      <w:tr w:rsidR="00C7266C" w:rsidRPr="00D403F5" w14:paraId="5CF56D9F" w14:textId="77777777" w:rsidTr="00C7266C">
        <w:trPr>
          <w:cantSplit/>
        </w:trPr>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14:paraId="43CA2973" w14:textId="77777777" w:rsidR="00C7266C" w:rsidRPr="00D403F5" w:rsidRDefault="00C7266C" w:rsidP="00D403F5">
            <w:pPr>
              <w:spacing w:after="0"/>
              <w:rPr>
                <w:rFonts w:ascii="Calibri" w:hAnsi="Calibri" w:cs="Calibri"/>
                <w:color w:val="000000"/>
                <w:sz w:val="18"/>
                <w:szCs w:val="18"/>
              </w:rPr>
            </w:pPr>
          </w:p>
        </w:tc>
        <w:tc>
          <w:tcPr>
            <w:tcW w:w="1705" w:type="dxa"/>
            <w:vAlign w:val="center"/>
          </w:tcPr>
          <w:p w14:paraId="3DA4F825" w14:textId="77777777" w:rsidR="00C7266C" w:rsidRPr="00D403F5" w:rsidRDefault="00C7266C" w:rsidP="00D403F5">
            <w:pPr>
              <w:spacing w:after="0"/>
              <w:jc w:val="center"/>
              <w:rPr>
                <w:rFonts w:ascii="Calibri" w:hAnsi="Calibri" w:cs="Calibri"/>
                <w:i/>
                <w:iCs/>
                <w:color w:val="000000"/>
                <w:sz w:val="18"/>
                <w:szCs w:val="18"/>
              </w:rPr>
            </w:pPr>
          </w:p>
        </w:tc>
        <w:tc>
          <w:tcPr>
            <w:tcW w:w="1626" w:type="dxa"/>
            <w:vAlign w:val="center"/>
          </w:tcPr>
          <w:p w14:paraId="7CD07556" w14:textId="77777777" w:rsidR="00C7266C" w:rsidRPr="00D403F5" w:rsidRDefault="00C7266C" w:rsidP="00D403F5">
            <w:pPr>
              <w:spacing w:after="0"/>
              <w:jc w:val="center"/>
              <w:rPr>
                <w:rFonts w:ascii="Calibri" w:hAnsi="Calibri" w:cs="Calibri"/>
                <w:i/>
                <w:iCs/>
                <w:color w:val="000000"/>
                <w:sz w:val="18"/>
                <w:szCs w:val="18"/>
              </w:rPr>
            </w:pPr>
          </w:p>
        </w:tc>
        <w:tc>
          <w:tcPr>
            <w:tcW w:w="1080" w:type="dxa"/>
            <w:vAlign w:val="center"/>
          </w:tcPr>
          <w:p w14:paraId="64325289" w14:textId="77777777" w:rsidR="00C7266C" w:rsidRPr="00D403F5" w:rsidRDefault="00C7266C" w:rsidP="00D403F5">
            <w:pPr>
              <w:spacing w:after="0"/>
              <w:jc w:val="center"/>
              <w:rPr>
                <w:color w:val="000000"/>
                <w:sz w:val="18"/>
                <w:szCs w:val="18"/>
                <w:lang w:val="en-US"/>
              </w:rPr>
            </w:pPr>
          </w:p>
        </w:tc>
        <w:tc>
          <w:tcPr>
            <w:tcW w:w="1530" w:type="dxa"/>
            <w:shd w:val="clear" w:color="auto" w:fill="auto"/>
            <w:vAlign w:val="center"/>
          </w:tcPr>
          <w:p w14:paraId="799539FE" w14:textId="77777777" w:rsidR="00C7266C" w:rsidRPr="00D403F5" w:rsidRDefault="00C7266C" w:rsidP="00D403F5">
            <w:pPr>
              <w:spacing w:after="0"/>
              <w:jc w:val="center"/>
              <w:rPr>
                <w:color w:val="000000"/>
                <w:sz w:val="18"/>
                <w:szCs w:val="18"/>
                <w:lang w:val="en-US"/>
              </w:rPr>
            </w:pPr>
          </w:p>
        </w:tc>
        <w:tc>
          <w:tcPr>
            <w:tcW w:w="1620" w:type="dxa"/>
            <w:shd w:val="clear" w:color="auto" w:fill="auto"/>
            <w:vAlign w:val="center"/>
          </w:tcPr>
          <w:p w14:paraId="6CDEB883" w14:textId="77777777" w:rsidR="00C7266C" w:rsidRPr="00D403F5" w:rsidRDefault="00C7266C" w:rsidP="00D403F5">
            <w:pPr>
              <w:spacing w:after="0"/>
              <w:rPr>
                <w:rFonts w:ascii="Calibri" w:hAnsi="Calibri" w:cs="Calibri"/>
                <w:color w:val="000000"/>
                <w:sz w:val="18"/>
                <w:szCs w:val="18"/>
              </w:rPr>
            </w:pPr>
          </w:p>
        </w:tc>
        <w:tc>
          <w:tcPr>
            <w:tcW w:w="715" w:type="dxa"/>
            <w:shd w:val="clear" w:color="auto" w:fill="auto"/>
            <w:vAlign w:val="center"/>
          </w:tcPr>
          <w:p w14:paraId="3759615E"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sz w:val="18"/>
                <w:szCs w:val="18"/>
              </w:rPr>
              <w:t>A</w:t>
            </w:r>
          </w:p>
        </w:tc>
        <w:tc>
          <w:tcPr>
            <w:tcW w:w="540" w:type="dxa"/>
            <w:shd w:val="clear" w:color="auto" w:fill="auto"/>
            <w:vAlign w:val="center"/>
          </w:tcPr>
          <w:p w14:paraId="7AF91CA6"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sz w:val="18"/>
                <w:szCs w:val="18"/>
              </w:rPr>
              <w:t>B</w:t>
            </w:r>
          </w:p>
        </w:tc>
        <w:tc>
          <w:tcPr>
            <w:tcW w:w="540" w:type="dxa"/>
            <w:shd w:val="clear" w:color="auto" w:fill="auto"/>
            <w:vAlign w:val="center"/>
          </w:tcPr>
          <w:p w14:paraId="41CD13C6" w14:textId="77777777" w:rsidR="00C7266C" w:rsidRPr="00D403F5" w:rsidRDefault="00C7266C" w:rsidP="00D403F5">
            <w:pPr>
              <w:spacing w:after="0"/>
              <w:jc w:val="center"/>
              <w:rPr>
                <w:rFonts w:ascii="Calibri" w:hAnsi="Calibri" w:cs="Calibri"/>
                <w:color w:val="000000"/>
                <w:sz w:val="18"/>
                <w:szCs w:val="18"/>
              </w:rPr>
            </w:pPr>
            <w:r w:rsidRPr="00D403F5">
              <w:rPr>
                <w:rFonts w:ascii="Arial" w:hAnsi="Arial" w:cs="Arial"/>
                <w:sz w:val="18"/>
                <w:szCs w:val="18"/>
              </w:rPr>
              <w:t>C</w:t>
            </w:r>
          </w:p>
        </w:tc>
        <w:tc>
          <w:tcPr>
            <w:tcW w:w="455" w:type="dxa"/>
            <w:shd w:val="clear" w:color="auto" w:fill="auto"/>
            <w:vAlign w:val="center"/>
          </w:tcPr>
          <w:p w14:paraId="737C7C5A" w14:textId="77777777" w:rsidR="00C7266C" w:rsidRPr="00D403F5" w:rsidRDefault="00C7266C" w:rsidP="00D403F5">
            <w:pPr>
              <w:spacing w:after="0"/>
              <w:jc w:val="center"/>
              <w:rPr>
                <w:rFonts w:ascii="Calibri" w:hAnsi="Calibri" w:cs="Calibri"/>
                <w:color w:val="000000"/>
                <w:sz w:val="18"/>
                <w:szCs w:val="18"/>
              </w:rPr>
            </w:pPr>
          </w:p>
        </w:tc>
        <w:tc>
          <w:tcPr>
            <w:tcW w:w="1170" w:type="dxa"/>
            <w:vAlign w:val="center"/>
          </w:tcPr>
          <w:p w14:paraId="09BB7858" w14:textId="77777777" w:rsidR="00C7266C" w:rsidRPr="00D403F5" w:rsidRDefault="00C7266C" w:rsidP="00D403F5">
            <w:pPr>
              <w:spacing w:after="0"/>
              <w:jc w:val="center"/>
              <w:rPr>
                <w:color w:val="000000"/>
                <w:sz w:val="18"/>
                <w:szCs w:val="18"/>
                <w:lang w:val="en-US"/>
              </w:rPr>
            </w:pPr>
          </w:p>
        </w:tc>
        <w:tc>
          <w:tcPr>
            <w:tcW w:w="2070" w:type="dxa"/>
            <w:shd w:val="clear" w:color="auto" w:fill="auto"/>
            <w:vAlign w:val="center"/>
          </w:tcPr>
          <w:p w14:paraId="78046DCE" w14:textId="77777777" w:rsidR="00C7266C" w:rsidRPr="00D403F5" w:rsidRDefault="00C7266C" w:rsidP="00D403F5">
            <w:pPr>
              <w:spacing w:after="0"/>
              <w:rPr>
                <w:rFonts w:cstheme="minorHAnsi"/>
                <w:color w:val="000000"/>
                <w:sz w:val="18"/>
                <w:szCs w:val="18"/>
              </w:rPr>
            </w:pPr>
          </w:p>
        </w:tc>
      </w:tr>
      <w:tr w:rsidR="00C7266C" w:rsidRPr="00D403F5" w14:paraId="332A71F4" w14:textId="77777777" w:rsidTr="00C7266C">
        <w:trPr>
          <w:cantSplit/>
        </w:trPr>
        <w:tc>
          <w:tcPr>
            <w:tcW w:w="1794" w:type="dxa"/>
            <w:vAlign w:val="center"/>
          </w:tcPr>
          <w:p w14:paraId="4E7B5B48" w14:textId="77777777" w:rsidR="00C7266C" w:rsidRPr="00D403F5" w:rsidRDefault="00C7266C" w:rsidP="00D403F5">
            <w:pPr>
              <w:spacing w:after="0"/>
              <w:rPr>
                <w:rFonts w:cstheme="minorHAnsi"/>
                <w:color w:val="000000"/>
                <w:sz w:val="18"/>
                <w:szCs w:val="18"/>
              </w:rPr>
            </w:pPr>
            <w:r w:rsidRPr="00D403F5">
              <w:rPr>
                <w:rFonts w:ascii="Calibri" w:hAnsi="Calibri" w:cs="Calibri"/>
                <w:color w:val="000000"/>
                <w:sz w:val="18"/>
                <w:szCs w:val="18"/>
              </w:rPr>
              <w:t>Golden trout</w:t>
            </w:r>
          </w:p>
        </w:tc>
        <w:tc>
          <w:tcPr>
            <w:tcW w:w="1705" w:type="dxa"/>
            <w:vAlign w:val="center"/>
          </w:tcPr>
          <w:p w14:paraId="6D69AFEC"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 xml:space="preserve">Oncorhynchus </w:t>
            </w:r>
          </w:p>
        </w:tc>
        <w:tc>
          <w:tcPr>
            <w:tcW w:w="1626" w:type="dxa"/>
            <w:vAlign w:val="center"/>
          </w:tcPr>
          <w:p w14:paraId="0A8ED79D"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aguabonita</w:t>
            </w:r>
          </w:p>
        </w:tc>
        <w:tc>
          <w:tcPr>
            <w:tcW w:w="1080" w:type="dxa"/>
          </w:tcPr>
          <w:p w14:paraId="24F264A6" w14:textId="77777777" w:rsidR="00C7266C" w:rsidRPr="00D403F5" w:rsidRDefault="00C7266C" w:rsidP="00D403F5">
            <w:pPr>
              <w:spacing w:after="0"/>
              <w:jc w:val="center"/>
              <w:rPr>
                <w:rFonts w:cstheme="minorHAnsi"/>
                <w:color w:val="000000"/>
                <w:sz w:val="18"/>
                <w:szCs w:val="18"/>
                <w:lang w:val="en-US"/>
              </w:rPr>
            </w:pPr>
          </w:p>
        </w:tc>
        <w:tc>
          <w:tcPr>
            <w:tcW w:w="1530" w:type="dxa"/>
            <w:shd w:val="clear" w:color="auto" w:fill="auto"/>
            <w:vAlign w:val="center"/>
          </w:tcPr>
          <w:p w14:paraId="020BFA24" w14:textId="77777777" w:rsidR="00C7266C" w:rsidRPr="00D403F5" w:rsidRDefault="00C7266C" w:rsidP="00D403F5">
            <w:pPr>
              <w:spacing w:after="0"/>
              <w:jc w:val="center"/>
              <w:rPr>
                <w:rFonts w:cstheme="minorHAnsi"/>
                <w:color w:val="000000"/>
                <w:sz w:val="18"/>
                <w:szCs w:val="18"/>
                <w:lang w:val="en-US"/>
              </w:rPr>
            </w:pPr>
          </w:p>
        </w:tc>
        <w:tc>
          <w:tcPr>
            <w:tcW w:w="1620" w:type="dxa"/>
            <w:shd w:val="clear" w:color="auto" w:fill="auto"/>
            <w:vAlign w:val="center"/>
          </w:tcPr>
          <w:p w14:paraId="2087F5A5" w14:textId="77777777" w:rsidR="00C7266C" w:rsidRPr="00D403F5" w:rsidRDefault="00C7266C" w:rsidP="00D403F5">
            <w:pPr>
              <w:spacing w:after="0"/>
              <w:rPr>
                <w:rFonts w:cstheme="minorHAnsi"/>
                <w:color w:val="000000"/>
                <w:sz w:val="18"/>
                <w:szCs w:val="18"/>
              </w:rPr>
            </w:pPr>
          </w:p>
        </w:tc>
        <w:tc>
          <w:tcPr>
            <w:tcW w:w="715" w:type="dxa"/>
            <w:shd w:val="clear" w:color="auto" w:fill="auto"/>
            <w:vAlign w:val="center"/>
          </w:tcPr>
          <w:p w14:paraId="1AE7881F"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3F5DDB30"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0EAE96AF" w14:textId="77777777" w:rsidR="00C7266C" w:rsidRPr="00D403F5" w:rsidRDefault="00C7266C" w:rsidP="00D403F5">
            <w:pPr>
              <w:spacing w:after="0"/>
              <w:jc w:val="center"/>
              <w:rPr>
                <w:rFonts w:cstheme="minorHAnsi"/>
                <w:color w:val="000000"/>
                <w:sz w:val="18"/>
                <w:szCs w:val="18"/>
              </w:rPr>
            </w:pPr>
          </w:p>
        </w:tc>
        <w:tc>
          <w:tcPr>
            <w:tcW w:w="455" w:type="dxa"/>
            <w:shd w:val="clear" w:color="auto" w:fill="auto"/>
            <w:vAlign w:val="center"/>
          </w:tcPr>
          <w:p w14:paraId="5AD76DAC" w14:textId="77777777" w:rsidR="00C7266C" w:rsidRPr="00D403F5" w:rsidRDefault="00C7266C" w:rsidP="00D403F5">
            <w:pPr>
              <w:spacing w:after="0"/>
              <w:jc w:val="center"/>
              <w:rPr>
                <w:rFonts w:cstheme="minorHAnsi"/>
                <w:color w:val="000000"/>
                <w:sz w:val="18"/>
                <w:szCs w:val="18"/>
              </w:rPr>
            </w:pPr>
          </w:p>
        </w:tc>
        <w:tc>
          <w:tcPr>
            <w:tcW w:w="1170" w:type="dxa"/>
            <w:vAlign w:val="center"/>
          </w:tcPr>
          <w:p w14:paraId="15973EDF" w14:textId="77777777" w:rsidR="00C7266C" w:rsidRPr="00D403F5" w:rsidRDefault="00C7266C" w:rsidP="00D403F5">
            <w:pPr>
              <w:spacing w:after="0"/>
              <w:jc w:val="center"/>
              <w:rPr>
                <w:rFonts w:cstheme="minorHAnsi"/>
                <w:color w:val="000000"/>
                <w:sz w:val="18"/>
                <w:szCs w:val="18"/>
                <w:lang w:val="en-US"/>
              </w:rPr>
            </w:pPr>
          </w:p>
        </w:tc>
        <w:tc>
          <w:tcPr>
            <w:tcW w:w="2070" w:type="dxa"/>
            <w:shd w:val="clear" w:color="auto" w:fill="auto"/>
            <w:vAlign w:val="center"/>
          </w:tcPr>
          <w:p w14:paraId="6653AD41" w14:textId="77777777" w:rsidR="00C7266C" w:rsidRPr="00D403F5" w:rsidRDefault="00C7266C" w:rsidP="00D403F5">
            <w:pPr>
              <w:spacing w:after="0"/>
              <w:rPr>
                <w:rFonts w:cstheme="minorHAnsi"/>
                <w:color w:val="000000"/>
                <w:sz w:val="18"/>
                <w:szCs w:val="18"/>
              </w:rPr>
            </w:pPr>
          </w:p>
        </w:tc>
      </w:tr>
      <w:tr w:rsidR="00C7266C" w:rsidRPr="00D403F5" w14:paraId="6B444004" w14:textId="77777777" w:rsidTr="00C7266C">
        <w:trPr>
          <w:cantSplit/>
        </w:trPr>
        <w:tc>
          <w:tcPr>
            <w:tcW w:w="1794" w:type="dxa"/>
            <w:vAlign w:val="center"/>
          </w:tcPr>
          <w:p w14:paraId="7E626139" w14:textId="77777777" w:rsidR="00C7266C" w:rsidRPr="00D403F5" w:rsidRDefault="00C7266C" w:rsidP="00D403F5">
            <w:pPr>
              <w:spacing w:after="0"/>
              <w:rPr>
                <w:rFonts w:cstheme="minorHAnsi"/>
                <w:color w:val="000000"/>
                <w:sz w:val="18"/>
                <w:szCs w:val="18"/>
              </w:rPr>
            </w:pPr>
            <w:r w:rsidRPr="00D403F5">
              <w:rPr>
                <w:rFonts w:ascii="Calibri" w:hAnsi="Calibri" w:cs="Calibri"/>
                <w:sz w:val="18"/>
                <w:szCs w:val="18"/>
              </w:rPr>
              <w:t>Goldfish</w:t>
            </w:r>
          </w:p>
        </w:tc>
        <w:tc>
          <w:tcPr>
            <w:tcW w:w="1705" w:type="dxa"/>
            <w:vAlign w:val="center"/>
          </w:tcPr>
          <w:p w14:paraId="1F38C1C4"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Carassius</w:t>
            </w:r>
          </w:p>
        </w:tc>
        <w:tc>
          <w:tcPr>
            <w:tcW w:w="1626" w:type="dxa"/>
            <w:vAlign w:val="center"/>
          </w:tcPr>
          <w:p w14:paraId="5F6E51FF"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auratus</w:t>
            </w:r>
          </w:p>
        </w:tc>
        <w:tc>
          <w:tcPr>
            <w:tcW w:w="1080" w:type="dxa"/>
          </w:tcPr>
          <w:p w14:paraId="264C7CA7" w14:textId="77777777" w:rsidR="00C7266C" w:rsidRPr="00D403F5" w:rsidRDefault="00C7266C" w:rsidP="00D403F5">
            <w:pPr>
              <w:spacing w:after="0"/>
              <w:jc w:val="center"/>
              <w:rPr>
                <w:rFonts w:cstheme="minorHAnsi"/>
                <w:color w:val="000000"/>
                <w:sz w:val="18"/>
                <w:szCs w:val="18"/>
                <w:lang w:val="en-US"/>
              </w:rPr>
            </w:pPr>
          </w:p>
        </w:tc>
        <w:tc>
          <w:tcPr>
            <w:tcW w:w="1530" w:type="dxa"/>
            <w:shd w:val="clear" w:color="auto" w:fill="auto"/>
            <w:vAlign w:val="center"/>
          </w:tcPr>
          <w:p w14:paraId="5F56E46A" w14:textId="77777777" w:rsidR="00C7266C" w:rsidRPr="00D403F5" w:rsidRDefault="00C7266C" w:rsidP="00D403F5">
            <w:pPr>
              <w:spacing w:after="0"/>
              <w:jc w:val="center"/>
              <w:rPr>
                <w:rFonts w:cstheme="minorHAnsi"/>
                <w:color w:val="000000"/>
                <w:sz w:val="18"/>
                <w:szCs w:val="18"/>
                <w:lang w:val="en-US"/>
              </w:rPr>
            </w:pPr>
          </w:p>
        </w:tc>
        <w:tc>
          <w:tcPr>
            <w:tcW w:w="1620" w:type="dxa"/>
            <w:shd w:val="clear" w:color="auto" w:fill="auto"/>
            <w:vAlign w:val="center"/>
          </w:tcPr>
          <w:p w14:paraId="238596DE" w14:textId="77777777" w:rsidR="00C7266C" w:rsidRPr="00D403F5" w:rsidRDefault="00C7266C" w:rsidP="00D403F5">
            <w:pPr>
              <w:spacing w:after="0"/>
              <w:rPr>
                <w:rFonts w:cstheme="minorHAnsi"/>
                <w:color w:val="000000"/>
                <w:sz w:val="18"/>
                <w:szCs w:val="18"/>
              </w:rPr>
            </w:pPr>
          </w:p>
        </w:tc>
        <w:tc>
          <w:tcPr>
            <w:tcW w:w="715" w:type="dxa"/>
            <w:shd w:val="clear" w:color="auto" w:fill="auto"/>
            <w:vAlign w:val="center"/>
          </w:tcPr>
          <w:p w14:paraId="56F98CC0"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3E99943E" w14:textId="77777777" w:rsidR="00C7266C" w:rsidRPr="00D403F5" w:rsidRDefault="00C7266C" w:rsidP="00D403F5">
            <w:pPr>
              <w:spacing w:after="0"/>
              <w:jc w:val="center"/>
              <w:rPr>
                <w:rFonts w:cstheme="minorHAnsi"/>
                <w:color w:val="000000"/>
                <w:sz w:val="18"/>
                <w:szCs w:val="18"/>
              </w:rPr>
            </w:pPr>
          </w:p>
        </w:tc>
        <w:tc>
          <w:tcPr>
            <w:tcW w:w="540" w:type="dxa"/>
            <w:shd w:val="clear" w:color="auto" w:fill="auto"/>
            <w:vAlign w:val="center"/>
          </w:tcPr>
          <w:p w14:paraId="24D8D6FB" w14:textId="77777777" w:rsidR="00C7266C" w:rsidRPr="00D403F5" w:rsidRDefault="00C7266C" w:rsidP="00D403F5">
            <w:pPr>
              <w:spacing w:after="0"/>
              <w:jc w:val="center"/>
              <w:rPr>
                <w:rFonts w:cstheme="minorHAnsi"/>
                <w:color w:val="000000"/>
                <w:sz w:val="18"/>
                <w:szCs w:val="18"/>
              </w:rPr>
            </w:pPr>
          </w:p>
        </w:tc>
        <w:tc>
          <w:tcPr>
            <w:tcW w:w="455" w:type="dxa"/>
            <w:shd w:val="clear" w:color="auto" w:fill="auto"/>
            <w:vAlign w:val="center"/>
          </w:tcPr>
          <w:p w14:paraId="2DBC2776" w14:textId="77777777" w:rsidR="00C7266C" w:rsidRPr="00D403F5" w:rsidRDefault="00C7266C" w:rsidP="00D403F5">
            <w:pPr>
              <w:spacing w:after="0"/>
              <w:jc w:val="center"/>
              <w:rPr>
                <w:rFonts w:cstheme="minorHAnsi"/>
                <w:color w:val="000000"/>
                <w:sz w:val="18"/>
                <w:szCs w:val="18"/>
              </w:rPr>
            </w:pPr>
          </w:p>
        </w:tc>
        <w:tc>
          <w:tcPr>
            <w:tcW w:w="1170" w:type="dxa"/>
            <w:vAlign w:val="center"/>
          </w:tcPr>
          <w:p w14:paraId="2642B043" w14:textId="77777777" w:rsidR="00C7266C" w:rsidRPr="00D403F5" w:rsidRDefault="00C7266C" w:rsidP="00D403F5">
            <w:pPr>
              <w:spacing w:after="0"/>
              <w:jc w:val="center"/>
              <w:rPr>
                <w:rFonts w:cstheme="minorHAnsi"/>
                <w:color w:val="000000"/>
                <w:sz w:val="18"/>
                <w:szCs w:val="18"/>
                <w:lang w:val="en-US"/>
              </w:rPr>
            </w:pPr>
          </w:p>
        </w:tc>
        <w:tc>
          <w:tcPr>
            <w:tcW w:w="2070" w:type="dxa"/>
            <w:shd w:val="clear" w:color="auto" w:fill="auto"/>
            <w:vAlign w:val="center"/>
          </w:tcPr>
          <w:p w14:paraId="6770BE5F" w14:textId="77777777" w:rsidR="00C7266C" w:rsidRPr="00D403F5" w:rsidRDefault="00C7266C" w:rsidP="00D403F5">
            <w:pPr>
              <w:spacing w:after="0"/>
              <w:rPr>
                <w:rFonts w:cstheme="minorHAnsi"/>
                <w:color w:val="000000"/>
                <w:sz w:val="18"/>
                <w:szCs w:val="18"/>
              </w:rPr>
            </w:pPr>
          </w:p>
        </w:tc>
      </w:tr>
      <w:tr w:rsidR="00C7266C" w:rsidRPr="00D403F5" w14:paraId="49DA368E" w14:textId="77777777" w:rsidTr="00C7266C">
        <w:trPr>
          <w:cantSplit/>
        </w:trPr>
        <w:tc>
          <w:tcPr>
            <w:tcW w:w="1794" w:type="dxa"/>
            <w:vAlign w:val="center"/>
          </w:tcPr>
          <w:p w14:paraId="3458BCCF"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 xml:space="preserve">Hong Kong grouper </w:t>
            </w:r>
          </w:p>
        </w:tc>
        <w:tc>
          <w:tcPr>
            <w:tcW w:w="1705" w:type="dxa"/>
            <w:vAlign w:val="center"/>
          </w:tcPr>
          <w:p w14:paraId="4B50257E"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Epinephelus</w:t>
            </w:r>
          </w:p>
        </w:tc>
        <w:tc>
          <w:tcPr>
            <w:tcW w:w="1626" w:type="dxa"/>
            <w:vAlign w:val="center"/>
          </w:tcPr>
          <w:p w14:paraId="5CBB39E0"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akaara</w:t>
            </w:r>
          </w:p>
        </w:tc>
        <w:tc>
          <w:tcPr>
            <w:tcW w:w="1080" w:type="dxa"/>
          </w:tcPr>
          <w:p w14:paraId="15A81DD2"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vAlign w:val="center"/>
          </w:tcPr>
          <w:p w14:paraId="6D8CB3CA"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00DDF865" w14:textId="77777777" w:rsidTr="00C7266C">
        <w:trPr>
          <w:cantSplit/>
        </w:trPr>
        <w:tc>
          <w:tcPr>
            <w:tcW w:w="1794" w:type="dxa"/>
            <w:vAlign w:val="center"/>
          </w:tcPr>
          <w:p w14:paraId="536BCE43" w14:textId="77777777" w:rsidR="00C7266C" w:rsidRPr="00D403F5" w:rsidRDefault="00C7266C" w:rsidP="00D403F5">
            <w:pPr>
              <w:spacing w:after="0"/>
              <w:rPr>
                <w:rFonts w:ascii="Calibri" w:hAnsi="Calibri" w:cs="Calibri"/>
                <w:color w:val="000000"/>
                <w:sz w:val="18"/>
                <w:szCs w:val="18"/>
                <w:lang w:val="en-US"/>
              </w:rPr>
            </w:pPr>
            <w:r w:rsidRPr="00D403F5">
              <w:rPr>
                <w:rFonts w:ascii="Calibri" w:hAnsi="Calibri" w:cs="Calibri"/>
                <w:color w:val="000000"/>
                <w:sz w:val="18"/>
                <w:szCs w:val="18"/>
              </w:rPr>
              <w:t xml:space="preserve">Japanese amberjack </w:t>
            </w:r>
          </w:p>
        </w:tc>
        <w:tc>
          <w:tcPr>
            <w:tcW w:w="1705" w:type="dxa"/>
            <w:vAlign w:val="center"/>
          </w:tcPr>
          <w:p w14:paraId="69D4B0A9"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 xml:space="preserve">Seriola </w:t>
            </w:r>
          </w:p>
        </w:tc>
        <w:tc>
          <w:tcPr>
            <w:tcW w:w="1626" w:type="dxa"/>
            <w:vAlign w:val="center"/>
          </w:tcPr>
          <w:p w14:paraId="1F8A38CF"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quinqueradiata</w:t>
            </w:r>
          </w:p>
        </w:tc>
        <w:tc>
          <w:tcPr>
            <w:tcW w:w="1080" w:type="dxa"/>
          </w:tcPr>
          <w:p w14:paraId="14B228E1"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11D704C0"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251018F3" w14:textId="77777777" w:rsidTr="00C7266C">
        <w:trPr>
          <w:cantSplit/>
        </w:trPr>
        <w:tc>
          <w:tcPr>
            <w:tcW w:w="1794" w:type="dxa"/>
            <w:vAlign w:val="center"/>
          </w:tcPr>
          <w:p w14:paraId="5E8EE879" w14:textId="77777777" w:rsidR="00C7266C" w:rsidRPr="00D403F5" w:rsidRDefault="00C7266C" w:rsidP="00D403F5">
            <w:pPr>
              <w:spacing w:after="0"/>
              <w:rPr>
                <w:rFonts w:ascii="Calibri" w:hAnsi="Calibri" w:cs="Calibri"/>
                <w:sz w:val="18"/>
                <w:szCs w:val="18"/>
              </w:rPr>
            </w:pPr>
            <w:r w:rsidRPr="00D403F5">
              <w:rPr>
                <w:rFonts w:ascii="Calibri" w:hAnsi="Calibri" w:cs="Calibri"/>
                <w:sz w:val="18"/>
                <w:szCs w:val="18"/>
              </w:rPr>
              <w:t xml:space="preserve">Korean rockfish </w:t>
            </w:r>
          </w:p>
        </w:tc>
        <w:tc>
          <w:tcPr>
            <w:tcW w:w="1705" w:type="dxa"/>
            <w:vAlign w:val="center"/>
          </w:tcPr>
          <w:p w14:paraId="2B794320" w14:textId="77777777" w:rsidR="00C7266C" w:rsidRPr="00D403F5" w:rsidRDefault="00C7266C" w:rsidP="00D403F5">
            <w:pPr>
              <w:spacing w:after="0"/>
              <w:jc w:val="center"/>
              <w:rPr>
                <w:rFonts w:ascii="Calibri" w:hAnsi="Calibri" w:cs="Calibri"/>
                <w:i/>
                <w:iCs/>
                <w:sz w:val="18"/>
                <w:szCs w:val="18"/>
              </w:rPr>
            </w:pPr>
            <w:r w:rsidRPr="00D403F5">
              <w:rPr>
                <w:rFonts w:ascii="Calibri" w:hAnsi="Calibri" w:cs="Calibri"/>
                <w:i/>
                <w:iCs/>
                <w:sz w:val="18"/>
                <w:szCs w:val="18"/>
              </w:rPr>
              <w:t>Sebastes</w:t>
            </w:r>
          </w:p>
        </w:tc>
        <w:tc>
          <w:tcPr>
            <w:tcW w:w="1626" w:type="dxa"/>
            <w:vAlign w:val="center"/>
          </w:tcPr>
          <w:p w14:paraId="6610E768" w14:textId="77777777" w:rsidR="00C7266C" w:rsidRPr="00D403F5" w:rsidRDefault="00C7266C" w:rsidP="00D403F5">
            <w:pPr>
              <w:spacing w:after="0"/>
              <w:jc w:val="center"/>
              <w:rPr>
                <w:rFonts w:ascii="Calibri" w:hAnsi="Calibri" w:cs="Calibri"/>
                <w:i/>
                <w:iCs/>
                <w:sz w:val="18"/>
                <w:szCs w:val="18"/>
              </w:rPr>
            </w:pPr>
            <w:r w:rsidRPr="00D403F5">
              <w:rPr>
                <w:rFonts w:ascii="Calibri" w:hAnsi="Calibri" w:cs="Calibri"/>
                <w:i/>
                <w:iCs/>
                <w:sz w:val="18"/>
                <w:szCs w:val="18"/>
              </w:rPr>
              <w:t>schlegeli</w:t>
            </w:r>
          </w:p>
        </w:tc>
        <w:tc>
          <w:tcPr>
            <w:tcW w:w="1080" w:type="dxa"/>
          </w:tcPr>
          <w:p w14:paraId="318A773E"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280D6608"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72B62164" w14:textId="77777777" w:rsidTr="00C7266C">
        <w:trPr>
          <w:cantSplit/>
        </w:trPr>
        <w:tc>
          <w:tcPr>
            <w:tcW w:w="1794" w:type="dxa"/>
            <w:vAlign w:val="center"/>
          </w:tcPr>
          <w:p w14:paraId="7599E629"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Marbled flounder</w:t>
            </w:r>
          </w:p>
        </w:tc>
        <w:tc>
          <w:tcPr>
            <w:tcW w:w="1705" w:type="dxa"/>
            <w:vAlign w:val="center"/>
          </w:tcPr>
          <w:p w14:paraId="2C1FA277"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Pleuronectes</w:t>
            </w:r>
          </w:p>
        </w:tc>
        <w:tc>
          <w:tcPr>
            <w:tcW w:w="1626" w:type="dxa"/>
            <w:vAlign w:val="center"/>
          </w:tcPr>
          <w:p w14:paraId="54A8748A"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yokohamae</w:t>
            </w:r>
          </w:p>
        </w:tc>
        <w:tc>
          <w:tcPr>
            <w:tcW w:w="1080" w:type="dxa"/>
          </w:tcPr>
          <w:p w14:paraId="5D8BACA5"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526B1FF7"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6E71EF92" w14:textId="77777777" w:rsidTr="00C7266C">
        <w:trPr>
          <w:cantSplit/>
        </w:trPr>
        <w:tc>
          <w:tcPr>
            <w:tcW w:w="1794" w:type="dxa"/>
            <w:vAlign w:val="center"/>
          </w:tcPr>
          <w:p w14:paraId="502BF14A" w14:textId="77777777" w:rsidR="00C7266C" w:rsidRPr="00D403F5" w:rsidRDefault="00C7266C" w:rsidP="00D403F5">
            <w:pPr>
              <w:spacing w:after="0"/>
              <w:rPr>
                <w:rFonts w:ascii="Calibri" w:hAnsi="Calibri" w:cs="Calibri"/>
                <w:color w:val="000000"/>
                <w:sz w:val="18"/>
                <w:szCs w:val="18"/>
                <w:lang w:val="en-US"/>
              </w:rPr>
            </w:pPr>
            <w:r w:rsidRPr="00D403F5">
              <w:rPr>
                <w:rFonts w:ascii="Calibri" w:hAnsi="Calibri" w:cs="Calibri"/>
                <w:color w:val="000000"/>
                <w:sz w:val="18"/>
                <w:szCs w:val="18"/>
              </w:rPr>
              <w:t>Pacific lamprey</w:t>
            </w:r>
          </w:p>
        </w:tc>
        <w:tc>
          <w:tcPr>
            <w:tcW w:w="1705" w:type="dxa"/>
            <w:vAlign w:val="center"/>
          </w:tcPr>
          <w:p w14:paraId="40D47661"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Entosphenus</w:t>
            </w:r>
          </w:p>
        </w:tc>
        <w:tc>
          <w:tcPr>
            <w:tcW w:w="1626" w:type="dxa"/>
            <w:vAlign w:val="center"/>
          </w:tcPr>
          <w:p w14:paraId="31CE408E"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tridentatus</w:t>
            </w:r>
          </w:p>
        </w:tc>
        <w:tc>
          <w:tcPr>
            <w:tcW w:w="1080" w:type="dxa"/>
          </w:tcPr>
          <w:p w14:paraId="508F4ED8"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24D08458"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0A5443FD" w14:textId="77777777" w:rsidTr="00C7266C">
        <w:trPr>
          <w:cantSplit/>
        </w:trPr>
        <w:tc>
          <w:tcPr>
            <w:tcW w:w="1794" w:type="dxa"/>
            <w:vAlign w:val="center"/>
          </w:tcPr>
          <w:p w14:paraId="24009872"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Red sea bream</w:t>
            </w:r>
          </w:p>
        </w:tc>
        <w:tc>
          <w:tcPr>
            <w:tcW w:w="1705" w:type="dxa"/>
            <w:vAlign w:val="center"/>
          </w:tcPr>
          <w:p w14:paraId="45E5102D"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Pagrus</w:t>
            </w:r>
          </w:p>
        </w:tc>
        <w:tc>
          <w:tcPr>
            <w:tcW w:w="1626" w:type="dxa"/>
            <w:vAlign w:val="center"/>
          </w:tcPr>
          <w:p w14:paraId="7FAA621D"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major</w:t>
            </w:r>
          </w:p>
        </w:tc>
        <w:tc>
          <w:tcPr>
            <w:tcW w:w="1080" w:type="dxa"/>
          </w:tcPr>
          <w:p w14:paraId="4682F596"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2914497F"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72C3AE86" w14:textId="77777777" w:rsidTr="00C7266C">
        <w:trPr>
          <w:cantSplit/>
        </w:trPr>
        <w:tc>
          <w:tcPr>
            <w:tcW w:w="1794" w:type="dxa"/>
            <w:vAlign w:val="center"/>
          </w:tcPr>
          <w:p w14:paraId="5DC0F2E3"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Sea lamprey</w:t>
            </w:r>
          </w:p>
        </w:tc>
        <w:tc>
          <w:tcPr>
            <w:tcW w:w="1705" w:type="dxa"/>
            <w:vAlign w:val="center"/>
          </w:tcPr>
          <w:p w14:paraId="4E32CE39"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Petromyzon</w:t>
            </w:r>
          </w:p>
        </w:tc>
        <w:tc>
          <w:tcPr>
            <w:tcW w:w="1626" w:type="dxa"/>
            <w:vAlign w:val="center"/>
          </w:tcPr>
          <w:p w14:paraId="0E1E3FCB"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marinus</w:t>
            </w:r>
          </w:p>
        </w:tc>
        <w:tc>
          <w:tcPr>
            <w:tcW w:w="1080" w:type="dxa"/>
          </w:tcPr>
          <w:p w14:paraId="3982157B"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4E7ED524"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7362CBAE" w14:textId="77777777" w:rsidTr="00C7266C">
        <w:trPr>
          <w:cantSplit/>
        </w:trPr>
        <w:tc>
          <w:tcPr>
            <w:tcW w:w="1794" w:type="dxa"/>
            <w:vAlign w:val="center"/>
          </w:tcPr>
          <w:p w14:paraId="580B52D3" w14:textId="77777777" w:rsidR="00C7266C" w:rsidRPr="00D403F5" w:rsidRDefault="00C7266C" w:rsidP="00D403F5">
            <w:pPr>
              <w:spacing w:after="0"/>
              <w:rPr>
                <w:rFonts w:ascii="Calibri" w:hAnsi="Calibri" w:cs="Calibri"/>
                <w:color w:val="000000"/>
                <w:sz w:val="18"/>
                <w:szCs w:val="18"/>
                <w:lang w:val="en-US"/>
              </w:rPr>
            </w:pPr>
            <w:r w:rsidRPr="00D403F5">
              <w:rPr>
                <w:rFonts w:ascii="Calibri" w:hAnsi="Calibri" w:cs="Calibri"/>
                <w:color w:val="000000"/>
                <w:sz w:val="18"/>
                <w:szCs w:val="18"/>
              </w:rPr>
              <w:t>Sockeye salmon</w:t>
            </w:r>
          </w:p>
        </w:tc>
        <w:tc>
          <w:tcPr>
            <w:tcW w:w="1705" w:type="dxa"/>
            <w:vAlign w:val="center"/>
          </w:tcPr>
          <w:p w14:paraId="45754424"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 xml:space="preserve">Oncorhynchus </w:t>
            </w:r>
          </w:p>
        </w:tc>
        <w:tc>
          <w:tcPr>
            <w:tcW w:w="1626" w:type="dxa"/>
            <w:vAlign w:val="center"/>
          </w:tcPr>
          <w:p w14:paraId="3EC3EA9A"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nerka</w:t>
            </w:r>
          </w:p>
        </w:tc>
        <w:tc>
          <w:tcPr>
            <w:tcW w:w="1080" w:type="dxa"/>
          </w:tcPr>
          <w:p w14:paraId="7D0BE165"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4BD2DC86"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1312D0A8" w14:textId="77777777" w:rsidTr="00C7266C">
        <w:trPr>
          <w:cantSplit/>
        </w:trPr>
        <w:tc>
          <w:tcPr>
            <w:tcW w:w="1794" w:type="dxa"/>
            <w:vAlign w:val="center"/>
          </w:tcPr>
          <w:p w14:paraId="302CCB99"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Splake: Hybride (Salvelinus namaycush x Salvelinus fontinalis)</w:t>
            </w:r>
          </w:p>
        </w:tc>
        <w:tc>
          <w:tcPr>
            <w:tcW w:w="1705" w:type="dxa"/>
            <w:vAlign w:val="center"/>
          </w:tcPr>
          <w:p w14:paraId="418B69F3"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Salvelinus</w:t>
            </w:r>
          </w:p>
        </w:tc>
        <w:tc>
          <w:tcPr>
            <w:tcW w:w="1626" w:type="dxa"/>
            <w:vAlign w:val="center"/>
          </w:tcPr>
          <w:p w14:paraId="1C6C600D"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namaycush X fontinalis</w:t>
            </w:r>
          </w:p>
        </w:tc>
        <w:tc>
          <w:tcPr>
            <w:tcW w:w="1080" w:type="dxa"/>
          </w:tcPr>
          <w:p w14:paraId="04ADA539"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14A82EA9"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035DD2CE" w14:textId="77777777" w:rsidTr="00C7266C">
        <w:trPr>
          <w:cantSplit/>
        </w:trPr>
        <w:tc>
          <w:tcPr>
            <w:tcW w:w="1794" w:type="dxa"/>
            <w:vAlign w:val="center"/>
          </w:tcPr>
          <w:p w14:paraId="53DB668A" w14:textId="77777777" w:rsidR="00C7266C" w:rsidRPr="00D403F5" w:rsidRDefault="00C7266C" w:rsidP="00D403F5">
            <w:pPr>
              <w:spacing w:after="0"/>
              <w:rPr>
                <w:rFonts w:ascii="Calibri" w:hAnsi="Calibri" w:cs="Calibri"/>
                <w:color w:val="000000"/>
                <w:sz w:val="18"/>
                <w:szCs w:val="18"/>
                <w:lang w:val="en-US"/>
              </w:rPr>
            </w:pPr>
            <w:r w:rsidRPr="00D403F5">
              <w:rPr>
                <w:rFonts w:ascii="Calibri" w:hAnsi="Calibri" w:cs="Calibri"/>
                <w:color w:val="000000"/>
                <w:sz w:val="18"/>
                <w:szCs w:val="18"/>
              </w:rPr>
              <w:t>Tube-snout</w:t>
            </w:r>
          </w:p>
        </w:tc>
        <w:tc>
          <w:tcPr>
            <w:tcW w:w="1705" w:type="dxa"/>
            <w:vAlign w:val="center"/>
          </w:tcPr>
          <w:p w14:paraId="22F9AE1A"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 xml:space="preserve">Aulorhynchus </w:t>
            </w:r>
          </w:p>
        </w:tc>
        <w:tc>
          <w:tcPr>
            <w:tcW w:w="1626" w:type="dxa"/>
            <w:vAlign w:val="center"/>
          </w:tcPr>
          <w:p w14:paraId="5F98D97C"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flavidus</w:t>
            </w:r>
          </w:p>
        </w:tc>
        <w:tc>
          <w:tcPr>
            <w:tcW w:w="1080" w:type="dxa"/>
          </w:tcPr>
          <w:p w14:paraId="05DC532D"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706F92C0"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tr w:rsidR="00C7266C" w:rsidRPr="00D403F5" w14:paraId="40315FED" w14:textId="77777777" w:rsidTr="00C7266C">
        <w:trPr>
          <w:cantSplit/>
        </w:trPr>
        <w:tc>
          <w:tcPr>
            <w:tcW w:w="1794" w:type="dxa"/>
            <w:vAlign w:val="center"/>
          </w:tcPr>
          <w:p w14:paraId="416CD079" w14:textId="77777777" w:rsidR="00C7266C" w:rsidRPr="00D403F5" w:rsidRDefault="00C7266C" w:rsidP="00D403F5">
            <w:pPr>
              <w:spacing w:after="0"/>
              <w:rPr>
                <w:rFonts w:ascii="Calibri" w:hAnsi="Calibri" w:cs="Calibri"/>
                <w:sz w:val="18"/>
                <w:szCs w:val="18"/>
                <w:lang w:val="en-US"/>
              </w:rPr>
            </w:pPr>
            <w:r w:rsidRPr="00D403F5">
              <w:rPr>
                <w:rFonts w:ascii="Calibri" w:hAnsi="Calibri" w:cs="Calibri"/>
                <w:sz w:val="18"/>
                <w:szCs w:val="18"/>
              </w:rPr>
              <w:t>Yellowback seabream</w:t>
            </w:r>
          </w:p>
        </w:tc>
        <w:tc>
          <w:tcPr>
            <w:tcW w:w="1705" w:type="dxa"/>
            <w:vAlign w:val="center"/>
          </w:tcPr>
          <w:p w14:paraId="06868F2C"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color w:val="000000"/>
                <w:sz w:val="18"/>
                <w:szCs w:val="18"/>
              </w:rPr>
              <w:t xml:space="preserve">Dentex </w:t>
            </w:r>
          </w:p>
        </w:tc>
        <w:tc>
          <w:tcPr>
            <w:tcW w:w="1626" w:type="dxa"/>
            <w:vAlign w:val="center"/>
          </w:tcPr>
          <w:p w14:paraId="732F3CF5" w14:textId="77777777" w:rsidR="00C7266C" w:rsidRPr="00D403F5" w:rsidRDefault="00C7266C" w:rsidP="00D403F5">
            <w:pPr>
              <w:spacing w:after="0"/>
              <w:jc w:val="center"/>
              <w:rPr>
                <w:rFonts w:cstheme="minorHAnsi"/>
                <w:i/>
                <w:iCs/>
                <w:color w:val="000000"/>
                <w:sz w:val="18"/>
                <w:szCs w:val="18"/>
              </w:rPr>
            </w:pPr>
            <w:r w:rsidRPr="00D403F5">
              <w:rPr>
                <w:rFonts w:ascii="Calibri" w:hAnsi="Calibri" w:cs="Calibri"/>
                <w:i/>
                <w:iCs/>
                <w:sz w:val="18"/>
                <w:szCs w:val="18"/>
              </w:rPr>
              <w:t>tumifrons</w:t>
            </w:r>
          </w:p>
        </w:tc>
        <w:tc>
          <w:tcPr>
            <w:tcW w:w="1080" w:type="dxa"/>
          </w:tcPr>
          <w:p w14:paraId="7642891F" w14:textId="77777777" w:rsidR="00C7266C" w:rsidRPr="00D403F5" w:rsidRDefault="00C7266C" w:rsidP="00D403F5">
            <w:pPr>
              <w:spacing w:after="0"/>
              <w:jc w:val="center"/>
              <w:rPr>
                <w:rFonts w:cstheme="minorHAnsi"/>
                <w:i/>
                <w:iCs/>
                <w:color w:val="000000"/>
                <w:sz w:val="18"/>
                <w:szCs w:val="18"/>
              </w:rPr>
            </w:pPr>
          </w:p>
        </w:tc>
        <w:tc>
          <w:tcPr>
            <w:tcW w:w="8640" w:type="dxa"/>
            <w:gridSpan w:val="8"/>
            <w:shd w:val="clear" w:color="auto" w:fill="auto"/>
          </w:tcPr>
          <w:p w14:paraId="71936FB5" w14:textId="77777777" w:rsidR="00C7266C" w:rsidRPr="00D403F5" w:rsidRDefault="00C7266C" w:rsidP="00D403F5">
            <w:pPr>
              <w:spacing w:after="0"/>
              <w:jc w:val="center"/>
              <w:rPr>
                <w:rFonts w:cstheme="minorHAnsi"/>
                <w:i/>
                <w:iCs/>
                <w:color w:val="000000"/>
                <w:sz w:val="18"/>
                <w:szCs w:val="18"/>
              </w:rPr>
            </w:pPr>
            <w:r w:rsidRPr="00D403F5">
              <w:rPr>
                <w:rFonts w:cstheme="minorHAnsi"/>
                <w:i/>
                <w:iCs/>
                <w:color w:val="000000"/>
                <w:sz w:val="18"/>
                <w:szCs w:val="18"/>
              </w:rPr>
              <w:t>Not scored</w:t>
            </w:r>
          </w:p>
        </w:tc>
      </w:tr>
      <w:bookmarkEnd w:id="107"/>
    </w:tbl>
    <w:p w14:paraId="4139D39A" w14:textId="77777777" w:rsidR="00C7266C" w:rsidRPr="00D403F5" w:rsidRDefault="00C7266C" w:rsidP="00D403F5">
      <w:pPr>
        <w:spacing w:after="0"/>
        <w:ind w:left="284"/>
        <w:jc w:val="both"/>
        <w:rPr>
          <w:i/>
          <w:sz w:val="18"/>
          <w:szCs w:val="18"/>
        </w:rPr>
      </w:pPr>
    </w:p>
    <w:p w14:paraId="62777FE1" w14:textId="77777777" w:rsidR="00C7266C" w:rsidRPr="00D403F5" w:rsidRDefault="00C7266C" w:rsidP="00D403F5">
      <w:pPr>
        <w:spacing w:after="0"/>
        <w:ind w:left="284"/>
        <w:jc w:val="both"/>
        <w:rPr>
          <w:i/>
          <w:sz w:val="18"/>
          <w:szCs w:val="18"/>
        </w:rPr>
      </w:pPr>
    </w:p>
    <w:p w14:paraId="1D71B8C7" w14:textId="77777777" w:rsidR="00C7266C" w:rsidRPr="00D403F5" w:rsidRDefault="00C7266C" w:rsidP="00D403F5">
      <w:pPr>
        <w:spacing w:after="0"/>
        <w:ind w:left="284"/>
        <w:jc w:val="both"/>
        <w:rPr>
          <w:i/>
          <w:sz w:val="18"/>
          <w:szCs w:val="18"/>
        </w:rPr>
      </w:pPr>
    </w:p>
    <w:p w14:paraId="2ECA5C32" w14:textId="77777777" w:rsidR="00C7266C" w:rsidRPr="00D403F5" w:rsidRDefault="00C7266C" w:rsidP="00D403F5">
      <w:pPr>
        <w:spacing w:after="0"/>
        <w:jc w:val="both"/>
        <w:rPr>
          <w:iCs/>
          <w:sz w:val="18"/>
          <w:szCs w:val="18"/>
        </w:rPr>
      </w:pPr>
      <w:r w:rsidRPr="00D403F5">
        <w:rPr>
          <w:iCs/>
          <w:sz w:val="18"/>
          <w:szCs w:val="18"/>
        </w:rPr>
        <w:t>The common names of fish species are in line with FAOTERM (</w:t>
      </w:r>
      <w:hyperlink r:id="rId173" w:history="1">
        <w:r w:rsidRPr="00D403F5">
          <w:rPr>
            <w:rStyle w:val="aa"/>
            <w:iCs/>
            <w:sz w:val="18"/>
            <w:szCs w:val="18"/>
          </w:rPr>
          <w:t>http://www.fao.org/faoterm/collection/faoterm/en/</w:t>
        </w:r>
      </w:hyperlink>
      <w:r w:rsidRPr="00D403F5">
        <w:rPr>
          <w:iCs/>
          <w:sz w:val="18"/>
          <w:szCs w:val="18"/>
        </w:rPr>
        <w:t>) and scientific fish names with the Fishbase (</w:t>
      </w:r>
      <w:hyperlink r:id="rId174" w:history="1">
        <w:r w:rsidRPr="00D403F5">
          <w:rPr>
            <w:rStyle w:val="aa"/>
            <w:i/>
            <w:sz w:val="18"/>
            <w:szCs w:val="18"/>
          </w:rPr>
          <w:t>https://www.fishbase.se/search.php</w:t>
        </w:r>
      </w:hyperlink>
      <w:r w:rsidRPr="00D403F5">
        <w:rPr>
          <w:rStyle w:val="aa"/>
          <w:iCs/>
          <w:sz w:val="18"/>
          <w:szCs w:val="18"/>
        </w:rPr>
        <w:t>)</w:t>
      </w:r>
      <w:r w:rsidRPr="00D403F5">
        <w:rPr>
          <w:iCs/>
          <w:sz w:val="18"/>
          <w:szCs w:val="18"/>
        </w:rPr>
        <w:t xml:space="preserve">. Where the common fish name was not found in FAOTERM the species naming was done in line with the </w:t>
      </w:r>
      <w:r w:rsidRPr="00D403F5">
        <w:rPr>
          <w:sz w:val="18"/>
          <w:szCs w:val="18"/>
        </w:rPr>
        <w:t xml:space="preserve">Fishbase. </w:t>
      </w:r>
      <w:r w:rsidRPr="00D403F5">
        <w:rPr>
          <w:iCs/>
          <w:sz w:val="18"/>
          <w:szCs w:val="18"/>
        </w:rPr>
        <w:t xml:space="preserve"> </w:t>
      </w:r>
    </w:p>
    <w:p w14:paraId="243FC2F5" w14:textId="77777777" w:rsidR="00C7266C" w:rsidRPr="00D403F5" w:rsidRDefault="00C7266C" w:rsidP="00D403F5">
      <w:pPr>
        <w:widowControl w:val="0"/>
        <w:pBdr>
          <w:top w:val="nil"/>
          <w:left w:val="nil"/>
          <w:bottom w:val="nil"/>
          <w:right w:val="nil"/>
          <w:between w:val="nil"/>
          <w:bar w:val="nil"/>
        </w:pBdr>
        <w:tabs>
          <w:tab w:val="left" w:pos="708"/>
          <w:tab w:val="right" w:pos="9639"/>
        </w:tabs>
        <w:suppressAutoHyphens/>
        <w:spacing w:after="0"/>
        <w:rPr>
          <w:rFonts w:eastAsia="Arial Unicode MS"/>
          <w:kern w:val="1"/>
          <w:sz w:val="18"/>
          <w:szCs w:val="18"/>
          <w:u w:val="single"/>
          <w:bdr w:val="nil"/>
          <w:lang w:val="en-US" w:eastAsia="ja-JP"/>
        </w:rPr>
      </w:pPr>
      <w:bookmarkStart w:id="112" w:name="_Hlk523921674"/>
      <w:r w:rsidRPr="00D403F5">
        <w:rPr>
          <w:sz w:val="18"/>
          <w:szCs w:val="18"/>
        </w:rPr>
        <w:br w:type="page"/>
      </w:r>
    </w:p>
    <w:bookmarkEnd w:id="112"/>
    <w:p w14:paraId="3D26EDD9" w14:textId="77777777" w:rsidR="00C7266C" w:rsidRPr="00D403F5" w:rsidRDefault="00C7266C" w:rsidP="00D403F5">
      <w:pPr>
        <w:spacing w:after="0"/>
        <w:rPr>
          <w:b/>
          <w:sz w:val="18"/>
          <w:szCs w:val="18"/>
          <w:lang w:val="en-US"/>
        </w:rPr>
        <w:sectPr w:rsidR="00C7266C" w:rsidRPr="00D403F5" w:rsidSect="00C7266C">
          <w:headerReference w:type="even" r:id="rId175"/>
          <w:headerReference w:type="default" r:id="rId176"/>
          <w:footerReference w:type="even" r:id="rId177"/>
          <w:headerReference w:type="first" r:id="rId178"/>
          <w:footerReference w:type="first" r:id="rId179"/>
          <w:type w:val="oddPage"/>
          <w:pgSz w:w="16838" w:h="11906" w:orient="landscape"/>
          <w:pgMar w:top="1418" w:right="1418" w:bottom="1418" w:left="1418" w:header="709" w:footer="709" w:gutter="0"/>
          <w:cols w:space="708"/>
          <w:titlePg/>
          <w:docGrid w:linePitch="360"/>
        </w:sectPr>
      </w:pPr>
    </w:p>
    <w:p w14:paraId="197F6431" w14:textId="77777777" w:rsidR="00C7266C" w:rsidRPr="00D403F5" w:rsidRDefault="00C7266C" w:rsidP="00D403F5">
      <w:pPr>
        <w:spacing w:after="480"/>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473374C8" w14:textId="77777777" w:rsidR="00C7266C" w:rsidRPr="00D403F5" w:rsidRDefault="00C7266C" w:rsidP="00D403F5">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p w14:paraId="1C13F35A" w14:textId="77777777" w:rsidR="00C7266C" w:rsidRPr="00D403F5" w:rsidRDefault="00C7266C" w:rsidP="00D403F5">
      <w:pPr>
        <w:spacing w:after="240"/>
        <w:rPr>
          <w:b/>
          <w:sz w:val="18"/>
          <w:szCs w:val="18"/>
        </w:rPr>
      </w:pPr>
      <w:r w:rsidRPr="00D403F5">
        <w:rPr>
          <w:b/>
          <w:sz w:val="18"/>
          <w:szCs w:val="18"/>
        </w:rPr>
        <w:t>References</w:t>
      </w:r>
    </w:p>
    <w:p w14:paraId="446B7D3E" w14:textId="77777777" w:rsidR="00C7266C" w:rsidRPr="00D403F5" w:rsidRDefault="00C7266C" w:rsidP="00D403F5">
      <w:pPr>
        <w:spacing w:after="240" w:line="240" w:lineRule="auto"/>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en-US" w:eastAsia="ar-SA"/>
        </w:rPr>
        <w:t xml:space="preserve">AL-HUSSINEE, L. &amp; LUMSDEN, J. S. (2011). Detection of VHSV IVb within the gonads of Great Lakes fish using in situ hybridization.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95</w:t>
      </w:r>
      <w:r w:rsidRPr="00D403F5">
        <w:rPr>
          <w:rFonts w:ascii="Times New Roman" w:hAnsi="Times New Roman" w:cs="Times New Roman"/>
          <w:sz w:val="20"/>
          <w:szCs w:val="20"/>
          <w:lang w:val="en-US"/>
        </w:rPr>
        <w:t xml:space="preserve">, 81-86. </w:t>
      </w:r>
    </w:p>
    <w:p w14:paraId="6AB07A2E" w14:textId="77777777" w:rsidR="00C7266C" w:rsidRPr="00D403F5" w:rsidRDefault="00C7266C" w:rsidP="00D403F5">
      <w:pPr>
        <w:spacing w:after="240" w:line="240" w:lineRule="auto"/>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AL-HUSSINEE, L., LORD, S., STEVENSON, R. M. W., CASEY, R. N., GROOCOCK, G. H., BRITT, K. L., KOHLER, K. H., WOOSTER, G. A., GETCHELL, R. G., BOWSER, P. R. &amp; LUMSDEN, J. S. (2011). Immunohistochemistry and pathology of multiple Great Lakes fish from mortality events associated with viral hemorrhagic septicemia virus type IVb.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93</w:t>
      </w:r>
      <w:r w:rsidRPr="00D403F5">
        <w:rPr>
          <w:rFonts w:ascii="Times New Roman" w:hAnsi="Times New Roman" w:cs="Times New Roman"/>
          <w:sz w:val="20"/>
          <w:szCs w:val="20"/>
          <w:lang w:val="en-US"/>
        </w:rPr>
        <w:t xml:space="preserve">, 117-127. </w:t>
      </w:r>
    </w:p>
    <w:p w14:paraId="0F4C1B91" w14:textId="77777777" w:rsidR="00C7266C" w:rsidRPr="00D403F5" w:rsidRDefault="00C7266C" w:rsidP="00D403F5">
      <w:pPr>
        <w:spacing w:after="240" w:line="240" w:lineRule="auto"/>
        <w:jc w:val="both"/>
        <w:rPr>
          <w:rFonts w:ascii="Times New Roman" w:eastAsia="MS Mincho" w:hAnsi="Times New Roman" w:cs="Times New Roman"/>
          <w:b/>
          <w:bCs/>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BAIN, M. B., CORNWELL, E. R., HOPE, K. M., ECKERLIN, G. E., CASEY, R. N., GROOCOCK, G. H., GETCHELL, R. G., BOWSER, P. R., WINTON, J. R., BATTS, W. N., CANGELOSI, A. &amp; CASEY, J. W. (2010). Distribution of an Invasive Aquatic Pathogen (Viral Hemorrhagic Septicemia Virus) in the Great Lakes and Its Relationship to Shipping. </w:t>
      </w:r>
      <w:r w:rsidRPr="00D403F5">
        <w:rPr>
          <w:rFonts w:ascii="Times New Roman" w:eastAsia="MS Mincho" w:hAnsi="Times New Roman" w:cs="Times New Roman"/>
          <w:i/>
          <w:iCs/>
          <w:kern w:val="1"/>
          <w:sz w:val="20"/>
          <w:szCs w:val="20"/>
          <w:lang w:val="en-US" w:eastAsia="ar-SA"/>
        </w:rPr>
        <w:t>Plos one</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5(4)</w:t>
      </w:r>
      <w:r w:rsidRPr="00D403F5">
        <w:rPr>
          <w:rFonts w:ascii="Times New Roman" w:eastAsia="MS Mincho" w:hAnsi="Times New Roman" w:cs="Times New Roman"/>
          <w:kern w:val="1"/>
          <w:sz w:val="20"/>
          <w:szCs w:val="20"/>
          <w:lang w:val="en-US" w:eastAsia="ar-SA"/>
        </w:rPr>
        <w:t>, 1-8.</w:t>
      </w:r>
      <w:r w:rsidRPr="00D403F5">
        <w:rPr>
          <w:rFonts w:ascii="Times New Roman" w:eastAsia="MS Mincho" w:hAnsi="Times New Roman" w:cs="Times New Roman"/>
          <w:b/>
          <w:bCs/>
          <w:kern w:val="1"/>
          <w:sz w:val="20"/>
          <w:szCs w:val="20"/>
          <w:lang w:val="en-US" w:eastAsia="ar-SA"/>
        </w:rPr>
        <w:t xml:space="preserve"> </w:t>
      </w:r>
    </w:p>
    <w:p w14:paraId="75CA4FE1" w14:textId="77777777" w:rsidR="00C7266C" w:rsidRPr="00D403F5" w:rsidRDefault="00C7266C" w:rsidP="00D403F5">
      <w:pPr>
        <w:spacing w:after="240" w:line="240" w:lineRule="auto"/>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BONTHAI, T., LOCH, T. P., ZHANG, Q. &amp; VAN DEUREN, M. G. (2018). Retail Baitfish in Michigan Harbor Serious Fish Viral Pathogens. </w:t>
      </w:r>
      <w:r w:rsidRPr="00D403F5">
        <w:rPr>
          <w:rFonts w:ascii="Times New Roman" w:eastAsia="MS Mincho" w:hAnsi="Times New Roman" w:cs="Times New Roman"/>
          <w:i/>
          <w:iCs/>
          <w:kern w:val="1"/>
          <w:sz w:val="20"/>
          <w:szCs w:val="20"/>
          <w:lang w:val="en-US" w:eastAsia="ar-SA"/>
        </w:rPr>
        <w:t>Journal of Aquatic Animal Health</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30(4)</w:t>
      </w:r>
      <w:r w:rsidRPr="00D403F5">
        <w:rPr>
          <w:rFonts w:ascii="Times New Roman" w:eastAsia="MS Mincho" w:hAnsi="Times New Roman" w:cs="Times New Roman"/>
          <w:kern w:val="1"/>
          <w:sz w:val="20"/>
          <w:szCs w:val="20"/>
          <w:lang w:val="en-US" w:eastAsia="ar-SA"/>
        </w:rPr>
        <w:t xml:space="preserve">, 253-263. </w:t>
      </w:r>
    </w:p>
    <w:p w14:paraId="6D677282" w14:textId="77777777" w:rsidR="00C7266C" w:rsidRPr="00D403F5" w:rsidRDefault="00C7266C" w:rsidP="00D403F5">
      <w:pPr>
        <w:spacing w:after="240" w:line="240" w:lineRule="auto"/>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20"/>
          <w:sz w:val="20"/>
          <w:szCs w:val="20"/>
          <w:lang w:val="en-US" w:eastAsia="ar-SA"/>
        </w:rPr>
        <w:t xml:space="preserve">BOWDEN, T. J. (2003). A study of the susceptibility of Atlantic halibut, </w:t>
      </w:r>
      <w:r w:rsidRPr="00D403F5">
        <w:rPr>
          <w:rFonts w:ascii="Times New Roman" w:eastAsia="MS Mincho" w:hAnsi="Times New Roman" w:cs="Times New Roman"/>
          <w:i/>
          <w:iCs/>
          <w:kern w:val="20"/>
          <w:sz w:val="20"/>
          <w:szCs w:val="20"/>
          <w:lang w:val="en-US" w:eastAsia="ar-SA"/>
        </w:rPr>
        <w:t>Hippoglossus hippoglossus</w:t>
      </w:r>
      <w:r w:rsidRPr="00D403F5">
        <w:rPr>
          <w:rFonts w:ascii="Times New Roman" w:eastAsia="MS Mincho" w:hAnsi="Times New Roman" w:cs="Times New Roman"/>
          <w:kern w:val="20"/>
          <w:sz w:val="20"/>
          <w:szCs w:val="20"/>
          <w:lang w:val="en-US" w:eastAsia="ar-SA"/>
        </w:rPr>
        <w:t xml:space="preserve"> (L.), to viral haemorrhagic septicaemia virus isolated from turbot, </w:t>
      </w:r>
      <w:r w:rsidRPr="00D403F5">
        <w:rPr>
          <w:rFonts w:ascii="Times New Roman" w:eastAsia="MS Mincho" w:hAnsi="Times New Roman" w:cs="Times New Roman"/>
          <w:i/>
          <w:iCs/>
          <w:kern w:val="20"/>
          <w:sz w:val="20"/>
          <w:szCs w:val="20"/>
          <w:lang w:val="en-US" w:eastAsia="ar-SA"/>
        </w:rPr>
        <w:t>Scophthalmus maximus</w:t>
      </w:r>
      <w:r w:rsidRPr="00D403F5">
        <w:rPr>
          <w:rFonts w:ascii="Times New Roman" w:eastAsia="MS Mincho" w:hAnsi="Times New Roman" w:cs="Times New Roman"/>
          <w:kern w:val="20"/>
          <w:sz w:val="20"/>
          <w:szCs w:val="20"/>
          <w:lang w:val="en-US" w:eastAsia="ar-SA"/>
        </w:rPr>
        <w:t xml:space="preserve"> (L.). </w:t>
      </w:r>
      <w:r w:rsidRPr="00D403F5">
        <w:rPr>
          <w:rFonts w:ascii="Times New Roman" w:eastAsia="MS Mincho" w:hAnsi="Times New Roman" w:cs="Times New Roman"/>
          <w:i/>
          <w:iCs/>
          <w:kern w:val="1"/>
          <w:sz w:val="20"/>
          <w:szCs w:val="20"/>
          <w:lang w:val="en-US" w:eastAsia="ar-SA"/>
        </w:rPr>
        <w:t>Journal of Fish Diseases</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26</w:t>
      </w:r>
      <w:r w:rsidRPr="00D403F5">
        <w:rPr>
          <w:rFonts w:ascii="Times New Roman" w:eastAsia="MS Mincho" w:hAnsi="Times New Roman" w:cs="Times New Roman"/>
          <w:kern w:val="1"/>
          <w:sz w:val="20"/>
          <w:szCs w:val="20"/>
          <w:lang w:val="en-US" w:eastAsia="ar-SA"/>
        </w:rPr>
        <w:t>, 207-212.</w:t>
      </w:r>
    </w:p>
    <w:p w14:paraId="34A0C429" w14:textId="77777777" w:rsidR="00C7266C" w:rsidRPr="00D403F5" w:rsidRDefault="00C7266C" w:rsidP="00D403F5">
      <w:pPr>
        <w:spacing w:after="240" w:line="240" w:lineRule="auto"/>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20"/>
          <w:sz w:val="20"/>
          <w:szCs w:val="20"/>
          <w:lang w:val="en-US" w:eastAsia="ar-SA"/>
        </w:rPr>
        <w:t xml:space="preserve">BOWSER, P. R. (2003). Fish Diseases: Viral Hemorrhagic Septicemia (VHS). </w:t>
      </w:r>
      <w:r w:rsidRPr="00D403F5">
        <w:rPr>
          <w:rFonts w:ascii="Times New Roman" w:eastAsia="MS Mincho" w:hAnsi="Times New Roman" w:cs="Times New Roman"/>
          <w:i/>
          <w:iCs/>
          <w:kern w:val="20"/>
          <w:sz w:val="20"/>
          <w:szCs w:val="20"/>
          <w:lang w:val="en-US" w:eastAsia="ar-SA"/>
        </w:rPr>
        <w:t>Northern Regional Aquaculture Center publication</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201</w:t>
      </w:r>
      <w:r w:rsidRPr="00D403F5">
        <w:rPr>
          <w:rFonts w:ascii="Times New Roman" w:eastAsia="MS Mincho" w:hAnsi="Times New Roman" w:cs="Times New Roman"/>
          <w:kern w:val="20"/>
          <w:sz w:val="20"/>
          <w:szCs w:val="20"/>
          <w:lang w:val="en-US" w:eastAsia="ar-SA"/>
        </w:rPr>
        <w:t xml:space="preserve">, 1-7. </w:t>
      </w:r>
    </w:p>
    <w:p w14:paraId="16923822" w14:textId="77777777" w:rsidR="00C7266C" w:rsidRPr="00D403F5" w:rsidRDefault="00C7266C" w:rsidP="00D403F5">
      <w:pPr>
        <w:spacing w:after="240" w:line="240" w:lineRule="auto"/>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1"/>
          <w:sz w:val="20"/>
          <w:szCs w:val="20"/>
          <w:lang w:val="en-US" w:eastAsia="ar-SA"/>
        </w:rPr>
        <w:t xml:space="preserve">BRUDESETH, B. E. &amp; EVENSEN, </w:t>
      </w:r>
      <w:r w:rsidRPr="00D403F5">
        <w:rPr>
          <w:rFonts w:ascii="Times New Roman" w:eastAsia="MS Mincho" w:hAnsi="Times New Roman" w:cs="Times New Roman"/>
          <w:caps/>
          <w:kern w:val="20"/>
          <w:sz w:val="20"/>
          <w:szCs w:val="20"/>
          <w:lang w:val="en-US" w:eastAsia="ar-SA"/>
        </w:rPr>
        <w:t>ø. (2002). O</w:t>
      </w:r>
      <w:r w:rsidRPr="00D403F5">
        <w:rPr>
          <w:rFonts w:ascii="Times New Roman" w:eastAsia="MS Mincho" w:hAnsi="Times New Roman" w:cs="Times New Roman"/>
          <w:kern w:val="20"/>
          <w:sz w:val="20"/>
          <w:szCs w:val="20"/>
          <w:lang w:val="en-US" w:eastAsia="ar-SA"/>
        </w:rPr>
        <w:t xml:space="preserve">ccurrence of viral haemorrhagic septicaemia virus (VHSV) in wild marine fish species in the coastal areas of Norway.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52</w:t>
      </w:r>
      <w:r w:rsidRPr="00D403F5">
        <w:rPr>
          <w:rFonts w:ascii="Times New Roman" w:hAnsi="Times New Roman" w:cs="Times New Roman"/>
          <w:sz w:val="20"/>
          <w:szCs w:val="20"/>
          <w:lang w:val="en-US"/>
        </w:rPr>
        <w:t xml:space="preserve">, 21-28. </w:t>
      </w:r>
    </w:p>
    <w:p w14:paraId="02801EA9" w14:textId="77777777" w:rsidR="00C7266C" w:rsidRPr="00D403F5" w:rsidRDefault="00C7266C" w:rsidP="00D403F5">
      <w:pPr>
        <w:tabs>
          <w:tab w:val="left" w:pos="0"/>
        </w:tabs>
        <w:spacing w:after="240" w:line="240" w:lineRule="auto"/>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caps/>
          <w:kern w:val="20"/>
          <w:sz w:val="20"/>
          <w:szCs w:val="20"/>
          <w:lang w:val="en-US" w:eastAsia="ar-SA"/>
        </w:rPr>
        <w:t xml:space="preserve">Cornwell, e. r., Anderson, g. b., Coleman, d., Getchell, r. g., Groocock, g. h., Warg, j. v., Cruz, a. m., Casey, j. w., Bain, m. b. &amp; Bowser, P. R. (2015). </w:t>
      </w:r>
      <w:r w:rsidRPr="00D403F5">
        <w:rPr>
          <w:rFonts w:ascii="Times New Roman" w:eastAsia="MS Mincho" w:hAnsi="Times New Roman" w:cs="Times New Roman"/>
          <w:kern w:val="20"/>
          <w:sz w:val="20"/>
          <w:szCs w:val="20"/>
          <w:lang w:val="en-US" w:eastAsia="ar-SA"/>
        </w:rPr>
        <w:t xml:space="preserve">Applying multi-scale occupancy models to infer host and site occupancy of an emerging viral fish pathogen in the Great Lakes. </w:t>
      </w:r>
      <w:r w:rsidRPr="00D403F5">
        <w:rPr>
          <w:rFonts w:ascii="Times New Roman" w:eastAsia="MS Mincho" w:hAnsi="Times New Roman" w:cs="Times New Roman"/>
          <w:i/>
          <w:iCs/>
          <w:kern w:val="20"/>
          <w:sz w:val="20"/>
          <w:szCs w:val="20"/>
          <w:lang w:val="en-US" w:eastAsia="ar-SA"/>
        </w:rPr>
        <w:t>Journal of Great Lakes Research</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41</w:t>
      </w:r>
      <w:r w:rsidRPr="00D403F5">
        <w:rPr>
          <w:rFonts w:ascii="Times New Roman" w:eastAsia="MS Mincho" w:hAnsi="Times New Roman" w:cs="Times New Roman"/>
          <w:kern w:val="20"/>
          <w:sz w:val="20"/>
          <w:szCs w:val="20"/>
          <w:lang w:val="en-US" w:eastAsia="ar-SA"/>
        </w:rPr>
        <w:t xml:space="preserve">, 520–529. </w:t>
      </w:r>
    </w:p>
    <w:p w14:paraId="0824F69D" w14:textId="77777777" w:rsidR="00C7266C" w:rsidRPr="00D403F5" w:rsidRDefault="00C7266C" w:rsidP="00D403F5">
      <w:pPr>
        <w:spacing w:after="240" w:line="240" w:lineRule="auto"/>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CORNWELL, E. R., ECKERLIN, G. E., GETCHELL, R. G., GROOCOCK, G. H., THOMPSON, T. M., BATTS, W. N., CASEY, R. N., KURATH, G., WINTON. J. R., BOWSER, P. R., BAIN, M. B. &amp; CASEY, J. W. (2011). Detection of Viral Hemorrhagic Septicemia Virus by Quantitative Reverse Transcription Polymerase Chain Reaction from Two Fish Species at Two Sites in Lake Superior. </w:t>
      </w:r>
      <w:r w:rsidRPr="00D403F5">
        <w:rPr>
          <w:rFonts w:ascii="Times New Roman" w:eastAsia="MS Mincho" w:hAnsi="Times New Roman" w:cs="Times New Roman"/>
          <w:i/>
          <w:iCs/>
          <w:kern w:val="1"/>
          <w:sz w:val="20"/>
          <w:szCs w:val="20"/>
          <w:lang w:val="en-US" w:eastAsia="ar-SA"/>
        </w:rPr>
        <w:t>Journal of Aquatic Animal Health</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23(4)</w:t>
      </w:r>
      <w:r w:rsidRPr="00D403F5">
        <w:rPr>
          <w:rFonts w:ascii="Times New Roman" w:eastAsia="MS Mincho" w:hAnsi="Times New Roman" w:cs="Times New Roman"/>
          <w:kern w:val="1"/>
          <w:sz w:val="20"/>
          <w:szCs w:val="20"/>
          <w:lang w:val="en-US" w:eastAsia="ar-SA"/>
        </w:rPr>
        <w:t xml:space="preserve">, 207-217. </w:t>
      </w:r>
    </w:p>
    <w:p w14:paraId="0D15A7E1" w14:textId="77777777" w:rsidR="00C7266C" w:rsidRPr="00D403F5" w:rsidRDefault="00C7266C" w:rsidP="00D403F5">
      <w:pPr>
        <w:spacing w:after="240" w:line="240" w:lineRule="auto"/>
        <w:jc w:val="both"/>
        <w:rPr>
          <w:rFonts w:ascii="Times New Roman" w:hAnsi="Times New Roman" w:cs="Times New Roman"/>
          <w:sz w:val="20"/>
          <w:szCs w:val="20"/>
          <w:lang w:val="en-US"/>
        </w:rPr>
      </w:pPr>
      <w:r w:rsidRPr="00D403F5">
        <w:rPr>
          <w:rFonts w:ascii="Times New Roman" w:hAnsi="Times New Roman" w:cs="Times New Roman"/>
          <w:caps/>
          <w:sz w:val="20"/>
          <w:szCs w:val="20"/>
          <w:lang w:val="en-US"/>
        </w:rPr>
        <w:t>DALE, O. B., Ørpetveit, I., Lyngstad, T.M., Kahns, s., Skall, h. F., Olesen, N. J. &amp; Dannevig, B. H.</w:t>
      </w:r>
      <w:r w:rsidRPr="00D403F5">
        <w:rPr>
          <w:rFonts w:ascii="Times New Roman" w:hAnsi="Times New Roman" w:cs="Times New Roman"/>
          <w:sz w:val="20"/>
          <w:szCs w:val="20"/>
          <w:lang w:val="en-US"/>
        </w:rPr>
        <w:t xml:space="preserve"> (2009). Outbreak of viral haemorrhagic septicaemia (VHS) in seawater-farmed rainbow trout in Norway caused by VHS virus Genotype III.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85,</w:t>
      </w:r>
      <w:r w:rsidRPr="00D403F5">
        <w:rPr>
          <w:rFonts w:ascii="Times New Roman" w:hAnsi="Times New Roman" w:cs="Times New Roman"/>
          <w:sz w:val="20"/>
          <w:szCs w:val="20"/>
          <w:lang w:val="en-US"/>
        </w:rPr>
        <w:t xml:space="preserve"> 93-103. </w:t>
      </w:r>
    </w:p>
    <w:p w14:paraId="12D607BF" w14:textId="77777777" w:rsidR="00C7266C" w:rsidRPr="00D403F5" w:rsidRDefault="00C7266C" w:rsidP="00D403F5">
      <w:pPr>
        <w:spacing w:after="240" w:line="240" w:lineRule="auto"/>
        <w:jc w:val="both"/>
        <w:rPr>
          <w:rFonts w:ascii="Times New Roman" w:eastAsia="MS Mincho" w:hAnsi="Times New Roman" w:cs="Times New Roman"/>
          <w:kern w:val="1"/>
          <w:sz w:val="20"/>
          <w:szCs w:val="20"/>
          <w:lang w:val="en-US" w:eastAsia="ar-SA"/>
        </w:rPr>
      </w:pPr>
      <w:r w:rsidRPr="00D403F5">
        <w:rPr>
          <w:rFonts w:ascii="Times New Roman" w:hAnsi="Times New Roman" w:cs="Times New Roman"/>
          <w:caps/>
          <w:color w:val="000000"/>
          <w:sz w:val="20"/>
          <w:szCs w:val="20"/>
          <w:lang w:val="en-US"/>
        </w:rPr>
        <w:t>Department of Wisconsin Natural Resources, (2007)</w:t>
      </w:r>
      <w:r w:rsidRPr="00D403F5">
        <w:rPr>
          <w:rFonts w:ascii="Times New Roman" w:hAnsi="Times New Roman" w:cs="Times New Roman"/>
          <w:color w:val="000000"/>
          <w:sz w:val="20"/>
          <w:szCs w:val="20"/>
          <w:lang w:val="en-US"/>
        </w:rPr>
        <w:t>. http://dnr.wi.gov/topic/fishing/documents/vhs/vhs_fedordermodlist.pdf</w:t>
      </w:r>
    </w:p>
    <w:p w14:paraId="37F3EAA1" w14:textId="77777777" w:rsidR="00C7266C" w:rsidRPr="00D403F5" w:rsidRDefault="00C7266C" w:rsidP="00D403F5">
      <w:pPr>
        <w:spacing w:after="240" w:line="240" w:lineRule="auto"/>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DIXON, P. F., FEIST, S., KEHOE, E., PARRY, L., STONE, D. M. &amp; WAY, K. (1997). Isolation of viral haemorrhagic septicaemia virus from Atlantic herring </w:t>
      </w:r>
      <w:r w:rsidRPr="00D403F5">
        <w:rPr>
          <w:rFonts w:ascii="Times New Roman" w:hAnsi="Times New Roman" w:cs="Times New Roman"/>
          <w:i/>
          <w:iCs/>
          <w:sz w:val="20"/>
          <w:szCs w:val="20"/>
          <w:lang w:val="en-US"/>
        </w:rPr>
        <w:t>Clupea</w:t>
      </w:r>
      <w:r w:rsidRPr="00D403F5">
        <w:rPr>
          <w:rFonts w:ascii="Times New Roman" w:hAnsi="Times New Roman" w:cs="Times New Roman"/>
          <w:sz w:val="20"/>
          <w:szCs w:val="20"/>
          <w:lang w:val="en-US"/>
        </w:rPr>
        <w:t xml:space="preserve"> </w:t>
      </w:r>
      <w:r w:rsidRPr="00D403F5">
        <w:rPr>
          <w:rFonts w:ascii="Times New Roman" w:hAnsi="Times New Roman" w:cs="Times New Roman"/>
          <w:i/>
          <w:iCs/>
          <w:sz w:val="20"/>
          <w:szCs w:val="20"/>
          <w:lang w:val="en-US"/>
        </w:rPr>
        <w:t>harengus</w:t>
      </w:r>
      <w:r w:rsidRPr="00D403F5">
        <w:rPr>
          <w:rFonts w:ascii="Times New Roman" w:hAnsi="Times New Roman" w:cs="Times New Roman"/>
          <w:sz w:val="20"/>
          <w:szCs w:val="20"/>
          <w:lang w:val="en-US"/>
        </w:rPr>
        <w:t xml:space="preserve"> from the English Channel.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30</w:t>
      </w:r>
      <w:r w:rsidRPr="00D403F5">
        <w:rPr>
          <w:rFonts w:ascii="Times New Roman" w:hAnsi="Times New Roman" w:cs="Times New Roman"/>
          <w:sz w:val="20"/>
          <w:szCs w:val="20"/>
          <w:lang w:val="en-US"/>
        </w:rPr>
        <w:t xml:space="preserve">, 81-89. </w:t>
      </w:r>
    </w:p>
    <w:p w14:paraId="237CF6EF" w14:textId="77777777" w:rsidR="00C7266C" w:rsidRPr="00D403F5" w:rsidRDefault="00C7266C" w:rsidP="00D403F5">
      <w:pPr>
        <w:spacing w:after="240" w:line="240" w:lineRule="auto"/>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caps/>
          <w:kern w:val="20"/>
          <w:sz w:val="20"/>
          <w:szCs w:val="20"/>
          <w:lang w:val="en-US" w:eastAsia="ar-SA"/>
        </w:rPr>
        <w:t xml:space="preserve">Dopazo, c. p., Bandín, i., López-Vazquez, c., Lamas, j., noya, m. &amp; Barja, j. l. (2002). </w:t>
      </w:r>
      <w:r w:rsidRPr="00D403F5">
        <w:rPr>
          <w:rFonts w:ascii="Times New Roman" w:eastAsia="MS Mincho" w:hAnsi="Times New Roman" w:cs="Times New Roman"/>
          <w:kern w:val="20"/>
          <w:sz w:val="20"/>
          <w:szCs w:val="20"/>
          <w:lang w:val="en-US" w:eastAsia="ar-SA"/>
        </w:rPr>
        <w:t xml:space="preserve">Isolation of viral hemorrhagic septicemia virus from Greenland halibut </w:t>
      </w:r>
      <w:r w:rsidRPr="00D403F5">
        <w:rPr>
          <w:rFonts w:ascii="Times New Roman" w:eastAsia="MS Mincho" w:hAnsi="Times New Roman" w:cs="Times New Roman"/>
          <w:i/>
          <w:iCs/>
          <w:kern w:val="20"/>
          <w:sz w:val="20"/>
          <w:szCs w:val="20"/>
          <w:lang w:val="en-US" w:eastAsia="ar-SA"/>
        </w:rPr>
        <w:t>Reinhardtius hippoglossoides</w:t>
      </w:r>
      <w:r w:rsidRPr="00D403F5">
        <w:rPr>
          <w:rFonts w:ascii="Times New Roman" w:eastAsia="MS Mincho" w:hAnsi="Times New Roman" w:cs="Times New Roman"/>
          <w:kern w:val="20"/>
          <w:sz w:val="20"/>
          <w:szCs w:val="20"/>
          <w:lang w:val="en-US" w:eastAsia="ar-SA"/>
        </w:rPr>
        <w:t xml:space="preserve"> caught at the Flemish Cap. </w:t>
      </w:r>
      <w:r w:rsidRPr="00D403F5">
        <w:rPr>
          <w:rFonts w:ascii="Times New Roman" w:eastAsia="MS Mincho" w:hAnsi="Times New Roman" w:cs="Times New Roman"/>
          <w:i/>
          <w:iCs/>
          <w:kern w:val="20"/>
          <w:sz w:val="20"/>
          <w:szCs w:val="20"/>
          <w:lang w:val="en-US" w:eastAsia="ar-SA"/>
        </w:rPr>
        <w:t>Diseases of Aquatic Organisms</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50</w:t>
      </w:r>
      <w:r w:rsidRPr="00D403F5">
        <w:rPr>
          <w:rFonts w:ascii="Times New Roman" w:eastAsia="MS Mincho" w:hAnsi="Times New Roman" w:cs="Times New Roman"/>
          <w:kern w:val="20"/>
          <w:sz w:val="20"/>
          <w:szCs w:val="20"/>
          <w:lang w:val="en-US" w:eastAsia="ar-SA"/>
        </w:rPr>
        <w:t xml:space="preserve">, 171-179. </w:t>
      </w:r>
    </w:p>
    <w:p w14:paraId="5625859F" w14:textId="77777777" w:rsidR="00D403F5" w:rsidRPr="00D403F5" w:rsidRDefault="00D403F5" w:rsidP="00D403F5">
      <w:pPr>
        <w:spacing w:after="480"/>
        <w:jc w:val="right"/>
        <w:rPr>
          <w:rFonts w:ascii="Times New Roman" w:eastAsia="Calibri" w:hAnsi="Times New Roman" w:cs="Times New Roman"/>
          <w:sz w:val="18"/>
          <w:szCs w:val="18"/>
          <w:u w:val="single"/>
          <w:lang w:val="fr-FR"/>
        </w:rPr>
      </w:pPr>
      <w:r w:rsidRPr="00D403F5">
        <w:rPr>
          <w:rFonts w:ascii="Times New Roman" w:eastAsia="Calibri" w:hAnsi="Times New Roman" w:cs="Times New Roman"/>
          <w:sz w:val="18"/>
          <w:szCs w:val="18"/>
          <w:u w:val="single"/>
          <w:lang w:val="fr-FR"/>
        </w:rPr>
        <w:t>Annex 15</w:t>
      </w:r>
      <w:r w:rsidRPr="00D403F5">
        <w:rPr>
          <w:rFonts w:ascii="Times New Roman" w:eastAsia="Calibri" w:hAnsi="Times New Roman" w:cs="Times New Roman"/>
          <w:sz w:val="18"/>
          <w:szCs w:val="18"/>
          <w:lang w:val="fr-FR"/>
        </w:rPr>
        <w:t xml:space="preserve"> (contd)</w:t>
      </w:r>
    </w:p>
    <w:p w14:paraId="78841AEC" w14:textId="77777777" w:rsidR="00D403F5" w:rsidRPr="00D403F5" w:rsidRDefault="00D403F5" w:rsidP="00D403F5">
      <w:pPr>
        <w:spacing w:after="480"/>
        <w:jc w:val="right"/>
        <w:rPr>
          <w:rFonts w:ascii="Times New Roman" w:hAnsi="Times New Roman" w:cs="Times New Roman"/>
          <w:sz w:val="18"/>
          <w:szCs w:val="18"/>
          <w:lang w:val="fr-FR"/>
        </w:rPr>
      </w:pPr>
      <w:r w:rsidRPr="00D403F5">
        <w:rPr>
          <w:rFonts w:ascii="Times New Roman" w:hAnsi="Times New Roman" w:cs="Times New Roman"/>
          <w:sz w:val="18"/>
          <w:szCs w:val="18"/>
          <w:u w:val="single"/>
          <w:lang w:val="fr-FR"/>
        </w:rPr>
        <w:t>Annex I</w:t>
      </w:r>
      <w:r w:rsidRPr="00D403F5">
        <w:rPr>
          <w:rFonts w:ascii="Times New Roman" w:hAnsi="Times New Roman" w:cs="Times New Roman"/>
          <w:sz w:val="18"/>
          <w:szCs w:val="18"/>
          <w:lang w:val="fr-FR"/>
        </w:rPr>
        <w:t xml:space="preserve"> (contd)</w:t>
      </w:r>
    </w:p>
    <w:p w14:paraId="0C19FD81" w14:textId="77777777" w:rsidR="00C7266C" w:rsidRPr="00D403F5" w:rsidRDefault="00C7266C" w:rsidP="00D403F5">
      <w:pPr>
        <w:spacing w:after="240" w:line="240" w:lineRule="auto"/>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fr-FR" w:eastAsia="ar-SA"/>
        </w:rPr>
        <w:t xml:space="preserve">DORSON, M., CHEVASSUS, B. &amp; TORHY, C. (1991). </w:t>
      </w:r>
      <w:r w:rsidRPr="00D403F5">
        <w:rPr>
          <w:rFonts w:ascii="Times New Roman" w:eastAsia="MS Mincho" w:hAnsi="Times New Roman" w:cs="Times New Roman"/>
          <w:kern w:val="1"/>
          <w:sz w:val="20"/>
          <w:szCs w:val="20"/>
          <w:lang w:val="en-US" w:eastAsia="ar-SA"/>
        </w:rPr>
        <w:t xml:space="preserve">Comparative susceptibility of three species of char and of rainbow trout X char triploid hybrids to several pathogenic salmonid viruses.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11</w:t>
      </w:r>
      <w:r w:rsidRPr="00D403F5">
        <w:rPr>
          <w:rFonts w:ascii="Times New Roman" w:hAnsi="Times New Roman" w:cs="Times New Roman"/>
          <w:sz w:val="20"/>
          <w:szCs w:val="20"/>
          <w:lang w:val="en-US"/>
        </w:rPr>
        <w:t xml:space="preserve">, 217-224. </w:t>
      </w:r>
    </w:p>
    <w:p w14:paraId="5C1EE6B3" w14:textId="77777777" w:rsidR="00C7266C" w:rsidRPr="00D403F5" w:rsidRDefault="00C7266C" w:rsidP="00D403F5">
      <w:pPr>
        <w:spacing w:after="240" w:line="240" w:lineRule="auto"/>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EATON, W. D., HULETT, J., BRUNSON, R. &amp; TRUE, K. (1991). The First Isolation in North America of Infectious, Hematopoietic Necrosis Virus (IHNV) and Viral Hemorrhagic Septicemia Virus (VHSV) in Coho Salmon from the Same Watershed. </w:t>
      </w:r>
      <w:r w:rsidRPr="00D403F5">
        <w:rPr>
          <w:rFonts w:ascii="Times New Roman" w:eastAsia="MS Mincho" w:hAnsi="Times New Roman" w:cs="Times New Roman"/>
          <w:i/>
          <w:iCs/>
          <w:kern w:val="1"/>
          <w:sz w:val="20"/>
          <w:szCs w:val="20"/>
          <w:lang w:val="en-US" w:eastAsia="ar-SA"/>
        </w:rPr>
        <w:t>Journal of Aquatic Animal Health</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3(2)</w:t>
      </w:r>
      <w:r w:rsidRPr="00D403F5">
        <w:rPr>
          <w:rFonts w:ascii="Times New Roman" w:eastAsia="MS Mincho" w:hAnsi="Times New Roman" w:cs="Times New Roman"/>
          <w:kern w:val="1"/>
          <w:sz w:val="20"/>
          <w:szCs w:val="20"/>
          <w:lang w:val="en-US" w:eastAsia="ar-SA"/>
        </w:rPr>
        <w:t xml:space="preserve">, 114-117. </w:t>
      </w:r>
    </w:p>
    <w:p w14:paraId="79B46D81"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FAISAL, M. &amp; SCHULZ, C. A. (2009). Detection of Viral Hemorrhagic Septicemia virus (VHSV) from the leech Myzobdella lugubris Leidy, 1851. </w:t>
      </w:r>
      <w:r w:rsidRPr="00D403F5">
        <w:rPr>
          <w:rFonts w:ascii="Times New Roman" w:eastAsia="MS Mincho" w:hAnsi="Times New Roman" w:cs="Times New Roman"/>
          <w:i/>
          <w:iCs/>
          <w:kern w:val="1"/>
          <w:sz w:val="20"/>
          <w:szCs w:val="20"/>
          <w:lang w:val="en-US" w:eastAsia="ar-SA"/>
        </w:rPr>
        <w:t>Parasites &amp; Vectors</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2(45)</w:t>
      </w:r>
      <w:r w:rsidRPr="00D403F5">
        <w:rPr>
          <w:rFonts w:ascii="Times New Roman" w:eastAsia="MS Mincho" w:hAnsi="Times New Roman" w:cs="Times New Roman"/>
          <w:kern w:val="1"/>
          <w:sz w:val="20"/>
          <w:szCs w:val="20"/>
          <w:lang w:val="en-US" w:eastAsia="ar-SA"/>
        </w:rPr>
        <w:t xml:space="preserve">, 1-4. </w:t>
      </w:r>
    </w:p>
    <w:p w14:paraId="19D9E155"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FAISAL, M. &amp; WINTERS, A. D. (2011). Detection of Viral Hemorrhagic Septicemia Virus (VHSV) from </w:t>
      </w:r>
      <w:r w:rsidRPr="00D403F5">
        <w:rPr>
          <w:rFonts w:ascii="Times New Roman" w:eastAsia="MS Mincho" w:hAnsi="Times New Roman" w:cs="Times New Roman"/>
          <w:i/>
          <w:iCs/>
          <w:kern w:val="1"/>
          <w:sz w:val="20"/>
          <w:szCs w:val="20"/>
          <w:lang w:val="en-US" w:eastAsia="ar-SA"/>
        </w:rPr>
        <w:t>Diporeia</w:t>
      </w:r>
      <w:r w:rsidRPr="00D403F5">
        <w:rPr>
          <w:rFonts w:ascii="Times New Roman" w:eastAsia="MS Mincho" w:hAnsi="Times New Roman" w:cs="Times New Roman"/>
          <w:kern w:val="1"/>
          <w:sz w:val="20"/>
          <w:szCs w:val="20"/>
          <w:lang w:val="en-US" w:eastAsia="ar-SA"/>
        </w:rPr>
        <w:t xml:space="preserve"> spp. (Pontoporeiidae, Amphipoda) in the Laurentian Great Lakes, USA. </w:t>
      </w:r>
      <w:r w:rsidRPr="00D403F5">
        <w:rPr>
          <w:rFonts w:ascii="Times New Roman" w:eastAsia="MS Mincho" w:hAnsi="Times New Roman" w:cs="Times New Roman"/>
          <w:i/>
          <w:iCs/>
          <w:kern w:val="1"/>
          <w:sz w:val="20"/>
          <w:szCs w:val="20"/>
          <w:lang w:val="en-US" w:eastAsia="ar-SA"/>
        </w:rPr>
        <w:t>Parasites &amp; Vectors</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4(2)</w:t>
      </w:r>
      <w:r w:rsidRPr="00D403F5">
        <w:rPr>
          <w:rFonts w:ascii="Times New Roman" w:eastAsia="MS Mincho" w:hAnsi="Times New Roman" w:cs="Times New Roman"/>
          <w:kern w:val="1"/>
          <w:sz w:val="20"/>
          <w:szCs w:val="20"/>
          <w:lang w:val="en-US" w:eastAsia="ar-SA"/>
        </w:rPr>
        <w:t>, 1-4.</w:t>
      </w:r>
    </w:p>
    <w:p w14:paraId="56A629E8"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FAISAL, M., SHAVALIER, M., KIM, R. K., MILLARD, E. V., GUNN, M. R., WINTERS, A. D., SCHULTZ, C. A., EISSA, A., THOMAS, M. V., WOLGAMOOD, M., WHELAN, G. E. &amp; WINTON, J. (2012a). Spread of the Emerging Viral Hemorrhagic Septicemia Virus Strain, Genotype IVb, in Michigan, USA. </w:t>
      </w:r>
      <w:r w:rsidRPr="00D403F5">
        <w:rPr>
          <w:rFonts w:ascii="Times New Roman" w:eastAsia="MS Mincho" w:hAnsi="Times New Roman" w:cs="Times New Roman"/>
          <w:i/>
          <w:iCs/>
          <w:kern w:val="1"/>
          <w:sz w:val="20"/>
          <w:szCs w:val="20"/>
          <w:lang w:val="en-US" w:eastAsia="ar-SA"/>
        </w:rPr>
        <w:t xml:space="preserve">Viruses, </w:t>
      </w:r>
      <w:r w:rsidRPr="00D403F5">
        <w:rPr>
          <w:rFonts w:ascii="Times New Roman" w:eastAsia="MS Mincho" w:hAnsi="Times New Roman" w:cs="Times New Roman"/>
          <w:b/>
          <w:bCs/>
          <w:kern w:val="1"/>
          <w:sz w:val="20"/>
          <w:szCs w:val="20"/>
          <w:lang w:val="en-US" w:eastAsia="ar-SA"/>
        </w:rPr>
        <w:t>4</w:t>
      </w:r>
      <w:r w:rsidRPr="00D403F5">
        <w:rPr>
          <w:rFonts w:ascii="Times New Roman" w:eastAsia="MS Mincho" w:hAnsi="Times New Roman" w:cs="Times New Roman"/>
          <w:kern w:val="1"/>
          <w:sz w:val="20"/>
          <w:szCs w:val="20"/>
          <w:lang w:val="en-US" w:eastAsia="ar-SA"/>
        </w:rPr>
        <w:t xml:space="preserve">, 734-760. </w:t>
      </w:r>
    </w:p>
    <w:p w14:paraId="3FA293AE" w14:textId="77777777" w:rsidR="00C7266C" w:rsidRPr="00D403F5" w:rsidRDefault="00C7266C" w:rsidP="00D403F5">
      <w:pPr>
        <w:spacing w:after="240"/>
        <w:jc w:val="both"/>
        <w:rPr>
          <w:rFonts w:ascii="Times New Roman" w:eastAsia="MS Mincho" w:hAnsi="Times New Roman" w:cs="Times New Roman"/>
          <w:kern w:val="1"/>
          <w:sz w:val="20"/>
          <w:szCs w:val="20"/>
          <w:lang w:val="nb-NO" w:eastAsia="ar-SA"/>
        </w:rPr>
      </w:pPr>
      <w:r w:rsidRPr="00D403F5">
        <w:rPr>
          <w:rFonts w:ascii="Times New Roman" w:eastAsia="MS Mincho" w:hAnsi="Times New Roman" w:cs="Times New Roman"/>
          <w:kern w:val="1"/>
          <w:sz w:val="20"/>
          <w:szCs w:val="20"/>
          <w:lang w:val="en-US" w:eastAsia="ar-SA"/>
        </w:rPr>
        <w:t xml:space="preserve">FRATTINI, S. A., GROOCOCK, G. H., GETCHELL, R. G., WOOSTER, G. A., WOOSTER, G. A., CASEY, R. N., CASEY, J. W. &amp; BOWSER, P. R. (2011). A 2006 Survey of Viral Hemorrhagic Septicemia (VHSV) Virus type IVb in New York State Waters. </w:t>
      </w:r>
      <w:r w:rsidRPr="00D403F5">
        <w:rPr>
          <w:rFonts w:ascii="Times New Roman" w:eastAsia="MS Mincho" w:hAnsi="Times New Roman" w:cs="Times New Roman"/>
          <w:i/>
          <w:iCs/>
          <w:kern w:val="1"/>
          <w:sz w:val="20"/>
          <w:szCs w:val="20"/>
          <w:lang w:val="nb-NO" w:eastAsia="ar-SA"/>
        </w:rPr>
        <w:t xml:space="preserve">Journal of great Lakes Research, </w:t>
      </w:r>
      <w:r w:rsidRPr="00D403F5">
        <w:rPr>
          <w:rFonts w:ascii="Times New Roman" w:eastAsia="MS Mincho" w:hAnsi="Times New Roman" w:cs="Times New Roman"/>
          <w:b/>
          <w:bCs/>
          <w:kern w:val="1"/>
          <w:sz w:val="20"/>
          <w:szCs w:val="20"/>
          <w:lang w:val="nb-NO" w:eastAsia="ar-SA"/>
        </w:rPr>
        <w:t>37</w:t>
      </w:r>
      <w:r w:rsidRPr="00D403F5">
        <w:rPr>
          <w:rFonts w:ascii="Times New Roman" w:eastAsia="MS Mincho" w:hAnsi="Times New Roman" w:cs="Times New Roman"/>
          <w:kern w:val="1"/>
          <w:sz w:val="20"/>
          <w:szCs w:val="20"/>
          <w:lang w:val="nb-NO" w:eastAsia="ar-SA"/>
        </w:rPr>
        <w:t xml:space="preserve">, 194-198. </w:t>
      </w:r>
    </w:p>
    <w:p w14:paraId="5B08515A"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nb-NO" w:eastAsia="ar-SA"/>
        </w:rPr>
        <w:t xml:space="preserve">GADD, T., JAKAVA-VILJANEN, ., EINER-JENSEN, K., ARIEL, E., KOSKI, P. &amp; SIHVONEN, L. (2010). </w:t>
      </w:r>
      <w:r w:rsidRPr="00D403F5">
        <w:rPr>
          <w:rFonts w:ascii="Times New Roman" w:eastAsia="MS Mincho" w:hAnsi="Times New Roman" w:cs="Times New Roman"/>
          <w:kern w:val="1"/>
          <w:sz w:val="20"/>
          <w:szCs w:val="20"/>
          <w:lang w:val="en-US" w:eastAsia="ar-SA"/>
        </w:rPr>
        <w:t xml:space="preserve">Viral haemorrhagic septicaemia virus (VHSV) genotype II isolated from European river lamprey </w:t>
      </w:r>
      <w:r w:rsidRPr="00D403F5">
        <w:rPr>
          <w:rFonts w:ascii="Times New Roman" w:eastAsia="MS Mincho" w:hAnsi="Times New Roman" w:cs="Times New Roman"/>
          <w:i/>
          <w:iCs/>
          <w:kern w:val="1"/>
          <w:sz w:val="20"/>
          <w:szCs w:val="20"/>
          <w:lang w:val="en-US" w:eastAsia="ar-SA"/>
        </w:rPr>
        <w:t xml:space="preserve">Lampetra fluviatilis </w:t>
      </w:r>
      <w:r w:rsidRPr="00D403F5">
        <w:rPr>
          <w:rFonts w:ascii="Times New Roman" w:eastAsia="MS Mincho" w:hAnsi="Times New Roman" w:cs="Times New Roman"/>
          <w:kern w:val="1"/>
          <w:sz w:val="20"/>
          <w:szCs w:val="20"/>
          <w:lang w:val="en-US" w:eastAsia="ar-SA"/>
        </w:rPr>
        <w:t xml:space="preserve">in Finland during surveillance from 1999 to 2008.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88</w:t>
      </w:r>
      <w:r w:rsidRPr="00D403F5">
        <w:rPr>
          <w:rFonts w:ascii="Times New Roman" w:hAnsi="Times New Roman" w:cs="Times New Roman"/>
          <w:sz w:val="20"/>
          <w:szCs w:val="20"/>
          <w:lang w:val="en-US"/>
        </w:rPr>
        <w:t>, 189-198.</w:t>
      </w:r>
    </w:p>
    <w:p w14:paraId="6925CD0C"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caps/>
          <w:kern w:val="20"/>
          <w:sz w:val="20"/>
          <w:szCs w:val="20"/>
          <w:lang w:val="en-US" w:eastAsia="ar-SA"/>
        </w:rPr>
        <w:t xml:space="preserve">GAGNE, N., MACKINNON, A. M., BOSTON, l., cOOK-VERSLOOT, M., GRIFFITHS, S. &amp; OLIVIER, g. (2007). </w:t>
      </w:r>
      <w:r w:rsidRPr="00D403F5">
        <w:rPr>
          <w:rFonts w:ascii="Times New Roman" w:eastAsia="MS Mincho" w:hAnsi="Times New Roman" w:cs="Times New Roman"/>
          <w:kern w:val="20"/>
          <w:sz w:val="20"/>
          <w:szCs w:val="20"/>
          <w:lang w:val="en-US" w:eastAsia="ar-SA"/>
        </w:rPr>
        <w:t>Isolation of viral haemorrhagic septicaemia virus from</w:t>
      </w:r>
      <w:r w:rsidRPr="00D403F5">
        <w:rPr>
          <w:rFonts w:ascii="Times New Roman" w:eastAsia="MS Mincho" w:hAnsi="Times New Roman" w:cs="Times New Roman"/>
          <w:caps/>
          <w:kern w:val="20"/>
          <w:sz w:val="20"/>
          <w:szCs w:val="20"/>
          <w:lang w:val="en-US" w:eastAsia="ar-SA"/>
        </w:rPr>
        <w:t xml:space="preserve"> </w:t>
      </w:r>
      <w:r w:rsidRPr="00D403F5">
        <w:rPr>
          <w:rFonts w:ascii="Times New Roman" w:eastAsia="MS Mincho" w:hAnsi="Times New Roman" w:cs="Times New Roman"/>
          <w:kern w:val="20"/>
          <w:sz w:val="20"/>
          <w:szCs w:val="20"/>
          <w:lang w:val="en-US" w:eastAsia="ar-SA"/>
        </w:rPr>
        <w:t xml:space="preserve">mummichog, stickleback, striped bass and brown trout in eastern Canada. </w:t>
      </w:r>
      <w:r w:rsidRPr="00D403F5">
        <w:rPr>
          <w:rFonts w:ascii="Times New Roman" w:eastAsia="MS Mincho" w:hAnsi="Times New Roman" w:cs="Times New Roman"/>
          <w:i/>
          <w:iCs/>
          <w:kern w:val="20"/>
          <w:sz w:val="20"/>
          <w:szCs w:val="20"/>
          <w:lang w:val="en-US" w:eastAsia="ar-SA"/>
        </w:rPr>
        <w:t>Journal of Fish Diseases</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30</w:t>
      </w:r>
      <w:r w:rsidRPr="00D403F5">
        <w:rPr>
          <w:rFonts w:ascii="Times New Roman" w:eastAsia="MS Mincho" w:hAnsi="Times New Roman" w:cs="Times New Roman"/>
          <w:kern w:val="20"/>
          <w:sz w:val="20"/>
          <w:szCs w:val="20"/>
          <w:lang w:val="en-US" w:eastAsia="ar-SA"/>
        </w:rPr>
        <w:t>, 213-223.</w:t>
      </w:r>
    </w:p>
    <w:p w14:paraId="6A384004"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GARVER, K. A., TRAXLER, G. S., HAWLEY, L. M. &amp; LOVY, J. (2013). Molecular epidemiology of viral haemorrhagic septicaemia virus (VHSV) in British Columbia, Canada, reveals transmission from wild to farmed fish.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104(2)</w:t>
      </w:r>
      <w:r w:rsidRPr="00D403F5">
        <w:rPr>
          <w:rFonts w:ascii="Times New Roman" w:hAnsi="Times New Roman" w:cs="Times New Roman"/>
          <w:sz w:val="20"/>
          <w:szCs w:val="20"/>
          <w:lang w:val="en-US"/>
        </w:rPr>
        <w:t xml:space="preserve">, 93-104. </w:t>
      </w:r>
    </w:p>
    <w:p w14:paraId="0AFCC08F"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1"/>
          <w:sz w:val="20"/>
          <w:szCs w:val="20"/>
          <w:lang w:val="en-US" w:eastAsia="ar-SA"/>
        </w:rPr>
        <w:t xml:space="preserve">GETCHELL, R. G., CORNWELL, E. R., CROOCOCK, G.H., WONG, P. T., COFFEE, L. L., WOOSTER, G. A.&amp; BOWSER, P. R. (2013). Experimental Transmission of VHSV Genotype IVb by Predation. </w:t>
      </w:r>
      <w:r w:rsidRPr="00D403F5">
        <w:rPr>
          <w:rFonts w:ascii="Times New Roman" w:eastAsia="MS Mincho" w:hAnsi="Times New Roman" w:cs="Times New Roman"/>
          <w:i/>
          <w:iCs/>
          <w:kern w:val="1"/>
          <w:sz w:val="20"/>
          <w:szCs w:val="20"/>
          <w:lang w:val="en-US" w:eastAsia="ar-SA"/>
        </w:rPr>
        <w:t>Journal of Aquatic Animal Health</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25(4)</w:t>
      </w:r>
      <w:r w:rsidRPr="00D403F5">
        <w:rPr>
          <w:rFonts w:ascii="Times New Roman" w:eastAsia="MS Mincho" w:hAnsi="Times New Roman" w:cs="Times New Roman"/>
          <w:kern w:val="1"/>
          <w:sz w:val="20"/>
          <w:szCs w:val="20"/>
          <w:lang w:val="en-US" w:eastAsia="ar-SA"/>
        </w:rPr>
        <w:t xml:space="preserve">, 221-229. </w:t>
      </w:r>
    </w:p>
    <w:p w14:paraId="1D73DF08"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GOODWIN, A. E. &amp; MERRY, G. E. (2011). Replication and persistence of VHSV IVb in freshwater turtles. </w:t>
      </w:r>
      <w:r w:rsidRPr="00D403F5">
        <w:rPr>
          <w:rFonts w:ascii="Times New Roman" w:eastAsia="MS Mincho" w:hAnsi="Times New Roman" w:cs="Times New Roman"/>
          <w:i/>
          <w:iCs/>
          <w:kern w:val="20"/>
          <w:sz w:val="20"/>
          <w:szCs w:val="20"/>
          <w:lang w:val="en-US" w:eastAsia="ar-SA"/>
        </w:rPr>
        <w:t>Diseases of Aquatic Organisms</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94</w:t>
      </w:r>
      <w:r w:rsidRPr="00D403F5">
        <w:rPr>
          <w:rFonts w:ascii="Times New Roman" w:eastAsia="MS Mincho" w:hAnsi="Times New Roman" w:cs="Times New Roman"/>
          <w:kern w:val="20"/>
          <w:sz w:val="20"/>
          <w:szCs w:val="20"/>
          <w:lang w:val="en-US" w:eastAsia="ar-SA"/>
        </w:rPr>
        <w:t>, 173-177.</w:t>
      </w:r>
    </w:p>
    <w:p w14:paraId="013FE869"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GROOCOCK, G. H., GETCHELL, R. G., WOOSTER, G. A., BRITT, K. L., BATTS, W. N., WINTON, J. R., CASEY, R. N., CASEY, J. W. &amp; BOWSER, P. R. (2007). Detection of viral hemorrhagic septicemia in round gobies in New York State (USA) waters of Lake Ontario and the St. Lawrence River.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76</w:t>
      </w:r>
      <w:r w:rsidRPr="00D403F5">
        <w:rPr>
          <w:rFonts w:ascii="Times New Roman" w:hAnsi="Times New Roman" w:cs="Times New Roman"/>
          <w:sz w:val="20"/>
          <w:szCs w:val="20"/>
          <w:lang w:val="en-US"/>
        </w:rPr>
        <w:t xml:space="preserve">, 187-192. </w:t>
      </w:r>
    </w:p>
    <w:p w14:paraId="0BC3C7F5" w14:textId="77777777" w:rsidR="00C7266C" w:rsidRPr="00D403F5" w:rsidRDefault="00C7266C" w:rsidP="00D403F5">
      <w:pPr>
        <w:spacing w:after="240"/>
        <w:jc w:val="both"/>
        <w:rPr>
          <w:rFonts w:ascii="Times New Roman" w:eastAsia="MS Mincho" w:hAnsi="Times New Roman" w:cs="Times New Roman"/>
          <w:b/>
          <w:bCs/>
          <w:kern w:val="20"/>
          <w:sz w:val="20"/>
          <w:szCs w:val="20"/>
          <w:lang w:val="en-US" w:eastAsia="ar-SA"/>
        </w:rPr>
      </w:pPr>
      <w:r w:rsidRPr="00D403F5">
        <w:rPr>
          <w:rFonts w:ascii="Times New Roman" w:eastAsia="MS Mincho" w:hAnsi="Times New Roman" w:cs="Times New Roman"/>
          <w:caps/>
          <w:kern w:val="20"/>
          <w:sz w:val="20"/>
          <w:szCs w:val="20"/>
          <w:lang w:val="en-US" w:eastAsia="ar-SA"/>
        </w:rPr>
        <w:t xml:space="preserve">Guðmundsdóttir, s., vendramin, n., cuenca, a., Sigurðardóttir, h., kristmundsson, a., iburg, t. m. &amp; olesen, n. j. (2018). </w:t>
      </w:r>
      <w:r w:rsidRPr="00D403F5">
        <w:rPr>
          <w:rFonts w:ascii="Times New Roman" w:eastAsia="MS Mincho" w:hAnsi="Times New Roman" w:cs="Times New Roman"/>
          <w:kern w:val="20"/>
          <w:sz w:val="20"/>
          <w:szCs w:val="20"/>
          <w:lang w:val="en-US" w:eastAsia="ar-SA"/>
        </w:rPr>
        <w:t>Outbreak of viral haemorrhagic septicaemia (VHS) in lumpfish (</w:t>
      </w:r>
      <w:r w:rsidRPr="00D403F5">
        <w:rPr>
          <w:rFonts w:ascii="Times New Roman" w:eastAsia="MS Mincho" w:hAnsi="Times New Roman" w:cs="Times New Roman"/>
          <w:i/>
          <w:iCs/>
          <w:kern w:val="20"/>
          <w:sz w:val="20"/>
          <w:szCs w:val="20"/>
          <w:lang w:val="en-US" w:eastAsia="ar-SA"/>
        </w:rPr>
        <w:t>Cyclopterus lumpus</w:t>
      </w:r>
      <w:r w:rsidRPr="00D403F5">
        <w:rPr>
          <w:rFonts w:ascii="Times New Roman" w:eastAsia="MS Mincho" w:hAnsi="Times New Roman" w:cs="Times New Roman"/>
          <w:kern w:val="20"/>
          <w:sz w:val="20"/>
          <w:szCs w:val="20"/>
          <w:lang w:val="en-US" w:eastAsia="ar-SA"/>
        </w:rPr>
        <w:t xml:space="preserve">) in Iceland caused by VHS virus genus IV. </w:t>
      </w:r>
      <w:r w:rsidRPr="00D403F5">
        <w:rPr>
          <w:rFonts w:ascii="Times New Roman" w:eastAsia="MS Mincho" w:hAnsi="Times New Roman" w:cs="Times New Roman"/>
          <w:i/>
          <w:iCs/>
          <w:kern w:val="20"/>
          <w:sz w:val="20"/>
          <w:szCs w:val="20"/>
          <w:lang w:val="en-US" w:eastAsia="ar-SA"/>
        </w:rPr>
        <w:t>Journal of Fish Diseases</w:t>
      </w:r>
      <w:r w:rsidRPr="00D403F5">
        <w:rPr>
          <w:rFonts w:ascii="Times New Roman" w:eastAsia="MS Mincho" w:hAnsi="Times New Roman" w:cs="Times New Roman"/>
          <w:kern w:val="20"/>
          <w:sz w:val="20"/>
          <w:szCs w:val="20"/>
          <w:lang w:val="en-US" w:eastAsia="ar-SA"/>
        </w:rPr>
        <w:t>, 1-6.</w:t>
      </w:r>
    </w:p>
    <w:p w14:paraId="5A78F619" w14:textId="77777777" w:rsidR="00D403F5" w:rsidRDefault="00D403F5" w:rsidP="00D403F5">
      <w:pPr>
        <w:spacing w:after="480"/>
        <w:rPr>
          <w:rFonts w:ascii="Times New Roman" w:eastAsia="Calibri" w:hAnsi="Times New Roman" w:cs="Times New Roman"/>
          <w:sz w:val="18"/>
          <w:szCs w:val="18"/>
          <w:u w:val="single"/>
          <w:lang w:val="en-US"/>
        </w:rPr>
      </w:pPr>
      <w:r>
        <w:rPr>
          <w:rFonts w:ascii="Times New Roman" w:eastAsia="Calibri" w:hAnsi="Times New Roman" w:cs="Times New Roman"/>
          <w:sz w:val="18"/>
          <w:szCs w:val="18"/>
          <w:u w:val="single"/>
          <w:lang w:val="en-US"/>
        </w:rPr>
        <w:br w:type="page"/>
      </w:r>
    </w:p>
    <w:p w14:paraId="7F09BABA" w14:textId="794801C6" w:rsidR="00D403F5" w:rsidRPr="00D403F5" w:rsidRDefault="00D403F5" w:rsidP="00D403F5">
      <w:pPr>
        <w:spacing w:after="480"/>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334D8076" w14:textId="77777777" w:rsidR="00D403F5" w:rsidRPr="00D403F5" w:rsidRDefault="00D403F5" w:rsidP="00D403F5">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p w14:paraId="70DAC43D"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HALL, L. M., SMITH, R. J., MUNRO, E.S., MATESJUSOVA, I., ALLAN, C. E. T., MURRAY, A. G., DUGUID, S. J., SALAMA, N. K. G., MCBEATH, A. J. A., WALLACE, I. S., BAIN, N., MARCOS-LOPEZ, M. &amp; RAYNARD, R. S. (2012). Epidemiology and Control of an Outbreak of Viral Haemorrhagic Septicaemia in Wrasse Around Shetland Commencing 2012. </w:t>
      </w:r>
      <w:r w:rsidRPr="00D403F5">
        <w:rPr>
          <w:rFonts w:ascii="Times New Roman" w:eastAsia="MS Mincho" w:hAnsi="Times New Roman" w:cs="Times New Roman"/>
          <w:i/>
          <w:iCs/>
          <w:kern w:val="1"/>
          <w:sz w:val="20"/>
          <w:szCs w:val="20"/>
          <w:lang w:val="en-US" w:eastAsia="ar-SA"/>
        </w:rPr>
        <w:t>Scottish Marine and Freshwater Science</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4(3)</w:t>
      </w:r>
      <w:r w:rsidRPr="00D403F5">
        <w:rPr>
          <w:rFonts w:ascii="Times New Roman" w:eastAsia="MS Mincho" w:hAnsi="Times New Roman" w:cs="Times New Roman"/>
          <w:kern w:val="1"/>
          <w:sz w:val="20"/>
          <w:szCs w:val="20"/>
          <w:lang w:val="en-US" w:eastAsia="ar-SA"/>
        </w:rPr>
        <w:t xml:space="preserve">, </w:t>
      </w:r>
    </w:p>
    <w:p w14:paraId="13A75362"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en-US" w:eastAsia="ar-SA"/>
        </w:rPr>
        <w:t xml:space="preserve">HEDRICK, R. P., BATTS, W. N., YUN, S., TRAXLER, G. S., KAUFMAN, J. &amp; WINTON, J.R. (2003). Host and geographic range extensions of the North American strain of viral hemorrhagic septicemia virus.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55</w:t>
      </w:r>
      <w:r w:rsidRPr="00D403F5">
        <w:rPr>
          <w:rFonts w:ascii="Times New Roman" w:hAnsi="Times New Roman" w:cs="Times New Roman"/>
          <w:sz w:val="20"/>
          <w:szCs w:val="20"/>
          <w:lang w:val="en-US"/>
        </w:rPr>
        <w:t xml:space="preserve">, 211-220. </w:t>
      </w:r>
    </w:p>
    <w:p w14:paraId="15369206"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en-US" w:eastAsia="ar-SA"/>
        </w:rPr>
        <w:t xml:space="preserve">ISSHIKI, T., NISHIZAWA, T., KOBAYASHI, T., NAGANO, T. &amp; MIYAZAKI, T. (2001). An outbreak of VHSV (viral hemorrhagic septicemia virus) infection in farmed Japanese flounder </w:t>
      </w:r>
      <w:r w:rsidRPr="00D403F5">
        <w:rPr>
          <w:rFonts w:ascii="Times New Roman" w:eastAsia="MS Mincho" w:hAnsi="Times New Roman" w:cs="Times New Roman"/>
          <w:i/>
          <w:iCs/>
          <w:kern w:val="1"/>
          <w:sz w:val="20"/>
          <w:szCs w:val="20"/>
          <w:lang w:val="en-US" w:eastAsia="ar-SA"/>
        </w:rPr>
        <w:t>Paralichthys olivaceus</w:t>
      </w:r>
      <w:r w:rsidRPr="00D403F5">
        <w:rPr>
          <w:rFonts w:ascii="Times New Roman" w:eastAsia="MS Mincho" w:hAnsi="Times New Roman" w:cs="Times New Roman"/>
          <w:kern w:val="1"/>
          <w:sz w:val="20"/>
          <w:szCs w:val="20"/>
          <w:lang w:val="en-US" w:eastAsia="ar-SA"/>
        </w:rPr>
        <w:t xml:space="preserve"> in Japan.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47</w:t>
      </w:r>
      <w:r w:rsidRPr="00D403F5">
        <w:rPr>
          <w:rFonts w:ascii="Times New Roman" w:hAnsi="Times New Roman" w:cs="Times New Roman"/>
          <w:sz w:val="20"/>
          <w:szCs w:val="20"/>
          <w:lang w:val="en-US"/>
        </w:rPr>
        <w:t>, 87-99.</w:t>
      </w:r>
    </w:p>
    <w:p w14:paraId="698CA53A"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20"/>
          <w:sz w:val="20"/>
          <w:szCs w:val="20"/>
          <w:lang w:val="en-US" w:eastAsia="ar-SA"/>
        </w:rPr>
        <w:t xml:space="preserve">ITO, T. &amp; OLESEN, N. J. (2013). Susceptibility of various Japanese freshwater fish species to an isolate of viral haemorrhagic septicaemia virus (VHSV) genotype IVb. </w:t>
      </w:r>
      <w:r w:rsidRPr="00D403F5">
        <w:rPr>
          <w:rFonts w:ascii="Times New Roman" w:eastAsia="MS Mincho" w:hAnsi="Times New Roman" w:cs="Times New Roman"/>
          <w:i/>
          <w:iCs/>
          <w:kern w:val="20"/>
          <w:sz w:val="20"/>
          <w:szCs w:val="20"/>
          <w:lang w:val="en-US" w:eastAsia="ar-SA"/>
        </w:rPr>
        <w:t>Diseases of Aquatic Organisms</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107</w:t>
      </w:r>
      <w:r w:rsidRPr="00D403F5">
        <w:rPr>
          <w:rFonts w:ascii="Times New Roman" w:eastAsia="MS Mincho" w:hAnsi="Times New Roman" w:cs="Times New Roman"/>
          <w:kern w:val="20"/>
          <w:sz w:val="20"/>
          <w:szCs w:val="20"/>
          <w:lang w:val="en-US" w:eastAsia="ar-SA"/>
        </w:rPr>
        <w:t xml:space="preserve">, 1-8. </w:t>
      </w:r>
    </w:p>
    <w:p w14:paraId="53AB92FD"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20"/>
          <w:sz w:val="20"/>
          <w:szCs w:val="20"/>
          <w:lang w:val="en-US" w:eastAsia="ar-SA"/>
        </w:rPr>
        <w:t xml:space="preserve">ITO, T. &amp; OLESEN, N. J. (2017). Viral haemorrhagic septicaemia virus (VHSV) remains viable for several days but at low levels in the water flea </w:t>
      </w:r>
      <w:r w:rsidRPr="00D403F5">
        <w:rPr>
          <w:rFonts w:ascii="Times New Roman" w:eastAsia="MS Mincho" w:hAnsi="Times New Roman" w:cs="Times New Roman"/>
          <w:i/>
          <w:iCs/>
          <w:kern w:val="20"/>
          <w:sz w:val="20"/>
          <w:szCs w:val="20"/>
          <w:lang w:val="en-US" w:eastAsia="ar-SA"/>
        </w:rPr>
        <w:t>Moina macrocopa</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i/>
          <w:iCs/>
          <w:kern w:val="20"/>
          <w:sz w:val="20"/>
          <w:szCs w:val="20"/>
          <w:lang w:val="en-US" w:eastAsia="ar-SA"/>
        </w:rPr>
        <w:t>Diseases of Aquatic Organisms</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127</w:t>
      </w:r>
      <w:r w:rsidRPr="00D403F5">
        <w:rPr>
          <w:rFonts w:ascii="Times New Roman" w:eastAsia="MS Mincho" w:hAnsi="Times New Roman" w:cs="Times New Roman"/>
          <w:kern w:val="20"/>
          <w:sz w:val="20"/>
          <w:szCs w:val="20"/>
          <w:lang w:val="en-US" w:eastAsia="ar-SA"/>
        </w:rPr>
        <w:t xml:space="preserve">, 11-18. </w:t>
      </w:r>
    </w:p>
    <w:p w14:paraId="31553471" w14:textId="77777777" w:rsidR="00C7266C" w:rsidRPr="00D403F5" w:rsidRDefault="00C7266C" w:rsidP="00D403F5">
      <w:pPr>
        <w:spacing w:after="240"/>
        <w:jc w:val="both"/>
        <w:rPr>
          <w:rFonts w:ascii="Times New Roman" w:eastAsia="MS Mincho" w:hAnsi="Times New Roman" w:cs="Times New Roman"/>
          <w:i/>
          <w:iCs/>
          <w:kern w:val="20"/>
          <w:sz w:val="20"/>
          <w:szCs w:val="20"/>
          <w:lang w:val="nb-NO" w:eastAsia="ar-SA"/>
        </w:rPr>
      </w:pPr>
      <w:r w:rsidRPr="00D403F5">
        <w:rPr>
          <w:rFonts w:ascii="Times New Roman" w:eastAsia="MS Mincho" w:hAnsi="Times New Roman" w:cs="Times New Roman"/>
          <w:caps/>
          <w:kern w:val="20"/>
          <w:sz w:val="20"/>
          <w:szCs w:val="20"/>
          <w:lang w:val="en-US" w:eastAsia="ar-SA"/>
        </w:rPr>
        <w:t>J</w:t>
      </w:r>
      <w:r w:rsidRPr="00D403F5">
        <w:rPr>
          <w:rFonts w:ascii="Times New Roman" w:hAnsi="Times New Roman" w:cs="Times New Roman"/>
          <w:caps/>
          <w:color w:val="2B2B2B"/>
          <w:sz w:val="20"/>
          <w:szCs w:val="20"/>
          <w:lang w:val="en-US"/>
        </w:rPr>
        <w:t xml:space="preserve">ørgensen, p. E. V. (1980). </w:t>
      </w:r>
      <w:r w:rsidRPr="00D403F5">
        <w:rPr>
          <w:rFonts w:ascii="Times New Roman" w:hAnsi="Times New Roman" w:cs="Times New Roman"/>
          <w:color w:val="2B2B2B"/>
          <w:sz w:val="20"/>
          <w:szCs w:val="20"/>
          <w:lang w:val="en-US"/>
        </w:rPr>
        <w:t xml:space="preserve">Egtved Virus: The Susceptibility of Brown Trout and Rainbow Trout to Eight Virus Isolates and the Significance of the Findings for the VHS Control. </w:t>
      </w:r>
      <w:r w:rsidRPr="00D403F5">
        <w:rPr>
          <w:rFonts w:ascii="Times New Roman" w:hAnsi="Times New Roman" w:cs="Times New Roman"/>
          <w:i/>
          <w:iCs/>
          <w:color w:val="2B2B2B"/>
          <w:sz w:val="20"/>
          <w:szCs w:val="20"/>
          <w:lang w:val="en-US"/>
        </w:rPr>
        <w:t xml:space="preserve">In: Ahne W. (eds) Fish Diseases. Proceedings in Life Sciences. </w:t>
      </w:r>
      <w:r w:rsidRPr="00D403F5">
        <w:rPr>
          <w:rFonts w:ascii="Times New Roman" w:hAnsi="Times New Roman" w:cs="Times New Roman"/>
          <w:i/>
          <w:iCs/>
          <w:color w:val="2B2B2B"/>
          <w:sz w:val="20"/>
          <w:szCs w:val="20"/>
          <w:lang w:val="nb-NO"/>
        </w:rPr>
        <w:t xml:space="preserve">Springer, Berlin, Heidelberg. </w:t>
      </w:r>
    </w:p>
    <w:p w14:paraId="2CC9B0CA"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caps/>
          <w:kern w:val="20"/>
          <w:sz w:val="20"/>
          <w:szCs w:val="20"/>
          <w:lang w:val="nb-NO" w:eastAsia="ar-SA"/>
        </w:rPr>
        <w:t>J</w:t>
      </w:r>
      <w:r w:rsidRPr="00D403F5">
        <w:rPr>
          <w:rFonts w:ascii="Times New Roman" w:hAnsi="Times New Roman" w:cs="Times New Roman"/>
          <w:caps/>
          <w:color w:val="2B2B2B"/>
          <w:sz w:val="20"/>
          <w:szCs w:val="20"/>
          <w:lang w:val="nb-NO"/>
        </w:rPr>
        <w:t xml:space="preserve">ørgensen, p. E. V., </w:t>
      </w:r>
      <w:r w:rsidRPr="00D403F5">
        <w:rPr>
          <w:rFonts w:ascii="Times New Roman" w:eastAsia="MS Mincho" w:hAnsi="Times New Roman" w:cs="Times New Roman"/>
          <w:caps/>
          <w:kern w:val="20"/>
          <w:sz w:val="20"/>
          <w:szCs w:val="20"/>
          <w:lang w:val="nb-NO" w:eastAsia="ar-SA"/>
        </w:rPr>
        <w:t xml:space="preserve">Castric, j. Hill, B., ljungberg, o. &amp; de kinkeling, p. (1994). </w:t>
      </w:r>
      <w:r w:rsidRPr="00D403F5">
        <w:rPr>
          <w:rFonts w:ascii="Times New Roman" w:eastAsia="MS Mincho" w:hAnsi="Times New Roman" w:cs="Times New Roman"/>
          <w:kern w:val="20"/>
          <w:sz w:val="20"/>
          <w:szCs w:val="20"/>
          <w:lang w:val="en-US" w:eastAsia="ar-SA"/>
        </w:rPr>
        <w:t>The Occurrence of virus infections in elvers and eels (</w:t>
      </w:r>
      <w:r w:rsidRPr="00D403F5">
        <w:rPr>
          <w:rFonts w:ascii="Times New Roman" w:eastAsia="MS Mincho" w:hAnsi="Times New Roman" w:cs="Times New Roman"/>
          <w:i/>
          <w:iCs/>
          <w:kern w:val="20"/>
          <w:sz w:val="20"/>
          <w:szCs w:val="20"/>
          <w:lang w:val="en-US" w:eastAsia="ar-SA"/>
        </w:rPr>
        <w:t>Anguilla anguilla</w:t>
      </w:r>
      <w:r w:rsidRPr="00D403F5">
        <w:rPr>
          <w:rFonts w:ascii="Times New Roman" w:eastAsia="MS Mincho" w:hAnsi="Times New Roman" w:cs="Times New Roman"/>
          <w:kern w:val="20"/>
          <w:sz w:val="20"/>
          <w:szCs w:val="20"/>
          <w:lang w:val="en-US" w:eastAsia="ar-SA"/>
        </w:rPr>
        <w:t xml:space="preserve">) in Europe with particular reference to VHSV and IHNV. </w:t>
      </w:r>
      <w:r w:rsidRPr="00D403F5">
        <w:rPr>
          <w:rFonts w:ascii="Times New Roman" w:eastAsia="MS Mincho" w:hAnsi="Times New Roman" w:cs="Times New Roman"/>
          <w:i/>
          <w:iCs/>
          <w:kern w:val="20"/>
          <w:sz w:val="20"/>
          <w:szCs w:val="20"/>
          <w:lang w:val="en-US" w:eastAsia="ar-SA"/>
        </w:rPr>
        <w:t>Aquaculture</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123</w:t>
      </w:r>
      <w:r w:rsidRPr="00D403F5">
        <w:rPr>
          <w:rFonts w:ascii="Times New Roman" w:eastAsia="MS Mincho" w:hAnsi="Times New Roman" w:cs="Times New Roman"/>
          <w:kern w:val="20"/>
          <w:sz w:val="20"/>
          <w:szCs w:val="20"/>
          <w:lang w:val="en-US" w:eastAsia="ar-SA"/>
        </w:rPr>
        <w:t xml:space="preserve">, 11-19. </w:t>
      </w:r>
    </w:p>
    <w:p w14:paraId="508FF1C6"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KIM, R. K. &amp; FAISAL, M. (2012). Shedding of Viral Hemorrhagic Septicemia Virus (Genotype IVb) by Experimentally Infected Muskellunge (</w:t>
      </w:r>
      <w:r w:rsidRPr="00D403F5">
        <w:rPr>
          <w:rFonts w:ascii="Times New Roman" w:eastAsia="MS Mincho" w:hAnsi="Times New Roman" w:cs="Times New Roman"/>
          <w:i/>
          <w:iCs/>
          <w:kern w:val="1"/>
          <w:sz w:val="20"/>
          <w:szCs w:val="20"/>
          <w:lang w:val="en-US" w:eastAsia="ar-SA"/>
        </w:rPr>
        <w:t>Esox masquinongy</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i/>
          <w:iCs/>
          <w:kern w:val="1"/>
          <w:sz w:val="20"/>
          <w:szCs w:val="20"/>
          <w:lang w:val="en-US" w:eastAsia="ar-SA"/>
        </w:rPr>
        <w:t>The Journal of Microbiology</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50(2)</w:t>
      </w:r>
      <w:r w:rsidRPr="00D403F5">
        <w:rPr>
          <w:rFonts w:ascii="Times New Roman" w:eastAsia="MS Mincho" w:hAnsi="Times New Roman" w:cs="Times New Roman"/>
          <w:kern w:val="1"/>
          <w:sz w:val="20"/>
          <w:szCs w:val="20"/>
          <w:lang w:val="en-US" w:eastAsia="ar-SA"/>
        </w:rPr>
        <w:t xml:space="preserve">, 278-284. </w:t>
      </w:r>
    </w:p>
    <w:p w14:paraId="3D3B2234"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1"/>
          <w:sz w:val="20"/>
          <w:szCs w:val="20"/>
          <w:lang w:val="en-US" w:eastAsia="ar-SA"/>
        </w:rPr>
        <w:t xml:space="preserve">KIM, S-M. &amp; PARK, S-I. (2004). Detection of viral hemorrhagic septicemia virus (VHSV) in wild marine fishes in the coastal region of Korea. </w:t>
      </w:r>
      <w:r w:rsidRPr="00D403F5">
        <w:rPr>
          <w:rFonts w:ascii="Times New Roman" w:eastAsia="MS Mincho" w:hAnsi="Times New Roman" w:cs="Times New Roman"/>
          <w:i/>
          <w:iCs/>
          <w:kern w:val="20"/>
          <w:sz w:val="20"/>
          <w:szCs w:val="20"/>
          <w:lang w:val="en-US" w:eastAsia="ar-SA"/>
        </w:rPr>
        <w:t>Journal of Fish Pathology</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17(1)</w:t>
      </w:r>
      <w:r w:rsidRPr="00D403F5">
        <w:rPr>
          <w:rFonts w:ascii="Times New Roman" w:eastAsia="MS Mincho" w:hAnsi="Times New Roman" w:cs="Times New Roman"/>
          <w:kern w:val="20"/>
          <w:sz w:val="20"/>
          <w:szCs w:val="20"/>
          <w:lang w:val="en-US" w:eastAsia="ar-SA"/>
        </w:rPr>
        <w:t>, 1-10.</w:t>
      </w:r>
    </w:p>
    <w:p w14:paraId="209C0699"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20"/>
          <w:sz w:val="20"/>
          <w:szCs w:val="20"/>
          <w:lang w:val="en-US" w:eastAsia="ar-SA"/>
        </w:rPr>
        <w:t xml:space="preserve">KIM, W-S, OH, S-Y. &amp; OH, M-J. (2013). Susceptibility of marine medaka </w:t>
      </w:r>
      <w:r w:rsidRPr="00D403F5">
        <w:rPr>
          <w:rFonts w:ascii="Times New Roman" w:eastAsia="MS Mincho" w:hAnsi="Times New Roman" w:cs="Times New Roman"/>
          <w:i/>
          <w:iCs/>
          <w:kern w:val="20"/>
          <w:sz w:val="20"/>
          <w:szCs w:val="20"/>
          <w:lang w:val="en-US" w:eastAsia="ar-SA"/>
        </w:rPr>
        <w:t>Oryzias dancena</w:t>
      </w:r>
      <w:r w:rsidRPr="00D403F5">
        <w:rPr>
          <w:rFonts w:ascii="Times New Roman" w:eastAsia="MS Mincho" w:hAnsi="Times New Roman" w:cs="Times New Roman"/>
          <w:kern w:val="20"/>
          <w:sz w:val="20"/>
          <w:szCs w:val="20"/>
          <w:lang w:val="en-US" w:eastAsia="ar-SA"/>
        </w:rPr>
        <w:t xml:space="preserve"> to fish pathogenic viruses. </w:t>
      </w:r>
      <w:r w:rsidRPr="00D403F5">
        <w:rPr>
          <w:rFonts w:ascii="Times New Roman" w:eastAsia="MS Mincho" w:hAnsi="Times New Roman" w:cs="Times New Roman"/>
          <w:i/>
          <w:iCs/>
          <w:kern w:val="20"/>
          <w:sz w:val="20"/>
          <w:szCs w:val="20"/>
          <w:lang w:val="en-US" w:eastAsia="ar-SA"/>
        </w:rPr>
        <w:t>Journal of Fish Pathology</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26(3)</w:t>
      </w:r>
      <w:r w:rsidRPr="00D403F5">
        <w:rPr>
          <w:rFonts w:ascii="Times New Roman" w:eastAsia="MS Mincho" w:hAnsi="Times New Roman" w:cs="Times New Roman"/>
          <w:kern w:val="20"/>
          <w:sz w:val="20"/>
          <w:szCs w:val="20"/>
          <w:lang w:val="en-US" w:eastAsia="ar-SA"/>
        </w:rPr>
        <w:t xml:space="preserve">, 283-287. </w:t>
      </w:r>
    </w:p>
    <w:p w14:paraId="1CB5F007"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KING, J. A., SNOW, M., SKALL, H. F. &amp; RAYNARD, R. S. (2001b). Experimental susceptibility of Atlantic salmon </w:t>
      </w:r>
      <w:r w:rsidRPr="00D403F5">
        <w:rPr>
          <w:rFonts w:ascii="Times New Roman" w:hAnsi="Times New Roman" w:cs="Times New Roman"/>
          <w:i/>
          <w:iCs/>
          <w:sz w:val="20"/>
          <w:szCs w:val="20"/>
          <w:lang w:val="en-US"/>
        </w:rPr>
        <w:t>Salmo salar</w:t>
      </w:r>
      <w:r w:rsidRPr="00D403F5">
        <w:rPr>
          <w:rFonts w:ascii="Times New Roman" w:hAnsi="Times New Roman" w:cs="Times New Roman"/>
          <w:sz w:val="20"/>
          <w:szCs w:val="20"/>
          <w:lang w:val="en-US"/>
        </w:rPr>
        <w:t xml:space="preserve"> and turbot </w:t>
      </w:r>
      <w:r w:rsidRPr="00D403F5">
        <w:rPr>
          <w:rFonts w:ascii="Times New Roman" w:hAnsi="Times New Roman" w:cs="Times New Roman"/>
          <w:i/>
          <w:iCs/>
          <w:sz w:val="20"/>
          <w:szCs w:val="20"/>
          <w:lang w:val="en-US"/>
        </w:rPr>
        <w:t>Scophthalmus maximus</w:t>
      </w:r>
      <w:r w:rsidRPr="00D403F5">
        <w:rPr>
          <w:rFonts w:ascii="Times New Roman" w:hAnsi="Times New Roman" w:cs="Times New Roman"/>
          <w:sz w:val="20"/>
          <w:szCs w:val="20"/>
          <w:lang w:val="en-US"/>
        </w:rPr>
        <w:t xml:space="preserve"> to European freshwater and marine isolates of viral haemorrhagic septicaemia virus.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47</w:t>
      </w:r>
      <w:r w:rsidRPr="00D403F5">
        <w:rPr>
          <w:rFonts w:ascii="Times New Roman" w:hAnsi="Times New Roman" w:cs="Times New Roman"/>
          <w:sz w:val="20"/>
          <w:szCs w:val="20"/>
          <w:lang w:val="en-US"/>
        </w:rPr>
        <w:t xml:space="preserve">, 25-31. </w:t>
      </w:r>
    </w:p>
    <w:p w14:paraId="0AC60B39"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KING, J. A., SNOW, M., SMAIL, D. A. &amp; RAYNARD, R. S. (2001a). Distribution of viral haemorrhagic septicaemia virus in wild fish species of the North Sea, north east Atlantic Ocean and Irish Sea.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47</w:t>
      </w:r>
      <w:r w:rsidRPr="00D403F5">
        <w:rPr>
          <w:rFonts w:ascii="Times New Roman" w:hAnsi="Times New Roman" w:cs="Times New Roman"/>
          <w:sz w:val="20"/>
          <w:szCs w:val="20"/>
          <w:lang w:val="en-US"/>
        </w:rPr>
        <w:t xml:space="preserve">, 81-86. </w:t>
      </w:r>
    </w:p>
    <w:p w14:paraId="6AA9328A"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20"/>
          <w:sz w:val="20"/>
          <w:szCs w:val="20"/>
          <w:lang w:val="en-US" w:eastAsia="ar-SA"/>
        </w:rPr>
        <w:t xml:space="preserve">KNUESEL, R., SEGNER, H. &amp; WAHLI, T. (2003). A survey of viral diseases in farmed and feral salmonids in Switzerland. </w:t>
      </w:r>
      <w:r w:rsidRPr="00D403F5">
        <w:rPr>
          <w:rFonts w:ascii="Times New Roman" w:eastAsia="MS Mincho" w:hAnsi="Times New Roman" w:cs="Times New Roman"/>
          <w:i/>
          <w:iCs/>
          <w:kern w:val="20"/>
          <w:sz w:val="20"/>
          <w:szCs w:val="20"/>
          <w:lang w:val="en-US" w:eastAsia="ar-SA"/>
        </w:rPr>
        <w:t>c</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26(3)</w:t>
      </w:r>
      <w:r w:rsidRPr="00D403F5">
        <w:rPr>
          <w:rFonts w:ascii="Times New Roman" w:eastAsia="MS Mincho" w:hAnsi="Times New Roman" w:cs="Times New Roman"/>
          <w:kern w:val="20"/>
          <w:sz w:val="20"/>
          <w:szCs w:val="20"/>
          <w:lang w:val="en-US" w:eastAsia="ar-SA"/>
        </w:rPr>
        <w:t xml:space="preserve">, 167-182. </w:t>
      </w:r>
    </w:p>
    <w:p w14:paraId="7804D81B"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KOCAN, R. M., HERSHBERGER, P. K., ELDER, N. E. &amp; WINTON, J. R. (2001). Epidemiology of Viral  hemorrhagic Septicemia among Juvenile Pacific Herring and Pacific Sand Lances in Puget Sound. </w:t>
      </w:r>
      <w:r w:rsidRPr="00D403F5">
        <w:rPr>
          <w:rFonts w:ascii="Times New Roman" w:eastAsia="MS Mincho" w:hAnsi="Times New Roman" w:cs="Times New Roman"/>
          <w:i/>
          <w:iCs/>
          <w:kern w:val="1"/>
          <w:sz w:val="20"/>
          <w:szCs w:val="20"/>
          <w:lang w:val="en-US" w:eastAsia="ar-SA"/>
        </w:rPr>
        <w:t>Journal of Aquatic Animal Health</w:t>
      </w:r>
      <w:r w:rsidRPr="00D403F5">
        <w:rPr>
          <w:rFonts w:ascii="Times New Roman" w:eastAsia="MS Mincho" w:hAnsi="Times New Roman" w:cs="Times New Roman"/>
          <w:kern w:val="1"/>
          <w:sz w:val="20"/>
          <w:szCs w:val="20"/>
          <w:lang w:val="en-US" w:eastAsia="ar-SA"/>
        </w:rPr>
        <w:t>, 13, 77–85.</w:t>
      </w:r>
    </w:p>
    <w:p w14:paraId="6D860FF2" w14:textId="77777777" w:rsidR="00D403F5" w:rsidRPr="00D403F5" w:rsidRDefault="00D403F5" w:rsidP="00D403F5">
      <w:pPr>
        <w:spacing w:after="480"/>
        <w:jc w:val="right"/>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4B1EA236" w14:textId="77777777" w:rsidR="00D403F5" w:rsidRPr="00D403F5" w:rsidRDefault="00D403F5" w:rsidP="00D403F5">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p w14:paraId="6CE38D4D"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20"/>
          <w:sz w:val="20"/>
          <w:szCs w:val="20"/>
          <w:lang w:val="en-US" w:eastAsia="ar-SA"/>
        </w:rPr>
        <w:t xml:space="preserve">LEE, W. A-L., YUN, H-M., KIM, S-R., JUNG, S-J. &amp; OH, M-J. (2007). Detection of Viral Hemorrhagic septicemia virus (VHSV) from marine fish in the South Western Coastal Area and East China Sea. </w:t>
      </w:r>
      <w:r w:rsidRPr="00D403F5">
        <w:rPr>
          <w:rFonts w:ascii="Times New Roman" w:eastAsia="MS Mincho" w:hAnsi="Times New Roman" w:cs="Times New Roman"/>
          <w:i/>
          <w:iCs/>
          <w:kern w:val="20"/>
          <w:sz w:val="20"/>
          <w:szCs w:val="20"/>
          <w:lang w:val="en-US" w:eastAsia="ar-SA"/>
        </w:rPr>
        <w:t>Journal of Fish Pathology</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20(3)</w:t>
      </w:r>
      <w:r w:rsidRPr="00D403F5">
        <w:rPr>
          <w:rFonts w:ascii="Times New Roman" w:eastAsia="MS Mincho" w:hAnsi="Times New Roman" w:cs="Times New Roman"/>
          <w:kern w:val="20"/>
          <w:sz w:val="20"/>
          <w:szCs w:val="20"/>
          <w:lang w:val="en-US" w:eastAsia="ar-SA"/>
        </w:rPr>
        <w:t xml:space="preserve">, 201-209. </w:t>
      </w:r>
    </w:p>
    <w:p w14:paraId="70B0A8CC" w14:textId="77777777" w:rsidR="00C7266C" w:rsidRPr="00D403F5" w:rsidRDefault="00C7266C" w:rsidP="00D403F5">
      <w:pPr>
        <w:spacing w:after="240"/>
        <w:jc w:val="both"/>
        <w:rPr>
          <w:rFonts w:ascii="Times New Roman" w:eastAsia="MS Mincho" w:hAnsi="Times New Roman" w:cs="Times New Roman"/>
          <w:caps/>
          <w:kern w:val="20"/>
          <w:sz w:val="20"/>
          <w:szCs w:val="20"/>
          <w:lang w:val="en-US" w:eastAsia="ar-SA"/>
        </w:rPr>
      </w:pPr>
      <w:r w:rsidRPr="00D403F5">
        <w:rPr>
          <w:rFonts w:ascii="Times New Roman" w:eastAsia="MS Mincho" w:hAnsi="Times New Roman" w:cs="Times New Roman"/>
          <w:caps/>
          <w:kern w:val="20"/>
          <w:sz w:val="20"/>
          <w:szCs w:val="20"/>
          <w:lang w:val="en-US" w:eastAsia="ar-SA"/>
        </w:rPr>
        <w:t xml:space="preserve">López-Vázquez, c., Conde, m., Dopazo, c. p., Barja, j. l. &amp; Bandín, i. (2011). </w:t>
      </w:r>
      <w:r w:rsidRPr="00D403F5">
        <w:rPr>
          <w:rFonts w:ascii="Times New Roman" w:eastAsia="MS Mincho" w:hAnsi="Times New Roman" w:cs="Times New Roman"/>
          <w:kern w:val="20"/>
          <w:sz w:val="20"/>
          <w:szCs w:val="20"/>
          <w:lang w:val="en-US" w:eastAsia="ar-SA"/>
        </w:rPr>
        <w:t xml:space="preserve">Susceptibility of juvenile sole </w:t>
      </w:r>
      <w:r w:rsidRPr="00D403F5">
        <w:rPr>
          <w:rFonts w:ascii="Times New Roman" w:eastAsia="MS Mincho" w:hAnsi="Times New Roman" w:cs="Times New Roman"/>
          <w:i/>
          <w:iCs/>
          <w:kern w:val="20"/>
          <w:sz w:val="20"/>
          <w:szCs w:val="20"/>
          <w:lang w:val="en-US" w:eastAsia="ar-SA"/>
        </w:rPr>
        <w:t>Solea senegalensis</w:t>
      </w:r>
      <w:r w:rsidRPr="00D403F5">
        <w:rPr>
          <w:rFonts w:ascii="Times New Roman" w:eastAsia="MS Mincho" w:hAnsi="Times New Roman" w:cs="Times New Roman"/>
          <w:kern w:val="20"/>
          <w:sz w:val="20"/>
          <w:szCs w:val="20"/>
          <w:lang w:val="en-US" w:eastAsia="ar-SA"/>
        </w:rPr>
        <w:t xml:space="preserve"> to marine isolates of viral haemorrhagic septicaemia virus from wild and farmed fish.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 xml:space="preserve">93, </w:t>
      </w:r>
      <w:r w:rsidRPr="00D403F5">
        <w:rPr>
          <w:rFonts w:ascii="Times New Roman" w:hAnsi="Times New Roman" w:cs="Times New Roman"/>
          <w:sz w:val="20"/>
          <w:szCs w:val="20"/>
          <w:lang w:val="en-US"/>
        </w:rPr>
        <w:t xml:space="preserve">111-116. </w:t>
      </w:r>
    </w:p>
    <w:p w14:paraId="4448949E"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LOVY, J., PIESIK, P., HERSHBERGER, P. K. &amp; GARVER, K. A. (2013). Experimental infection studies demonstrating Atlantic salmon as a host and reservoir of viral hemorrhagic septicemia virus type IVa with insights into pathology and host immunity. </w:t>
      </w:r>
      <w:r w:rsidRPr="00D403F5">
        <w:rPr>
          <w:rFonts w:ascii="Times New Roman" w:eastAsia="MS Mincho" w:hAnsi="Times New Roman" w:cs="Times New Roman"/>
          <w:i/>
          <w:iCs/>
          <w:kern w:val="1"/>
          <w:sz w:val="20"/>
          <w:szCs w:val="20"/>
          <w:lang w:val="en-US" w:eastAsia="ar-SA"/>
        </w:rPr>
        <w:t>Veterinary Microbiology</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166</w:t>
      </w:r>
      <w:r w:rsidRPr="00D403F5">
        <w:rPr>
          <w:rFonts w:ascii="Times New Roman" w:eastAsia="MS Mincho" w:hAnsi="Times New Roman" w:cs="Times New Roman"/>
          <w:kern w:val="1"/>
          <w:sz w:val="20"/>
          <w:szCs w:val="20"/>
          <w:lang w:val="en-US" w:eastAsia="ar-SA"/>
        </w:rPr>
        <w:t xml:space="preserve">, 91-101. </w:t>
      </w:r>
    </w:p>
    <w:p w14:paraId="2F7A4AA4"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en-US" w:eastAsia="ar-SA"/>
        </w:rPr>
        <w:t xml:space="preserve">LUMSDEN, J. S., MORRISON, B., YASON, C., RUSSELL, S., YOUNG, K., YAZDANPANAH, A., HUBER, P., AL-HUSSINEE, L., STONE, D. &amp; WAY. K. (2007). Mortality event in freshwater drum </w:t>
      </w:r>
      <w:r w:rsidRPr="00D403F5">
        <w:rPr>
          <w:rFonts w:ascii="Times New Roman" w:eastAsia="MS Mincho" w:hAnsi="Times New Roman" w:cs="Times New Roman"/>
          <w:i/>
          <w:iCs/>
          <w:kern w:val="1"/>
          <w:sz w:val="20"/>
          <w:szCs w:val="20"/>
          <w:lang w:val="en-US" w:eastAsia="ar-SA"/>
        </w:rPr>
        <w:t>Aplodinotus grunniens</w:t>
      </w:r>
      <w:r w:rsidRPr="00D403F5">
        <w:rPr>
          <w:rFonts w:ascii="Times New Roman" w:eastAsia="MS Mincho" w:hAnsi="Times New Roman" w:cs="Times New Roman"/>
          <w:kern w:val="1"/>
          <w:sz w:val="20"/>
          <w:szCs w:val="20"/>
          <w:lang w:val="en-US" w:eastAsia="ar-SA"/>
        </w:rPr>
        <w:t xml:space="preserve"> from Lake Ontario, Canada, associated with viral haemorrhagic septicemia virus, Type IV.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76</w:t>
      </w:r>
      <w:r w:rsidRPr="00D403F5">
        <w:rPr>
          <w:rFonts w:ascii="Times New Roman" w:hAnsi="Times New Roman" w:cs="Times New Roman"/>
          <w:sz w:val="20"/>
          <w:szCs w:val="20"/>
          <w:lang w:val="en-US"/>
        </w:rPr>
        <w:t xml:space="preserve">, 99-111. </w:t>
      </w:r>
    </w:p>
    <w:p w14:paraId="018E35DF"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MATEJUSOVA, I., NOGUERA, P. A., HALL, M., MCBEATH, A. J. A., URQUHART, K., SIMONS, J., FORDYCE, M. J., LESTER, K., HO, Y. -M., MURRAY, W. &amp; BRUNO, D. W. (2016). Susceptibility of goldsinny wrasse, </w:t>
      </w:r>
      <w:r w:rsidRPr="00D403F5">
        <w:rPr>
          <w:rFonts w:ascii="Times New Roman" w:eastAsia="MS Mincho" w:hAnsi="Times New Roman" w:cs="Times New Roman"/>
          <w:i/>
          <w:iCs/>
          <w:kern w:val="1"/>
          <w:sz w:val="20"/>
          <w:szCs w:val="20"/>
          <w:lang w:val="en-US" w:eastAsia="ar-SA"/>
        </w:rPr>
        <w:t>Ctenolabrus rupestris</w:t>
      </w:r>
      <w:r w:rsidRPr="00D403F5">
        <w:rPr>
          <w:rFonts w:ascii="Times New Roman" w:eastAsia="MS Mincho" w:hAnsi="Times New Roman" w:cs="Times New Roman"/>
          <w:kern w:val="1"/>
          <w:sz w:val="20"/>
          <w:szCs w:val="20"/>
          <w:lang w:val="en-US" w:eastAsia="ar-SA"/>
        </w:rPr>
        <w:t xml:space="preserve"> L. (Labridae), to viral haemorrhagic septicaemia virus (VHSV) genotype III: Experimental challenge and pathology. </w:t>
      </w:r>
      <w:r w:rsidRPr="00D403F5">
        <w:rPr>
          <w:rFonts w:ascii="Times New Roman" w:eastAsia="MS Mincho" w:hAnsi="Times New Roman" w:cs="Times New Roman"/>
          <w:i/>
          <w:iCs/>
          <w:kern w:val="1"/>
          <w:sz w:val="20"/>
          <w:szCs w:val="20"/>
          <w:lang w:val="en-US" w:eastAsia="ar-SA"/>
        </w:rPr>
        <w:t>Veterinary Microbiology</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186</w:t>
      </w:r>
      <w:r w:rsidRPr="00D403F5">
        <w:rPr>
          <w:rFonts w:ascii="Times New Roman" w:eastAsia="MS Mincho" w:hAnsi="Times New Roman" w:cs="Times New Roman"/>
          <w:kern w:val="1"/>
          <w:sz w:val="20"/>
          <w:szCs w:val="20"/>
          <w:lang w:val="en-US" w:eastAsia="ar-SA"/>
        </w:rPr>
        <w:t xml:space="preserve">, 164-173. </w:t>
      </w:r>
    </w:p>
    <w:p w14:paraId="47B559A5"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MEIER, W., AHNE, W. &amp; J</w:t>
      </w:r>
      <w:r w:rsidRPr="00D403F5">
        <w:rPr>
          <w:rFonts w:ascii="Times New Roman" w:eastAsia="MS Mincho" w:hAnsi="Times New Roman" w:cs="Times New Roman"/>
          <w:caps/>
          <w:kern w:val="20"/>
          <w:sz w:val="20"/>
          <w:szCs w:val="20"/>
          <w:lang w:val="en-US" w:eastAsia="ar-SA"/>
        </w:rPr>
        <w:t xml:space="preserve">øRGENSEN, P. E. V. (1986). </w:t>
      </w:r>
      <w:r w:rsidRPr="00D403F5">
        <w:rPr>
          <w:rFonts w:ascii="Times New Roman" w:eastAsia="MS Mincho" w:hAnsi="Times New Roman" w:cs="Times New Roman"/>
          <w:kern w:val="20"/>
          <w:sz w:val="20"/>
          <w:szCs w:val="20"/>
          <w:lang w:val="en-US" w:eastAsia="ar-SA"/>
        </w:rPr>
        <w:t>Fish viruses: Viral haemorrhagoc septicaemia in white fish (</w:t>
      </w:r>
      <w:r w:rsidRPr="00D403F5">
        <w:rPr>
          <w:rFonts w:ascii="Times New Roman" w:eastAsia="MS Mincho" w:hAnsi="Times New Roman" w:cs="Times New Roman"/>
          <w:i/>
          <w:iCs/>
          <w:kern w:val="20"/>
          <w:sz w:val="20"/>
          <w:szCs w:val="20"/>
          <w:lang w:val="en-US" w:eastAsia="ar-SA"/>
        </w:rPr>
        <w:t>Coregonus sp.</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i/>
          <w:iCs/>
          <w:kern w:val="20"/>
          <w:sz w:val="20"/>
          <w:szCs w:val="20"/>
          <w:lang w:val="en-US" w:eastAsia="ar-SA"/>
        </w:rPr>
        <w:t>Journal of Applied Ichthyology</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4</w:t>
      </w:r>
      <w:r w:rsidRPr="00D403F5">
        <w:rPr>
          <w:rFonts w:ascii="Times New Roman" w:eastAsia="MS Mincho" w:hAnsi="Times New Roman" w:cs="Times New Roman"/>
          <w:kern w:val="20"/>
          <w:sz w:val="20"/>
          <w:szCs w:val="20"/>
          <w:lang w:val="en-US" w:eastAsia="ar-SA"/>
        </w:rPr>
        <w:t xml:space="preserve">, 181-186. </w:t>
      </w:r>
    </w:p>
    <w:p w14:paraId="133CDA2C"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MEIER, W. &amp; WAHLI, T. (1988). Viral haemorrhagic septicaemia (VHS) in grayling, </w:t>
      </w:r>
      <w:r w:rsidRPr="00D403F5">
        <w:rPr>
          <w:rFonts w:ascii="Times New Roman" w:eastAsia="MS Mincho" w:hAnsi="Times New Roman" w:cs="Times New Roman"/>
          <w:i/>
          <w:iCs/>
          <w:kern w:val="1"/>
          <w:sz w:val="20"/>
          <w:szCs w:val="20"/>
          <w:lang w:val="en-US" w:eastAsia="ar-SA"/>
        </w:rPr>
        <w:t>Thymallus thymallus</w:t>
      </w:r>
      <w:r w:rsidRPr="00D403F5">
        <w:rPr>
          <w:rFonts w:ascii="Times New Roman" w:eastAsia="MS Mincho" w:hAnsi="Times New Roman" w:cs="Times New Roman"/>
          <w:kern w:val="1"/>
          <w:sz w:val="20"/>
          <w:szCs w:val="20"/>
          <w:lang w:val="en-US" w:eastAsia="ar-SA"/>
        </w:rPr>
        <w:t xml:space="preserve"> L. </w:t>
      </w:r>
      <w:r w:rsidRPr="00D403F5">
        <w:rPr>
          <w:rFonts w:ascii="Times New Roman" w:hAnsi="Times New Roman" w:cs="Times New Roman"/>
          <w:i/>
          <w:iCs/>
          <w:sz w:val="20"/>
          <w:szCs w:val="20"/>
          <w:lang w:val="en-US"/>
        </w:rPr>
        <w:t>Journal of Fish Diseases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11</w:t>
      </w:r>
      <w:r w:rsidRPr="00D403F5">
        <w:rPr>
          <w:rFonts w:ascii="Times New Roman" w:hAnsi="Times New Roman" w:cs="Times New Roman"/>
          <w:sz w:val="20"/>
          <w:szCs w:val="20"/>
          <w:lang w:val="en-US"/>
        </w:rPr>
        <w:t xml:space="preserve">, 481-487. </w:t>
      </w:r>
    </w:p>
    <w:p w14:paraId="208A9703"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MEYERS, T. R. &amp; WINTON, J. R. (1995). Viral hemorrhagic septicemia virus in North America. </w:t>
      </w:r>
      <w:r w:rsidRPr="00D403F5">
        <w:rPr>
          <w:rFonts w:ascii="Times New Roman" w:eastAsia="MS Mincho" w:hAnsi="Times New Roman" w:cs="Times New Roman"/>
          <w:i/>
          <w:iCs/>
          <w:kern w:val="1"/>
          <w:sz w:val="20"/>
          <w:szCs w:val="20"/>
          <w:lang w:val="en-US" w:eastAsia="ar-SA"/>
        </w:rPr>
        <w:t>Annual Review of Fish Diseases</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5</w:t>
      </w:r>
      <w:r w:rsidRPr="00D403F5">
        <w:rPr>
          <w:rFonts w:ascii="Times New Roman" w:eastAsia="MS Mincho" w:hAnsi="Times New Roman" w:cs="Times New Roman"/>
          <w:kern w:val="1"/>
          <w:sz w:val="20"/>
          <w:szCs w:val="20"/>
          <w:lang w:val="en-US" w:eastAsia="ar-SA"/>
        </w:rPr>
        <w:t xml:space="preserve">, 3-24. </w:t>
      </w:r>
    </w:p>
    <w:p w14:paraId="7FCEB40B"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kern w:val="20"/>
          <w:sz w:val="20"/>
          <w:szCs w:val="20"/>
          <w:lang w:val="en-US" w:eastAsia="ar-SA"/>
        </w:rPr>
        <w:t xml:space="preserve">MEYERS, T. R., SHORT, S. &amp; LIPSON, K. (1999). Isolation of the North American strain of viral hemorrhagic septicemia virus (VHSV) associated with epizootic mortality in two new host species of Alaskan marine fish.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38</w:t>
      </w:r>
      <w:r w:rsidRPr="00D403F5">
        <w:rPr>
          <w:rFonts w:ascii="Times New Roman" w:hAnsi="Times New Roman" w:cs="Times New Roman"/>
          <w:sz w:val="20"/>
          <w:szCs w:val="20"/>
          <w:lang w:val="en-US"/>
        </w:rPr>
        <w:t xml:space="preserve">, 81-86. </w:t>
      </w:r>
    </w:p>
    <w:p w14:paraId="37DE16F0" w14:textId="77777777" w:rsidR="00C7266C" w:rsidRPr="00D403F5" w:rsidRDefault="00C7266C" w:rsidP="00D403F5">
      <w:pPr>
        <w:spacing w:after="240"/>
        <w:jc w:val="both"/>
        <w:rPr>
          <w:rFonts w:ascii="Times New Roman" w:eastAsia="MS Mincho" w:hAnsi="Times New Roman" w:cs="Times New Roman"/>
          <w:color w:val="FF0000"/>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MEYERS, T. R., SHORT, S., LIPSON, K., BATTS, W. N., WINTON, J. R., WILCOCK, J. &amp; BROWN, E. (1993). Isolation of North American Viral Hemorrhagic Septicemia Virus (VHSV) from Alaskan Pacific Herring, </w:t>
      </w:r>
      <w:r w:rsidRPr="00D403F5">
        <w:rPr>
          <w:rFonts w:ascii="Times New Roman" w:eastAsia="MS Mincho" w:hAnsi="Times New Roman" w:cs="Times New Roman"/>
          <w:i/>
          <w:iCs/>
          <w:kern w:val="1"/>
          <w:sz w:val="20"/>
          <w:szCs w:val="20"/>
          <w:lang w:val="en-US" w:eastAsia="ar-SA"/>
        </w:rPr>
        <w:t>Clupea harengus pallasi</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i/>
          <w:iCs/>
          <w:kern w:val="1"/>
          <w:sz w:val="20"/>
          <w:szCs w:val="20"/>
          <w:lang w:val="en-US" w:eastAsia="ar-SA"/>
        </w:rPr>
        <w:t>Fish Health Newsletter</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21(4)</w:t>
      </w:r>
      <w:r w:rsidRPr="00D403F5">
        <w:rPr>
          <w:rFonts w:ascii="Times New Roman" w:eastAsia="MS Mincho" w:hAnsi="Times New Roman" w:cs="Times New Roman"/>
          <w:kern w:val="1"/>
          <w:sz w:val="20"/>
          <w:szCs w:val="20"/>
          <w:lang w:val="en-US" w:eastAsia="ar-SA"/>
        </w:rPr>
        <w:t xml:space="preserve">, 10-11. </w:t>
      </w:r>
    </w:p>
    <w:p w14:paraId="5E22C24A"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MEYERS, T. R., SHORT, S., LIPSON, K., BATTS, W. N., WINTON, J. R., WILCOCK, J. &amp; BROWN, E. (1994). Association of viral hemorrhagic septicemia virus with epizootic hemorrhages of the skin in Pacific herring </w:t>
      </w:r>
      <w:r w:rsidRPr="00D403F5">
        <w:rPr>
          <w:rFonts w:ascii="Times New Roman" w:eastAsia="MS Mincho" w:hAnsi="Times New Roman" w:cs="Times New Roman"/>
          <w:i/>
          <w:iCs/>
          <w:kern w:val="1"/>
          <w:sz w:val="20"/>
          <w:szCs w:val="20"/>
          <w:lang w:val="en-US" w:eastAsia="ar-SA"/>
        </w:rPr>
        <w:t>Clupea harengus pallasi</w:t>
      </w:r>
      <w:r w:rsidRPr="00D403F5">
        <w:rPr>
          <w:rFonts w:ascii="Times New Roman" w:eastAsia="MS Mincho" w:hAnsi="Times New Roman" w:cs="Times New Roman"/>
          <w:kern w:val="1"/>
          <w:sz w:val="20"/>
          <w:szCs w:val="20"/>
          <w:lang w:val="en-US" w:eastAsia="ar-SA"/>
        </w:rPr>
        <w:t xml:space="preserve"> from Prince William Sound and Kodiak Island, Alaska, USA.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19</w:t>
      </w:r>
      <w:r w:rsidRPr="00D403F5">
        <w:rPr>
          <w:rFonts w:ascii="Times New Roman" w:hAnsi="Times New Roman" w:cs="Times New Roman"/>
          <w:sz w:val="20"/>
          <w:szCs w:val="20"/>
          <w:lang w:val="en-US"/>
        </w:rPr>
        <w:t>, 27-37.</w:t>
      </w:r>
    </w:p>
    <w:p w14:paraId="76846732"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MEYERS, T. R., SULLIVAN, J., EMMENEGGER, E., FOLLETT, J., SHORT, S., BATTS, W. N. &amp; WINTON, J. R. (1992). Identification of viral hemorrhagic septicemia virus isolated from Pacific cod </w:t>
      </w:r>
      <w:r w:rsidRPr="00D403F5">
        <w:rPr>
          <w:rFonts w:ascii="Times New Roman" w:eastAsia="MS Mincho" w:hAnsi="Times New Roman" w:cs="Times New Roman"/>
          <w:i/>
          <w:iCs/>
          <w:kern w:val="1"/>
          <w:sz w:val="20"/>
          <w:szCs w:val="20"/>
          <w:lang w:val="en-US" w:eastAsia="ar-SA"/>
        </w:rPr>
        <w:t>Gadus macrocephalus</w:t>
      </w:r>
      <w:r w:rsidRPr="00D403F5">
        <w:rPr>
          <w:rFonts w:ascii="Times New Roman" w:eastAsia="MS Mincho" w:hAnsi="Times New Roman" w:cs="Times New Roman"/>
          <w:kern w:val="1"/>
          <w:sz w:val="20"/>
          <w:szCs w:val="20"/>
          <w:lang w:val="en-US" w:eastAsia="ar-SA"/>
        </w:rPr>
        <w:t xml:space="preserve"> in Prince William Sound, Alaska, USA.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12</w:t>
      </w:r>
      <w:r w:rsidRPr="00D403F5">
        <w:rPr>
          <w:rFonts w:ascii="Times New Roman" w:hAnsi="Times New Roman" w:cs="Times New Roman"/>
          <w:sz w:val="20"/>
          <w:szCs w:val="20"/>
          <w:lang w:val="en-US"/>
        </w:rPr>
        <w:t xml:space="preserve">, 167-175. </w:t>
      </w:r>
    </w:p>
    <w:p w14:paraId="5077F2F5"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MORTENSEN, H. F., HEUER, O. E., LORENZEN, N., OTTE, L. &amp; OLESEN, N. J. (1999). Isolation of viral haemorrhagic septicaemia virus (VHSV) from wild marine fish species in the Baltic Sea, Kattegat, Skagerrak and the North Sea. </w:t>
      </w:r>
      <w:r w:rsidRPr="00D403F5">
        <w:rPr>
          <w:rFonts w:ascii="Times New Roman" w:hAnsi="Times New Roman" w:cs="Times New Roman"/>
          <w:i/>
          <w:iCs/>
          <w:sz w:val="20"/>
          <w:szCs w:val="20"/>
          <w:lang w:val="en-US"/>
        </w:rPr>
        <w:t>Virus Research</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63</w:t>
      </w:r>
      <w:r w:rsidRPr="00D403F5">
        <w:rPr>
          <w:rFonts w:ascii="Times New Roman" w:hAnsi="Times New Roman" w:cs="Times New Roman"/>
          <w:sz w:val="20"/>
          <w:szCs w:val="20"/>
          <w:lang w:val="en-US"/>
        </w:rPr>
        <w:t xml:space="preserve">, 95-106. </w:t>
      </w:r>
    </w:p>
    <w:p w14:paraId="7141CFA6" w14:textId="77777777" w:rsidR="00D403F5" w:rsidRPr="00D403F5" w:rsidRDefault="00D403F5" w:rsidP="00D403F5">
      <w:pPr>
        <w:spacing w:after="480"/>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04C811F0" w14:textId="77777777" w:rsidR="00D403F5" w:rsidRPr="00D403F5" w:rsidRDefault="00D403F5" w:rsidP="00D403F5">
      <w:pPr>
        <w:spacing w:after="480"/>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p w14:paraId="24B07C58" w14:textId="77777777" w:rsidR="00C7266C" w:rsidRPr="00D403F5" w:rsidRDefault="00C7266C" w:rsidP="00D403F5">
      <w:pPr>
        <w:spacing w:after="240"/>
        <w:jc w:val="both"/>
        <w:rPr>
          <w:rFonts w:ascii="Times New Roman" w:hAnsi="Times New Roman" w:cs="Times New Roman"/>
          <w:sz w:val="20"/>
          <w:szCs w:val="20"/>
          <w:lang w:val="es-ES"/>
        </w:rPr>
      </w:pPr>
      <w:r w:rsidRPr="00D403F5">
        <w:rPr>
          <w:rFonts w:ascii="Times New Roman" w:eastAsia="MS Mincho" w:hAnsi="Times New Roman" w:cs="Times New Roman"/>
          <w:kern w:val="1"/>
          <w:sz w:val="20"/>
          <w:szCs w:val="20"/>
          <w:lang w:val="en-US" w:eastAsia="ar-SA"/>
        </w:rPr>
        <w:t xml:space="preserve">MUNRO, E. S., MCINTOSH, R. E., WEIR, S. J., NOGUERA, P. A., SANDILANDS, J. M., MATESJUSOVA, I. MAYES, A. S. &amp; SMITH, R. (2015). A mortality event in wrasse species (Labridae) associated with the presence of viral haemorrhagic septicaemia virus. </w:t>
      </w:r>
      <w:r w:rsidRPr="00D403F5">
        <w:rPr>
          <w:rFonts w:ascii="Times New Roman" w:hAnsi="Times New Roman" w:cs="Times New Roman"/>
          <w:i/>
          <w:iCs/>
          <w:sz w:val="20"/>
          <w:szCs w:val="20"/>
          <w:lang w:val="es-ES"/>
        </w:rPr>
        <w:t>Journal of Fish Diseases</w:t>
      </w:r>
      <w:r w:rsidRPr="00D403F5">
        <w:rPr>
          <w:rFonts w:ascii="Times New Roman" w:hAnsi="Times New Roman" w:cs="Times New Roman"/>
          <w:sz w:val="20"/>
          <w:szCs w:val="20"/>
          <w:lang w:val="es-ES"/>
        </w:rPr>
        <w:t xml:space="preserve">, </w:t>
      </w:r>
      <w:r w:rsidRPr="00D403F5">
        <w:rPr>
          <w:rFonts w:ascii="Times New Roman" w:hAnsi="Times New Roman" w:cs="Times New Roman"/>
          <w:b/>
          <w:bCs/>
          <w:sz w:val="20"/>
          <w:szCs w:val="20"/>
          <w:lang w:val="es-ES"/>
        </w:rPr>
        <w:t>38</w:t>
      </w:r>
      <w:r w:rsidRPr="00D403F5">
        <w:rPr>
          <w:rFonts w:ascii="Times New Roman" w:hAnsi="Times New Roman" w:cs="Times New Roman"/>
          <w:sz w:val="20"/>
          <w:szCs w:val="20"/>
          <w:lang w:val="es-ES"/>
        </w:rPr>
        <w:t xml:space="preserve">, 335-341. </w:t>
      </w:r>
    </w:p>
    <w:p w14:paraId="219EFF8E"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caps/>
          <w:kern w:val="20"/>
          <w:sz w:val="20"/>
          <w:szCs w:val="20"/>
          <w:lang w:val="es-ES" w:eastAsia="ar-SA"/>
        </w:rPr>
        <w:t xml:space="preserve">Novoa, B., Romeroa, a., mulero, v., rodriguez, i., Fernandes, i.  &amp; Figueras, a. (2006). </w:t>
      </w:r>
      <w:r w:rsidRPr="00D403F5">
        <w:rPr>
          <w:rFonts w:ascii="Times New Roman" w:eastAsia="MS Mincho" w:hAnsi="Times New Roman" w:cs="Times New Roman"/>
          <w:kern w:val="20"/>
          <w:sz w:val="20"/>
          <w:szCs w:val="20"/>
          <w:lang w:val="en-US" w:eastAsia="ar-SA"/>
        </w:rPr>
        <w:t>Zebrafish (</w:t>
      </w:r>
      <w:r w:rsidRPr="00D403F5">
        <w:rPr>
          <w:rFonts w:ascii="Times New Roman" w:eastAsia="MS Mincho" w:hAnsi="Times New Roman" w:cs="Times New Roman"/>
          <w:i/>
          <w:iCs/>
          <w:kern w:val="20"/>
          <w:sz w:val="20"/>
          <w:szCs w:val="20"/>
          <w:lang w:val="en-US" w:eastAsia="ar-SA"/>
        </w:rPr>
        <w:t>Danio rerio</w:t>
      </w:r>
      <w:r w:rsidRPr="00D403F5">
        <w:rPr>
          <w:rFonts w:ascii="Times New Roman" w:eastAsia="MS Mincho" w:hAnsi="Times New Roman" w:cs="Times New Roman"/>
          <w:kern w:val="20"/>
          <w:sz w:val="20"/>
          <w:szCs w:val="20"/>
          <w:lang w:val="en-US" w:eastAsia="ar-SA"/>
        </w:rPr>
        <w:t xml:space="preserve">) as a model for the study of vaccination against viral haemorrhagic septicemia virus (VHSV). </w:t>
      </w:r>
      <w:r w:rsidRPr="00D403F5">
        <w:rPr>
          <w:rFonts w:ascii="Times New Roman" w:eastAsia="MS Mincho" w:hAnsi="Times New Roman" w:cs="Times New Roman"/>
          <w:i/>
          <w:iCs/>
          <w:kern w:val="20"/>
          <w:sz w:val="20"/>
          <w:szCs w:val="20"/>
          <w:lang w:val="en-US" w:eastAsia="ar-SA"/>
        </w:rPr>
        <w:t>VACCINE</w:t>
      </w:r>
      <w:r w:rsidRPr="00D403F5">
        <w:rPr>
          <w:rFonts w:ascii="Times New Roman" w:eastAsia="MS Mincho" w:hAnsi="Times New Roman" w:cs="Times New Roman"/>
          <w:kern w:val="20"/>
          <w:sz w:val="20"/>
          <w:szCs w:val="20"/>
          <w:lang w:val="en-US" w:eastAsia="ar-SA"/>
        </w:rPr>
        <w:t xml:space="preserve">, </w:t>
      </w:r>
      <w:r w:rsidRPr="00D403F5">
        <w:rPr>
          <w:rFonts w:ascii="Times New Roman" w:eastAsia="MS Mincho" w:hAnsi="Times New Roman" w:cs="Times New Roman"/>
          <w:b/>
          <w:bCs/>
          <w:kern w:val="20"/>
          <w:sz w:val="20"/>
          <w:szCs w:val="20"/>
          <w:lang w:val="en-US" w:eastAsia="ar-SA"/>
        </w:rPr>
        <w:t>24</w:t>
      </w:r>
      <w:r w:rsidRPr="00D403F5">
        <w:rPr>
          <w:rFonts w:ascii="Times New Roman" w:eastAsia="MS Mincho" w:hAnsi="Times New Roman" w:cs="Times New Roman"/>
          <w:kern w:val="20"/>
          <w:sz w:val="20"/>
          <w:szCs w:val="20"/>
          <w:lang w:val="en-US" w:eastAsia="ar-SA"/>
        </w:rPr>
        <w:t>, 5806-5816.</w:t>
      </w:r>
    </w:p>
    <w:p w14:paraId="6BBEBE47"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rPr>
        <w:t xml:space="preserve">OIE World Animal Health Information System (WAHIS), 2013. </w:t>
      </w:r>
      <w:hyperlink r:id="rId180" w:history="1">
        <w:r w:rsidRPr="00D403F5">
          <w:rPr>
            <w:rStyle w:val="aa"/>
            <w:rFonts w:ascii="Times New Roman" w:hAnsi="Times New Roman" w:cs="Times New Roman"/>
            <w:sz w:val="20"/>
            <w:szCs w:val="20"/>
          </w:rPr>
          <w:t>http://www.oie.int/wahis_2/temp/reports/en_imm_0000013315_20130426_163431.pdf</w:t>
        </w:r>
      </w:hyperlink>
    </w:p>
    <w:p w14:paraId="0F96A5E1"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OGUT, H. &amp; ALTUNAS, C. (2011). Virulence of Viral Haemorrhagic Septicaemia Virus (VHSV) genotype Ie on fry of three trout species: black sea trout (</w:t>
      </w:r>
      <w:r w:rsidRPr="00D403F5">
        <w:rPr>
          <w:rFonts w:ascii="Times New Roman" w:hAnsi="Times New Roman" w:cs="Times New Roman"/>
          <w:i/>
          <w:iCs/>
          <w:sz w:val="20"/>
          <w:szCs w:val="20"/>
          <w:lang w:val="en-US"/>
        </w:rPr>
        <w:t>Salmo</w:t>
      </w:r>
      <w:r w:rsidRPr="00D403F5">
        <w:rPr>
          <w:rFonts w:ascii="Times New Roman" w:hAnsi="Times New Roman" w:cs="Times New Roman"/>
          <w:sz w:val="20"/>
          <w:szCs w:val="20"/>
          <w:lang w:val="en-US"/>
        </w:rPr>
        <w:t xml:space="preserve"> </w:t>
      </w:r>
      <w:r w:rsidRPr="00D403F5">
        <w:rPr>
          <w:rFonts w:ascii="Times New Roman" w:hAnsi="Times New Roman" w:cs="Times New Roman"/>
          <w:i/>
          <w:iCs/>
          <w:sz w:val="20"/>
          <w:szCs w:val="20"/>
          <w:lang w:val="en-US"/>
        </w:rPr>
        <w:t>trutta</w:t>
      </w:r>
      <w:r w:rsidRPr="00D403F5">
        <w:rPr>
          <w:rFonts w:ascii="Times New Roman" w:hAnsi="Times New Roman" w:cs="Times New Roman"/>
          <w:sz w:val="20"/>
          <w:szCs w:val="20"/>
          <w:lang w:val="en-US"/>
        </w:rPr>
        <w:t xml:space="preserve"> </w:t>
      </w:r>
      <w:r w:rsidRPr="00D403F5">
        <w:rPr>
          <w:rFonts w:ascii="Times New Roman" w:hAnsi="Times New Roman" w:cs="Times New Roman"/>
          <w:i/>
          <w:iCs/>
          <w:sz w:val="20"/>
          <w:szCs w:val="20"/>
          <w:lang w:val="en-US"/>
        </w:rPr>
        <w:t>labrax</w:t>
      </w:r>
      <w:r w:rsidRPr="00D403F5">
        <w:rPr>
          <w:rFonts w:ascii="Times New Roman" w:hAnsi="Times New Roman" w:cs="Times New Roman"/>
          <w:sz w:val="20"/>
          <w:szCs w:val="20"/>
          <w:lang w:val="en-US"/>
        </w:rPr>
        <w:t>), rainbow trout (</w:t>
      </w:r>
      <w:r w:rsidRPr="00D403F5">
        <w:rPr>
          <w:rFonts w:ascii="Times New Roman" w:hAnsi="Times New Roman" w:cs="Times New Roman"/>
          <w:i/>
          <w:iCs/>
          <w:sz w:val="20"/>
          <w:szCs w:val="20"/>
          <w:lang w:val="en-US"/>
        </w:rPr>
        <w:t>Oncohynchus</w:t>
      </w:r>
      <w:r w:rsidRPr="00D403F5">
        <w:rPr>
          <w:rFonts w:ascii="Times New Roman" w:hAnsi="Times New Roman" w:cs="Times New Roman"/>
          <w:sz w:val="20"/>
          <w:szCs w:val="20"/>
          <w:lang w:val="en-US"/>
        </w:rPr>
        <w:t xml:space="preserve"> </w:t>
      </w:r>
      <w:r w:rsidRPr="00D403F5">
        <w:rPr>
          <w:rFonts w:ascii="Times New Roman" w:hAnsi="Times New Roman" w:cs="Times New Roman"/>
          <w:i/>
          <w:iCs/>
          <w:sz w:val="20"/>
          <w:szCs w:val="20"/>
          <w:lang w:val="en-US"/>
        </w:rPr>
        <w:t>mykiss</w:t>
      </w:r>
      <w:r w:rsidRPr="00D403F5">
        <w:rPr>
          <w:rFonts w:ascii="Times New Roman" w:hAnsi="Times New Roman" w:cs="Times New Roman"/>
          <w:sz w:val="20"/>
          <w:szCs w:val="20"/>
          <w:lang w:val="en-US"/>
        </w:rPr>
        <w:t>) and brook trout (</w:t>
      </w:r>
      <w:r w:rsidRPr="00D403F5">
        <w:rPr>
          <w:rFonts w:ascii="Times New Roman" w:hAnsi="Times New Roman" w:cs="Times New Roman"/>
          <w:i/>
          <w:iCs/>
          <w:sz w:val="20"/>
          <w:szCs w:val="20"/>
          <w:lang w:val="en-US"/>
        </w:rPr>
        <w:t>Salvelinus</w:t>
      </w:r>
      <w:r w:rsidRPr="00D403F5">
        <w:rPr>
          <w:rFonts w:ascii="Times New Roman" w:hAnsi="Times New Roman" w:cs="Times New Roman"/>
          <w:sz w:val="20"/>
          <w:szCs w:val="20"/>
          <w:lang w:val="en-US"/>
        </w:rPr>
        <w:t xml:space="preserve"> </w:t>
      </w:r>
      <w:r w:rsidRPr="00D403F5">
        <w:rPr>
          <w:rFonts w:ascii="Times New Roman" w:hAnsi="Times New Roman" w:cs="Times New Roman"/>
          <w:i/>
          <w:iCs/>
          <w:sz w:val="20"/>
          <w:szCs w:val="20"/>
          <w:lang w:val="en-US"/>
        </w:rPr>
        <w:t>fontinalis</w:t>
      </w:r>
      <w:r w:rsidRPr="00D403F5">
        <w:rPr>
          <w:rFonts w:ascii="Times New Roman" w:hAnsi="Times New Roman" w:cs="Times New Roman"/>
          <w:sz w:val="20"/>
          <w:szCs w:val="20"/>
          <w:lang w:val="en-US"/>
        </w:rPr>
        <w:t xml:space="preserve">). </w:t>
      </w:r>
      <w:r w:rsidRPr="00D403F5">
        <w:rPr>
          <w:rFonts w:ascii="Times New Roman" w:hAnsi="Times New Roman" w:cs="Times New Roman"/>
          <w:i/>
          <w:iCs/>
          <w:sz w:val="20"/>
          <w:szCs w:val="20"/>
          <w:lang w:val="en-US"/>
        </w:rPr>
        <w:t>Bulletin of the European Association of Fish Pathologists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31(4)</w:t>
      </w:r>
      <w:r w:rsidRPr="00D403F5">
        <w:rPr>
          <w:rFonts w:ascii="Times New Roman" w:hAnsi="Times New Roman" w:cs="Times New Roman"/>
          <w:sz w:val="20"/>
          <w:szCs w:val="20"/>
          <w:lang w:val="en-US"/>
        </w:rPr>
        <w:t>, 139.</w:t>
      </w:r>
    </w:p>
    <w:p w14:paraId="2166546C"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OGUT, H. &amp; ALTUNAS, C. (2014). A survey of viral haemorrhagic septicaemia virus in cultured sea bass and its virulence on juveniles of sea bass, </w:t>
      </w:r>
      <w:r w:rsidRPr="00D403F5">
        <w:rPr>
          <w:rFonts w:ascii="Times New Roman" w:hAnsi="Times New Roman" w:cs="Times New Roman"/>
          <w:i/>
          <w:iCs/>
          <w:sz w:val="20"/>
          <w:szCs w:val="20"/>
          <w:lang w:val="en-US"/>
        </w:rPr>
        <w:t xml:space="preserve">Dicentrarchus labrax </w:t>
      </w:r>
      <w:r w:rsidRPr="00D403F5">
        <w:rPr>
          <w:rFonts w:ascii="Times New Roman" w:hAnsi="Times New Roman" w:cs="Times New Roman"/>
          <w:sz w:val="20"/>
          <w:szCs w:val="20"/>
          <w:lang w:val="en-US"/>
        </w:rPr>
        <w:t xml:space="preserve">(Acintopterygii; Periformes; Moronidae) and gilthead sea bream, </w:t>
      </w:r>
      <w:r w:rsidRPr="00D403F5">
        <w:rPr>
          <w:rFonts w:ascii="Times New Roman" w:hAnsi="Times New Roman" w:cs="Times New Roman"/>
          <w:i/>
          <w:iCs/>
          <w:sz w:val="20"/>
          <w:szCs w:val="20"/>
          <w:lang w:val="en-US"/>
        </w:rPr>
        <w:t xml:space="preserve">Sparus aurtata </w:t>
      </w:r>
      <w:r w:rsidRPr="00D403F5">
        <w:rPr>
          <w:rFonts w:ascii="Times New Roman" w:hAnsi="Times New Roman" w:cs="Times New Roman"/>
          <w:sz w:val="20"/>
          <w:szCs w:val="20"/>
          <w:lang w:val="en-US"/>
        </w:rPr>
        <w:t xml:space="preserve">(Sparidae). </w:t>
      </w:r>
      <w:r w:rsidRPr="00D403F5">
        <w:rPr>
          <w:rFonts w:ascii="Times New Roman" w:hAnsi="Times New Roman" w:cs="Times New Roman"/>
          <w:i/>
          <w:iCs/>
          <w:sz w:val="20"/>
          <w:szCs w:val="20"/>
          <w:lang w:val="en-US"/>
        </w:rPr>
        <w:t>Acta Ichthyologica et Piscatoria</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44(1)</w:t>
      </w:r>
      <w:r w:rsidRPr="00D403F5">
        <w:rPr>
          <w:rFonts w:ascii="Times New Roman" w:hAnsi="Times New Roman" w:cs="Times New Roman"/>
          <w:sz w:val="20"/>
          <w:szCs w:val="20"/>
          <w:lang w:val="en-US"/>
        </w:rPr>
        <w:t xml:space="preserve">, 9-14. </w:t>
      </w:r>
    </w:p>
    <w:p w14:paraId="6DC1891A"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OLSON, W., EMMENEGGER, E., GLENN, J., WINTON, J. &amp; GOETZ, F. (2013). Comparative susceptibility among three stocks of yellow perch, </w:t>
      </w:r>
      <w:r w:rsidRPr="00D403F5">
        <w:rPr>
          <w:rFonts w:ascii="Times New Roman" w:eastAsia="MS Mincho" w:hAnsi="Times New Roman" w:cs="Times New Roman"/>
          <w:i/>
          <w:iCs/>
          <w:kern w:val="1"/>
          <w:sz w:val="20"/>
          <w:szCs w:val="20"/>
          <w:lang w:val="en-US" w:eastAsia="ar-SA"/>
        </w:rPr>
        <w:t>Perca flavescens</w:t>
      </w:r>
      <w:r w:rsidRPr="00D403F5">
        <w:rPr>
          <w:rFonts w:ascii="Times New Roman" w:eastAsia="MS Mincho" w:hAnsi="Times New Roman" w:cs="Times New Roman"/>
          <w:kern w:val="1"/>
          <w:sz w:val="20"/>
          <w:szCs w:val="20"/>
          <w:lang w:val="en-US" w:eastAsia="ar-SA"/>
        </w:rPr>
        <w:t xml:space="preserve"> (Mitchill), to viral haemorrhagic septicaemia virus strain IVb from the Great Lakes. </w:t>
      </w:r>
      <w:r w:rsidRPr="00D403F5">
        <w:rPr>
          <w:rFonts w:ascii="Times New Roman" w:eastAsia="MS Mincho" w:hAnsi="Times New Roman" w:cs="Times New Roman"/>
          <w:i/>
          <w:iCs/>
          <w:kern w:val="1"/>
          <w:sz w:val="20"/>
          <w:szCs w:val="20"/>
          <w:lang w:val="en-US" w:eastAsia="ar-SA"/>
        </w:rPr>
        <w:t>Journal of Fish Diseases</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36</w:t>
      </w:r>
      <w:r w:rsidRPr="00D403F5">
        <w:rPr>
          <w:rFonts w:ascii="Times New Roman" w:eastAsia="MS Mincho" w:hAnsi="Times New Roman" w:cs="Times New Roman"/>
          <w:kern w:val="1"/>
          <w:sz w:val="20"/>
          <w:szCs w:val="20"/>
          <w:lang w:val="en-US" w:eastAsia="ar-SA"/>
        </w:rPr>
        <w:t>, 711-719.</w:t>
      </w:r>
    </w:p>
    <w:p w14:paraId="34B58A6E"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ORD, W. M., LE BERRE, M. &amp; DE KINKELIN, P. (1976). Viral Hemorrhagic Septicemia: Comparative Susceptibility of Rainbow Trout (</w:t>
      </w:r>
      <w:r w:rsidRPr="00D403F5">
        <w:rPr>
          <w:rFonts w:ascii="Times New Roman" w:eastAsia="MS Mincho" w:hAnsi="Times New Roman" w:cs="Times New Roman"/>
          <w:i/>
          <w:iCs/>
          <w:kern w:val="1"/>
          <w:sz w:val="20"/>
          <w:szCs w:val="20"/>
          <w:lang w:val="en-US" w:eastAsia="ar-SA"/>
        </w:rPr>
        <w:t>Salmo gairdneri</w:t>
      </w:r>
      <w:r w:rsidRPr="00D403F5">
        <w:rPr>
          <w:rFonts w:ascii="Times New Roman" w:eastAsia="MS Mincho" w:hAnsi="Times New Roman" w:cs="Times New Roman"/>
          <w:kern w:val="1"/>
          <w:sz w:val="20"/>
          <w:szCs w:val="20"/>
          <w:lang w:val="en-US" w:eastAsia="ar-SA"/>
        </w:rPr>
        <w:t>) and Hybrids (</w:t>
      </w:r>
      <w:r w:rsidRPr="00D403F5">
        <w:rPr>
          <w:rFonts w:ascii="Times New Roman" w:eastAsia="MS Mincho" w:hAnsi="Times New Roman" w:cs="Times New Roman"/>
          <w:i/>
          <w:iCs/>
          <w:kern w:val="1"/>
          <w:sz w:val="20"/>
          <w:szCs w:val="20"/>
          <w:lang w:val="en-US" w:eastAsia="ar-SA"/>
        </w:rPr>
        <w:t>S. gairdneri</w:t>
      </w:r>
      <w:r w:rsidRPr="00D403F5">
        <w:rPr>
          <w:rFonts w:ascii="Times New Roman" w:eastAsia="MS Mincho" w:hAnsi="Times New Roman" w:cs="Times New Roman"/>
          <w:kern w:val="1"/>
          <w:sz w:val="20"/>
          <w:szCs w:val="20"/>
          <w:lang w:val="en-US" w:eastAsia="ar-SA"/>
        </w:rPr>
        <w:t xml:space="preserve"> x </w:t>
      </w:r>
      <w:r w:rsidRPr="00D403F5">
        <w:rPr>
          <w:rFonts w:ascii="Times New Roman" w:eastAsia="MS Mincho" w:hAnsi="Times New Roman" w:cs="Times New Roman"/>
          <w:i/>
          <w:iCs/>
          <w:kern w:val="1"/>
          <w:sz w:val="20"/>
          <w:szCs w:val="20"/>
          <w:lang w:val="en-US" w:eastAsia="ar-SA"/>
        </w:rPr>
        <w:t>Oncorhynchus kisutch</w:t>
      </w:r>
      <w:r w:rsidRPr="00D403F5">
        <w:rPr>
          <w:rFonts w:ascii="Times New Roman" w:eastAsia="MS Mincho" w:hAnsi="Times New Roman" w:cs="Times New Roman"/>
          <w:kern w:val="1"/>
          <w:sz w:val="20"/>
          <w:szCs w:val="20"/>
          <w:lang w:val="en-US" w:eastAsia="ar-SA"/>
        </w:rPr>
        <w:t xml:space="preserve">) to Experimental Infection. </w:t>
      </w:r>
      <w:r w:rsidRPr="00D403F5">
        <w:rPr>
          <w:rFonts w:ascii="Times New Roman" w:hAnsi="Times New Roman" w:cs="Times New Roman"/>
          <w:i/>
          <w:iCs/>
          <w:color w:val="333333"/>
          <w:sz w:val="20"/>
          <w:szCs w:val="20"/>
          <w:shd w:val="clear" w:color="auto" w:fill="FFFFFF"/>
        </w:rPr>
        <w:t>Journal of the Fisheries Research Board of Canada</w:t>
      </w:r>
      <w:r w:rsidRPr="00D403F5">
        <w:rPr>
          <w:rFonts w:ascii="Times New Roman" w:hAnsi="Times New Roman" w:cs="Times New Roman"/>
          <w:color w:val="333333"/>
          <w:sz w:val="20"/>
          <w:szCs w:val="20"/>
          <w:shd w:val="clear" w:color="auto" w:fill="FFFFFF"/>
        </w:rPr>
        <w:t xml:space="preserve">, </w:t>
      </w:r>
      <w:r w:rsidRPr="00D403F5">
        <w:rPr>
          <w:rFonts w:ascii="Times New Roman" w:hAnsi="Times New Roman" w:cs="Times New Roman"/>
          <w:b/>
          <w:bCs/>
          <w:color w:val="333333"/>
          <w:sz w:val="20"/>
          <w:szCs w:val="20"/>
          <w:shd w:val="clear" w:color="auto" w:fill="FFFFFF"/>
        </w:rPr>
        <w:t>33(5)</w:t>
      </w:r>
      <w:r w:rsidRPr="00D403F5">
        <w:rPr>
          <w:rFonts w:ascii="Times New Roman" w:hAnsi="Times New Roman" w:cs="Times New Roman"/>
          <w:color w:val="333333"/>
          <w:sz w:val="20"/>
          <w:szCs w:val="20"/>
          <w:shd w:val="clear" w:color="auto" w:fill="FFFFFF"/>
        </w:rPr>
        <w:t>, 1205-1208.</w:t>
      </w:r>
    </w:p>
    <w:p w14:paraId="338C6BAA" w14:textId="77777777" w:rsidR="00C7266C" w:rsidRPr="00D403F5" w:rsidRDefault="00C7266C" w:rsidP="00D403F5">
      <w:pPr>
        <w:spacing w:after="240"/>
        <w:jc w:val="both"/>
        <w:rPr>
          <w:rFonts w:ascii="Times New Roman" w:eastAsia="MS Mincho" w:hAnsi="Times New Roman" w:cs="Times New Roman"/>
          <w:kern w:val="1"/>
          <w:sz w:val="20"/>
          <w:szCs w:val="20"/>
          <w:lang w:val="nb-NO" w:eastAsia="ar-SA"/>
        </w:rPr>
      </w:pPr>
      <w:r w:rsidRPr="00D403F5">
        <w:rPr>
          <w:rFonts w:ascii="Times New Roman" w:eastAsia="MS Mincho" w:hAnsi="Times New Roman" w:cs="Times New Roman"/>
          <w:caps/>
          <w:kern w:val="20"/>
          <w:sz w:val="20"/>
          <w:szCs w:val="20"/>
          <w:lang w:val="en-US" w:eastAsia="ar-SA"/>
        </w:rPr>
        <w:t xml:space="preserve">Pascoli, f., </w:t>
      </w:r>
      <w:r w:rsidRPr="00D403F5">
        <w:rPr>
          <w:rFonts w:ascii="Times New Roman" w:hAnsi="Times New Roman" w:cs="Times New Roman"/>
          <w:caps/>
          <w:sz w:val="20"/>
          <w:szCs w:val="20"/>
          <w:lang w:val="en-US"/>
        </w:rPr>
        <w:t xml:space="preserve">Bilò, F., MARZANO, F.  N., BORGHESAN, F., MANCIN, M., MANFRIN, A. &amp; TOFFAN, A. (2015). </w:t>
      </w:r>
      <w:r w:rsidRPr="00D403F5">
        <w:rPr>
          <w:rFonts w:ascii="Times New Roman" w:hAnsi="Times New Roman" w:cs="Times New Roman"/>
          <w:sz w:val="20"/>
          <w:szCs w:val="20"/>
          <w:lang w:val="en-US"/>
        </w:rPr>
        <w:t xml:space="preserve">Susceptibility of genotyped marble trout </w:t>
      </w:r>
      <w:r w:rsidRPr="00D403F5">
        <w:rPr>
          <w:rFonts w:ascii="Times New Roman" w:hAnsi="Times New Roman" w:cs="Times New Roman"/>
          <w:i/>
          <w:iCs/>
          <w:sz w:val="20"/>
          <w:szCs w:val="20"/>
          <w:lang w:val="en-US"/>
        </w:rPr>
        <w:t>Salmo marmoratus</w:t>
      </w:r>
      <w:r w:rsidRPr="00D403F5">
        <w:rPr>
          <w:rFonts w:ascii="Times New Roman" w:hAnsi="Times New Roman" w:cs="Times New Roman"/>
          <w:sz w:val="20"/>
          <w:szCs w:val="20"/>
          <w:lang w:val="en-US"/>
        </w:rPr>
        <w:t xml:space="preserve"> (Cuvier, 1829) strains to experimental challenge with European viral hemorrhagic septicemia virus (VHSV) and infectious hematopoietic necrosis virus (IHNV). </w:t>
      </w:r>
      <w:r w:rsidRPr="00D403F5">
        <w:rPr>
          <w:rFonts w:ascii="Times New Roman" w:hAnsi="Times New Roman" w:cs="Times New Roman"/>
          <w:i/>
          <w:iCs/>
          <w:sz w:val="20"/>
          <w:szCs w:val="20"/>
          <w:lang w:val="nb-NO"/>
        </w:rPr>
        <w:t>Aquaculture</w:t>
      </w:r>
      <w:r w:rsidRPr="00D403F5">
        <w:rPr>
          <w:rFonts w:ascii="Times New Roman" w:hAnsi="Times New Roman" w:cs="Times New Roman"/>
          <w:sz w:val="20"/>
          <w:szCs w:val="20"/>
          <w:lang w:val="nb-NO"/>
        </w:rPr>
        <w:t xml:space="preserve">, </w:t>
      </w:r>
      <w:r w:rsidRPr="00D403F5">
        <w:rPr>
          <w:rFonts w:ascii="Times New Roman" w:hAnsi="Times New Roman" w:cs="Times New Roman"/>
          <w:b/>
          <w:bCs/>
          <w:sz w:val="20"/>
          <w:szCs w:val="20"/>
          <w:lang w:val="nb-NO"/>
        </w:rPr>
        <w:t>435</w:t>
      </w:r>
      <w:r w:rsidRPr="00D403F5">
        <w:rPr>
          <w:rFonts w:ascii="Times New Roman" w:hAnsi="Times New Roman" w:cs="Times New Roman"/>
          <w:sz w:val="20"/>
          <w:szCs w:val="20"/>
          <w:lang w:val="nb-NO"/>
        </w:rPr>
        <w:t xml:space="preserve">, 152-156. </w:t>
      </w:r>
    </w:p>
    <w:p w14:paraId="2D0B1A19" w14:textId="77777777" w:rsidR="00C7266C" w:rsidRPr="00D403F5" w:rsidRDefault="00C7266C" w:rsidP="00D403F5">
      <w:pPr>
        <w:spacing w:after="240"/>
        <w:jc w:val="both"/>
        <w:rPr>
          <w:rFonts w:ascii="Times New Roman" w:hAnsi="Times New Roman" w:cs="Times New Roman"/>
          <w:color w:val="2B2B2B"/>
          <w:sz w:val="20"/>
          <w:szCs w:val="20"/>
          <w:lang w:val="nb-NO"/>
        </w:rPr>
      </w:pPr>
      <w:r w:rsidRPr="00D403F5">
        <w:rPr>
          <w:rFonts w:ascii="Times New Roman" w:eastAsia="MS Mincho" w:hAnsi="Times New Roman" w:cs="Times New Roman"/>
          <w:kern w:val="1"/>
          <w:sz w:val="20"/>
          <w:szCs w:val="20"/>
          <w:lang w:val="nb-NO" w:eastAsia="ar-SA"/>
        </w:rPr>
        <w:t xml:space="preserve">SANDLUND, N., GJERSET, B., BERGH, </w:t>
      </w:r>
      <w:r w:rsidRPr="00D403F5">
        <w:rPr>
          <w:rFonts w:ascii="Times New Roman" w:hAnsi="Times New Roman" w:cs="Times New Roman"/>
          <w:caps/>
          <w:color w:val="2B2B2B"/>
          <w:sz w:val="20"/>
          <w:szCs w:val="20"/>
          <w:lang w:val="nb-NO"/>
        </w:rPr>
        <w:t xml:space="preserve">ø., MODAHL, I., OLESEN, N. J. &amp; JOHANSEN, R. (2014). </w:t>
      </w:r>
      <w:r w:rsidRPr="00D403F5">
        <w:rPr>
          <w:rFonts w:ascii="Times New Roman" w:hAnsi="Times New Roman" w:cs="Times New Roman"/>
          <w:color w:val="2B2B2B"/>
          <w:sz w:val="20"/>
          <w:szCs w:val="20"/>
          <w:lang w:val="en-US"/>
        </w:rPr>
        <w:t xml:space="preserve">Screening for Viral Hemorrhagic Septicemia Virus in Marine Fish along the Norwegian Coastal Line. </w:t>
      </w:r>
      <w:r w:rsidRPr="00D403F5">
        <w:rPr>
          <w:rFonts w:ascii="Times New Roman" w:hAnsi="Times New Roman" w:cs="Times New Roman"/>
          <w:i/>
          <w:iCs/>
          <w:color w:val="2B2B2B"/>
          <w:sz w:val="20"/>
          <w:szCs w:val="20"/>
          <w:lang w:val="nb-NO"/>
        </w:rPr>
        <w:t>Plos one</w:t>
      </w:r>
      <w:r w:rsidRPr="00D403F5">
        <w:rPr>
          <w:rFonts w:ascii="Times New Roman" w:hAnsi="Times New Roman" w:cs="Times New Roman"/>
          <w:color w:val="2B2B2B"/>
          <w:sz w:val="20"/>
          <w:szCs w:val="20"/>
          <w:lang w:val="nb-NO"/>
        </w:rPr>
        <w:t xml:space="preserve">, </w:t>
      </w:r>
      <w:r w:rsidRPr="00D403F5">
        <w:rPr>
          <w:rFonts w:ascii="Times New Roman" w:hAnsi="Times New Roman" w:cs="Times New Roman"/>
          <w:b/>
          <w:bCs/>
          <w:color w:val="2B2B2B"/>
          <w:sz w:val="20"/>
          <w:szCs w:val="20"/>
          <w:lang w:val="nb-NO"/>
        </w:rPr>
        <w:t>9(9)</w:t>
      </w:r>
      <w:r w:rsidRPr="00D403F5">
        <w:rPr>
          <w:rFonts w:ascii="Times New Roman" w:hAnsi="Times New Roman" w:cs="Times New Roman"/>
          <w:color w:val="2B2B2B"/>
          <w:sz w:val="20"/>
          <w:szCs w:val="20"/>
          <w:lang w:val="nb-NO"/>
        </w:rPr>
        <w:t xml:space="preserve">, 1-12. </w:t>
      </w:r>
    </w:p>
    <w:p w14:paraId="1DF4F38C" w14:textId="77777777" w:rsidR="00C7266C" w:rsidRPr="00D403F5" w:rsidRDefault="00C7266C" w:rsidP="00D403F5">
      <w:pPr>
        <w:autoSpaceDE w:val="0"/>
        <w:autoSpaceDN w:val="0"/>
        <w:adjustRightInd w:val="0"/>
        <w:spacing w:after="240"/>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nb-NO" w:eastAsia="ar-SA"/>
        </w:rPr>
        <w:t>SKALL, H. F., KJ</w:t>
      </w:r>
      <w:r w:rsidRPr="00D403F5">
        <w:rPr>
          <w:rFonts w:ascii="Times New Roman" w:hAnsi="Times New Roman" w:cs="Times New Roman"/>
          <w:caps/>
          <w:sz w:val="20"/>
          <w:szCs w:val="20"/>
          <w:lang w:val="nb-NO"/>
        </w:rPr>
        <w:t xml:space="preserve">æR, T. E. &amp; OLESEN, N. J. (2004). </w:t>
      </w:r>
      <w:r w:rsidRPr="00D403F5">
        <w:rPr>
          <w:rFonts w:ascii="Times New Roman" w:hAnsi="Times New Roman" w:cs="Times New Roman"/>
          <w:sz w:val="20"/>
          <w:szCs w:val="20"/>
          <w:lang w:val="en-US"/>
        </w:rPr>
        <w:t xml:space="preserve">Investigation of wild caught whitefish, </w:t>
      </w:r>
      <w:r w:rsidRPr="00D403F5">
        <w:rPr>
          <w:rFonts w:ascii="Times New Roman" w:hAnsi="Times New Roman" w:cs="Times New Roman"/>
          <w:i/>
          <w:iCs/>
          <w:sz w:val="20"/>
          <w:szCs w:val="20"/>
          <w:lang w:val="en-US"/>
        </w:rPr>
        <w:t>Coregonus lavaretus</w:t>
      </w:r>
    </w:p>
    <w:p w14:paraId="592FF9C1" w14:textId="77777777" w:rsidR="00C7266C" w:rsidRPr="00D403F5" w:rsidRDefault="00C7266C" w:rsidP="00D403F5">
      <w:pPr>
        <w:autoSpaceDE w:val="0"/>
        <w:autoSpaceDN w:val="0"/>
        <w:adjustRightInd w:val="0"/>
        <w:spacing w:after="240"/>
        <w:jc w:val="both"/>
        <w:rPr>
          <w:rFonts w:ascii="Times New Roman" w:eastAsia="MS Mincho" w:hAnsi="Times New Roman" w:cs="Times New Roman"/>
          <w:kern w:val="1"/>
          <w:sz w:val="20"/>
          <w:szCs w:val="20"/>
          <w:lang w:val="en-US" w:eastAsia="ar-SA"/>
        </w:rPr>
      </w:pPr>
      <w:r w:rsidRPr="00D403F5">
        <w:rPr>
          <w:rFonts w:ascii="Times New Roman" w:hAnsi="Times New Roman" w:cs="Times New Roman"/>
          <w:sz w:val="20"/>
          <w:szCs w:val="20"/>
          <w:lang w:val="en-US"/>
        </w:rPr>
        <w:t xml:space="preserve">(L.), for infection with viral haemorrhagic septicaemia virus (VHSV) and experimental challenge of whitefish with VHSV. </w:t>
      </w:r>
      <w:r w:rsidRPr="00D403F5">
        <w:rPr>
          <w:rFonts w:ascii="Times New Roman" w:hAnsi="Times New Roman" w:cs="Times New Roman"/>
          <w:i/>
          <w:iCs/>
          <w:sz w:val="20"/>
          <w:szCs w:val="20"/>
          <w:lang w:val="en-US"/>
        </w:rPr>
        <w:t>Journal of Fish Diseases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27</w:t>
      </w:r>
      <w:r w:rsidRPr="00D403F5">
        <w:rPr>
          <w:rFonts w:ascii="Times New Roman" w:hAnsi="Times New Roman" w:cs="Times New Roman"/>
          <w:sz w:val="20"/>
          <w:szCs w:val="20"/>
          <w:lang w:val="en-US"/>
        </w:rPr>
        <w:t xml:space="preserve">, 401-408. </w:t>
      </w:r>
    </w:p>
    <w:p w14:paraId="0C40B23F"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en-US" w:eastAsia="ar-SA"/>
        </w:rPr>
        <w:t xml:space="preserve">SKALL, H. F., </w:t>
      </w:r>
      <w:r w:rsidRPr="00D403F5">
        <w:rPr>
          <w:rFonts w:ascii="Times New Roman" w:hAnsi="Times New Roman" w:cs="Times New Roman"/>
          <w:caps/>
          <w:sz w:val="20"/>
          <w:szCs w:val="20"/>
          <w:lang w:val="en-US"/>
        </w:rPr>
        <w:t xml:space="preserve">OLESEN, N. J. &amp; Mellegaard, s. (2005a).  </w:t>
      </w:r>
      <w:r w:rsidRPr="00D403F5">
        <w:rPr>
          <w:rFonts w:ascii="Times New Roman" w:hAnsi="Times New Roman" w:cs="Times New Roman"/>
          <w:sz w:val="20"/>
          <w:szCs w:val="20"/>
          <w:lang w:val="en-US"/>
        </w:rPr>
        <w:t xml:space="preserve">Viral haemorrhagic septicaemia virus in marine fish and its implications for fish farming – a review. </w:t>
      </w:r>
      <w:r w:rsidRPr="00D403F5">
        <w:rPr>
          <w:rFonts w:ascii="Times New Roman" w:hAnsi="Times New Roman" w:cs="Times New Roman"/>
          <w:i/>
          <w:iCs/>
          <w:sz w:val="20"/>
          <w:szCs w:val="20"/>
          <w:lang w:val="en-US"/>
        </w:rPr>
        <w:t>Journal of Fish Diseases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28</w:t>
      </w:r>
      <w:r w:rsidRPr="00D403F5">
        <w:rPr>
          <w:rFonts w:ascii="Times New Roman" w:hAnsi="Times New Roman" w:cs="Times New Roman"/>
          <w:sz w:val="20"/>
          <w:szCs w:val="20"/>
          <w:lang w:val="en-US"/>
        </w:rPr>
        <w:t xml:space="preserve">, 509-529. </w:t>
      </w:r>
    </w:p>
    <w:p w14:paraId="2902D6AE"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SKALL, H. F., OLESEN, N. J. &amp; MELLEGAARD, S. (2005b). Prevalence of viral haemorrhagic septicaemia virus in Danish marine fishes and its occurrence in new host species.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66</w:t>
      </w:r>
      <w:r w:rsidRPr="00D403F5">
        <w:rPr>
          <w:rFonts w:ascii="Times New Roman" w:hAnsi="Times New Roman" w:cs="Times New Roman"/>
          <w:sz w:val="20"/>
          <w:szCs w:val="20"/>
          <w:lang w:val="en-US"/>
        </w:rPr>
        <w:t xml:space="preserve">, 145-151. </w:t>
      </w:r>
    </w:p>
    <w:p w14:paraId="0CE1FF53" w14:textId="77777777" w:rsidR="00D403F5" w:rsidRDefault="00D403F5" w:rsidP="00D403F5">
      <w:pPr>
        <w:spacing w:after="480"/>
        <w:rPr>
          <w:rFonts w:ascii="Times New Roman" w:eastAsia="Calibri" w:hAnsi="Times New Roman" w:cs="Times New Roman"/>
          <w:sz w:val="18"/>
          <w:szCs w:val="18"/>
          <w:u w:val="single"/>
          <w:lang w:val="en-US"/>
        </w:rPr>
      </w:pPr>
      <w:r>
        <w:rPr>
          <w:rFonts w:ascii="Times New Roman" w:eastAsia="Calibri" w:hAnsi="Times New Roman" w:cs="Times New Roman"/>
          <w:sz w:val="18"/>
          <w:szCs w:val="18"/>
          <w:u w:val="single"/>
          <w:lang w:val="en-US"/>
        </w:rPr>
        <w:br w:type="page"/>
      </w:r>
    </w:p>
    <w:p w14:paraId="0A64D69E" w14:textId="5D93DF15" w:rsidR="00D403F5" w:rsidRPr="00D403F5" w:rsidRDefault="00D403F5" w:rsidP="00D403F5">
      <w:pPr>
        <w:spacing w:after="480"/>
        <w:jc w:val="right"/>
        <w:rPr>
          <w:rFonts w:ascii="Times New Roman" w:eastAsia="Calibri" w:hAnsi="Times New Roman" w:cs="Times New Roman"/>
          <w:sz w:val="18"/>
          <w:szCs w:val="18"/>
          <w:u w:val="single"/>
          <w:lang w:val="en-US"/>
        </w:rPr>
      </w:pPr>
      <w:r w:rsidRPr="00D403F5">
        <w:rPr>
          <w:rFonts w:ascii="Times New Roman" w:eastAsia="Calibri" w:hAnsi="Times New Roman" w:cs="Times New Roman"/>
          <w:sz w:val="18"/>
          <w:szCs w:val="18"/>
          <w:u w:val="single"/>
          <w:lang w:val="en-US"/>
        </w:rPr>
        <w:t>Annex 15</w:t>
      </w:r>
      <w:r w:rsidRPr="00D403F5">
        <w:rPr>
          <w:rFonts w:ascii="Times New Roman" w:eastAsia="Calibri" w:hAnsi="Times New Roman" w:cs="Times New Roman"/>
          <w:sz w:val="18"/>
          <w:szCs w:val="18"/>
          <w:lang w:val="en-US"/>
        </w:rPr>
        <w:t xml:space="preserve"> (contd)</w:t>
      </w:r>
    </w:p>
    <w:p w14:paraId="598A283D" w14:textId="77777777" w:rsidR="00D403F5" w:rsidRPr="00D403F5" w:rsidRDefault="00D403F5" w:rsidP="00D403F5">
      <w:pPr>
        <w:spacing w:after="480"/>
        <w:jc w:val="right"/>
        <w:rPr>
          <w:rFonts w:ascii="Times New Roman" w:hAnsi="Times New Roman" w:cs="Times New Roman"/>
          <w:sz w:val="18"/>
          <w:szCs w:val="18"/>
        </w:rPr>
      </w:pPr>
      <w:r w:rsidRPr="00D403F5">
        <w:rPr>
          <w:rFonts w:ascii="Times New Roman" w:hAnsi="Times New Roman" w:cs="Times New Roman"/>
          <w:sz w:val="18"/>
          <w:szCs w:val="18"/>
          <w:u w:val="single"/>
        </w:rPr>
        <w:t>Annex I</w:t>
      </w:r>
      <w:r w:rsidRPr="00D403F5">
        <w:rPr>
          <w:rFonts w:ascii="Times New Roman" w:hAnsi="Times New Roman" w:cs="Times New Roman"/>
          <w:sz w:val="18"/>
          <w:szCs w:val="18"/>
        </w:rPr>
        <w:t xml:space="preserve"> (contd)</w:t>
      </w:r>
    </w:p>
    <w:p w14:paraId="6CF2A919"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en-US" w:eastAsia="ar-SA"/>
        </w:rPr>
        <w:t xml:space="preserve">SMAIL, D. A. (2000). Isolation and identification of Viral Haemorrhagic Septicaemia (VHS) viruses from cod </w:t>
      </w:r>
      <w:r w:rsidRPr="00D403F5">
        <w:rPr>
          <w:rFonts w:ascii="Times New Roman" w:eastAsia="MS Mincho" w:hAnsi="Times New Roman" w:cs="Times New Roman"/>
          <w:i/>
          <w:iCs/>
          <w:kern w:val="1"/>
          <w:sz w:val="20"/>
          <w:szCs w:val="20"/>
          <w:lang w:val="en-US" w:eastAsia="ar-SA"/>
        </w:rPr>
        <w:t>Gadus morhua</w:t>
      </w:r>
      <w:r w:rsidRPr="00D403F5">
        <w:rPr>
          <w:rFonts w:ascii="Times New Roman" w:eastAsia="MS Mincho" w:hAnsi="Times New Roman" w:cs="Times New Roman"/>
          <w:kern w:val="1"/>
          <w:sz w:val="20"/>
          <w:szCs w:val="20"/>
          <w:lang w:val="en-US" w:eastAsia="ar-SA"/>
        </w:rPr>
        <w:t xml:space="preserve"> with the ulcus syndrome and from haddock </w:t>
      </w:r>
      <w:r w:rsidRPr="00D403F5">
        <w:rPr>
          <w:rFonts w:ascii="Times New Roman" w:eastAsia="MS Mincho" w:hAnsi="Times New Roman" w:cs="Times New Roman"/>
          <w:i/>
          <w:iCs/>
          <w:kern w:val="1"/>
          <w:sz w:val="20"/>
          <w:szCs w:val="20"/>
          <w:lang w:val="en-US" w:eastAsia="ar-SA"/>
        </w:rPr>
        <w:t>Melanogrammus aeglefinus</w:t>
      </w:r>
      <w:r w:rsidRPr="00D403F5">
        <w:rPr>
          <w:rFonts w:ascii="Times New Roman" w:eastAsia="MS Mincho" w:hAnsi="Times New Roman" w:cs="Times New Roman"/>
          <w:kern w:val="1"/>
          <w:sz w:val="20"/>
          <w:szCs w:val="20"/>
          <w:lang w:val="en-US" w:eastAsia="ar-SA"/>
        </w:rPr>
        <w:t xml:space="preserve"> having skin haemorrhages in the North Sea. </w:t>
      </w:r>
      <w:r w:rsidRPr="00D403F5">
        <w:rPr>
          <w:rFonts w:ascii="Times New Roman" w:hAnsi="Times New Roman" w:cs="Times New Roman"/>
          <w:i/>
          <w:iCs/>
          <w:sz w:val="20"/>
          <w:szCs w:val="20"/>
          <w:lang w:val="en-US"/>
        </w:rPr>
        <w:t>Diseases of Aquatic Organisms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41</w:t>
      </w:r>
      <w:r w:rsidRPr="00D403F5">
        <w:rPr>
          <w:rFonts w:ascii="Times New Roman" w:hAnsi="Times New Roman" w:cs="Times New Roman"/>
          <w:sz w:val="20"/>
          <w:szCs w:val="20"/>
          <w:lang w:val="en-US"/>
        </w:rPr>
        <w:t xml:space="preserve">, 231-235. </w:t>
      </w:r>
    </w:p>
    <w:p w14:paraId="344E26C2"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SNOW, M. &amp; SMAIL, D. A. (1999). Experimental susceptibility of turbot </w:t>
      </w:r>
      <w:r w:rsidRPr="00D403F5">
        <w:rPr>
          <w:rFonts w:ascii="Times New Roman" w:hAnsi="Times New Roman" w:cs="Times New Roman"/>
          <w:i/>
          <w:iCs/>
          <w:sz w:val="20"/>
          <w:szCs w:val="20"/>
          <w:lang w:val="en-US"/>
        </w:rPr>
        <w:t>Scophthalmus maximus</w:t>
      </w:r>
      <w:r w:rsidRPr="00D403F5">
        <w:rPr>
          <w:rFonts w:ascii="Times New Roman" w:hAnsi="Times New Roman" w:cs="Times New Roman"/>
          <w:sz w:val="20"/>
          <w:szCs w:val="20"/>
          <w:lang w:val="en-US"/>
        </w:rPr>
        <w:t xml:space="preserve"> to viral haemorrhagic septicaemia virus isolated from cultivated turbot. </w:t>
      </w:r>
      <w:r w:rsidRPr="00D403F5">
        <w:rPr>
          <w:rFonts w:ascii="Times New Roman" w:hAnsi="Times New Roman" w:cs="Times New Roman"/>
          <w:i/>
          <w:iCs/>
          <w:sz w:val="20"/>
          <w:szCs w:val="20"/>
          <w:lang w:val="en-US"/>
        </w:rPr>
        <w:t xml:space="preserve">Diseases of Aquatic Organisms, </w:t>
      </w:r>
      <w:r w:rsidRPr="00D403F5">
        <w:rPr>
          <w:rFonts w:ascii="Times New Roman" w:hAnsi="Times New Roman" w:cs="Times New Roman"/>
          <w:b/>
          <w:bCs/>
          <w:sz w:val="20"/>
          <w:szCs w:val="20"/>
          <w:lang w:val="en-US"/>
        </w:rPr>
        <w:t>38</w:t>
      </w:r>
      <w:r w:rsidRPr="00D403F5">
        <w:rPr>
          <w:rFonts w:ascii="Times New Roman" w:hAnsi="Times New Roman" w:cs="Times New Roman"/>
          <w:sz w:val="20"/>
          <w:szCs w:val="20"/>
          <w:lang w:val="en-US"/>
        </w:rPr>
        <w:t xml:space="preserve">, 163-168. </w:t>
      </w:r>
    </w:p>
    <w:p w14:paraId="3531B1ED"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hAnsi="Times New Roman" w:cs="Times New Roman"/>
          <w:sz w:val="20"/>
          <w:szCs w:val="20"/>
          <w:lang w:val="en-US"/>
        </w:rPr>
        <w:t xml:space="preserve">TAKANO, R., MORI, K., </w:t>
      </w:r>
      <w:r w:rsidRPr="00D403F5">
        <w:rPr>
          <w:rFonts w:ascii="Times New Roman" w:eastAsia="MS Mincho" w:hAnsi="Times New Roman" w:cs="Times New Roman"/>
          <w:kern w:val="1"/>
          <w:sz w:val="20"/>
          <w:szCs w:val="20"/>
          <w:lang w:val="en-US" w:eastAsia="ar-SA"/>
        </w:rPr>
        <w:t xml:space="preserve">NISHIZAWA, T., ARIMOTO, M. &amp; MUROGA, K. (2001). Isolation of Viruses from Wild Japanese Flounder </w:t>
      </w:r>
      <w:r w:rsidRPr="00D403F5">
        <w:rPr>
          <w:rFonts w:ascii="Times New Roman" w:eastAsia="MS Mincho" w:hAnsi="Times New Roman" w:cs="Times New Roman"/>
          <w:i/>
          <w:iCs/>
          <w:kern w:val="1"/>
          <w:sz w:val="20"/>
          <w:szCs w:val="20"/>
          <w:lang w:val="en-US" w:eastAsia="ar-SA"/>
        </w:rPr>
        <w:t>Paralichthys olivaceus</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i/>
          <w:iCs/>
          <w:kern w:val="1"/>
          <w:sz w:val="20"/>
          <w:szCs w:val="20"/>
          <w:lang w:val="en-US" w:eastAsia="ar-SA"/>
        </w:rPr>
        <w:t>Fish Pathology</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36(3)</w:t>
      </w:r>
      <w:r w:rsidRPr="00D403F5">
        <w:rPr>
          <w:rFonts w:ascii="Times New Roman" w:eastAsia="MS Mincho" w:hAnsi="Times New Roman" w:cs="Times New Roman"/>
          <w:kern w:val="1"/>
          <w:sz w:val="20"/>
          <w:szCs w:val="20"/>
          <w:lang w:val="en-US" w:eastAsia="ar-SA"/>
        </w:rPr>
        <w:t>, 153-160.</w:t>
      </w:r>
    </w:p>
    <w:p w14:paraId="4E839595"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hAnsi="Times New Roman" w:cs="Times New Roman"/>
          <w:sz w:val="20"/>
          <w:szCs w:val="20"/>
          <w:lang w:val="es-ES"/>
        </w:rPr>
        <w:t xml:space="preserve">TAKANO, R., </w:t>
      </w:r>
      <w:r w:rsidRPr="00D403F5">
        <w:rPr>
          <w:rFonts w:ascii="Times New Roman" w:eastAsia="MS Mincho" w:hAnsi="Times New Roman" w:cs="Times New Roman"/>
          <w:kern w:val="1"/>
          <w:sz w:val="20"/>
          <w:szCs w:val="20"/>
          <w:lang w:val="es-ES" w:eastAsia="ar-SA"/>
        </w:rPr>
        <w:t xml:space="preserve">NISHIZAWA, T., ARIMOTO, M. &amp; MUROGA, K. (2000). </w:t>
      </w:r>
      <w:r w:rsidRPr="00D403F5">
        <w:rPr>
          <w:rFonts w:ascii="Times New Roman" w:eastAsia="MS Mincho" w:hAnsi="Times New Roman" w:cs="Times New Roman"/>
          <w:kern w:val="1"/>
          <w:sz w:val="20"/>
          <w:szCs w:val="20"/>
          <w:lang w:val="en-US" w:eastAsia="ar-SA"/>
        </w:rPr>
        <w:t xml:space="preserve">Isolation of viral haemorrhagic septicaemia virus (VHSV) from wild Japanese flounder, </w:t>
      </w:r>
      <w:r w:rsidRPr="00D403F5">
        <w:rPr>
          <w:rFonts w:ascii="Times New Roman" w:eastAsia="MS Mincho" w:hAnsi="Times New Roman" w:cs="Times New Roman"/>
          <w:i/>
          <w:iCs/>
          <w:kern w:val="1"/>
          <w:sz w:val="20"/>
          <w:szCs w:val="20"/>
          <w:lang w:val="en-US" w:eastAsia="ar-SA"/>
        </w:rPr>
        <w:t>Paralichthys olivaceus</w:t>
      </w:r>
      <w:r w:rsidRPr="00D403F5">
        <w:rPr>
          <w:rFonts w:ascii="Times New Roman" w:eastAsia="MS Mincho" w:hAnsi="Times New Roman" w:cs="Times New Roman"/>
          <w:kern w:val="1"/>
          <w:sz w:val="20"/>
          <w:szCs w:val="20"/>
          <w:lang w:val="en-US" w:eastAsia="ar-SA"/>
        </w:rPr>
        <w:t xml:space="preserve">. </w:t>
      </w:r>
      <w:r w:rsidRPr="00D403F5">
        <w:rPr>
          <w:rFonts w:ascii="Times New Roman" w:hAnsi="Times New Roman" w:cs="Times New Roman"/>
          <w:i/>
          <w:iCs/>
          <w:sz w:val="20"/>
          <w:szCs w:val="20"/>
          <w:lang w:val="en-US"/>
        </w:rPr>
        <w:t>Bulletin of the European Association of Fish Pathologists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20(5)</w:t>
      </w:r>
      <w:r w:rsidRPr="00D403F5">
        <w:rPr>
          <w:rFonts w:ascii="Times New Roman" w:hAnsi="Times New Roman" w:cs="Times New Roman"/>
          <w:sz w:val="20"/>
          <w:szCs w:val="20"/>
          <w:lang w:val="en-US"/>
        </w:rPr>
        <w:t xml:space="preserve">, 186-192. </w:t>
      </w:r>
    </w:p>
    <w:p w14:paraId="290E4FB8"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THROCKMORTON, E., BRENDEN, T., PETERS, A. K., NEWCOMB, T. J., WHELAN, E. &amp; FAISAL, M. (2017). Potential Reservoirs and Risk Factors for VHSV IVb in an Enzootic System: Budd Lake, Michigan. </w:t>
      </w:r>
      <w:r w:rsidRPr="00D403F5">
        <w:rPr>
          <w:rFonts w:ascii="Times New Roman" w:eastAsia="MS Mincho" w:hAnsi="Times New Roman" w:cs="Times New Roman"/>
          <w:i/>
          <w:iCs/>
          <w:kern w:val="1"/>
          <w:sz w:val="20"/>
          <w:szCs w:val="20"/>
          <w:lang w:val="en-US" w:eastAsia="ar-SA"/>
        </w:rPr>
        <w:t>Journal of Aquatic Animal Health</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29(1)</w:t>
      </w:r>
      <w:r w:rsidRPr="00D403F5">
        <w:rPr>
          <w:rFonts w:ascii="Times New Roman" w:eastAsia="MS Mincho" w:hAnsi="Times New Roman" w:cs="Times New Roman"/>
          <w:kern w:val="1"/>
          <w:sz w:val="20"/>
          <w:szCs w:val="20"/>
          <w:lang w:val="en-US" w:eastAsia="ar-SA"/>
        </w:rPr>
        <w:t>, 31-42.</w:t>
      </w:r>
    </w:p>
    <w:p w14:paraId="25151079" w14:textId="77777777" w:rsidR="00C7266C" w:rsidRPr="00D403F5" w:rsidRDefault="00C7266C" w:rsidP="00D403F5">
      <w:pPr>
        <w:spacing w:after="240"/>
        <w:jc w:val="both"/>
        <w:rPr>
          <w:rFonts w:ascii="Times New Roman" w:eastAsia="MS Mincho" w:hAnsi="Times New Roman" w:cs="Times New Roman"/>
          <w:kern w:val="20"/>
          <w:sz w:val="20"/>
          <w:szCs w:val="20"/>
          <w:lang w:val="en-US" w:eastAsia="ar-SA"/>
        </w:rPr>
      </w:pPr>
      <w:r w:rsidRPr="00D403F5">
        <w:rPr>
          <w:rFonts w:ascii="Times New Roman" w:eastAsia="MS Mincho" w:hAnsi="Times New Roman" w:cs="Times New Roman"/>
          <w:caps/>
          <w:kern w:val="20"/>
          <w:sz w:val="20"/>
          <w:szCs w:val="20"/>
          <w:lang w:val="en-US" w:eastAsia="ar-SA"/>
        </w:rPr>
        <w:t xml:space="preserve">Traxler, g. s., kieser, d. &amp; richard, j. (1999). </w:t>
      </w:r>
      <w:r w:rsidRPr="00D403F5">
        <w:rPr>
          <w:rFonts w:ascii="Times New Roman" w:eastAsia="MS Mincho" w:hAnsi="Times New Roman" w:cs="Times New Roman"/>
          <w:kern w:val="20"/>
          <w:sz w:val="20"/>
          <w:szCs w:val="20"/>
          <w:lang w:val="en-US" w:eastAsia="ar-SA"/>
        </w:rPr>
        <w:t xml:space="preserve">Mass mortality of pilchard and herring associated with viral hemorrhagic septicemia virus in British Columbia, Canada. </w:t>
      </w:r>
      <w:r w:rsidRPr="00D403F5">
        <w:rPr>
          <w:rFonts w:ascii="Times New Roman" w:eastAsia="MS Mincho" w:hAnsi="Times New Roman" w:cs="Times New Roman"/>
          <w:i/>
          <w:iCs/>
          <w:kern w:val="20"/>
          <w:sz w:val="20"/>
          <w:szCs w:val="20"/>
          <w:lang w:val="en-US" w:eastAsia="ar-SA"/>
        </w:rPr>
        <w:t>Fish Health Newsletter</w:t>
      </w:r>
      <w:r w:rsidRPr="00D403F5">
        <w:rPr>
          <w:rFonts w:ascii="Times New Roman" w:eastAsia="MS Mincho" w:hAnsi="Times New Roman" w:cs="Times New Roman"/>
          <w:kern w:val="20"/>
          <w:sz w:val="20"/>
          <w:szCs w:val="20"/>
          <w:lang w:val="en-US" w:eastAsia="ar-SA"/>
        </w:rPr>
        <w:t xml:space="preserve">, ?, ?-?. </w:t>
      </w:r>
    </w:p>
    <w:p w14:paraId="3425C880"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USGS/NACSE database (http://gis.nacse.org/vhsv/)</w:t>
      </w:r>
    </w:p>
    <w:p w14:paraId="2889A879"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hAnsi="Times New Roman" w:cs="Times New Roman"/>
          <w:sz w:val="20"/>
          <w:szCs w:val="20"/>
          <w:lang w:val="en-US"/>
        </w:rPr>
        <w:t xml:space="preserve">WALLACE, I. S., DONALD, K., MUNRO, L. A., MURRAY, W. PERT, C.C., STAGG, H., HALL, M. &amp; BAIN, N. (2015). A survey of wild marine fish identifies a potential origin of an outbreak of viral haemorrhagic septicaemia in wrasse, Labridae, used as cleaner fish on marine Atlantic salmon, </w:t>
      </w:r>
      <w:r w:rsidRPr="00D403F5">
        <w:rPr>
          <w:rFonts w:ascii="Times New Roman" w:hAnsi="Times New Roman" w:cs="Times New Roman"/>
          <w:i/>
          <w:iCs/>
          <w:sz w:val="20"/>
          <w:szCs w:val="20"/>
          <w:lang w:val="en-US"/>
        </w:rPr>
        <w:t>Salmo salar</w:t>
      </w:r>
      <w:r w:rsidRPr="00D403F5">
        <w:rPr>
          <w:rFonts w:ascii="Times New Roman" w:hAnsi="Times New Roman" w:cs="Times New Roman"/>
          <w:sz w:val="20"/>
          <w:szCs w:val="20"/>
          <w:lang w:val="en-US"/>
        </w:rPr>
        <w:t xml:space="preserve"> L., farm. </w:t>
      </w:r>
      <w:r w:rsidRPr="00D403F5">
        <w:rPr>
          <w:rFonts w:ascii="Times New Roman" w:hAnsi="Times New Roman" w:cs="Times New Roman"/>
          <w:i/>
          <w:iCs/>
          <w:sz w:val="20"/>
          <w:szCs w:val="20"/>
          <w:lang w:val="en-US"/>
        </w:rPr>
        <w:t>Journal of Fish Diseases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38</w:t>
      </w:r>
      <w:r w:rsidRPr="00D403F5">
        <w:rPr>
          <w:rFonts w:ascii="Times New Roman" w:hAnsi="Times New Roman" w:cs="Times New Roman"/>
          <w:sz w:val="20"/>
          <w:szCs w:val="20"/>
          <w:lang w:val="en-US"/>
        </w:rPr>
        <w:t xml:space="preserve">, 515-521. </w:t>
      </w:r>
    </w:p>
    <w:p w14:paraId="4410F8DB" w14:textId="77777777" w:rsidR="00C7266C" w:rsidRPr="00D403F5" w:rsidRDefault="00C7266C" w:rsidP="00D403F5">
      <w:pPr>
        <w:spacing w:after="240"/>
        <w:jc w:val="both"/>
        <w:rPr>
          <w:rFonts w:ascii="Times New Roman" w:hAnsi="Times New Roman" w:cs="Times New Roman"/>
          <w:sz w:val="20"/>
          <w:szCs w:val="20"/>
          <w:lang w:val="en-US"/>
        </w:rPr>
      </w:pPr>
      <w:r w:rsidRPr="00D403F5">
        <w:rPr>
          <w:rFonts w:ascii="Times New Roman" w:eastAsia="MS Mincho" w:hAnsi="Times New Roman" w:cs="Times New Roman"/>
          <w:kern w:val="1"/>
          <w:sz w:val="20"/>
          <w:szCs w:val="20"/>
          <w:lang w:val="en-US" w:eastAsia="ar-SA"/>
        </w:rPr>
        <w:t xml:space="preserve">WEEKS, C., KIM, R., WOLGAMOD, M., WHELAN, G. &amp; FAISAL, M. (2011). Experimental infection studies demonstrate the high susceptibility of the salmonid, lake herring, </w:t>
      </w:r>
      <w:r w:rsidRPr="00D403F5">
        <w:rPr>
          <w:rFonts w:ascii="Times New Roman" w:eastAsia="MS Mincho" w:hAnsi="Times New Roman" w:cs="Times New Roman"/>
          <w:i/>
          <w:iCs/>
          <w:kern w:val="1"/>
          <w:sz w:val="20"/>
          <w:szCs w:val="20"/>
          <w:lang w:val="en-US" w:eastAsia="ar-SA"/>
        </w:rPr>
        <w:t>Coregonus artedi</w:t>
      </w:r>
      <w:r w:rsidRPr="00D403F5">
        <w:rPr>
          <w:rFonts w:ascii="Times New Roman" w:eastAsia="MS Mincho" w:hAnsi="Times New Roman" w:cs="Times New Roman"/>
          <w:kern w:val="1"/>
          <w:sz w:val="20"/>
          <w:szCs w:val="20"/>
          <w:lang w:val="en-US" w:eastAsia="ar-SA"/>
        </w:rPr>
        <w:t xml:space="preserve"> (Le Sueur), to the Great Lakes strain of viral haemorrhagic septicaemia virus (genotype IVb). </w:t>
      </w:r>
      <w:r w:rsidRPr="00D403F5">
        <w:rPr>
          <w:rFonts w:ascii="Times New Roman" w:hAnsi="Times New Roman" w:cs="Times New Roman"/>
          <w:i/>
          <w:iCs/>
          <w:sz w:val="20"/>
          <w:szCs w:val="20"/>
          <w:lang w:val="en-US"/>
        </w:rPr>
        <w:t>Journal of Fish Diseases</w:t>
      </w:r>
      <w:r w:rsidRPr="00D403F5">
        <w:rPr>
          <w:rFonts w:ascii="Times New Roman" w:hAnsi="Times New Roman" w:cs="Times New Roman"/>
          <w:sz w:val="20"/>
          <w:szCs w:val="20"/>
          <w:lang w:val="en-US"/>
        </w:rPr>
        <w:t xml:space="preserve">, </w:t>
      </w:r>
      <w:r w:rsidRPr="00D403F5">
        <w:rPr>
          <w:rFonts w:ascii="Times New Roman" w:hAnsi="Times New Roman" w:cs="Times New Roman"/>
          <w:b/>
          <w:bCs/>
          <w:sz w:val="20"/>
          <w:szCs w:val="20"/>
          <w:lang w:val="en-US"/>
        </w:rPr>
        <w:t>34</w:t>
      </w:r>
      <w:r w:rsidRPr="00D403F5">
        <w:rPr>
          <w:rFonts w:ascii="Times New Roman" w:hAnsi="Times New Roman" w:cs="Times New Roman"/>
          <w:sz w:val="20"/>
          <w:szCs w:val="20"/>
          <w:lang w:val="en-US"/>
        </w:rPr>
        <w:t xml:space="preserve">, 887-891. </w:t>
      </w:r>
    </w:p>
    <w:p w14:paraId="5A27CDA9" w14:textId="77777777" w:rsidR="00C7266C" w:rsidRPr="00D403F5" w:rsidRDefault="00C7266C" w:rsidP="00D403F5">
      <w:pPr>
        <w:spacing w:after="240"/>
        <w:jc w:val="both"/>
        <w:rPr>
          <w:rFonts w:ascii="Times New Roman" w:eastAsia="MS Mincho" w:hAnsi="Times New Roman" w:cs="Times New Roman"/>
          <w:kern w:val="1"/>
          <w:sz w:val="20"/>
          <w:szCs w:val="20"/>
          <w:lang w:val="en-US" w:eastAsia="ar-SA"/>
        </w:rPr>
      </w:pPr>
      <w:r w:rsidRPr="00D403F5">
        <w:rPr>
          <w:rFonts w:ascii="Times New Roman" w:eastAsia="MS Mincho" w:hAnsi="Times New Roman" w:cs="Times New Roman"/>
          <w:kern w:val="1"/>
          <w:sz w:val="20"/>
          <w:szCs w:val="20"/>
          <w:lang w:val="en-US" w:eastAsia="ar-SA"/>
        </w:rPr>
        <w:t xml:space="preserve">WINTON, J. R., BATTS, W. N. &amp; NISHIZAWA, T. (1989). Characterization of the first North American isolates of viral hemorrhagic septicemia virus. </w:t>
      </w:r>
      <w:r w:rsidRPr="00D403F5">
        <w:rPr>
          <w:rFonts w:ascii="Times New Roman" w:eastAsia="MS Mincho" w:hAnsi="Times New Roman" w:cs="Times New Roman"/>
          <w:i/>
          <w:iCs/>
          <w:kern w:val="1"/>
          <w:sz w:val="20"/>
          <w:szCs w:val="20"/>
          <w:lang w:val="en-US" w:eastAsia="ar-SA"/>
        </w:rPr>
        <w:t>Fish Health Newsletter</w:t>
      </w:r>
      <w:r w:rsidRPr="00D403F5">
        <w:rPr>
          <w:rFonts w:ascii="Times New Roman" w:eastAsia="MS Mincho" w:hAnsi="Times New Roman" w:cs="Times New Roman"/>
          <w:kern w:val="1"/>
          <w:sz w:val="20"/>
          <w:szCs w:val="20"/>
          <w:lang w:val="en-US" w:eastAsia="ar-SA"/>
        </w:rPr>
        <w:t xml:space="preserve">, </w:t>
      </w:r>
      <w:r w:rsidRPr="00D403F5">
        <w:rPr>
          <w:rFonts w:ascii="Times New Roman" w:eastAsia="MS Mincho" w:hAnsi="Times New Roman" w:cs="Times New Roman"/>
          <w:b/>
          <w:bCs/>
          <w:kern w:val="1"/>
          <w:sz w:val="20"/>
          <w:szCs w:val="20"/>
          <w:lang w:val="en-US" w:eastAsia="ar-SA"/>
        </w:rPr>
        <w:t>17(2)</w:t>
      </w:r>
      <w:r w:rsidRPr="00D403F5">
        <w:rPr>
          <w:rFonts w:ascii="Times New Roman" w:eastAsia="MS Mincho" w:hAnsi="Times New Roman" w:cs="Times New Roman"/>
          <w:kern w:val="1"/>
          <w:sz w:val="20"/>
          <w:szCs w:val="20"/>
          <w:lang w:val="en-US" w:eastAsia="ar-SA"/>
        </w:rPr>
        <w:t xml:space="preserve">, 2-3. </w:t>
      </w:r>
    </w:p>
    <w:p w14:paraId="4AAB0A7B" w14:textId="77777777" w:rsidR="00D403F5" w:rsidRPr="00147332" w:rsidRDefault="00D403F5" w:rsidP="00D403F5">
      <w:pPr>
        <w:spacing w:before="720" w:after="240"/>
        <w:ind w:right="51"/>
        <w:jc w:val="center"/>
        <w:rPr>
          <w:rFonts w:ascii="Times New Roman" w:eastAsia="MS Mincho" w:hAnsi="Times New Roman" w:cs="Times New Roman"/>
          <w:kern w:val="2"/>
          <w:sz w:val="20"/>
          <w:szCs w:val="20"/>
        </w:rPr>
      </w:pPr>
      <w:r w:rsidRPr="00D44454">
        <w:rPr>
          <w:rFonts w:ascii="Times New Roman" w:eastAsia="MS Mincho" w:hAnsi="Times New Roman" w:cs="Times New Roman"/>
          <w:kern w:val="2"/>
          <w:sz w:val="20"/>
          <w:szCs w:val="20"/>
        </w:rPr>
        <w:t>____________________________</w:t>
      </w:r>
    </w:p>
    <w:p w14:paraId="763C2085" w14:textId="77777777" w:rsidR="00C7266C" w:rsidRPr="00D403F5" w:rsidRDefault="00C7266C" w:rsidP="00D403F5">
      <w:pPr>
        <w:spacing w:after="0"/>
        <w:rPr>
          <w:sz w:val="18"/>
          <w:szCs w:val="18"/>
        </w:rPr>
      </w:pPr>
    </w:p>
    <w:p w14:paraId="7BB8909D" w14:textId="77777777" w:rsidR="00C7266C" w:rsidRPr="00D403F5" w:rsidRDefault="00C7266C" w:rsidP="00D403F5">
      <w:pPr>
        <w:spacing w:after="0"/>
        <w:rPr>
          <w:sz w:val="18"/>
          <w:szCs w:val="18"/>
        </w:rPr>
      </w:pPr>
    </w:p>
    <w:p w14:paraId="7290D270" w14:textId="77777777" w:rsidR="00C7266C" w:rsidRPr="00D403F5" w:rsidRDefault="00C7266C" w:rsidP="00D403F5">
      <w:pPr>
        <w:spacing w:after="0"/>
        <w:rPr>
          <w:sz w:val="18"/>
          <w:szCs w:val="18"/>
        </w:rPr>
      </w:pPr>
    </w:p>
    <w:p w14:paraId="75093D4D" w14:textId="77777777" w:rsidR="00D403F5" w:rsidRDefault="00D403F5" w:rsidP="00D403F5">
      <w:pPr>
        <w:spacing w:after="0"/>
        <w:jc w:val="right"/>
        <w:rPr>
          <w:rFonts w:eastAsia="Calibri"/>
          <w:sz w:val="18"/>
          <w:szCs w:val="18"/>
          <w:u w:val="single"/>
          <w:lang w:val="en-US"/>
        </w:rPr>
        <w:sectPr w:rsidR="00D403F5" w:rsidSect="00C7266C">
          <w:headerReference w:type="even" r:id="rId181"/>
          <w:headerReference w:type="default" r:id="rId182"/>
          <w:footerReference w:type="even" r:id="rId183"/>
          <w:footerReference w:type="default" r:id="rId184"/>
          <w:headerReference w:type="first" r:id="rId185"/>
          <w:footerReference w:type="first" r:id="rId186"/>
          <w:pgSz w:w="11906" w:h="16838"/>
          <w:pgMar w:top="1418" w:right="1418" w:bottom="1418" w:left="1418" w:header="709" w:footer="709" w:gutter="0"/>
          <w:cols w:space="708"/>
          <w:titlePg/>
          <w:docGrid w:linePitch="360"/>
        </w:sectPr>
      </w:pPr>
    </w:p>
    <w:p w14:paraId="6E60FBB6" w14:textId="1EBDDE63" w:rsidR="00C7266C" w:rsidRPr="00D403F5" w:rsidRDefault="00C7266C" w:rsidP="00D403F5">
      <w:pPr>
        <w:spacing w:after="480"/>
        <w:jc w:val="right"/>
        <w:rPr>
          <w:rFonts w:ascii="Times New Roman" w:eastAsia="Calibri" w:hAnsi="Times New Roman" w:cs="Times New Roman"/>
          <w:sz w:val="20"/>
          <w:szCs w:val="20"/>
          <w:u w:val="single"/>
          <w:lang w:val="en-US"/>
        </w:rPr>
      </w:pPr>
      <w:r w:rsidRPr="00D403F5">
        <w:rPr>
          <w:rFonts w:ascii="Times New Roman" w:eastAsia="Calibri" w:hAnsi="Times New Roman" w:cs="Times New Roman"/>
          <w:sz w:val="20"/>
          <w:szCs w:val="20"/>
          <w:u w:val="single"/>
          <w:lang w:val="en-US"/>
        </w:rPr>
        <w:t>Annex 15</w:t>
      </w:r>
      <w:r w:rsidRPr="00D403F5">
        <w:rPr>
          <w:rFonts w:ascii="Times New Roman" w:eastAsia="Calibri" w:hAnsi="Times New Roman" w:cs="Times New Roman"/>
          <w:sz w:val="20"/>
          <w:szCs w:val="20"/>
          <w:lang w:val="en-US"/>
        </w:rPr>
        <w:t xml:space="preserve"> (contd)</w:t>
      </w:r>
    </w:p>
    <w:p w14:paraId="19A55494" w14:textId="77777777" w:rsidR="00C7266C" w:rsidRPr="00D403F5" w:rsidRDefault="00C7266C" w:rsidP="00D403F5">
      <w:pPr>
        <w:spacing w:after="480"/>
        <w:jc w:val="right"/>
        <w:rPr>
          <w:rFonts w:ascii="Times New Roman" w:eastAsia="Calibri" w:hAnsi="Times New Roman" w:cs="Times New Roman"/>
          <w:sz w:val="20"/>
          <w:szCs w:val="20"/>
          <w:u w:val="single"/>
        </w:rPr>
      </w:pPr>
      <w:r w:rsidRPr="00D403F5">
        <w:rPr>
          <w:rFonts w:ascii="Times New Roman" w:eastAsia="Calibri" w:hAnsi="Times New Roman" w:cs="Times New Roman"/>
          <w:sz w:val="20"/>
          <w:szCs w:val="20"/>
          <w:u w:val="single"/>
        </w:rPr>
        <w:t>Annex II</w:t>
      </w:r>
    </w:p>
    <w:p w14:paraId="76AA74F9" w14:textId="77777777" w:rsidR="00C7266C" w:rsidRPr="00D403F5" w:rsidRDefault="00C7266C" w:rsidP="00D403F5">
      <w:pPr>
        <w:keepNext/>
        <w:keepLines/>
        <w:pBdr>
          <w:top w:val="nil"/>
          <w:left w:val="nil"/>
          <w:bottom w:val="nil"/>
          <w:right w:val="nil"/>
          <w:between w:val="nil"/>
          <w:bar w:val="nil"/>
        </w:pBdr>
        <w:tabs>
          <w:tab w:val="left" w:pos="567"/>
          <w:tab w:val="left" w:pos="1134"/>
          <w:tab w:val="left" w:pos="1701"/>
          <w:tab w:val="left" w:pos="2268"/>
          <w:tab w:val="left" w:pos="2835"/>
        </w:tabs>
        <w:suppressAutoHyphens/>
        <w:spacing w:after="240"/>
        <w:jc w:val="center"/>
        <w:outlineLvl w:val="0"/>
        <w:rPr>
          <w:rFonts w:ascii="Arial" w:eastAsia="Calibri" w:hAnsi="Arial" w:cs="Arial"/>
          <w:b/>
          <w:bCs/>
          <w:caps/>
          <w:noProof/>
          <w:sz w:val="20"/>
          <w:szCs w:val="18"/>
          <w:bdr w:val="nil"/>
        </w:rPr>
      </w:pPr>
      <w:r w:rsidRPr="00D403F5">
        <w:rPr>
          <w:rFonts w:ascii="Arial" w:eastAsia="Calibri" w:hAnsi="Arial" w:cs="Arial"/>
          <w:b/>
          <w:bCs/>
          <w:caps/>
          <w:noProof/>
          <w:sz w:val="20"/>
          <w:szCs w:val="18"/>
          <w:bdr w:val="nil"/>
        </w:rPr>
        <w:t xml:space="preserve">report of THE OIE </w:t>
      </w:r>
      <w:r w:rsidRPr="00D403F5">
        <w:rPr>
          <w:rFonts w:ascii="Arial" w:eastAsia="Calibri" w:hAnsi="Arial" w:cs="Arial"/>
          <w:b/>
          <w:bCs/>
          <w:i/>
          <w:caps/>
          <w:noProof/>
          <w:sz w:val="20"/>
          <w:szCs w:val="18"/>
          <w:bdr w:val="nil"/>
        </w:rPr>
        <w:t xml:space="preserve">AD HOC </w:t>
      </w:r>
      <w:r w:rsidRPr="00D403F5">
        <w:rPr>
          <w:rFonts w:ascii="Arial" w:eastAsia="Calibri" w:hAnsi="Arial" w:cs="Arial"/>
          <w:b/>
          <w:bCs/>
          <w:caps/>
          <w:noProof/>
          <w:sz w:val="20"/>
          <w:szCs w:val="18"/>
          <w:bdr w:val="nil"/>
        </w:rPr>
        <w:t xml:space="preserve">GROUP ON SUSCEPTIBILITY </w:t>
      </w:r>
      <w:r w:rsidRPr="00D403F5">
        <w:rPr>
          <w:rFonts w:ascii="Arial" w:eastAsia="Calibri" w:hAnsi="Arial" w:cs="Arial"/>
          <w:b/>
          <w:bCs/>
          <w:caps/>
          <w:noProof/>
          <w:sz w:val="20"/>
          <w:szCs w:val="18"/>
          <w:bdr w:val="nil"/>
        </w:rPr>
        <w:br/>
        <w:t>OF FISH SPECIES TO INFECTION WITH OIE LISTED DISEASES</w:t>
      </w:r>
    </w:p>
    <w:p w14:paraId="0456720A" w14:textId="77777777" w:rsidR="00C7266C" w:rsidRPr="00D403F5" w:rsidRDefault="00C7266C" w:rsidP="00D403F5">
      <w:pPr>
        <w:pBdr>
          <w:top w:val="nil"/>
          <w:left w:val="nil"/>
          <w:bottom w:val="nil"/>
          <w:right w:val="nil"/>
          <w:between w:val="nil"/>
          <w:bar w:val="nil"/>
        </w:pBdr>
        <w:suppressAutoHyphens/>
        <w:spacing w:after="240"/>
        <w:jc w:val="center"/>
        <w:rPr>
          <w:rFonts w:ascii="Arial" w:eastAsia="Calibri" w:hAnsi="Arial" w:cs="Arial"/>
          <w:sz w:val="20"/>
          <w:szCs w:val="18"/>
        </w:rPr>
      </w:pPr>
      <w:r w:rsidRPr="00D403F5">
        <w:rPr>
          <w:rFonts w:ascii="Arial" w:eastAsia="Calibri" w:hAnsi="Arial" w:cs="Arial"/>
          <w:b/>
          <w:noProof/>
          <w:sz w:val="20"/>
          <w:szCs w:val="18"/>
          <w:bdr w:val="nil"/>
        </w:rPr>
        <w:t xml:space="preserve">November 2018–September 2019 </w:t>
      </w:r>
    </w:p>
    <w:p w14:paraId="0361AD99" w14:textId="77777777" w:rsidR="00C7266C" w:rsidRPr="00D403F5" w:rsidRDefault="00C7266C" w:rsidP="00D403F5">
      <w:pPr>
        <w:spacing w:after="240"/>
        <w:jc w:val="center"/>
        <w:rPr>
          <w:rFonts w:ascii="Arial" w:eastAsia="Calibri" w:hAnsi="Arial" w:cs="Arial"/>
          <w:sz w:val="20"/>
          <w:szCs w:val="18"/>
        </w:rPr>
      </w:pPr>
      <w:r w:rsidRPr="00D403F5">
        <w:rPr>
          <w:rFonts w:ascii="Arial" w:eastAsia="Calibri" w:hAnsi="Arial" w:cs="Arial"/>
          <w:sz w:val="20"/>
          <w:szCs w:val="18"/>
        </w:rPr>
        <w:t>_______</w:t>
      </w:r>
    </w:p>
    <w:p w14:paraId="554D7064" w14:textId="77777777" w:rsidR="00C7266C" w:rsidRPr="00D403F5" w:rsidRDefault="00C7266C" w:rsidP="00D403F5">
      <w:pPr>
        <w:tabs>
          <w:tab w:val="left" w:pos="576"/>
          <w:tab w:val="left" w:pos="1152"/>
          <w:tab w:val="left" w:pos="3312"/>
          <w:tab w:val="left" w:pos="5616"/>
        </w:tabs>
        <w:spacing w:after="480"/>
        <w:ind w:right="51"/>
        <w:jc w:val="center"/>
        <w:rPr>
          <w:rFonts w:ascii="Arial" w:eastAsia="Calibri" w:hAnsi="Arial" w:cs="Arial"/>
          <w:b/>
          <w:sz w:val="20"/>
          <w:szCs w:val="18"/>
          <w:lang w:val="en-US"/>
        </w:rPr>
      </w:pPr>
      <w:r w:rsidRPr="00D403F5">
        <w:rPr>
          <w:rFonts w:ascii="Arial" w:eastAsia="Calibri" w:hAnsi="Arial" w:cs="Arial"/>
          <w:b/>
          <w:sz w:val="20"/>
          <w:szCs w:val="18"/>
          <w:lang w:val="en-US"/>
        </w:rPr>
        <w:t>List of participants</w:t>
      </w: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3072"/>
        <w:gridCol w:w="3067"/>
        <w:gridCol w:w="3067"/>
        <w:gridCol w:w="267"/>
      </w:tblGrid>
      <w:tr w:rsidR="00C7266C" w:rsidRPr="00D403F5" w14:paraId="4D7C19C1" w14:textId="77777777" w:rsidTr="00C7266C">
        <w:trPr>
          <w:gridBefore w:val="1"/>
          <w:trHeight w:val="300"/>
        </w:trPr>
        <w:tc>
          <w:tcPr>
            <w:tcW w:w="9473" w:type="dxa"/>
            <w:gridSpan w:val="4"/>
            <w:tcBorders>
              <w:top w:val="nil"/>
              <w:left w:val="nil"/>
              <w:bottom w:val="single" w:sz="4" w:space="0" w:color="auto"/>
              <w:right w:val="nil"/>
            </w:tcBorders>
            <w:shd w:val="clear" w:color="auto" w:fill="auto"/>
          </w:tcPr>
          <w:p w14:paraId="16DD93CF" w14:textId="77777777" w:rsidR="00C7266C" w:rsidRPr="00D403F5" w:rsidRDefault="00C7266C" w:rsidP="00D403F5">
            <w:pPr>
              <w:spacing w:after="0"/>
              <w:rPr>
                <w:rFonts w:ascii="Arial Narrow" w:eastAsia="Calibri" w:hAnsi="Arial Narrow" w:cs="Arial"/>
                <w:b/>
                <w:sz w:val="18"/>
                <w:szCs w:val="18"/>
                <w:lang w:val="en-US"/>
              </w:rPr>
            </w:pPr>
            <w:r w:rsidRPr="00D403F5">
              <w:rPr>
                <w:rFonts w:ascii="Arial Narrow" w:eastAsia="Calibri" w:hAnsi="Arial Narrow" w:cs="Arial"/>
                <w:b/>
                <w:sz w:val="18"/>
                <w:szCs w:val="18"/>
                <w:lang w:val="en-US"/>
              </w:rPr>
              <w:t xml:space="preserve">MEMBERS OF THE </w:t>
            </w:r>
            <w:r w:rsidRPr="00D403F5">
              <w:rPr>
                <w:rFonts w:ascii="Arial Narrow" w:eastAsia="Calibri" w:hAnsi="Arial Narrow" w:cs="Arial"/>
                <w:b/>
                <w:i/>
                <w:sz w:val="18"/>
                <w:szCs w:val="18"/>
                <w:lang w:val="en-US"/>
              </w:rPr>
              <w:t>AD HOC</w:t>
            </w:r>
            <w:r w:rsidRPr="00D403F5">
              <w:rPr>
                <w:rFonts w:ascii="Arial Narrow" w:eastAsia="Calibri" w:hAnsi="Arial Narrow" w:cs="Arial"/>
                <w:b/>
                <w:sz w:val="18"/>
                <w:szCs w:val="18"/>
                <w:lang w:val="en-US"/>
              </w:rPr>
              <w:t xml:space="preserve"> GROUP</w:t>
            </w:r>
          </w:p>
        </w:tc>
      </w:tr>
      <w:tr w:rsidR="00C7266C" w:rsidRPr="00D403F5" w14:paraId="4A5C7426" w14:textId="77777777" w:rsidTr="00C7266C">
        <w:trPr>
          <w:gridAfter w:val="1"/>
          <w:wAfter w:w="267" w:type="dxa"/>
          <w:trHeight w:val="376"/>
        </w:trPr>
        <w:tc>
          <w:tcPr>
            <w:tcW w:w="3074" w:type="dxa"/>
            <w:gridSpan w:val="2"/>
            <w:tcBorders>
              <w:top w:val="nil"/>
              <w:left w:val="nil"/>
              <w:bottom w:val="nil"/>
              <w:right w:val="nil"/>
            </w:tcBorders>
            <w:shd w:val="clear" w:color="auto" w:fill="auto"/>
          </w:tcPr>
          <w:p w14:paraId="2CF4EBBD" w14:textId="77777777" w:rsidR="00C7266C" w:rsidRPr="00D403F5" w:rsidRDefault="00C7266C" w:rsidP="00D403F5">
            <w:pPr>
              <w:spacing w:after="0"/>
              <w:rPr>
                <w:rFonts w:ascii="Arial Narrow" w:eastAsia="Calibri" w:hAnsi="Arial Narrow" w:cs="Arial"/>
                <w:b/>
                <w:sz w:val="18"/>
                <w:szCs w:val="18"/>
                <w:lang w:val="en" w:eastAsia="en-GB"/>
              </w:rPr>
            </w:pPr>
            <w:r w:rsidRPr="00D403F5">
              <w:rPr>
                <w:rFonts w:ascii="Arial Narrow" w:eastAsia="Calibri" w:hAnsi="Arial Narrow" w:cs="Arial"/>
                <w:b/>
                <w:sz w:val="18"/>
                <w:szCs w:val="18"/>
                <w:lang w:val="en" w:eastAsia="en-GB"/>
              </w:rPr>
              <w:t>Dr Mark Crane (Chair)</w:t>
            </w:r>
          </w:p>
          <w:p w14:paraId="4B047758"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Senior Principal Research Scientist</w:t>
            </w:r>
          </w:p>
          <w:p w14:paraId="056341F7"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AAHL Fish Diseases Laboratory</w:t>
            </w:r>
          </w:p>
          <w:p w14:paraId="4BE64FC9"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CSIRO Australian Animal Health Laboratory</w:t>
            </w:r>
          </w:p>
          <w:p w14:paraId="5D8FAE8E"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 xml:space="preserve">5 Portarlington Road Geelong </w:t>
            </w:r>
          </w:p>
          <w:p w14:paraId="6C2863F0"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 xml:space="preserve">VIC 3220 </w:t>
            </w:r>
            <w:r w:rsidRPr="00D403F5">
              <w:rPr>
                <w:rFonts w:ascii="Arial Narrow" w:eastAsia="Calibri" w:hAnsi="Arial Narrow" w:cs="Arial"/>
                <w:sz w:val="18"/>
                <w:szCs w:val="18"/>
                <w:lang w:val="en" w:eastAsia="en-GB"/>
              </w:rPr>
              <w:br/>
              <w:t>Private Bag 24 Geelong VIC 3220</w:t>
            </w:r>
            <w:r w:rsidRPr="00D403F5">
              <w:rPr>
                <w:rFonts w:ascii="Arial Narrow" w:eastAsia="Calibri" w:hAnsi="Arial Narrow" w:cs="Arial"/>
                <w:sz w:val="18"/>
                <w:szCs w:val="18"/>
                <w:lang w:val="en" w:eastAsia="en-GB"/>
              </w:rPr>
              <w:br/>
              <w:t>AUSTRALIA</w:t>
            </w:r>
          </w:p>
          <w:p w14:paraId="648ECCAC"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Tel.:</w:t>
            </w:r>
            <w:r w:rsidRPr="00D403F5">
              <w:rPr>
                <w:rFonts w:ascii="Arial Narrow" w:eastAsia="Calibri" w:hAnsi="Arial Narrow" w:cs="Arial"/>
                <w:sz w:val="18"/>
                <w:szCs w:val="18"/>
                <w:lang w:val="en-AU" w:eastAsia="en-AU"/>
              </w:rPr>
              <w:t xml:space="preserve"> +61 3 5227 5118</w:t>
            </w:r>
          </w:p>
          <w:p w14:paraId="554EBE45" w14:textId="77777777" w:rsidR="00C7266C" w:rsidRPr="00D403F5" w:rsidRDefault="000667F3" w:rsidP="00D403F5">
            <w:pPr>
              <w:spacing w:after="0"/>
              <w:rPr>
                <w:rFonts w:ascii="Arial Narrow" w:eastAsia="Calibri" w:hAnsi="Arial Narrow" w:cs="Arial"/>
                <w:sz w:val="18"/>
                <w:szCs w:val="18"/>
                <w:lang w:val="en-AU" w:eastAsia="en-AU"/>
              </w:rPr>
            </w:pPr>
            <w:hyperlink r:id="rId187" w:history="1">
              <w:r w:rsidR="00C7266C" w:rsidRPr="00D403F5">
                <w:rPr>
                  <w:rStyle w:val="aa"/>
                  <w:rFonts w:ascii="Arial Narrow" w:eastAsia="Calibri" w:hAnsi="Arial Narrow" w:cs="Arial"/>
                  <w:sz w:val="18"/>
                  <w:szCs w:val="18"/>
                  <w:lang w:val="en-AU" w:eastAsia="en-AU"/>
                </w:rPr>
                <w:t>mark.crane@csiro.au</w:t>
              </w:r>
            </w:hyperlink>
          </w:p>
          <w:p w14:paraId="7FF71C72" w14:textId="77777777" w:rsidR="00D403F5" w:rsidRDefault="00D403F5" w:rsidP="00D403F5">
            <w:pPr>
              <w:autoSpaceDE w:val="0"/>
              <w:autoSpaceDN w:val="0"/>
              <w:adjustRightInd w:val="0"/>
              <w:spacing w:after="0"/>
              <w:rPr>
                <w:rFonts w:ascii="Arial Narrow" w:eastAsia="Calibri" w:hAnsi="Arial Narrow" w:cs="Arial"/>
                <w:b/>
                <w:bCs/>
                <w:sz w:val="18"/>
                <w:szCs w:val="18"/>
                <w:lang w:val="it-IT"/>
              </w:rPr>
            </w:pPr>
          </w:p>
          <w:p w14:paraId="460B2F09" w14:textId="77777777" w:rsidR="00D403F5" w:rsidRDefault="00D403F5" w:rsidP="00D403F5">
            <w:pPr>
              <w:autoSpaceDE w:val="0"/>
              <w:autoSpaceDN w:val="0"/>
              <w:adjustRightInd w:val="0"/>
              <w:spacing w:after="0"/>
              <w:rPr>
                <w:rFonts w:ascii="Arial Narrow" w:eastAsia="Calibri" w:hAnsi="Arial Narrow" w:cs="Arial"/>
                <w:b/>
                <w:bCs/>
                <w:sz w:val="18"/>
                <w:szCs w:val="18"/>
                <w:lang w:val="it-IT"/>
              </w:rPr>
            </w:pPr>
          </w:p>
          <w:p w14:paraId="48E64A76" w14:textId="77777777" w:rsidR="00C7266C" w:rsidRPr="00D403F5" w:rsidRDefault="00C7266C" w:rsidP="00D403F5">
            <w:pPr>
              <w:autoSpaceDE w:val="0"/>
              <w:autoSpaceDN w:val="0"/>
              <w:adjustRightInd w:val="0"/>
              <w:spacing w:after="0"/>
              <w:rPr>
                <w:rFonts w:ascii="Arial Narrow" w:eastAsia="Calibri" w:hAnsi="Arial Narrow" w:cs="Arial"/>
                <w:sz w:val="18"/>
                <w:szCs w:val="18"/>
                <w:lang w:val="it-IT"/>
              </w:rPr>
            </w:pPr>
            <w:r w:rsidRPr="00D403F5">
              <w:rPr>
                <w:rFonts w:ascii="Arial Narrow" w:eastAsia="Calibri" w:hAnsi="Arial Narrow" w:cs="Arial"/>
                <w:b/>
                <w:bCs/>
                <w:sz w:val="18"/>
                <w:szCs w:val="18"/>
                <w:lang w:val="it-IT"/>
              </w:rPr>
              <w:t>Dr Niels Jørgen Olesen</w:t>
            </w:r>
            <w:r w:rsidRPr="00D403F5">
              <w:rPr>
                <w:rFonts w:ascii="Arial Narrow" w:eastAsia="Calibri" w:hAnsi="Arial Narrow" w:cs="Arial"/>
                <w:b/>
                <w:sz w:val="18"/>
                <w:szCs w:val="18"/>
                <w:lang w:val="it-IT"/>
              </w:rPr>
              <w:t xml:space="preserve"> </w:t>
            </w:r>
            <w:r w:rsidRPr="00D403F5">
              <w:rPr>
                <w:rFonts w:ascii="Arial Narrow" w:eastAsia="Calibri" w:hAnsi="Arial Narrow" w:cs="Arial"/>
                <w:sz w:val="18"/>
                <w:szCs w:val="18"/>
                <w:lang w:val="it-IT"/>
              </w:rPr>
              <w:br/>
              <w:t xml:space="preserve">Technical University of Denmark, </w:t>
            </w:r>
          </w:p>
          <w:p w14:paraId="45C37233" w14:textId="77777777" w:rsidR="00C7266C" w:rsidRPr="00D403F5" w:rsidRDefault="00C7266C" w:rsidP="00D403F5">
            <w:pPr>
              <w:autoSpaceDE w:val="0"/>
              <w:autoSpaceDN w:val="0"/>
              <w:adjustRightInd w:val="0"/>
              <w:spacing w:after="0"/>
              <w:rPr>
                <w:rFonts w:ascii="Arial Narrow" w:eastAsia="Calibri" w:hAnsi="Arial Narrow" w:cs="Arial"/>
                <w:sz w:val="18"/>
                <w:szCs w:val="18"/>
                <w:lang w:val="it-IT"/>
              </w:rPr>
            </w:pPr>
            <w:r w:rsidRPr="00D403F5">
              <w:rPr>
                <w:rFonts w:ascii="Arial Narrow" w:eastAsia="Calibri" w:hAnsi="Arial Narrow" w:cs="Arial"/>
                <w:sz w:val="18"/>
                <w:szCs w:val="18"/>
                <w:lang w:val="it-IT"/>
              </w:rPr>
              <w:t xml:space="preserve">National Institute of Aquatic Resources, Kemitorvet Building 202, 2800 Kgs. Lyngby, </w:t>
            </w:r>
          </w:p>
          <w:p w14:paraId="7600E67D" w14:textId="77777777" w:rsidR="00C7266C" w:rsidRPr="00D403F5" w:rsidRDefault="00C7266C" w:rsidP="00D403F5">
            <w:pPr>
              <w:autoSpaceDE w:val="0"/>
              <w:autoSpaceDN w:val="0"/>
              <w:adjustRightInd w:val="0"/>
              <w:spacing w:after="0"/>
              <w:rPr>
                <w:rFonts w:ascii="Arial Narrow" w:eastAsia="Calibri" w:hAnsi="Arial Narrow" w:cs="Arial"/>
                <w:sz w:val="18"/>
                <w:szCs w:val="18"/>
                <w:lang w:val="it-IT"/>
              </w:rPr>
            </w:pPr>
            <w:r w:rsidRPr="00D403F5">
              <w:rPr>
                <w:rFonts w:ascii="Arial Narrow" w:eastAsia="Calibri" w:hAnsi="Arial Narrow" w:cs="Arial"/>
                <w:sz w:val="18"/>
                <w:szCs w:val="18"/>
                <w:lang w:val="it-IT"/>
              </w:rPr>
              <w:t>DENMARK</w:t>
            </w:r>
          </w:p>
          <w:p w14:paraId="1B97530E" w14:textId="77777777" w:rsidR="00C7266C" w:rsidRPr="00D403F5" w:rsidRDefault="00C7266C" w:rsidP="00D403F5">
            <w:pPr>
              <w:autoSpaceDE w:val="0"/>
              <w:autoSpaceDN w:val="0"/>
              <w:adjustRightInd w:val="0"/>
              <w:spacing w:after="0"/>
              <w:rPr>
                <w:rFonts w:ascii="Arial Narrow" w:eastAsia="Calibri" w:hAnsi="Arial Narrow" w:cs="Arial"/>
                <w:sz w:val="18"/>
                <w:szCs w:val="18"/>
                <w:lang w:val="it-IT"/>
              </w:rPr>
            </w:pPr>
            <w:r w:rsidRPr="00D403F5">
              <w:rPr>
                <w:rFonts w:ascii="Arial Narrow" w:eastAsia="Calibri" w:hAnsi="Arial Narrow" w:cs="Arial"/>
                <w:sz w:val="18"/>
                <w:szCs w:val="18"/>
                <w:lang w:val="it-IT"/>
              </w:rPr>
              <w:t>Tel.: +45 2924 4310</w:t>
            </w:r>
          </w:p>
          <w:p w14:paraId="175A0D7D" w14:textId="77777777" w:rsidR="00C7266C" w:rsidRPr="00D403F5" w:rsidRDefault="00C7266C" w:rsidP="00D403F5">
            <w:pPr>
              <w:spacing w:after="0"/>
              <w:rPr>
                <w:rFonts w:ascii="Arial Narrow" w:eastAsia="Calibri" w:hAnsi="Arial Narrow" w:cs="Arial"/>
                <w:sz w:val="18"/>
                <w:szCs w:val="18"/>
                <w:lang w:val="en-US"/>
              </w:rPr>
            </w:pPr>
            <w:r w:rsidRPr="00D403F5">
              <w:rPr>
                <w:rFonts w:ascii="Arial Narrow" w:eastAsia="Calibri" w:hAnsi="Arial Narrow" w:cs="Arial"/>
                <w:sz w:val="18"/>
                <w:szCs w:val="18"/>
                <w:lang w:val="it-IT"/>
              </w:rPr>
              <w:t xml:space="preserve">njol@aqua.dtu.dk             </w:t>
            </w:r>
          </w:p>
        </w:tc>
        <w:tc>
          <w:tcPr>
            <w:tcW w:w="3069" w:type="dxa"/>
            <w:tcBorders>
              <w:top w:val="nil"/>
              <w:left w:val="nil"/>
              <w:bottom w:val="nil"/>
              <w:right w:val="nil"/>
            </w:tcBorders>
            <w:shd w:val="clear" w:color="auto" w:fill="auto"/>
          </w:tcPr>
          <w:p w14:paraId="74C4403C" w14:textId="77777777" w:rsidR="00C7266C" w:rsidRPr="00D403F5" w:rsidRDefault="00C7266C" w:rsidP="00D403F5">
            <w:pPr>
              <w:spacing w:after="0"/>
              <w:rPr>
                <w:rFonts w:ascii="Arial Narrow" w:eastAsia="Calibri" w:hAnsi="Arial Narrow" w:cs="Arial"/>
                <w:sz w:val="18"/>
                <w:szCs w:val="18"/>
                <w:lang w:val="it-IT"/>
              </w:rPr>
            </w:pPr>
            <w:r w:rsidRPr="00D403F5">
              <w:rPr>
                <w:rFonts w:ascii="Arial Narrow" w:eastAsia="Calibri" w:hAnsi="Arial Narrow" w:cs="Arial"/>
                <w:b/>
                <w:iCs/>
                <w:sz w:val="18"/>
                <w:szCs w:val="18"/>
                <w:lang w:eastAsia="en-GB"/>
              </w:rPr>
              <w:t>Dr Lori Gustafson</w:t>
            </w:r>
            <w:r w:rsidRPr="00D403F5">
              <w:rPr>
                <w:rFonts w:ascii="Arial Narrow" w:eastAsia="Calibri" w:hAnsi="Arial Narrow" w:cs="Arial"/>
                <w:b/>
                <w:iCs/>
                <w:sz w:val="18"/>
                <w:szCs w:val="18"/>
                <w:lang w:eastAsia="en-GB"/>
              </w:rPr>
              <w:br/>
            </w:r>
            <w:r w:rsidRPr="00D403F5">
              <w:rPr>
                <w:rFonts w:ascii="Arial Narrow" w:eastAsia="Calibri" w:hAnsi="Arial Narrow" w:cs="Arial"/>
                <w:sz w:val="18"/>
                <w:szCs w:val="18"/>
                <w:lang w:val="it-IT"/>
              </w:rPr>
              <w:t>Surveillance Design and Analysis</w:t>
            </w:r>
            <w:r w:rsidRPr="00D403F5">
              <w:rPr>
                <w:rFonts w:ascii="Arial Narrow" w:eastAsia="Calibri" w:hAnsi="Arial Narrow" w:cs="Arial"/>
                <w:sz w:val="18"/>
                <w:szCs w:val="18"/>
                <w:lang w:val="it-IT"/>
              </w:rPr>
              <w:br/>
              <w:t>USDA/APHIS/VS/CEAH</w:t>
            </w:r>
            <w:r w:rsidRPr="00D403F5">
              <w:rPr>
                <w:rFonts w:ascii="Arial Narrow" w:eastAsia="Calibri" w:hAnsi="Arial Narrow" w:cs="Arial"/>
                <w:sz w:val="18"/>
                <w:szCs w:val="18"/>
                <w:lang w:val="it-IT"/>
              </w:rPr>
              <w:br/>
              <w:t>2150 Centre Ave, Bldg B, Mail Stop 2E6</w:t>
            </w:r>
            <w:r w:rsidRPr="00D403F5">
              <w:rPr>
                <w:rFonts w:ascii="Arial Narrow" w:eastAsia="Calibri" w:hAnsi="Arial Narrow" w:cs="Arial"/>
                <w:sz w:val="18"/>
                <w:szCs w:val="18"/>
                <w:lang w:val="it-IT"/>
              </w:rPr>
              <w:br/>
              <w:t>Fort Collins, CO 80526-8117</w:t>
            </w:r>
            <w:r w:rsidRPr="00D403F5">
              <w:rPr>
                <w:rFonts w:ascii="Arial Narrow" w:eastAsia="Calibri" w:hAnsi="Arial Narrow" w:cs="Arial"/>
                <w:sz w:val="18"/>
                <w:szCs w:val="18"/>
                <w:lang w:val="it-IT"/>
              </w:rPr>
              <w:br/>
              <w:t>UNITED STATES OF AMERICA</w:t>
            </w:r>
            <w:r w:rsidRPr="00D403F5">
              <w:rPr>
                <w:rFonts w:ascii="Arial Narrow" w:eastAsia="Calibri" w:hAnsi="Arial Narrow" w:cs="Arial"/>
                <w:sz w:val="18"/>
                <w:szCs w:val="18"/>
                <w:lang w:val="it-IT"/>
              </w:rPr>
              <w:br/>
              <w:t>Tel.: +1 970 494 7297</w:t>
            </w:r>
            <w:r w:rsidRPr="00D403F5">
              <w:rPr>
                <w:rFonts w:ascii="Arial Narrow" w:eastAsia="Calibri" w:hAnsi="Arial Narrow" w:cs="Arial"/>
                <w:sz w:val="18"/>
                <w:szCs w:val="18"/>
                <w:lang w:val="it-IT"/>
              </w:rPr>
              <w:br/>
            </w:r>
            <w:hyperlink r:id="rId188" w:history="1">
              <w:r w:rsidRPr="00D403F5">
                <w:rPr>
                  <w:rStyle w:val="aa"/>
                  <w:rFonts w:ascii="Arial Narrow" w:eastAsia="Calibri" w:hAnsi="Arial Narrow" w:cs="Arial"/>
                  <w:sz w:val="18"/>
                  <w:szCs w:val="18"/>
                  <w:lang w:val="it-IT"/>
                </w:rPr>
                <w:t>lori.l.gustafson@aphis.usda.gov</w:t>
              </w:r>
            </w:hyperlink>
          </w:p>
          <w:p w14:paraId="27E1371C" w14:textId="77777777" w:rsidR="00C7266C" w:rsidRPr="00D403F5" w:rsidRDefault="00C7266C" w:rsidP="00D403F5">
            <w:pPr>
              <w:spacing w:after="0"/>
              <w:rPr>
                <w:rFonts w:ascii="Arial Narrow" w:eastAsia="Calibri" w:hAnsi="Arial Narrow" w:cs="Arial"/>
                <w:b/>
                <w:sz w:val="18"/>
                <w:szCs w:val="18"/>
                <w:lang w:val="en"/>
              </w:rPr>
            </w:pPr>
          </w:p>
          <w:p w14:paraId="060BE3A6" w14:textId="77777777" w:rsidR="00C7266C" w:rsidRPr="00D403F5" w:rsidRDefault="00C7266C" w:rsidP="00D403F5">
            <w:pPr>
              <w:spacing w:after="0"/>
              <w:rPr>
                <w:rFonts w:ascii="Arial Narrow" w:eastAsia="Calibri" w:hAnsi="Arial Narrow" w:cs="Arial"/>
                <w:b/>
                <w:sz w:val="18"/>
                <w:szCs w:val="18"/>
                <w:lang w:val="en"/>
              </w:rPr>
            </w:pPr>
          </w:p>
          <w:p w14:paraId="11290CCF" w14:textId="77777777" w:rsidR="00C7266C" w:rsidRPr="00D403F5" w:rsidRDefault="00C7266C" w:rsidP="00D403F5">
            <w:pPr>
              <w:spacing w:after="0"/>
              <w:rPr>
                <w:rFonts w:ascii="Arial Narrow" w:eastAsia="Calibri" w:hAnsi="Arial Narrow" w:cs="Arial"/>
                <w:b/>
                <w:sz w:val="18"/>
                <w:szCs w:val="18"/>
                <w:lang w:val="en"/>
              </w:rPr>
            </w:pPr>
          </w:p>
          <w:p w14:paraId="36183C38" w14:textId="77777777" w:rsidR="00D403F5" w:rsidRDefault="00D403F5" w:rsidP="00D403F5">
            <w:pPr>
              <w:spacing w:after="0"/>
              <w:rPr>
                <w:rFonts w:ascii="Arial Narrow" w:eastAsia="Calibri" w:hAnsi="Arial Narrow" w:cs="Arial"/>
                <w:b/>
                <w:sz w:val="18"/>
                <w:szCs w:val="18"/>
                <w:lang w:val="en"/>
              </w:rPr>
            </w:pPr>
          </w:p>
          <w:p w14:paraId="5ACB02EA" w14:textId="77777777" w:rsidR="00D403F5" w:rsidRDefault="00D403F5" w:rsidP="00D403F5">
            <w:pPr>
              <w:spacing w:after="0"/>
              <w:rPr>
                <w:rFonts w:ascii="Arial Narrow" w:eastAsia="Calibri" w:hAnsi="Arial Narrow" w:cs="Arial"/>
                <w:b/>
                <w:sz w:val="18"/>
                <w:szCs w:val="18"/>
                <w:lang w:val="en"/>
              </w:rPr>
            </w:pPr>
          </w:p>
          <w:p w14:paraId="6EDD08D5" w14:textId="77777777" w:rsidR="00C7266C" w:rsidRPr="00D403F5" w:rsidRDefault="00C7266C" w:rsidP="00D403F5">
            <w:pPr>
              <w:spacing w:after="0"/>
              <w:rPr>
                <w:rFonts w:ascii="Arial Narrow" w:eastAsia="Calibri" w:hAnsi="Arial Narrow" w:cs="Arial"/>
                <w:b/>
                <w:sz w:val="18"/>
                <w:szCs w:val="18"/>
                <w:lang w:val="en"/>
              </w:rPr>
            </w:pPr>
            <w:r w:rsidRPr="00D403F5">
              <w:rPr>
                <w:rFonts w:ascii="Arial Narrow" w:eastAsia="Calibri" w:hAnsi="Arial Narrow" w:cs="Arial"/>
                <w:b/>
                <w:sz w:val="18"/>
                <w:szCs w:val="18"/>
                <w:lang w:val="en"/>
              </w:rPr>
              <w:t>Dr Kei Yuasa</w:t>
            </w:r>
          </w:p>
          <w:p w14:paraId="30A8D6F4" w14:textId="77777777" w:rsidR="00C7266C" w:rsidRPr="00D403F5" w:rsidRDefault="00C7266C" w:rsidP="00D403F5">
            <w:pPr>
              <w:spacing w:after="0"/>
              <w:rPr>
                <w:rFonts w:ascii="Arial Narrow" w:eastAsia="Calibri" w:hAnsi="Arial Narrow" w:cs="Arial"/>
                <w:sz w:val="18"/>
                <w:szCs w:val="18"/>
                <w:lang w:val="en-US"/>
              </w:rPr>
            </w:pPr>
            <w:r w:rsidRPr="00D403F5">
              <w:rPr>
                <w:rFonts w:ascii="Arial Narrow" w:eastAsia="Calibri" w:hAnsi="Arial Narrow" w:cs="Arial"/>
                <w:sz w:val="18"/>
                <w:szCs w:val="18"/>
                <w:lang w:val="en-US"/>
              </w:rPr>
              <w:t>Fish and Fishery Products Safety Office,</w:t>
            </w:r>
          </w:p>
          <w:p w14:paraId="584B26FB" w14:textId="77777777" w:rsidR="00C7266C" w:rsidRPr="00D403F5" w:rsidRDefault="00C7266C" w:rsidP="00D403F5">
            <w:pPr>
              <w:spacing w:after="0"/>
              <w:rPr>
                <w:rFonts w:ascii="Arial Narrow" w:eastAsia="Calibri" w:hAnsi="Arial Narrow" w:cs="Arial"/>
                <w:sz w:val="18"/>
                <w:szCs w:val="18"/>
                <w:lang w:val="en-US"/>
              </w:rPr>
            </w:pPr>
            <w:r w:rsidRPr="00D403F5">
              <w:rPr>
                <w:rFonts w:ascii="Arial Narrow" w:eastAsia="Calibri" w:hAnsi="Arial Narrow" w:cs="Arial"/>
                <w:sz w:val="18"/>
                <w:szCs w:val="18"/>
                <w:lang w:val="en-US"/>
              </w:rPr>
              <w:t>Animal Products Safety Division,</w:t>
            </w:r>
          </w:p>
          <w:p w14:paraId="56234AF1" w14:textId="77777777" w:rsidR="00C7266C" w:rsidRPr="00D403F5" w:rsidRDefault="00C7266C" w:rsidP="00D403F5">
            <w:pPr>
              <w:spacing w:after="0"/>
              <w:rPr>
                <w:rFonts w:ascii="Arial Narrow" w:eastAsia="Calibri" w:hAnsi="Arial Narrow" w:cs="Arial"/>
                <w:sz w:val="18"/>
                <w:szCs w:val="18"/>
                <w:lang w:val="en-US"/>
              </w:rPr>
            </w:pPr>
            <w:r w:rsidRPr="00D403F5">
              <w:rPr>
                <w:rFonts w:ascii="Arial Narrow" w:eastAsia="Calibri" w:hAnsi="Arial Narrow" w:cs="Arial"/>
                <w:sz w:val="18"/>
                <w:szCs w:val="18"/>
                <w:lang w:val="en-US"/>
              </w:rPr>
              <w:t>Food Safety and Consumer Affairs Bureau,</w:t>
            </w:r>
          </w:p>
          <w:p w14:paraId="22FEDEA3" w14:textId="77777777" w:rsidR="00C7266C" w:rsidRPr="00D403F5" w:rsidRDefault="00C7266C" w:rsidP="00D403F5">
            <w:pPr>
              <w:spacing w:after="0"/>
              <w:rPr>
                <w:rFonts w:ascii="Arial Narrow" w:eastAsia="Calibri" w:hAnsi="Arial Narrow" w:cs="Arial"/>
                <w:sz w:val="18"/>
                <w:szCs w:val="18"/>
                <w:lang w:val="en-US"/>
              </w:rPr>
            </w:pPr>
            <w:r w:rsidRPr="00D403F5">
              <w:rPr>
                <w:rFonts w:ascii="Arial Narrow" w:eastAsia="Calibri" w:hAnsi="Arial Narrow" w:cs="Arial"/>
                <w:sz w:val="18"/>
                <w:szCs w:val="18"/>
                <w:lang w:val="en-US"/>
              </w:rPr>
              <w:t>Ministry of Agriculture, Forestry and Fisheries</w:t>
            </w:r>
          </w:p>
          <w:p w14:paraId="26AFD9F3" w14:textId="77777777" w:rsidR="00C7266C" w:rsidRPr="00D403F5" w:rsidRDefault="00C7266C" w:rsidP="00D403F5">
            <w:pPr>
              <w:spacing w:after="0"/>
              <w:rPr>
                <w:rFonts w:ascii="Arial Narrow" w:eastAsia="Calibri" w:hAnsi="Arial Narrow" w:cs="Arial"/>
                <w:sz w:val="18"/>
                <w:szCs w:val="18"/>
                <w:lang w:val="es-ES"/>
              </w:rPr>
            </w:pPr>
            <w:r w:rsidRPr="00D403F5">
              <w:rPr>
                <w:rFonts w:ascii="Arial Narrow" w:eastAsia="Calibri" w:hAnsi="Arial Narrow" w:cs="Arial"/>
                <w:sz w:val="18"/>
                <w:szCs w:val="18"/>
                <w:lang w:val="es-ES"/>
              </w:rPr>
              <w:t>1-2-1 Kasumigaseki, Chiyoda-ku, Tokyo 100-8950, Japan</w:t>
            </w:r>
          </w:p>
          <w:p w14:paraId="434904BC" w14:textId="77777777" w:rsidR="00C7266C" w:rsidRPr="00D403F5" w:rsidRDefault="00C7266C" w:rsidP="00D403F5">
            <w:pPr>
              <w:spacing w:after="0"/>
              <w:rPr>
                <w:rFonts w:ascii="Arial Narrow" w:eastAsia="Calibri" w:hAnsi="Arial Narrow" w:cs="Arial"/>
                <w:sz w:val="18"/>
                <w:szCs w:val="18"/>
                <w:lang w:val="es-ES"/>
              </w:rPr>
            </w:pPr>
            <w:r w:rsidRPr="00D403F5">
              <w:rPr>
                <w:rFonts w:ascii="Arial Narrow" w:eastAsia="Calibri" w:hAnsi="Arial Narrow" w:cs="Arial"/>
                <w:sz w:val="18"/>
                <w:szCs w:val="18"/>
                <w:lang w:val="es-ES"/>
              </w:rPr>
              <w:t>Tel+81-3-6744-2105</w:t>
            </w:r>
          </w:p>
          <w:p w14:paraId="634788BF" w14:textId="77777777" w:rsidR="00C7266C" w:rsidRPr="00D403F5" w:rsidRDefault="00C7266C" w:rsidP="00D403F5">
            <w:pPr>
              <w:spacing w:after="0"/>
              <w:rPr>
                <w:rFonts w:ascii="Arial Narrow" w:eastAsia="Calibri" w:hAnsi="Arial Narrow" w:cs="Arial"/>
                <w:sz w:val="18"/>
                <w:szCs w:val="18"/>
                <w:lang w:val="fr-FR"/>
              </w:rPr>
            </w:pPr>
            <w:r w:rsidRPr="00D403F5">
              <w:rPr>
                <w:rFonts w:ascii="Arial Narrow" w:eastAsia="Calibri" w:hAnsi="Arial Narrow" w:cs="Arial"/>
                <w:sz w:val="18"/>
                <w:szCs w:val="18"/>
                <w:lang w:val="fr-FR"/>
              </w:rPr>
              <w:t>Fax+81-3-3502-8275</w:t>
            </w:r>
            <w:r w:rsidRPr="00D403F5">
              <w:rPr>
                <w:rStyle w:val="aa"/>
                <w:rFonts w:ascii="Arial Narrow" w:eastAsia="Calibri" w:hAnsi="Arial Narrow" w:cs="Arial"/>
                <w:sz w:val="18"/>
                <w:szCs w:val="18"/>
                <w:lang w:val="fr-FR"/>
              </w:rPr>
              <w:t xml:space="preserve"> </w:t>
            </w:r>
            <w:hyperlink r:id="rId189" w:history="1">
              <w:r w:rsidRPr="00D403F5">
                <w:rPr>
                  <w:rStyle w:val="aa"/>
                  <w:rFonts w:ascii="Arial Narrow" w:eastAsia="Calibri" w:hAnsi="Arial Narrow" w:cs="Arial"/>
                  <w:sz w:val="18"/>
                  <w:szCs w:val="18"/>
                  <w:lang w:val="fr-FR"/>
                </w:rPr>
                <w:t>keiyuasa@hotmail.co.jp</w:t>
              </w:r>
            </w:hyperlink>
          </w:p>
          <w:p w14:paraId="4A55E92B" w14:textId="77777777" w:rsidR="00C7266C" w:rsidRPr="00D403F5" w:rsidRDefault="000667F3" w:rsidP="00D403F5">
            <w:pPr>
              <w:spacing w:after="0"/>
              <w:rPr>
                <w:rFonts w:ascii="Arial Narrow" w:hAnsi="Arial Narrow" w:cs="Arial"/>
                <w:sz w:val="18"/>
                <w:szCs w:val="18"/>
                <w:lang w:val="fr-FR" w:eastAsia="fr-FR"/>
              </w:rPr>
            </w:pPr>
            <w:hyperlink r:id="rId190" w:history="1">
              <w:r w:rsidR="00C7266C" w:rsidRPr="00D403F5">
                <w:rPr>
                  <w:rStyle w:val="aa"/>
                  <w:rFonts w:ascii="Arial Narrow" w:hAnsi="Arial Narrow" w:cs="Arial"/>
                  <w:sz w:val="18"/>
                  <w:szCs w:val="18"/>
                  <w:lang w:val="fr-FR" w:eastAsia="fr-FR"/>
                </w:rPr>
                <w:t>kei_yuasa380@maff.go.jp</w:t>
              </w:r>
            </w:hyperlink>
          </w:p>
          <w:p w14:paraId="5CDEF208" w14:textId="77777777" w:rsidR="00C7266C" w:rsidRPr="00D403F5" w:rsidRDefault="00C7266C" w:rsidP="00D403F5">
            <w:pPr>
              <w:spacing w:after="0"/>
              <w:rPr>
                <w:rFonts w:ascii="Arial Narrow" w:hAnsi="Arial Narrow" w:cs="Arial"/>
                <w:sz w:val="18"/>
                <w:szCs w:val="18"/>
                <w:lang w:val="fr-FR" w:eastAsia="fr-FR"/>
              </w:rPr>
            </w:pPr>
          </w:p>
        </w:tc>
        <w:tc>
          <w:tcPr>
            <w:tcW w:w="3069" w:type="dxa"/>
            <w:tcBorders>
              <w:top w:val="nil"/>
              <w:left w:val="nil"/>
              <w:bottom w:val="nil"/>
              <w:right w:val="nil"/>
            </w:tcBorders>
            <w:shd w:val="clear" w:color="auto" w:fill="auto"/>
          </w:tcPr>
          <w:p w14:paraId="6FF80DD2" w14:textId="77777777" w:rsidR="00C7266C" w:rsidRPr="00D403F5" w:rsidRDefault="00C7266C" w:rsidP="00D403F5">
            <w:pPr>
              <w:spacing w:after="0"/>
              <w:rPr>
                <w:rFonts w:ascii="Arial Narrow" w:eastAsia="Calibri" w:hAnsi="Arial Narrow" w:cs="Arial"/>
                <w:b/>
                <w:sz w:val="18"/>
                <w:szCs w:val="18"/>
                <w:lang w:val="en" w:eastAsia="en-GB"/>
              </w:rPr>
            </w:pPr>
            <w:r w:rsidRPr="00D403F5">
              <w:rPr>
                <w:rFonts w:ascii="Arial Narrow" w:eastAsia="Calibri" w:hAnsi="Arial Narrow" w:cs="Arial"/>
                <w:b/>
                <w:sz w:val="18"/>
                <w:szCs w:val="18"/>
                <w:lang w:val="en" w:eastAsia="en-GB"/>
              </w:rPr>
              <w:t xml:space="preserve">Dr Sophie St-Hilaire </w:t>
            </w:r>
          </w:p>
          <w:p w14:paraId="1A37273B"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Department of Infectious Diseases and Public Health</w:t>
            </w:r>
          </w:p>
          <w:p w14:paraId="50E8B22A"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College of veterinary Medicine and Life Sciences, City University of Hong Kong</w:t>
            </w:r>
          </w:p>
          <w:p w14:paraId="0A07C3C9"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CHINA (PEOPLE’S REP. OF)</w:t>
            </w:r>
          </w:p>
          <w:p w14:paraId="66EEB748" w14:textId="77777777" w:rsidR="00C7266C" w:rsidRPr="00D403F5" w:rsidRDefault="00C7266C" w:rsidP="00D403F5">
            <w:pPr>
              <w:spacing w:after="0"/>
              <w:rPr>
                <w:rFonts w:ascii="Arial Narrow" w:eastAsia="Calibri" w:hAnsi="Arial Narrow" w:cs="Arial"/>
                <w:sz w:val="18"/>
                <w:szCs w:val="18"/>
                <w:lang w:val="en" w:eastAsia="en-GB"/>
              </w:rPr>
            </w:pPr>
            <w:r w:rsidRPr="00D403F5">
              <w:rPr>
                <w:rFonts w:ascii="Arial Narrow" w:eastAsia="Calibri" w:hAnsi="Arial Narrow" w:cs="Arial"/>
                <w:sz w:val="18"/>
                <w:szCs w:val="18"/>
                <w:lang w:val="en" w:eastAsia="en-GB"/>
              </w:rPr>
              <w:t>Tel.: +852 9887 9396</w:t>
            </w:r>
          </w:p>
          <w:p w14:paraId="6EFA2703" w14:textId="77777777" w:rsidR="00C7266C" w:rsidRPr="00D403F5" w:rsidRDefault="000667F3" w:rsidP="00D403F5">
            <w:pPr>
              <w:spacing w:after="0"/>
              <w:rPr>
                <w:rFonts w:ascii="Arial Narrow" w:eastAsia="Calibri" w:hAnsi="Arial Narrow" w:cs="Arial"/>
                <w:sz w:val="18"/>
                <w:szCs w:val="18"/>
              </w:rPr>
            </w:pPr>
            <w:hyperlink r:id="rId191" w:history="1">
              <w:r w:rsidR="00C7266C" w:rsidRPr="00D403F5">
                <w:rPr>
                  <w:rStyle w:val="aa"/>
                  <w:rFonts w:ascii="Arial Narrow" w:eastAsia="Calibri" w:hAnsi="Arial Narrow" w:cs="Arial"/>
                  <w:sz w:val="18"/>
                  <w:szCs w:val="18"/>
                </w:rPr>
                <w:t>ssthilai@cityu.edu.hk</w:t>
              </w:r>
            </w:hyperlink>
          </w:p>
          <w:p w14:paraId="0DB78079" w14:textId="77777777" w:rsidR="00C7266C" w:rsidRPr="00D403F5" w:rsidRDefault="00C7266C" w:rsidP="00D403F5">
            <w:pPr>
              <w:autoSpaceDE w:val="0"/>
              <w:autoSpaceDN w:val="0"/>
              <w:adjustRightInd w:val="0"/>
              <w:spacing w:after="0"/>
              <w:rPr>
                <w:rFonts w:ascii="Arial Narrow" w:eastAsia="Calibri" w:hAnsi="Arial Narrow" w:cs="Arial"/>
                <w:sz w:val="18"/>
                <w:szCs w:val="18"/>
              </w:rPr>
            </w:pPr>
          </w:p>
          <w:p w14:paraId="53C86877" w14:textId="77777777" w:rsidR="00C7266C" w:rsidRPr="00D403F5" w:rsidRDefault="00C7266C" w:rsidP="00D403F5">
            <w:pPr>
              <w:spacing w:after="0"/>
              <w:rPr>
                <w:rFonts w:ascii="Arial Narrow" w:eastAsia="Calibri" w:hAnsi="Arial Narrow" w:cs="Arial"/>
                <w:sz w:val="18"/>
                <w:szCs w:val="18"/>
              </w:rPr>
            </w:pPr>
          </w:p>
        </w:tc>
      </w:tr>
    </w:tbl>
    <w:p w14:paraId="57E0A441" w14:textId="77777777" w:rsidR="00C7266C" w:rsidRPr="00D403F5" w:rsidRDefault="00C7266C" w:rsidP="00D403F5">
      <w:pPr>
        <w:pBdr>
          <w:bottom w:val="single" w:sz="4" w:space="1" w:color="auto"/>
        </w:pBdr>
        <w:spacing w:after="0"/>
        <w:rPr>
          <w:rFonts w:ascii="Arial Narrow" w:eastAsia="Calibri" w:hAnsi="Arial Narrow" w:cs="Arial"/>
          <w:b/>
          <w:sz w:val="18"/>
          <w:szCs w:val="18"/>
          <w:lang w:val="en-US" w:eastAsia="fr-FR"/>
        </w:rPr>
      </w:pPr>
      <w:r w:rsidRPr="00D403F5">
        <w:rPr>
          <w:rFonts w:ascii="Arial Narrow" w:eastAsia="Calibri" w:hAnsi="Arial Narrow" w:cs="Arial"/>
          <w:b/>
          <w:sz w:val="18"/>
          <w:szCs w:val="18"/>
          <w:lang w:val="en-US" w:eastAsia="fr-FR"/>
        </w:rPr>
        <w:t>OIE HEADQUARTERS</w:t>
      </w: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9"/>
      </w:tblGrid>
      <w:tr w:rsidR="00C7266C" w:rsidRPr="00D403F5" w14:paraId="5234D110" w14:textId="77777777" w:rsidTr="00C7266C">
        <w:trPr>
          <w:trHeight w:val="376"/>
        </w:trPr>
        <w:tc>
          <w:tcPr>
            <w:tcW w:w="9479" w:type="dxa"/>
            <w:tcBorders>
              <w:top w:val="nil"/>
              <w:left w:val="nil"/>
              <w:bottom w:val="nil"/>
              <w:right w:val="nil"/>
            </w:tcBorders>
            <w:shd w:val="clear" w:color="auto" w:fill="auto"/>
          </w:tcPr>
          <w:p w14:paraId="600A3245" w14:textId="77777777" w:rsidR="00C7266C" w:rsidRPr="00D403F5" w:rsidRDefault="00C7266C" w:rsidP="00D403F5">
            <w:pPr>
              <w:widowControl w:val="0"/>
              <w:autoSpaceDN w:val="0"/>
              <w:spacing w:after="0"/>
              <w:rPr>
                <w:rFonts w:ascii="Arial Narrow" w:eastAsia="MS Mincho" w:hAnsi="Arial Narrow" w:cs="Arial"/>
                <w:b/>
                <w:sz w:val="18"/>
                <w:szCs w:val="18"/>
                <w:lang w:val="fr-FR" w:eastAsia="ja-JP"/>
              </w:rPr>
            </w:pPr>
            <w:r w:rsidRPr="00D403F5">
              <w:rPr>
                <w:rFonts w:ascii="Arial Narrow" w:eastAsia="MS Mincho" w:hAnsi="Arial Narrow" w:cs="Arial"/>
                <w:b/>
                <w:sz w:val="18"/>
                <w:szCs w:val="18"/>
                <w:lang w:val="fr-FR" w:eastAsia="ja-JP"/>
              </w:rPr>
              <w:t>Dr Stian Johnsen</w:t>
            </w:r>
          </w:p>
          <w:p w14:paraId="0237670C" w14:textId="77777777" w:rsidR="00C7266C" w:rsidRPr="00D403F5" w:rsidRDefault="00C7266C" w:rsidP="00D403F5">
            <w:pPr>
              <w:widowControl w:val="0"/>
              <w:tabs>
                <w:tab w:val="left" w:pos="1702"/>
              </w:tabs>
              <w:autoSpaceDN w:val="0"/>
              <w:spacing w:after="0"/>
              <w:ind w:left="-70" w:firstLine="70"/>
              <w:rPr>
                <w:rFonts w:ascii="Arial Narrow" w:eastAsia="MS Mincho" w:hAnsi="Arial Narrow" w:cs="Arial"/>
                <w:sz w:val="18"/>
                <w:szCs w:val="18"/>
                <w:lang w:val="fr-FR" w:eastAsia="ja-JP"/>
              </w:rPr>
            </w:pPr>
            <w:r w:rsidRPr="00D403F5">
              <w:rPr>
                <w:rFonts w:ascii="Arial Narrow" w:eastAsia="MS Mincho" w:hAnsi="Arial Narrow" w:cs="Arial"/>
                <w:sz w:val="18"/>
                <w:szCs w:val="18"/>
                <w:lang w:val="fr-FR" w:eastAsia="ja-JP"/>
              </w:rPr>
              <w:t>Chargé de mission</w:t>
            </w:r>
          </w:p>
          <w:p w14:paraId="2278F301" w14:textId="77777777" w:rsidR="00C7266C" w:rsidRPr="00D403F5" w:rsidRDefault="00C7266C" w:rsidP="00D403F5">
            <w:pPr>
              <w:widowControl w:val="0"/>
              <w:tabs>
                <w:tab w:val="left" w:pos="1702"/>
              </w:tabs>
              <w:autoSpaceDN w:val="0"/>
              <w:spacing w:after="0"/>
              <w:ind w:left="-70" w:firstLine="70"/>
              <w:rPr>
                <w:rFonts w:ascii="Arial Narrow" w:eastAsia="MS Mincho" w:hAnsi="Arial Narrow" w:cs="Arial"/>
                <w:sz w:val="18"/>
                <w:szCs w:val="18"/>
                <w:lang w:val="fr-FR" w:eastAsia="ja-JP"/>
              </w:rPr>
            </w:pPr>
            <w:r w:rsidRPr="00D403F5">
              <w:rPr>
                <w:rFonts w:ascii="Arial Narrow" w:eastAsia="MS Mincho" w:hAnsi="Arial Narrow" w:cs="Arial"/>
                <w:sz w:val="18"/>
                <w:szCs w:val="18"/>
                <w:lang w:val="fr-FR" w:eastAsia="ja-JP"/>
              </w:rPr>
              <w:t>Standards Department</w:t>
            </w:r>
          </w:p>
          <w:p w14:paraId="150F3753" w14:textId="77777777" w:rsidR="00C7266C" w:rsidRPr="00D403F5" w:rsidRDefault="000667F3" w:rsidP="00D403F5">
            <w:pPr>
              <w:widowControl w:val="0"/>
              <w:tabs>
                <w:tab w:val="left" w:pos="1702"/>
              </w:tabs>
              <w:autoSpaceDN w:val="0"/>
              <w:spacing w:after="0"/>
              <w:ind w:left="-70" w:firstLine="70"/>
              <w:rPr>
                <w:rFonts w:ascii="Arial Narrow" w:eastAsia="MS Mincho" w:hAnsi="Arial Narrow" w:cs="Arial"/>
                <w:sz w:val="18"/>
                <w:szCs w:val="18"/>
                <w:lang w:val="fr-FR" w:eastAsia="ja-JP"/>
              </w:rPr>
            </w:pPr>
            <w:hyperlink r:id="rId192" w:history="1">
              <w:r w:rsidR="00C7266C" w:rsidRPr="00D403F5">
                <w:rPr>
                  <w:rStyle w:val="aa"/>
                  <w:rFonts w:ascii="Arial Narrow" w:eastAsia="MS Mincho" w:hAnsi="Arial Narrow" w:cs="Arial"/>
                  <w:sz w:val="18"/>
                  <w:szCs w:val="18"/>
                  <w:lang w:val="fr-FR" w:eastAsia="ja-JP"/>
                </w:rPr>
                <w:t>s.johnsen@oie.int</w:t>
              </w:r>
            </w:hyperlink>
          </w:p>
          <w:p w14:paraId="03CA19FD" w14:textId="77777777" w:rsidR="00C7266C" w:rsidRPr="00D403F5" w:rsidRDefault="00C7266C" w:rsidP="00D403F5">
            <w:pPr>
              <w:spacing w:after="0"/>
              <w:rPr>
                <w:rFonts w:ascii="Arial Narrow" w:eastAsia="Calibri" w:hAnsi="Arial Narrow" w:cs="Arial"/>
                <w:sz w:val="18"/>
                <w:szCs w:val="18"/>
                <w:lang w:val="fr-FR" w:eastAsia="en-GB"/>
              </w:rPr>
            </w:pPr>
          </w:p>
          <w:p w14:paraId="7B53A02D" w14:textId="77777777" w:rsidR="00C7266C" w:rsidRPr="00D403F5" w:rsidRDefault="00C7266C" w:rsidP="00D403F5">
            <w:pPr>
              <w:spacing w:after="0"/>
              <w:rPr>
                <w:rFonts w:ascii="Arial Narrow" w:eastAsia="Calibri" w:hAnsi="Arial Narrow" w:cs="Arial"/>
                <w:sz w:val="18"/>
                <w:szCs w:val="18"/>
                <w:lang w:val="fr-FR"/>
              </w:rPr>
            </w:pPr>
          </w:p>
        </w:tc>
      </w:tr>
    </w:tbl>
    <w:p w14:paraId="4F45303F" w14:textId="77777777" w:rsidR="00C7266C" w:rsidRPr="00D403F5" w:rsidRDefault="00C7266C" w:rsidP="00D403F5">
      <w:pPr>
        <w:widowControl w:val="0"/>
        <w:pBdr>
          <w:top w:val="nil"/>
          <w:left w:val="nil"/>
          <w:bottom w:val="nil"/>
          <w:right w:val="nil"/>
          <w:between w:val="nil"/>
          <w:bar w:val="nil"/>
        </w:pBdr>
        <w:tabs>
          <w:tab w:val="left" w:pos="708"/>
          <w:tab w:val="right" w:pos="9639"/>
        </w:tabs>
        <w:suppressAutoHyphens/>
        <w:spacing w:after="0"/>
        <w:jc w:val="center"/>
        <w:rPr>
          <w:rFonts w:eastAsia="Arial Unicode MS"/>
          <w:b/>
          <w:kern w:val="1"/>
          <w:sz w:val="18"/>
          <w:szCs w:val="18"/>
          <w:bdr w:val="nil"/>
          <w:lang w:val="fr-FR" w:eastAsia="ja-JP"/>
        </w:rPr>
      </w:pPr>
    </w:p>
    <w:p w14:paraId="2C58CE22" w14:textId="77777777" w:rsidR="00C7266C" w:rsidRPr="00D403F5" w:rsidRDefault="00C7266C" w:rsidP="00D403F5">
      <w:pPr>
        <w:spacing w:after="0" w:line="276" w:lineRule="auto"/>
        <w:rPr>
          <w:rFonts w:eastAsia="Arial Unicode MS"/>
          <w:kern w:val="1"/>
          <w:sz w:val="18"/>
          <w:szCs w:val="18"/>
          <w:u w:val="single"/>
          <w:bdr w:val="nil"/>
          <w:lang w:val="fr-FR" w:eastAsia="ja-JP"/>
        </w:rPr>
      </w:pPr>
    </w:p>
    <w:p w14:paraId="65E8C1BF" w14:textId="77777777" w:rsidR="00C7266C" w:rsidRPr="00D403F5" w:rsidRDefault="00C7266C" w:rsidP="00D403F5">
      <w:pPr>
        <w:widowControl w:val="0"/>
        <w:pBdr>
          <w:top w:val="nil"/>
          <w:left w:val="nil"/>
          <w:bottom w:val="nil"/>
          <w:right w:val="nil"/>
          <w:between w:val="nil"/>
          <w:bar w:val="nil"/>
        </w:pBdr>
        <w:tabs>
          <w:tab w:val="left" w:pos="708"/>
          <w:tab w:val="right" w:pos="9639"/>
        </w:tabs>
        <w:suppressAutoHyphens/>
        <w:spacing w:after="0"/>
        <w:jc w:val="right"/>
        <w:rPr>
          <w:rFonts w:eastAsia="Arial Unicode MS"/>
          <w:kern w:val="1"/>
          <w:sz w:val="18"/>
          <w:szCs w:val="18"/>
          <w:u w:val="single"/>
          <w:bdr w:val="nil"/>
          <w:lang w:val="fr-FR" w:eastAsia="ja-JP"/>
        </w:rPr>
        <w:sectPr w:rsidR="00C7266C" w:rsidRPr="00D403F5" w:rsidSect="00D403F5">
          <w:headerReference w:type="even" r:id="rId193"/>
          <w:headerReference w:type="default" r:id="rId194"/>
          <w:headerReference w:type="first" r:id="rId195"/>
          <w:type w:val="oddPage"/>
          <w:pgSz w:w="11906" w:h="16838"/>
          <w:pgMar w:top="1418" w:right="1418" w:bottom="1418" w:left="1418" w:header="709" w:footer="709" w:gutter="0"/>
          <w:cols w:space="708"/>
          <w:titlePg/>
          <w:docGrid w:linePitch="360"/>
        </w:sectPr>
      </w:pPr>
    </w:p>
    <w:p w14:paraId="2D5D9C99" w14:textId="77777777" w:rsidR="00C7266C" w:rsidRPr="00D403F5" w:rsidRDefault="00C7266C" w:rsidP="00D403F5">
      <w:pPr>
        <w:widowControl w:val="0"/>
        <w:pBdr>
          <w:top w:val="nil"/>
          <w:left w:val="nil"/>
          <w:bottom w:val="nil"/>
          <w:right w:val="nil"/>
          <w:between w:val="nil"/>
          <w:bar w:val="nil"/>
        </w:pBdr>
        <w:tabs>
          <w:tab w:val="left" w:pos="708"/>
          <w:tab w:val="right" w:pos="9639"/>
        </w:tabs>
        <w:suppressAutoHyphens/>
        <w:spacing w:after="0"/>
        <w:jc w:val="right"/>
        <w:rPr>
          <w:rFonts w:eastAsia="Arial Unicode MS"/>
          <w:kern w:val="1"/>
          <w:sz w:val="18"/>
          <w:szCs w:val="18"/>
          <w:u w:val="single"/>
          <w:bdr w:val="nil"/>
          <w:lang w:val="en-US" w:eastAsia="ja-JP"/>
        </w:rPr>
        <w:sectPr w:rsidR="00C7266C" w:rsidRPr="00D403F5">
          <w:headerReference w:type="even" r:id="rId196"/>
          <w:headerReference w:type="default" r:id="rId197"/>
          <w:footerReference w:type="even" r:id="rId198"/>
          <w:headerReference w:type="first" r:id="rId199"/>
          <w:pgSz w:w="12240" w:h="15840"/>
          <w:pgMar w:top="1440" w:right="1440" w:bottom="1440" w:left="1440" w:header="720" w:footer="720" w:gutter="0"/>
          <w:cols w:space="720"/>
          <w:docGrid w:linePitch="360"/>
        </w:sectPr>
      </w:pPr>
      <w:bookmarkStart w:id="113" w:name="_Hlk19199646"/>
    </w:p>
    <w:p w14:paraId="7B4D55BF" w14:textId="77777777" w:rsidR="00C7266C" w:rsidRPr="00D403F5" w:rsidRDefault="00C7266C" w:rsidP="00D403F5">
      <w:pPr>
        <w:spacing w:after="480" w:line="240" w:lineRule="auto"/>
        <w:jc w:val="right"/>
        <w:rPr>
          <w:rFonts w:ascii="Times New Roman" w:eastAsia="Calibri" w:hAnsi="Times New Roman" w:cs="Times New Roman"/>
          <w:sz w:val="20"/>
          <w:szCs w:val="20"/>
          <w:u w:val="single"/>
          <w:lang w:val="en-US"/>
        </w:rPr>
      </w:pPr>
      <w:r w:rsidRPr="00D403F5">
        <w:rPr>
          <w:rFonts w:ascii="Times New Roman" w:eastAsia="Calibri" w:hAnsi="Times New Roman" w:cs="Times New Roman"/>
          <w:sz w:val="20"/>
          <w:szCs w:val="20"/>
          <w:u w:val="single"/>
          <w:lang w:val="en-US"/>
        </w:rPr>
        <w:t>Annex 15</w:t>
      </w:r>
      <w:r w:rsidRPr="00D403F5">
        <w:rPr>
          <w:rFonts w:ascii="Times New Roman" w:eastAsia="Calibri" w:hAnsi="Times New Roman" w:cs="Times New Roman"/>
          <w:sz w:val="20"/>
          <w:szCs w:val="20"/>
          <w:lang w:val="en-US"/>
        </w:rPr>
        <w:t xml:space="preserve"> (contd)</w:t>
      </w:r>
    </w:p>
    <w:p w14:paraId="60DF7B1E" w14:textId="77777777" w:rsidR="00C7266C" w:rsidRPr="00D403F5" w:rsidRDefault="00C7266C" w:rsidP="00D403F5">
      <w:pPr>
        <w:spacing w:after="480" w:line="240" w:lineRule="auto"/>
        <w:jc w:val="right"/>
        <w:rPr>
          <w:rFonts w:ascii="Times New Roman" w:eastAsia="Calibri" w:hAnsi="Times New Roman" w:cs="Times New Roman"/>
          <w:sz w:val="20"/>
          <w:szCs w:val="20"/>
          <w:u w:val="single"/>
          <w:lang w:val="en-US"/>
        </w:rPr>
      </w:pPr>
      <w:r w:rsidRPr="00D403F5">
        <w:rPr>
          <w:rFonts w:ascii="Times New Roman" w:eastAsia="Calibri" w:hAnsi="Times New Roman" w:cs="Times New Roman"/>
          <w:sz w:val="20"/>
          <w:szCs w:val="20"/>
          <w:u w:val="single"/>
          <w:lang w:val="en-US"/>
        </w:rPr>
        <w:t>Annex III</w:t>
      </w:r>
    </w:p>
    <w:bookmarkEnd w:id="113"/>
    <w:p w14:paraId="78831BF7" w14:textId="77777777" w:rsidR="00C7266C" w:rsidRPr="001041C6" w:rsidRDefault="00C7266C" w:rsidP="00D403F5">
      <w:pPr>
        <w:keepNext/>
        <w:keepLines/>
        <w:pBdr>
          <w:top w:val="nil"/>
          <w:left w:val="nil"/>
          <w:bottom w:val="nil"/>
          <w:right w:val="nil"/>
          <w:between w:val="nil"/>
          <w:bar w:val="nil"/>
        </w:pBdr>
        <w:tabs>
          <w:tab w:val="left" w:pos="567"/>
          <w:tab w:val="left" w:pos="1134"/>
          <w:tab w:val="left" w:pos="1701"/>
          <w:tab w:val="left" w:pos="2268"/>
          <w:tab w:val="left" w:pos="2835"/>
        </w:tabs>
        <w:suppressAutoHyphens/>
        <w:spacing w:after="0"/>
        <w:jc w:val="center"/>
        <w:outlineLvl w:val="0"/>
        <w:rPr>
          <w:rFonts w:ascii="Arial" w:eastAsia="Calibri" w:hAnsi="Arial" w:cs="Arial"/>
          <w:b/>
          <w:bCs/>
          <w:caps/>
          <w:noProof/>
          <w:sz w:val="20"/>
          <w:szCs w:val="20"/>
          <w:bdr w:val="nil"/>
        </w:rPr>
      </w:pPr>
      <w:r w:rsidRPr="001041C6">
        <w:rPr>
          <w:rFonts w:ascii="Arial" w:eastAsia="Calibri" w:hAnsi="Arial" w:cs="Arial"/>
          <w:b/>
          <w:bCs/>
          <w:caps/>
          <w:noProof/>
          <w:sz w:val="20"/>
          <w:szCs w:val="20"/>
          <w:bdr w:val="nil"/>
        </w:rPr>
        <w:t xml:space="preserve">report of of THE OIE </w:t>
      </w:r>
      <w:r w:rsidRPr="001041C6">
        <w:rPr>
          <w:rFonts w:ascii="Arial" w:eastAsia="Calibri" w:hAnsi="Arial" w:cs="Arial"/>
          <w:b/>
          <w:bCs/>
          <w:i/>
          <w:caps/>
          <w:noProof/>
          <w:sz w:val="20"/>
          <w:szCs w:val="20"/>
          <w:bdr w:val="nil"/>
        </w:rPr>
        <w:t xml:space="preserve">AD HOC </w:t>
      </w:r>
      <w:r w:rsidRPr="001041C6">
        <w:rPr>
          <w:rFonts w:ascii="Arial" w:eastAsia="Calibri" w:hAnsi="Arial" w:cs="Arial"/>
          <w:b/>
          <w:bCs/>
          <w:caps/>
          <w:noProof/>
          <w:sz w:val="20"/>
          <w:szCs w:val="20"/>
          <w:bdr w:val="nil"/>
        </w:rPr>
        <w:t>GROUP ON SUSCEPTIBILITY OF</w:t>
      </w:r>
      <w:r w:rsidRPr="001041C6">
        <w:rPr>
          <w:rFonts w:ascii="Arial" w:eastAsia="Calibri" w:hAnsi="Arial" w:cs="Arial"/>
          <w:b/>
          <w:bCs/>
          <w:caps/>
          <w:noProof/>
          <w:sz w:val="20"/>
          <w:szCs w:val="20"/>
          <w:bdr w:val="nil"/>
        </w:rPr>
        <w:br/>
        <w:t>FISH SPECIES TO INFECTION WITH OIE LISTED DISEASES</w:t>
      </w:r>
    </w:p>
    <w:p w14:paraId="662E424E" w14:textId="77777777" w:rsidR="001041C6" w:rsidRPr="00D403F5" w:rsidRDefault="001041C6" w:rsidP="001041C6">
      <w:pPr>
        <w:pBdr>
          <w:top w:val="nil"/>
          <w:left w:val="nil"/>
          <w:bottom w:val="nil"/>
          <w:right w:val="nil"/>
          <w:between w:val="nil"/>
          <w:bar w:val="nil"/>
        </w:pBdr>
        <w:suppressAutoHyphens/>
        <w:spacing w:after="240"/>
        <w:jc w:val="center"/>
        <w:rPr>
          <w:rFonts w:ascii="Arial" w:eastAsia="Calibri" w:hAnsi="Arial" w:cs="Arial"/>
          <w:sz w:val="20"/>
          <w:szCs w:val="18"/>
        </w:rPr>
      </w:pPr>
      <w:r w:rsidRPr="00D403F5">
        <w:rPr>
          <w:rFonts w:ascii="Arial" w:eastAsia="Calibri" w:hAnsi="Arial" w:cs="Arial"/>
          <w:b/>
          <w:noProof/>
          <w:sz w:val="20"/>
          <w:szCs w:val="18"/>
          <w:bdr w:val="nil"/>
        </w:rPr>
        <w:t xml:space="preserve">November 2018–September 2019 </w:t>
      </w:r>
    </w:p>
    <w:p w14:paraId="17B287B3" w14:textId="77777777" w:rsidR="001041C6" w:rsidRPr="00D403F5" w:rsidRDefault="001041C6" w:rsidP="001041C6">
      <w:pPr>
        <w:spacing w:after="240"/>
        <w:jc w:val="center"/>
        <w:rPr>
          <w:rFonts w:ascii="Arial" w:eastAsia="Calibri" w:hAnsi="Arial" w:cs="Arial"/>
          <w:sz w:val="20"/>
          <w:szCs w:val="18"/>
        </w:rPr>
      </w:pPr>
      <w:r w:rsidRPr="00D403F5">
        <w:rPr>
          <w:rFonts w:ascii="Arial" w:eastAsia="Calibri" w:hAnsi="Arial" w:cs="Arial"/>
          <w:sz w:val="20"/>
          <w:szCs w:val="18"/>
        </w:rPr>
        <w:t>_______</w:t>
      </w:r>
    </w:p>
    <w:p w14:paraId="370C9DF1" w14:textId="182F8EE9" w:rsidR="001041C6" w:rsidRPr="00D403F5" w:rsidRDefault="001041C6" w:rsidP="001041C6">
      <w:pPr>
        <w:tabs>
          <w:tab w:val="left" w:pos="576"/>
          <w:tab w:val="left" w:pos="1152"/>
          <w:tab w:val="left" w:pos="3312"/>
          <w:tab w:val="left" w:pos="5616"/>
        </w:tabs>
        <w:spacing w:after="480"/>
        <w:ind w:right="51"/>
        <w:jc w:val="center"/>
        <w:rPr>
          <w:rFonts w:ascii="Arial" w:eastAsia="Calibri" w:hAnsi="Arial" w:cs="Arial"/>
          <w:b/>
          <w:sz w:val="20"/>
          <w:szCs w:val="18"/>
          <w:lang w:val="en-US"/>
        </w:rPr>
      </w:pPr>
      <w:r>
        <w:rPr>
          <w:rFonts w:ascii="Arial" w:eastAsia="Calibri" w:hAnsi="Arial" w:cs="Arial"/>
          <w:b/>
          <w:sz w:val="20"/>
          <w:szCs w:val="18"/>
          <w:lang w:val="en-US"/>
        </w:rPr>
        <w:t>Terms of reference</w:t>
      </w:r>
    </w:p>
    <w:p w14:paraId="472DD0A1" w14:textId="77777777" w:rsidR="00C7266C" w:rsidRPr="001041C6" w:rsidRDefault="00C7266C" w:rsidP="001041C6">
      <w:pPr>
        <w:widowControl w:val="0"/>
        <w:suppressAutoHyphens/>
        <w:spacing w:after="120"/>
        <w:rPr>
          <w:rFonts w:ascii="Times New Roman" w:eastAsia="MS Mincho" w:hAnsi="Times New Roman" w:cs="Times New Roman"/>
          <w:b/>
          <w:kern w:val="1"/>
          <w:sz w:val="20"/>
          <w:szCs w:val="20"/>
          <w:lang w:eastAsia="ar-SA"/>
        </w:rPr>
      </w:pPr>
      <w:r w:rsidRPr="001041C6">
        <w:rPr>
          <w:rFonts w:ascii="Times New Roman" w:eastAsia="MS Mincho" w:hAnsi="Times New Roman" w:cs="Times New Roman"/>
          <w:b/>
          <w:kern w:val="1"/>
          <w:sz w:val="20"/>
          <w:szCs w:val="20"/>
          <w:lang w:eastAsia="ar-SA"/>
        </w:rPr>
        <w:t>Background</w:t>
      </w:r>
    </w:p>
    <w:p w14:paraId="43A97BB7" w14:textId="77777777" w:rsidR="00C7266C" w:rsidRPr="001041C6" w:rsidRDefault="00C7266C" w:rsidP="001041C6">
      <w:pPr>
        <w:widowControl w:val="0"/>
        <w:suppressAutoHyphens/>
        <w:spacing w:after="120"/>
        <w:jc w:val="both"/>
        <w:rPr>
          <w:rFonts w:ascii="Times New Roman" w:eastAsia="MS Mincho" w:hAnsi="Times New Roman" w:cs="Times New Roman"/>
          <w:kern w:val="1"/>
          <w:sz w:val="20"/>
          <w:szCs w:val="20"/>
          <w:lang w:eastAsia="ar-SA"/>
        </w:rPr>
      </w:pPr>
      <w:r w:rsidRPr="001041C6">
        <w:rPr>
          <w:rFonts w:ascii="Times New Roman" w:eastAsia="MS Mincho" w:hAnsi="Times New Roman" w:cs="Times New Roman"/>
          <w:kern w:val="1"/>
          <w:sz w:val="20"/>
          <w:szCs w:val="20"/>
          <w:lang w:eastAsia="ar-SA"/>
        </w:rPr>
        <w:t xml:space="preserve">A new Chapter 1.5. ‘Criteria for listing species as susceptible to infection with a specific pathogen’ was introduced in the 2014 edition of the </w:t>
      </w:r>
      <w:r w:rsidRPr="001041C6">
        <w:rPr>
          <w:rFonts w:ascii="Times New Roman" w:eastAsia="MS Mincho" w:hAnsi="Times New Roman" w:cs="Times New Roman"/>
          <w:i/>
          <w:kern w:val="1"/>
          <w:sz w:val="20"/>
          <w:szCs w:val="20"/>
          <w:lang w:eastAsia="ar-SA"/>
        </w:rPr>
        <w:t>Aquatic Code</w:t>
      </w:r>
      <w:r w:rsidRPr="001041C6">
        <w:rPr>
          <w:rFonts w:ascii="Times New Roman" w:eastAsia="MS Mincho" w:hAnsi="Times New Roman" w:cs="Times New Roman"/>
          <w:kern w:val="1"/>
          <w:sz w:val="20"/>
          <w:szCs w:val="20"/>
          <w:lang w:eastAsia="ar-SA"/>
        </w:rPr>
        <w:t xml:space="preserve">. The purpose of this chapter is to provide criteria for determining which host species are listed as susceptible in Article X.X.2. of each disease-specific chapter in the </w:t>
      </w:r>
      <w:r w:rsidRPr="001041C6">
        <w:rPr>
          <w:rFonts w:ascii="Times New Roman" w:eastAsia="MS Mincho" w:hAnsi="Times New Roman" w:cs="Times New Roman"/>
          <w:i/>
          <w:iCs/>
          <w:kern w:val="1"/>
          <w:sz w:val="20"/>
          <w:szCs w:val="20"/>
          <w:lang w:eastAsia="ar-SA"/>
        </w:rPr>
        <w:t xml:space="preserve">Aquatic Code. </w:t>
      </w:r>
      <w:r w:rsidRPr="001041C6">
        <w:rPr>
          <w:rFonts w:ascii="Times New Roman" w:eastAsia="MS Mincho" w:hAnsi="Times New Roman" w:cs="Times New Roman"/>
          <w:iCs/>
          <w:kern w:val="1"/>
          <w:sz w:val="20"/>
          <w:szCs w:val="20"/>
          <w:lang w:eastAsia="ar-SA"/>
        </w:rPr>
        <w:t>The criteria are to be</w:t>
      </w:r>
      <w:r w:rsidRPr="001041C6">
        <w:rPr>
          <w:rFonts w:ascii="Times New Roman" w:eastAsia="MS Mincho" w:hAnsi="Times New Roman" w:cs="Times New Roman"/>
          <w:i/>
          <w:iCs/>
          <w:kern w:val="1"/>
          <w:sz w:val="20"/>
          <w:szCs w:val="20"/>
          <w:lang w:eastAsia="ar-SA"/>
        </w:rPr>
        <w:t xml:space="preserve"> </w:t>
      </w:r>
      <w:r w:rsidRPr="001041C6">
        <w:rPr>
          <w:rFonts w:ascii="Times New Roman" w:eastAsia="MS Mincho" w:hAnsi="Times New Roman" w:cs="Times New Roman"/>
          <w:kern w:val="1"/>
          <w:sz w:val="20"/>
          <w:szCs w:val="20"/>
          <w:lang w:eastAsia="ar-SA"/>
        </w:rPr>
        <w:t xml:space="preserve">applied progressively to each disease-specific chapter in the </w:t>
      </w:r>
      <w:r w:rsidRPr="001041C6">
        <w:rPr>
          <w:rFonts w:ascii="Times New Roman" w:eastAsia="MS Mincho" w:hAnsi="Times New Roman" w:cs="Times New Roman"/>
          <w:i/>
          <w:iCs/>
          <w:kern w:val="1"/>
          <w:sz w:val="20"/>
          <w:szCs w:val="20"/>
          <w:lang w:eastAsia="ar-SA"/>
        </w:rPr>
        <w:t>Aquatic Code</w:t>
      </w:r>
      <w:r w:rsidRPr="001041C6">
        <w:rPr>
          <w:rFonts w:ascii="Times New Roman" w:eastAsia="MS Mincho" w:hAnsi="Times New Roman" w:cs="Times New Roman"/>
          <w:kern w:val="1"/>
          <w:sz w:val="20"/>
          <w:szCs w:val="20"/>
          <w:lang w:eastAsia="ar-SA"/>
        </w:rPr>
        <w:t xml:space="preserve">. </w:t>
      </w:r>
    </w:p>
    <w:p w14:paraId="57FC0368" w14:textId="77777777" w:rsidR="00C7266C" w:rsidRPr="001041C6" w:rsidRDefault="00C7266C" w:rsidP="001041C6">
      <w:pPr>
        <w:widowControl w:val="0"/>
        <w:suppressAutoHyphens/>
        <w:spacing w:after="120"/>
        <w:jc w:val="both"/>
        <w:rPr>
          <w:rFonts w:ascii="Times New Roman" w:eastAsia="MS Mincho" w:hAnsi="Times New Roman" w:cs="Times New Roman"/>
          <w:kern w:val="1"/>
          <w:sz w:val="20"/>
          <w:szCs w:val="20"/>
          <w:lang w:eastAsia="ar-SA"/>
        </w:rPr>
      </w:pPr>
      <w:r w:rsidRPr="001041C6">
        <w:rPr>
          <w:rFonts w:ascii="Times New Roman" w:eastAsia="MS Mincho" w:hAnsi="Times New Roman" w:cs="Times New Roman"/>
          <w:kern w:val="1"/>
          <w:sz w:val="20"/>
          <w:szCs w:val="20"/>
          <w:lang w:eastAsia="ar-SA"/>
        </w:rPr>
        <w:t xml:space="preserve">These assessments will be undertaken by </w:t>
      </w:r>
      <w:r w:rsidRPr="001041C6">
        <w:rPr>
          <w:rFonts w:ascii="Times New Roman" w:eastAsia="MS Mincho" w:hAnsi="Times New Roman" w:cs="Times New Roman"/>
          <w:i/>
          <w:iCs/>
          <w:kern w:val="1"/>
          <w:sz w:val="20"/>
          <w:szCs w:val="20"/>
          <w:lang w:eastAsia="ar-SA"/>
        </w:rPr>
        <w:t>ad hoc</w:t>
      </w:r>
      <w:r w:rsidRPr="001041C6">
        <w:rPr>
          <w:rFonts w:ascii="Times New Roman" w:eastAsia="MS Mincho" w:hAnsi="Times New Roman" w:cs="Times New Roman"/>
          <w:kern w:val="1"/>
          <w:sz w:val="20"/>
          <w:szCs w:val="20"/>
          <w:lang w:eastAsia="ar-SA"/>
        </w:rPr>
        <w:t xml:space="preserve"> Groups and the assessments will be provided to Member Countries for comment prior to any change in the list of susceptible species in Article X.X.2. of the disease-specific chapters in the </w:t>
      </w:r>
      <w:r w:rsidRPr="001041C6">
        <w:rPr>
          <w:rFonts w:ascii="Times New Roman" w:eastAsia="MS Mincho" w:hAnsi="Times New Roman" w:cs="Times New Roman"/>
          <w:i/>
          <w:iCs/>
          <w:kern w:val="1"/>
          <w:sz w:val="20"/>
          <w:szCs w:val="20"/>
          <w:lang w:eastAsia="ar-SA"/>
        </w:rPr>
        <w:t>Aquatic Code.</w:t>
      </w:r>
      <w:r w:rsidRPr="001041C6">
        <w:rPr>
          <w:rFonts w:ascii="Times New Roman" w:eastAsia="MS Mincho" w:hAnsi="Times New Roman" w:cs="Times New Roman"/>
          <w:kern w:val="1"/>
          <w:sz w:val="20"/>
          <w:szCs w:val="20"/>
          <w:lang w:eastAsia="ar-SA"/>
        </w:rPr>
        <w:t xml:space="preserve"> </w:t>
      </w:r>
    </w:p>
    <w:p w14:paraId="7A1B8425" w14:textId="77777777" w:rsidR="00C7266C" w:rsidRPr="001041C6" w:rsidRDefault="00C7266C" w:rsidP="001041C6">
      <w:pPr>
        <w:widowControl w:val="0"/>
        <w:suppressAutoHyphens/>
        <w:spacing w:after="120"/>
        <w:jc w:val="both"/>
        <w:rPr>
          <w:rFonts w:ascii="Times New Roman" w:eastAsia="MS Mincho" w:hAnsi="Times New Roman" w:cs="Times New Roman"/>
          <w:kern w:val="1"/>
          <w:sz w:val="20"/>
          <w:szCs w:val="20"/>
          <w:lang w:eastAsia="ar-SA"/>
        </w:rPr>
      </w:pPr>
      <w:r w:rsidRPr="001041C6">
        <w:rPr>
          <w:rFonts w:ascii="Times New Roman" w:eastAsia="MS Mincho" w:hAnsi="Times New Roman" w:cs="Times New Roman"/>
          <w:kern w:val="1"/>
          <w:sz w:val="20"/>
          <w:szCs w:val="20"/>
          <w:lang w:eastAsia="ar-SA"/>
        </w:rPr>
        <w:t xml:space="preserve">For species where there is some evidence of susceptibility but insufficient evidence to demonstrate susceptibility through the approach described in Article 1.5.3., information will be included in the relevant disease-specific chapter in the </w:t>
      </w:r>
      <w:r w:rsidRPr="001041C6">
        <w:rPr>
          <w:rFonts w:ascii="Times New Roman" w:eastAsia="MS Mincho" w:hAnsi="Times New Roman" w:cs="Times New Roman"/>
          <w:i/>
          <w:iCs/>
          <w:kern w:val="1"/>
          <w:sz w:val="20"/>
          <w:szCs w:val="20"/>
          <w:lang w:eastAsia="ar-SA"/>
        </w:rPr>
        <w:t>Aquatic Manual</w:t>
      </w:r>
      <w:r w:rsidRPr="001041C6">
        <w:rPr>
          <w:rFonts w:ascii="Times New Roman" w:eastAsia="MS Mincho" w:hAnsi="Times New Roman" w:cs="Times New Roman"/>
          <w:kern w:val="1"/>
          <w:sz w:val="20"/>
          <w:szCs w:val="20"/>
          <w:lang w:eastAsia="ar-SA"/>
        </w:rPr>
        <w:t xml:space="preserve">. </w:t>
      </w:r>
    </w:p>
    <w:p w14:paraId="0CA977B4" w14:textId="77777777" w:rsidR="00C7266C" w:rsidRPr="001041C6" w:rsidRDefault="00C7266C" w:rsidP="001041C6">
      <w:pPr>
        <w:widowControl w:val="0"/>
        <w:suppressAutoHyphens/>
        <w:spacing w:after="120"/>
        <w:jc w:val="both"/>
        <w:rPr>
          <w:rFonts w:ascii="Times New Roman" w:eastAsia="MS Mincho" w:hAnsi="Times New Roman" w:cs="Times New Roman"/>
          <w:b/>
          <w:kern w:val="1"/>
          <w:sz w:val="20"/>
          <w:szCs w:val="20"/>
          <w:lang w:eastAsia="ar-SA"/>
        </w:rPr>
      </w:pPr>
      <w:r w:rsidRPr="001041C6">
        <w:rPr>
          <w:rFonts w:ascii="Times New Roman" w:eastAsia="MS Mincho" w:hAnsi="Times New Roman" w:cs="Times New Roman"/>
          <w:b/>
          <w:kern w:val="1"/>
          <w:sz w:val="20"/>
          <w:szCs w:val="20"/>
          <w:lang w:eastAsia="ar-SA"/>
        </w:rPr>
        <w:t xml:space="preserve">Purpose </w:t>
      </w:r>
    </w:p>
    <w:p w14:paraId="5C61FC65" w14:textId="77777777" w:rsidR="00C7266C" w:rsidRPr="001041C6" w:rsidRDefault="00C7266C" w:rsidP="001041C6">
      <w:pPr>
        <w:widowControl w:val="0"/>
        <w:suppressAutoHyphens/>
        <w:spacing w:after="120"/>
        <w:jc w:val="both"/>
        <w:rPr>
          <w:rFonts w:ascii="Times New Roman" w:eastAsia="MS Mincho" w:hAnsi="Times New Roman" w:cs="Times New Roman"/>
          <w:kern w:val="1"/>
          <w:sz w:val="20"/>
          <w:szCs w:val="20"/>
          <w:lang w:eastAsia="ar-SA"/>
        </w:rPr>
      </w:pPr>
      <w:r w:rsidRPr="001041C6">
        <w:rPr>
          <w:rFonts w:ascii="Times New Roman" w:eastAsia="MS Mincho" w:hAnsi="Times New Roman" w:cs="Times New Roman"/>
          <w:kern w:val="1"/>
          <w:sz w:val="20"/>
          <w:szCs w:val="20"/>
          <w:lang w:eastAsia="ar-SA"/>
        </w:rPr>
        <w:t xml:space="preserve">The </w:t>
      </w:r>
      <w:r w:rsidRPr="001041C6">
        <w:rPr>
          <w:rFonts w:ascii="Times New Roman" w:eastAsia="MS Mincho" w:hAnsi="Times New Roman" w:cs="Times New Roman"/>
          <w:i/>
          <w:kern w:val="1"/>
          <w:sz w:val="20"/>
          <w:szCs w:val="20"/>
          <w:lang w:eastAsia="ar-SA"/>
        </w:rPr>
        <w:t>ad hoc</w:t>
      </w:r>
      <w:r w:rsidRPr="001041C6">
        <w:rPr>
          <w:rFonts w:ascii="Times New Roman" w:eastAsia="MS Mincho" w:hAnsi="Times New Roman" w:cs="Times New Roman"/>
          <w:kern w:val="1"/>
          <w:sz w:val="20"/>
          <w:szCs w:val="20"/>
          <w:lang w:eastAsia="ar-SA"/>
        </w:rPr>
        <w:t xml:space="preserve"> Group on Susceptibility of fish species to infection with OIE listed diseases will undertake assessments for the ten OIE listed fish diseases.</w:t>
      </w:r>
    </w:p>
    <w:p w14:paraId="361C9DE3" w14:textId="77777777" w:rsidR="00C7266C" w:rsidRPr="001041C6" w:rsidRDefault="00C7266C" w:rsidP="001041C6">
      <w:pPr>
        <w:widowControl w:val="0"/>
        <w:suppressAutoHyphens/>
        <w:spacing w:after="120"/>
        <w:jc w:val="both"/>
        <w:rPr>
          <w:rFonts w:ascii="Times New Roman" w:eastAsia="MS Mincho" w:hAnsi="Times New Roman" w:cs="Times New Roman"/>
          <w:b/>
          <w:kern w:val="1"/>
          <w:sz w:val="20"/>
          <w:szCs w:val="20"/>
          <w:lang w:eastAsia="ar-SA"/>
        </w:rPr>
      </w:pPr>
      <w:r w:rsidRPr="001041C6">
        <w:rPr>
          <w:rFonts w:ascii="Times New Roman" w:eastAsia="MS Mincho" w:hAnsi="Times New Roman" w:cs="Times New Roman"/>
          <w:b/>
          <w:kern w:val="1"/>
          <w:sz w:val="20"/>
          <w:szCs w:val="20"/>
          <w:lang w:eastAsia="ar-SA"/>
        </w:rPr>
        <w:t>Terms of Reference</w:t>
      </w:r>
    </w:p>
    <w:p w14:paraId="02E1D639" w14:textId="77777777" w:rsidR="00C7266C" w:rsidRPr="001041C6" w:rsidRDefault="00C7266C" w:rsidP="001041C6">
      <w:pPr>
        <w:widowControl w:val="0"/>
        <w:suppressAutoHyphens/>
        <w:spacing w:after="120"/>
        <w:ind w:left="426" w:hanging="426"/>
        <w:jc w:val="both"/>
        <w:rPr>
          <w:rFonts w:ascii="Times New Roman" w:eastAsia="Calibri" w:hAnsi="Times New Roman" w:cs="Times New Roman"/>
          <w:kern w:val="1"/>
          <w:sz w:val="20"/>
          <w:szCs w:val="20"/>
          <w:lang w:eastAsia="ar-SA"/>
        </w:rPr>
      </w:pPr>
      <w:r w:rsidRPr="001041C6">
        <w:rPr>
          <w:rFonts w:ascii="Times New Roman" w:eastAsia="Calibri" w:hAnsi="Times New Roman" w:cs="Times New Roman"/>
          <w:kern w:val="1"/>
          <w:sz w:val="20"/>
          <w:szCs w:val="20"/>
          <w:lang w:eastAsia="ar-SA"/>
        </w:rPr>
        <w:t>1.</w:t>
      </w:r>
      <w:r w:rsidRPr="001041C6">
        <w:rPr>
          <w:rFonts w:ascii="Times New Roman" w:eastAsia="Calibri" w:hAnsi="Times New Roman" w:cs="Times New Roman"/>
          <w:kern w:val="1"/>
          <w:sz w:val="20"/>
          <w:szCs w:val="20"/>
          <w:lang w:eastAsia="ar-SA"/>
        </w:rPr>
        <w:tab/>
        <w:t>Consider evidence required to satisfy the criteria in Chapter 1.5.</w:t>
      </w:r>
    </w:p>
    <w:p w14:paraId="2CE40A7F" w14:textId="77777777" w:rsidR="00C7266C" w:rsidRPr="001041C6" w:rsidRDefault="00C7266C" w:rsidP="001041C6">
      <w:pPr>
        <w:widowControl w:val="0"/>
        <w:suppressAutoHyphens/>
        <w:spacing w:after="120"/>
        <w:ind w:left="426" w:hanging="426"/>
        <w:jc w:val="both"/>
        <w:rPr>
          <w:rFonts w:ascii="Times New Roman" w:eastAsia="Calibri" w:hAnsi="Times New Roman" w:cs="Times New Roman"/>
          <w:kern w:val="1"/>
          <w:sz w:val="20"/>
          <w:szCs w:val="20"/>
          <w:lang w:eastAsia="ar-SA"/>
        </w:rPr>
      </w:pPr>
      <w:r w:rsidRPr="001041C6">
        <w:rPr>
          <w:rFonts w:ascii="Times New Roman" w:eastAsia="Calibri" w:hAnsi="Times New Roman" w:cs="Times New Roman"/>
          <w:kern w:val="1"/>
          <w:sz w:val="20"/>
          <w:szCs w:val="20"/>
          <w:lang w:eastAsia="ar-SA"/>
        </w:rPr>
        <w:t xml:space="preserve">2. </w:t>
      </w:r>
      <w:r w:rsidRPr="001041C6">
        <w:rPr>
          <w:rFonts w:ascii="Times New Roman" w:eastAsia="Calibri" w:hAnsi="Times New Roman" w:cs="Times New Roman"/>
          <w:kern w:val="1"/>
          <w:sz w:val="20"/>
          <w:szCs w:val="20"/>
          <w:lang w:eastAsia="ar-SA"/>
        </w:rPr>
        <w:tab/>
        <w:t>Review relevant literature documenting susceptibility of species for OIE listed fish diseases.</w:t>
      </w:r>
    </w:p>
    <w:p w14:paraId="4373700C" w14:textId="77777777" w:rsidR="00C7266C" w:rsidRPr="001041C6" w:rsidRDefault="00C7266C" w:rsidP="001041C6">
      <w:pPr>
        <w:widowControl w:val="0"/>
        <w:suppressAutoHyphens/>
        <w:spacing w:after="120"/>
        <w:ind w:left="426" w:hanging="426"/>
        <w:jc w:val="both"/>
        <w:rPr>
          <w:rFonts w:ascii="Times New Roman" w:eastAsia="Calibri" w:hAnsi="Times New Roman" w:cs="Times New Roman"/>
          <w:kern w:val="1"/>
          <w:sz w:val="20"/>
          <w:szCs w:val="20"/>
          <w:lang w:eastAsia="ar-SA"/>
        </w:rPr>
      </w:pPr>
      <w:r w:rsidRPr="001041C6">
        <w:rPr>
          <w:rFonts w:ascii="Times New Roman" w:eastAsia="Calibri" w:hAnsi="Times New Roman" w:cs="Times New Roman"/>
          <w:kern w:val="1"/>
          <w:sz w:val="20"/>
          <w:szCs w:val="20"/>
          <w:lang w:eastAsia="ar-SA"/>
        </w:rPr>
        <w:t>3.</w:t>
      </w:r>
      <w:r w:rsidRPr="001041C6">
        <w:rPr>
          <w:rFonts w:ascii="Times New Roman" w:eastAsia="Calibri" w:hAnsi="Times New Roman" w:cs="Times New Roman"/>
          <w:kern w:val="1"/>
          <w:sz w:val="20"/>
          <w:szCs w:val="20"/>
          <w:lang w:eastAsia="ar-SA"/>
        </w:rPr>
        <w:tab/>
        <w:t>Propose susceptible species for OIE listed diseases for fish based on Article 1.5.7.</w:t>
      </w:r>
    </w:p>
    <w:p w14:paraId="3E9E58E5" w14:textId="77777777" w:rsidR="00C7266C" w:rsidRPr="001041C6" w:rsidRDefault="00C7266C" w:rsidP="001041C6">
      <w:pPr>
        <w:widowControl w:val="0"/>
        <w:suppressAutoHyphens/>
        <w:spacing w:after="120"/>
        <w:ind w:left="426" w:hanging="426"/>
        <w:jc w:val="both"/>
        <w:rPr>
          <w:rFonts w:ascii="Times New Roman" w:eastAsia="Calibri" w:hAnsi="Times New Roman" w:cs="Times New Roman"/>
          <w:kern w:val="1"/>
          <w:sz w:val="20"/>
          <w:szCs w:val="20"/>
          <w:lang w:eastAsia="ar-SA"/>
        </w:rPr>
      </w:pPr>
      <w:r w:rsidRPr="001041C6">
        <w:rPr>
          <w:rFonts w:ascii="Times New Roman" w:eastAsia="Calibri" w:hAnsi="Times New Roman" w:cs="Times New Roman"/>
          <w:kern w:val="1"/>
          <w:sz w:val="20"/>
          <w:szCs w:val="20"/>
          <w:lang w:eastAsia="ar-SA"/>
        </w:rPr>
        <w:t>4.</w:t>
      </w:r>
      <w:r w:rsidRPr="001041C6">
        <w:rPr>
          <w:rFonts w:ascii="Times New Roman" w:eastAsia="Calibri" w:hAnsi="Times New Roman" w:cs="Times New Roman"/>
          <w:kern w:val="1"/>
          <w:sz w:val="20"/>
          <w:szCs w:val="20"/>
          <w:lang w:eastAsia="ar-SA"/>
        </w:rPr>
        <w:tab/>
        <w:t>Propose susceptible species for OIE listed diseases for fish based on Article 1.5.8.</w:t>
      </w:r>
    </w:p>
    <w:p w14:paraId="5BC52F8B" w14:textId="77777777" w:rsidR="00C7266C" w:rsidRPr="001041C6" w:rsidRDefault="00C7266C" w:rsidP="001041C6">
      <w:pPr>
        <w:widowControl w:val="0"/>
        <w:suppressAutoHyphens/>
        <w:spacing w:after="120"/>
        <w:jc w:val="both"/>
        <w:rPr>
          <w:rFonts w:ascii="Times New Roman" w:eastAsia="MS Mincho" w:hAnsi="Times New Roman" w:cs="Times New Roman"/>
          <w:b/>
          <w:kern w:val="1"/>
          <w:sz w:val="20"/>
          <w:szCs w:val="20"/>
          <w:lang w:eastAsia="ar-SA"/>
        </w:rPr>
      </w:pPr>
      <w:r w:rsidRPr="001041C6">
        <w:rPr>
          <w:rFonts w:ascii="Times New Roman" w:eastAsia="MS Mincho" w:hAnsi="Times New Roman" w:cs="Times New Roman"/>
          <w:b/>
          <w:kern w:val="1"/>
          <w:sz w:val="20"/>
          <w:szCs w:val="20"/>
          <w:lang w:eastAsia="ar-SA"/>
        </w:rPr>
        <w:t xml:space="preserve">Expected outputs of the </w:t>
      </w:r>
      <w:r w:rsidRPr="001041C6">
        <w:rPr>
          <w:rFonts w:ascii="Times New Roman" w:eastAsia="MS Mincho" w:hAnsi="Times New Roman" w:cs="Times New Roman"/>
          <w:b/>
          <w:i/>
          <w:kern w:val="1"/>
          <w:sz w:val="20"/>
          <w:szCs w:val="20"/>
          <w:lang w:eastAsia="ar-SA"/>
        </w:rPr>
        <w:t>ad hoc</w:t>
      </w:r>
      <w:r w:rsidRPr="001041C6">
        <w:rPr>
          <w:rFonts w:ascii="Times New Roman" w:eastAsia="MS Mincho" w:hAnsi="Times New Roman" w:cs="Times New Roman"/>
          <w:b/>
          <w:kern w:val="1"/>
          <w:sz w:val="20"/>
          <w:szCs w:val="20"/>
          <w:lang w:eastAsia="ar-SA"/>
        </w:rPr>
        <w:t xml:space="preserve"> Group</w:t>
      </w:r>
    </w:p>
    <w:p w14:paraId="36BDC5FB" w14:textId="77777777" w:rsidR="00C7266C" w:rsidRPr="001041C6" w:rsidRDefault="00C7266C" w:rsidP="001041C6">
      <w:pPr>
        <w:widowControl w:val="0"/>
        <w:numPr>
          <w:ilvl w:val="0"/>
          <w:numId w:val="24"/>
        </w:numPr>
        <w:suppressAutoHyphens/>
        <w:spacing w:after="120" w:line="276" w:lineRule="auto"/>
        <w:ind w:left="426" w:hanging="426"/>
        <w:jc w:val="both"/>
        <w:rPr>
          <w:rFonts w:ascii="Times New Roman" w:eastAsia="Calibri" w:hAnsi="Times New Roman" w:cs="Times New Roman"/>
          <w:kern w:val="1"/>
          <w:sz w:val="20"/>
          <w:szCs w:val="20"/>
          <w:lang w:eastAsia="ar-SA"/>
        </w:rPr>
      </w:pPr>
      <w:r w:rsidRPr="001041C6">
        <w:rPr>
          <w:rFonts w:ascii="Times New Roman" w:eastAsia="Calibri" w:hAnsi="Times New Roman" w:cs="Times New Roman"/>
          <w:kern w:val="1"/>
          <w:sz w:val="20"/>
          <w:szCs w:val="20"/>
          <w:lang w:eastAsia="ar-SA"/>
        </w:rPr>
        <w:t xml:space="preserve">Develop a list of susceptible species for inclusion in the relevant Article X.X.2. of fish disease-specific chapters in the </w:t>
      </w:r>
      <w:r w:rsidRPr="001041C6">
        <w:rPr>
          <w:rFonts w:ascii="Times New Roman" w:eastAsia="Calibri" w:hAnsi="Times New Roman" w:cs="Times New Roman"/>
          <w:i/>
          <w:kern w:val="1"/>
          <w:sz w:val="20"/>
          <w:szCs w:val="20"/>
          <w:lang w:eastAsia="ar-SA"/>
        </w:rPr>
        <w:t>Aquatic Code.</w:t>
      </w:r>
    </w:p>
    <w:p w14:paraId="296109E6" w14:textId="77777777" w:rsidR="00C7266C" w:rsidRPr="001041C6" w:rsidRDefault="00C7266C" w:rsidP="001041C6">
      <w:pPr>
        <w:widowControl w:val="0"/>
        <w:numPr>
          <w:ilvl w:val="0"/>
          <w:numId w:val="24"/>
        </w:numPr>
        <w:suppressAutoHyphens/>
        <w:spacing w:after="120" w:line="276" w:lineRule="auto"/>
        <w:ind w:left="426" w:hanging="426"/>
        <w:jc w:val="both"/>
        <w:rPr>
          <w:rFonts w:ascii="Times New Roman" w:eastAsia="Calibri" w:hAnsi="Times New Roman" w:cs="Times New Roman"/>
          <w:kern w:val="1"/>
          <w:sz w:val="20"/>
          <w:szCs w:val="20"/>
          <w:lang w:eastAsia="ar-SA"/>
        </w:rPr>
      </w:pPr>
      <w:r w:rsidRPr="001041C6">
        <w:rPr>
          <w:rFonts w:ascii="Times New Roman" w:eastAsia="Calibri" w:hAnsi="Times New Roman" w:cs="Times New Roman"/>
          <w:kern w:val="1"/>
          <w:sz w:val="20"/>
          <w:szCs w:val="20"/>
          <w:lang w:eastAsia="ar-SA"/>
        </w:rPr>
        <w:t xml:space="preserve">Develop a list of species with incomplete evidence for susceptibility for inclusion in Section 2.2.2. of the </w:t>
      </w:r>
      <w:r w:rsidRPr="001041C6">
        <w:rPr>
          <w:rFonts w:ascii="Times New Roman" w:eastAsia="Calibri" w:hAnsi="Times New Roman" w:cs="Times New Roman"/>
          <w:i/>
          <w:kern w:val="1"/>
          <w:sz w:val="20"/>
          <w:szCs w:val="20"/>
          <w:lang w:eastAsia="ar-SA"/>
        </w:rPr>
        <w:t>Aquatic Manual.</w:t>
      </w:r>
      <w:r w:rsidRPr="001041C6">
        <w:rPr>
          <w:rFonts w:ascii="Times New Roman" w:eastAsia="Calibri" w:hAnsi="Times New Roman" w:cs="Times New Roman"/>
          <w:kern w:val="1"/>
          <w:sz w:val="20"/>
          <w:szCs w:val="20"/>
          <w:lang w:eastAsia="ar-SA"/>
        </w:rPr>
        <w:t xml:space="preserve"> </w:t>
      </w:r>
    </w:p>
    <w:p w14:paraId="0AC57C9F" w14:textId="77777777" w:rsidR="00C7266C" w:rsidRPr="001041C6" w:rsidRDefault="00C7266C" w:rsidP="001041C6">
      <w:pPr>
        <w:numPr>
          <w:ilvl w:val="0"/>
          <w:numId w:val="24"/>
        </w:numPr>
        <w:spacing w:after="240" w:line="276" w:lineRule="auto"/>
        <w:ind w:left="426" w:hanging="426"/>
        <w:jc w:val="both"/>
        <w:rPr>
          <w:rFonts w:ascii="Times New Roman" w:eastAsia="Calibri" w:hAnsi="Times New Roman" w:cs="Times New Roman"/>
          <w:kern w:val="1"/>
          <w:sz w:val="20"/>
          <w:szCs w:val="20"/>
          <w:lang w:eastAsia="ar-SA"/>
        </w:rPr>
      </w:pPr>
      <w:r w:rsidRPr="001041C6">
        <w:rPr>
          <w:rFonts w:ascii="Times New Roman" w:eastAsia="Calibri" w:hAnsi="Times New Roman" w:cs="Times New Roman"/>
          <w:kern w:val="1"/>
          <w:sz w:val="20"/>
          <w:szCs w:val="20"/>
          <w:lang w:eastAsia="ar-SA"/>
        </w:rPr>
        <w:t>Draft a report for consideration by the Aquatic Animals Commission at their September 2019 meeting.</w:t>
      </w:r>
    </w:p>
    <w:bookmarkEnd w:id="98"/>
    <w:p w14:paraId="250856A3" w14:textId="105489DE" w:rsidR="00C7266C" w:rsidRPr="00D403F5" w:rsidRDefault="001041C6" w:rsidP="001041C6">
      <w:pPr>
        <w:spacing w:after="0"/>
        <w:ind w:left="107"/>
        <w:jc w:val="center"/>
        <w:rPr>
          <w:rFonts w:ascii="Arial" w:hAnsi="Arial" w:cs="Arial"/>
          <w:sz w:val="18"/>
          <w:szCs w:val="18"/>
          <w:lang w:val="en-IE"/>
        </w:rPr>
        <w:sectPr w:rsidR="00C7266C" w:rsidRPr="00D403F5" w:rsidSect="00C7266C">
          <w:headerReference w:type="even" r:id="rId200"/>
          <w:headerReference w:type="default" r:id="rId201"/>
          <w:footerReference w:type="even" r:id="rId202"/>
          <w:footerReference w:type="default" r:id="rId203"/>
          <w:headerReference w:type="first" r:id="rId204"/>
          <w:type w:val="oddPage"/>
          <w:pgSz w:w="12240" w:h="15840"/>
          <w:pgMar w:top="1440" w:right="1440" w:bottom="1440" w:left="1440" w:header="720" w:footer="720" w:gutter="0"/>
          <w:cols w:space="720"/>
          <w:docGrid w:linePitch="360"/>
        </w:sectPr>
      </w:pPr>
      <w:r w:rsidRPr="001041C6">
        <w:rPr>
          <w:rFonts w:eastAsia="MS Mincho"/>
          <w:kern w:val="1"/>
          <w:sz w:val="18"/>
          <w:szCs w:val="18"/>
          <w:lang w:val="en-US" w:eastAsia="ar-SA"/>
        </w:rPr>
        <w:t>____________________________</w:t>
      </w:r>
    </w:p>
    <w:p w14:paraId="4365A193" w14:textId="77777777" w:rsidR="00C7266C" w:rsidRPr="001041C6" w:rsidRDefault="00C7266C" w:rsidP="001041C6">
      <w:pPr>
        <w:pStyle w:val="2"/>
        <w:tabs>
          <w:tab w:val="clear" w:pos="360"/>
        </w:tabs>
        <w:spacing w:after="480"/>
        <w:ind w:left="0" w:firstLine="0"/>
        <w:jc w:val="right"/>
        <w:rPr>
          <w:b w:val="0"/>
          <w:sz w:val="20"/>
          <w:szCs w:val="20"/>
        </w:rPr>
      </w:pPr>
      <w:bookmarkStart w:id="114" w:name="_Hlk22113439"/>
      <w:r w:rsidRPr="001041C6">
        <w:rPr>
          <w:rFonts w:ascii="Times New Roman" w:hAnsi="Times New Roman"/>
          <w:b w:val="0"/>
          <w:sz w:val="20"/>
          <w:szCs w:val="20"/>
          <w:u w:val="single"/>
        </w:rPr>
        <w:t>Annex 16</w:t>
      </w:r>
    </w:p>
    <w:p w14:paraId="2CF4625D" w14:textId="77777777" w:rsidR="00C7266C" w:rsidRPr="001041C6" w:rsidRDefault="00C7266C" w:rsidP="001041C6">
      <w:pPr>
        <w:spacing w:after="240"/>
        <w:jc w:val="both"/>
        <w:rPr>
          <w:rFonts w:ascii="Times New Roman" w:eastAsia="Calibri" w:hAnsi="Times New Roman" w:cs="Times New Roman"/>
          <w:b/>
          <w:i/>
          <w:iCs/>
          <w:caps/>
        </w:rPr>
      </w:pPr>
      <w:r w:rsidRPr="001041C6">
        <w:rPr>
          <w:rFonts w:ascii="Times New Roman" w:eastAsia="Calibri" w:hAnsi="Times New Roman" w:cs="Times New Roman"/>
          <w:b/>
          <w:caps/>
        </w:rPr>
        <w:t>Assessment of host susceptibility to INFECTIon with Spring viraemia of carp Virus – Zebrafish (</w:t>
      </w:r>
      <w:r w:rsidRPr="001041C6">
        <w:rPr>
          <w:rFonts w:ascii="Times New Roman" w:eastAsia="Calibri" w:hAnsi="Times New Roman" w:cs="Times New Roman"/>
          <w:b/>
          <w:i/>
          <w:iCs/>
        </w:rPr>
        <w:t>Danio rerio</w:t>
      </w:r>
      <w:r w:rsidRPr="001041C6">
        <w:rPr>
          <w:rFonts w:ascii="Times New Roman" w:eastAsia="Calibri" w:hAnsi="Times New Roman" w:cs="Times New Roman"/>
          <w:b/>
          <w:i/>
          <w:iCs/>
          <w:caps/>
        </w:rPr>
        <w:t>)</w:t>
      </w:r>
    </w:p>
    <w:bookmarkEnd w:id="114"/>
    <w:p w14:paraId="366E5B15" w14:textId="77777777" w:rsidR="00C7266C" w:rsidRPr="001041C6" w:rsidRDefault="00C7266C" w:rsidP="001041C6">
      <w:pPr>
        <w:widowControl w:val="0"/>
        <w:suppressAutoHyphens/>
        <w:spacing w:after="120"/>
        <w:jc w:val="both"/>
        <w:rPr>
          <w:rFonts w:ascii="Times New Roman" w:eastAsia="MS Mincho" w:hAnsi="Times New Roman" w:cs="Times New Roman"/>
          <w:b/>
          <w:bCs/>
          <w:kern w:val="1"/>
          <w:sz w:val="20"/>
          <w:szCs w:val="20"/>
          <w:lang w:eastAsia="ar-SA"/>
        </w:rPr>
      </w:pPr>
      <w:r w:rsidRPr="001041C6">
        <w:rPr>
          <w:rFonts w:ascii="Times New Roman" w:eastAsia="MS Mincho" w:hAnsi="Times New Roman" w:cs="Times New Roman"/>
          <w:b/>
          <w:bCs/>
          <w:kern w:val="1"/>
          <w:sz w:val="20"/>
          <w:szCs w:val="20"/>
          <w:lang w:eastAsia="ar-SA"/>
        </w:rPr>
        <w:t>Background</w:t>
      </w:r>
    </w:p>
    <w:p w14:paraId="42A9118A" w14:textId="77777777" w:rsidR="00C7266C" w:rsidRPr="001041C6" w:rsidRDefault="00C7266C" w:rsidP="001041C6">
      <w:pPr>
        <w:widowControl w:val="0"/>
        <w:suppressAutoHyphens/>
        <w:spacing w:after="120"/>
        <w:jc w:val="both"/>
        <w:rPr>
          <w:rFonts w:ascii="Times New Roman" w:eastAsia="MS Mincho" w:hAnsi="Times New Roman" w:cs="Times New Roman"/>
          <w:kern w:val="1"/>
          <w:sz w:val="20"/>
          <w:szCs w:val="20"/>
          <w:lang w:eastAsia="ar-SA"/>
        </w:rPr>
      </w:pPr>
      <w:r w:rsidRPr="001041C6">
        <w:rPr>
          <w:rFonts w:ascii="Times New Roman" w:eastAsia="MS Mincho" w:hAnsi="Times New Roman" w:cs="Times New Roman"/>
          <w:kern w:val="1"/>
          <w:sz w:val="20"/>
          <w:szCs w:val="20"/>
          <w:lang w:eastAsia="ar-SA"/>
        </w:rPr>
        <w:t>The zebrafish (</w:t>
      </w:r>
      <w:r w:rsidRPr="001041C6">
        <w:rPr>
          <w:rFonts w:ascii="Times New Roman" w:eastAsia="MS Mincho" w:hAnsi="Times New Roman" w:cs="Times New Roman"/>
          <w:i/>
          <w:iCs/>
          <w:kern w:val="1"/>
          <w:sz w:val="20"/>
          <w:szCs w:val="20"/>
          <w:lang w:eastAsia="ar-SA"/>
        </w:rPr>
        <w:t>Danio rerio</w:t>
      </w:r>
      <w:r w:rsidRPr="001041C6">
        <w:rPr>
          <w:rFonts w:ascii="Times New Roman" w:eastAsia="MS Mincho" w:hAnsi="Times New Roman" w:cs="Times New Roman"/>
          <w:kern w:val="1"/>
          <w:sz w:val="20"/>
          <w:szCs w:val="20"/>
          <w:lang w:eastAsia="ar-SA"/>
        </w:rPr>
        <w:t xml:space="preserve">) was found not to meet the criteria to be listed as susceptible to infection with spring viraemia of carp virus when it was assessed in 2018. This was done by the </w:t>
      </w:r>
      <w:r w:rsidRPr="001041C6">
        <w:rPr>
          <w:rFonts w:ascii="Times New Roman" w:eastAsia="MS Mincho" w:hAnsi="Times New Roman" w:cs="Times New Roman"/>
          <w:i/>
          <w:iCs/>
          <w:kern w:val="1"/>
          <w:sz w:val="20"/>
          <w:szCs w:val="20"/>
          <w:lang w:eastAsia="ar-SA"/>
        </w:rPr>
        <w:t xml:space="preserve">ad hoc </w:t>
      </w:r>
      <w:r w:rsidRPr="001041C6">
        <w:rPr>
          <w:rFonts w:ascii="Times New Roman" w:eastAsia="MS Mincho" w:hAnsi="Times New Roman" w:cs="Times New Roman"/>
          <w:kern w:val="1"/>
          <w:sz w:val="20"/>
          <w:szCs w:val="20"/>
          <w:lang w:eastAsia="ar-SA"/>
        </w:rPr>
        <w:t xml:space="preserve">Group on Susceptibility of fish species to infection with OIE-listed diseases and the Aquatic Animals Commission in accordance with the criteria in Chapter 1.5. Criteria for listing species as susceptible to infection with a specific pathogen. It was considered that the conditions of experimental challenge did not meet the requirements of Article 1.5.7. concerning evidence of a route of transmission that is consistent with natural pathways for the infection. The study considered for this assessment had used temperatures outside of the natural range of zebrafish and the authors had acknowledged that this had likely resulted in immunosuppression. The conclusion was to include zebrafish in Section 2.2.2. of the Aquatic Manual and further evidence could be considered on this issue if it becomes available. </w:t>
      </w:r>
    </w:p>
    <w:p w14:paraId="6B12BDF6" w14:textId="77777777" w:rsidR="00C7266C" w:rsidRPr="001041C6" w:rsidRDefault="00C7266C" w:rsidP="001041C6">
      <w:pPr>
        <w:widowControl w:val="0"/>
        <w:suppressAutoHyphens/>
        <w:spacing w:after="120"/>
        <w:jc w:val="both"/>
        <w:rPr>
          <w:rFonts w:ascii="Times New Roman" w:eastAsia="MS Mincho" w:hAnsi="Times New Roman" w:cs="Times New Roman"/>
          <w:b/>
          <w:bCs/>
          <w:kern w:val="1"/>
          <w:sz w:val="20"/>
          <w:szCs w:val="20"/>
          <w:lang w:eastAsia="ar-SA"/>
        </w:rPr>
      </w:pPr>
      <w:r w:rsidRPr="001041C6">
        <w:rPr>
          <w:rFonts w:ascii="Times New Roman" w:eastAsia="MS Mincho" w:hAnsi="Times New Roman" w:cs="Times New Roman"/>
          <w:kern w:val="1"/>
          <w:sz w:val="20"/>
          <w:szCs w:val="20"/>
          <w:lang w:eastAsia="ar-SA"/>
        </w:rPr>
        <w:t xml:space="preserve">Before its September 2019 meeting the Commission had asked the </w:t>
      </w:r>
      <w:r w:rsidRPr="001041C6">
        <w:rPr>
          <w:rFonts w:ascii="Times New Roman" w:eastAsia="MS Mincho" w:hAnsi="Times New Roman" w:cs="Times New Roman"/>
          <w:i/>
          <w:iCs/>
          <w:kern w:val="1"/>
          <w:sz w:val="20"/>
          <w:szCs w:val="20"/>
          <w:lang w:eastAsia="ar-SA"/>
        </w:rPr>
        <w:t xml:space="preserve">ad hoc </w:t>
      </w:r>
      <w:r w:rsidRPr="001041C6">
        <w:rPr>
          <w:rFonts w:ascii="Times New Roman" w:eastAsia="MS Mincho" w:hAnsi="Times New Roman" w:cs="Times New Roman"/>
          <w:kern w:val="1"/>
          <w:sz w:val="20"/>
          <w:szCs w:val="20"/>
          <w:lang w:eastAsia="ar-SA"/>
        </w:rPr>
        <w:t xml:space="preserve">Group to re-assess the species, considering that new studies were available. The Commission found that, based on new available scientific evidence, zebrafish now met the criteria for listing as susceptible species as described in Chapter 1.5. It proposed the species to be added to Article 10.9.2. Scope. </w:t>
      </w:r>
    </w:p>
    <w:p w14:paraId="490E769C" w14:textId="77777777" w:rsidR="00C7266C" w:rsidRPr="001041C6" w:rsidRDefault="00C7266C" w:rsidP="001041C6">
      <w:pPr>
        <w:widowControl w:val="0"/>
        <w:suppressAutoHyphens/>
        <w:spacing w:after="120"/>
        <w:jc w:val="both"/>
        <w:rPr>
          <w:rFonts w:ascii="Times New Roman" w:eastAsia="MS Mincho" w:hAnsi="Times New Roman" w:cs="Times New Roman"/>
          <w:b/>
          <w:bCs/>
          <w:kern w:val="1"/>
          <w:sz w:val="20"/>
          <w:szCs w:val="20"/>
          <w:lang w:eastAsia="ar-SA"/>
        </w:rPr>
      </w:pPr>
      <w:r w:rsidRPr="001041C6">
        <w:rPr>
          <w:rFonts w:ascii="Times New Roman" w:eastAsia="MS Mincho" w:hAnsi="Times New Roman" w:cs="Times New Roman"/>
          <w:b/>
          <w:bCs/>
          <w:kern w:val="1"/>
          <w:sz w:val="20"/>
          <w:szCs w:val="20"/>
          <w:lang w:eastAsia="ar-SA"/>
        </w:rPr>
        <w:t xml:space="preserve">Assessment </w:t>
      </w:r>
    </w:p>
    <w:p w14:paraId="4AE91C42" w14:textId="77777777" w:rsidR="00C7266C" w:rsidRPr="001041C6" w:rsidRDefault="00C7266C" w:rsidP="001041C6">
      <w:pPr>
        <w:widowControl w:val="0"/>
        <w:suppressAutoHyphens/>
        <w:spacing w:after="120"/>
        <w:jc w:val="both"/>
        <w:rPr>
          <w:rFonts w:ascii="Times New Roman" w:eastAsia="Arial Unicode MS" w:hAnsi="Times New Roman" w:cs="Times New Roman"/>
          <w:kern w:val="1"/>
          <w:sz w:val="20"/>
          <w:szCs w:val="20"/>
          <w:bdr w:val="nil"/>
          <w:lang w:eastAsia="ar-SA"/>
        </w:rPr>
      </w:pPr>
      <w:r w:rsidRPr="001041C6">
        <w:rPr>
          <w:rFonts w:ascii="Times New Roman" w:eastAsia="MS Mincho" w:hAnsi="Times New Roman" w:cs="Times New Roman"/>
          <w:kern w:val="1"/>
          <w:sz w:val="20"/>
          <w:szCs w:val="20"/>
          <w:lang w:eastAsia="ar-SA"/>
        </w:rPr>
        <w:t>Criteria for susceptibility to infection with spring viraemia of carp virus (SVCV)</w:t>
      </w:r>
      <w:r w:rsidRPr="001041C6">
        <w:rPr>
          <w:rFonts w:ascii="Times New Roman" w:eastAsia="Calibri" w:hAnsi="Times New Roman" w:cs="Times New Roman"/>
          <w:i/>
          <w:sz w:val="20"/>
          <w:szCs w:val="20"/>
        </w:rPr>
        <w:t xml:space="preserve"> </w:t>
      </w:r>
      <w:r w:rsidRPr="001041C6">
        <w:rPr>
          <w:rFonts w:ascii="Times New Roman" w:eastAsia="MS Mincho" w:hAnsi="Times New Roman" w:cs="Times New Roman"/>
          <w:kern w:val="1"/>
          <w:sz w:val="20"/>
          <w:szCs w:val="20"/>
          <w:lang w:eastAsia="ar-SA"/>
        </w:rPr>
        <w:t xml:space="preserve">are detailed in Table 1 (as per Article 1.5.6. </w:t>
      </w:r>
      <w:r w:rsidRPr="001041C6">
        <w:rPr>
          <w:rFonts w:ascii="Times New Roman" w:eastAsia="Calibri" w:hAnsi="Times New Roman" w:cs="Times New Roman"/>
          <w:bCs/>
          <w:kern w:val="1"/>
          <w:sz w:val="20"/>
          <w:szCs w:val="20"/>
          <w:lang w:eastAsia="ar-SA"/>
        </w:rPr>
        <w:t xml:space="preserve">of the </w:t>
      </w:r>
      <w:r w:rsidRPr="001041C6">
        <w:rPr>
          <w:rFonts w:ascii="Times New Roman" w:eastAsia="Calibri" w:hAnsi="Times New Roman" w:cs="Times New Roman"/>
          <w:bCs/>
          <w:i/>
          <w:kern w:val="1"/>
          <w:sz w:val="20"/>
          <w:szCs w:val="20"/>
          <w:lang w:eastAsia="ar-SA"/>
        </w:rPr>
        <w:t>Aquatic Code</w:t>
      </w:r>
      <w:r w:rsidRPr="001041C6">
        <w:rPr>
          <w:rFonts w:ascii="Times New Roman" w:eastAsia="MS Mincho" w:hAnsi="Times New Roman" w:cs="Times New Roman"/>
          <w:kern w:val="1"/>
          <w:sz w:val="20"/>
          <w:szCs w:val="20"/>
          <w:lang w:eastAsia="ar-SA"/>
        </w:rPr>
        <w:t xml:space="preserve">). This table includes Replication (A), Viability/Infectivity (B), Pathology/Clinical Signs (C) and Location (D). </w:t>
      </w:r>
      <w:r w:rsidRPr="001041C6">
        <w:rPr>
          <w:rFonts w:ascii="Times New Roman" w:eastAsia="Arial Unicode MS" w:hAnsi="Times New Roman" w:cs="Times New Roman"/>
          <w:kern w:val="1"/>
          <w:sz w:val="20"/>
          <w:szCs w:val="20"/>
          <w:bdr w:val="nil"/>
          <w:lang w:eastAsia="ar-SA"/>
        </w:rPr>
        <w:t>Hosts were considered to be infected with SVCV</w:t>
      </w:r>
      <w:r w:rsidRPr="001041C6">
        <w:rPr>
          <w:rFonts w:ascii="Times New Roman" w:eastAsia="Calibri" w:hAnsi="Times New Roman" w:cs="Times New Roman"/>
          <w:i/>
          <w:sz w:val="20"/>
          <w:szCs w:val="20"/>
        </w:rPr>
        <w:t xml:space="preserve"> </w:t>
      </w:r>
      <w:r w:rsidRPr="001041C6">
        <w:rPr>
          <w:rFonts w:ascii="Times New Roman" w:eastAsia="Arial Unicode MS" w:hAnsi="Times New Roman" w:cs="Times New Roman"/>
          <w:kern w:val="1"/>
          <w:sz w:val="20"/>
          <w:szCs w:val="20"/>
          <w:bdr w:val="nil"/>
          <w:lang w:eastAsia="ar-SA"/>
        </w:rPr>
        <w:t xml:space="preserve">if they fulfilled either criterion A, or at least two of criteria B, C and D (as per point 3 of Article 1.5.7. </w:t>
      </w:r>
      <w:r w:rsidRPr="001041C6">
        <w:rPr>
          <w:rFonts w:ascii="Times New Roman" w:eastAsia="Calibri" w:hAnsi="Times New Roman" w:cs="Times New Roman"/>
          <w:bCs/>
          <w:kern w:val="1"/>
          <w:sz w:val="20"/>
          <w:szCs w:val="20"/>
          <w:lang w:eastAsia="ar-SA"/>
        </w:rPr>
        <w:t xml:space="preserve">of the </w:t>
      </w:r>
      <w:r w:rsidRPr="001041C6">
        <w:rPr>
          <w:rFonts w:ascii="Times New Roman" w:eastAsia="Calibri" w:hAnsi="Times New Roman" w:cs="Times New Roman"/>
          <w:bCs/>
          <w:i/>
          <w:kern w:val="1"/>
          <w:sz w:val="20"/>
          <w:szCs w:val="20"/>
          <w:lang w:eastAsia="ar-SA"/>
        </w:rPr>
        <w:t>Aquatic Code</w:t>
      </w:r>
      <w:r w:rsidRPr="001041C6">
        <w:rPr>
          <w:rFonts w:ascii="Times New Roman" w:eastAsia="Arial Unicode MS" w:hAnsi="Times New Roman" w:cs="Times New Roman"/>
          <w:kern w:val="1"/>
          <w:sz w:val="20"/>
          <w:szCs w:val="20"/>
          <w:bdr w:val="nil"/>
          <w:lang w:eastAsia="ar-SA"/>
        </w:rPr>
        <w:t xml:space="preserve">). </w:t>
      </w:r>
    </w:p>
    <w:p w14:paraId="6BEDE4CB" w14:textId="77777777" w:rsidR="00C7266C" w:rsidRPr="001041C6" w:rsidRDefault="00C7266C" w:rsidP="001041C6">
      <w:pPr>
        <w:spacing w:after="120"/>
        <w:jc w:val="both"/>
        <w:rPr>
          <w:rFonts w:ascii="Times New Roman" w:eastAsia="Calibri" w:hAnsi="Times New Roman" w:cs="Times New Roman"/>
          <w:sz w:val="20"/>
          <w:szCs w:val="20"/>
        </w:rPr>
      </w:pPr>
      <w:r w:rsidRPr="001041C6">
        <w:rPr>
          <w:rFonts w:ascii="Times New Roman" w:eastAsia="Calibri" w:hAnsi="Times New Roman" w:cs="Times New Roman"/>
          <w:b/>
          <w:sz w:val="20"/>
          <w:szCs w:val="20"/>
        </w:rPr>
        <w:t>Criteria for susceptibility to infection with SVCV</w:t>
      </w:r>
    </w:p>
    <w:p w14:paraId="206F3144" w14:textId="77777777" w:rsidR="00C7266C" w:rsidRPr="001041C6" w:rsidRDefault="00C7266C" w:rsidP="001041C6">
      <w:pPr>
        <w:spacing w:after="120"/>
        <w:ind w:left="851" w:hanging="851"/>
        <w:jc w:val="both"/>
        <w:rPr>
          <w:rFonts w:ascii="Times New Roman" w:eastAsia="Calibri" w:hAnsi="Times New Roman" w:cs="Times New Roman"/>
          <w:sz w:val="20"/>
          <w:szCs w:val="20"/>
        </w:rPr>
      </w:pPr>
      <w:r w:rsidRPr="001041C6">
        <w:rPr>
          <w:rFonts w:ascii="Times New Roman" w:eastAsia="Calibri" w:hAnsi="Times New Roman" w:cs="Times New Roman"/>
          <w:b/>
          <w:sz w:val="20"/>
          <w:szCs w:val="20"/>
        </w:rPr>
        <w:t>Stage 1:</w:t>
      </w:r>
      <w:r w:rsidRPr="001041C6">
        <w:rPr>
          <w:rFonts w:ascii="Times New Roman" w:eastAsia="Calibri" w:hAnsi="Times New Roman" w:cs="Times New Roman"/>
          <w:sz w:val="20"/>
          <w:szCs w:val="20"/>
        </w:rPr>
        <w:t xml:space="preserve"> </w:t>
      </w:r>
      <w:r w:rsidRPr="001041C6">
        <w:rPr>
          <w:rFonts w:ascii="Times New Roman" w:eastAsia="Calibri" w:hAnsi="Times New Roman" w:cs="Times New Roman"/>
          <w:sz w:val="20"/>
          <w:szCs w:val="20"/>
        </w:rPr>
        <w:tab/>
        <w:t>Natural infection (e.g. disease outbreak) or experimental transmission by cohabitation, immersion, feeding (injection not appropriate).</w:t>
      </w:r>
    </w:p>
    <w:p w14:paraId="64C1B85F" w14:textId="77777777" w:rsidR="00C7266C" w:rsidRPr="001041C6" w:rsidRDefault="00C7266C" w:rsidP="001041C6">
      <w:pPr>
        <w:spacing w:after="120"/>
        <w:ind w:left="851" w:hanging="851"/>
        <w:jc w:val="both"/>
        <w:rPr>
          <w:rFonts w:ascii="Times New Roman" w:eastAsia="Calibri" w:hAnsi="Times New Roman" w:cs="Times New Roman"/>
          <w:sz w:val="20"/>
          <w:szCs w:val="20"/>
        </w:rPr>
      </w:pPr>
      <w:r w:rsidRPr="001041C6">
        <w:rPr>
          <w:rFonts w:ascii="Times New Roman" w:eastAsia="Calibri" w:hAnsi="Times New Roman" w:cs="Times New Roman"/>
          <w:b/>
          <w:sz w:val="20"/>
          <w:szCs w:val="20"/>
        </w:rPr>
        <w:t>Stage 2:</w:t>
      </w:r>
      <w:r w:rsidRPr="001041C6">
        <w:rPr>
          <w:rFonts w:ascii="Times New Roman" w:eastAsia="Calibri" w:hAnsi="Times New Roman" w:cs="Times New Roman"/>
          <w:sz w:val="20"/>
          <w:szCs w:val="20"/>
        </w:rPr>
        <w:t xml:space="preserve"> </w:t>
      </w:r>
      <w:r w:rsidRPr="001041C6">
        <w:rPr>
          <w:rFonts w:ascii="Times New Roman" w:eastAsia="Calibri" w:hAnsi="Times New Roman" w:cs="Times New Roman"/>
          <w:sz w:val="20"/>
          <w:szCs w:val="20"/>
        </w:rPr>
        <w:tab/>
        <w:t xml:space="preserve">Virus isolation followed by serological test using validated antisera (serum neutralisation test) or RT-PCR + sequencing. </w:t>
      </w:r>
    </w:p>
    <w:p w14:paraId="76CAF6F7" w14:textId="77777777" w:rsidR="00C7266C" w:rsidRPr="001041C6" w:rsidRDefault="00C7266C" w:rsidP="001041C6">
      <w:pPr>
        <w:spacing w:after="120"/>
        <w:jc w:val="both"/>
        <w:rPr>
          <w:rFonts w:ascii="Times New Roman" w:eastAsia="Calibri" w:hAnsi="Times New Roman" w:cs="Times New Roman"/>
          <w:sz w:val="20"/>
          <w:szCs w:val="20"/>
        </w:rPr>
      </w:pPr>
      <w:r w:rsidRPr="001041C6">
        <w:rPr>
          <w:rFonts w:ascii="Times New Roman" w:eastAsia="Calibri" w:hAnsi="Times New Roman" w:cs="Times New Roman"/>
          <w:sz w:val="20"/>
          <w:szCs w:val="20"/>
          <w:u w:val="single"/>
        </w:rPr>
        <w:t>OIE definition of confirmed case</w:t>
      </w:r>
      <w:r w:rsidRPr="001041C6">
        <w:rPr>
          <w:rFonts w:ascii="Times New Roman" w:eastAsia="Calibri" w:hAnsi="Times New Roman" w:cs="Times New Roman"/>
          <w:sz w:val="20"/>
          <w:szCs w:val="20"/>
        </w:rPr>
        <w:t>:</w:t>
      </w:r>
    </w:p>
    <w:p w14:paraId="6371557E" w14:textId="77777777" w:rsidR="00C7266C" w:rsidRPr="001041C6" w:rsidRDefault="00C7266C" w:rsidP="001041C6">
      <w:pPr>
        <w:autoSpaceDE w:val="0"/>
        <w:autoSpaceDN w:val="0"/>
        <w:adjustRightInd w:val="0"/>
        <w:spacing w:after="120"/>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 xml:space="preserve">The presence of SVCV should be </w:t>
      </w:r>
      <w:r w:rsidRPr="001041C6">
        <w:rPr>
          <w:rFonts w:ascii="Times New Roman" w:eastAsia="Calibri" w:hAnsi="Times New Roman" w:cs="Times New Roman"/>
          <w:b/>
          <w:sz w:val="20"/>
          <w:szCs w:val="20"/>
          <w:lang w:val="en-AU"/>
        </w:rPr>
        <w:t>suspected</w:t>
      </w:r>
      <w:r w:rsidRPr="001041C6">
        <w:rPr>
          <w:rFonts w:ascii="Times New Roman" w:eastAsia="Calibri" w:hAnsi="Times New Roman" w:cs="Times New Roman"/>
          <w:i/>
          <w:sz w:val="20"/>
          <w:szCs w:val="20"/>
          <w:lang w:val="en-AU"/>
        </w:rPr>
        <w:t xml:space="preserve"> if at least one of the following criteria are met:</w:t>
      </w:r>
    </w:p>
    <w:p w14:paraId="0DE9B50B" w14:textId="77777777" w:rsidR="00C7266C" w:rsidRPr="001041C6" w:rsidRDefault="00C7266C" w:rsidP="001041C6">
      <w:pPr>
        <w:numPr>
          <w:ilvl w:val="0"/>
          <w:numId w:val="29"/>
        </w:numPr>
        <w:autoSpaceDE w:val="0"/>
        <w:autoSpaceDN w:val="0"/>
        <w:adjustRightInd w:val="0"/>
        <w:spacing w:after="120" w:line="276" w:lineRule="auto"/>
        <w:ind w:left="425" w:hanging="357"/>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Presence of rapid and significant mortalities in susceptible fish species;</w:t>
      </w:r>
    </w:p>
    <w:p w14:paraId="59D31A8C" w14:textId="77777777" w:rsidR="00C7266C" w:rsidRPr="001041C6" w:rsidRDefault="00C7266C" w:rsidP="001041C6">
      <w:pPr>
        <w:numPr>
          <w:ilvl w:val="0"/>
          <w:numId w:val="29"/>
        </w:numPr>
        <w:autoSpaceDE w:val="0"/>
        <w:autoSpaceDN w:val="0"/>
        <w:adjustRightInd w:val="0"/>
        <w:spacing w:after="120" w:line="276" w:lineRule="auto"/>
        <w:ind w:left="425" w:hanging="357"/>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Presence of typical clinical signs of the disease in susceptible fish species;</w:t>
      </w:r>
    </w:p>
    <w:p w14:paraId="12AE4581" w14:textId="77777777" w:rsidR="00C7266C" w:rsidRPr="001041C6" w:rsidRDefault="00C7266C" w:rsidP="001041C6">
      <w:pPr>
        <w:numPr>
          <w:ilvl w:val="0"/>
          <w:numId w:val="29"/>
        </w:numPr>
        <w:autoSpaceDE w:val="0"/>
        <w:autoSpaceDN w:val="0"/>
        <w:adjustRightInd w:val="0"/>
        <w:spacing w:after="120" w:line="276" w:lineRule="auto"/>
        <w:ind w:left="425" w:hanging="357"/>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Presence of typical histopathology;</w:t>
      </w:r>
    </w:p>
    <w:p w14:paraId="42AD14C5" w14:textId="77777777" w:rsidR="00C7266C" w:rsidRPr="001041C6" w:rsidRDefault="00C7266C" w:rsidP="001041C6">
      <w:pPr>
        <w:numPr>
          <w:ilvl w:val="0"/>
          <w:numId w:val="29"/>
        </w:numPr>
        <w:autoSpaceDE w:val="0"/>
        <w:autoSpaceDN w:val="0"/>
        <w:adjustRightInd w:val="0"/>
        <w:spacing w:after="120" w:line="276" w:lineRule="auto"/>
        <w:ind w:left="426"/>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Virus isolation with typical CPE.</w:t>
      </w:r>
    </w:p>
    <w:p w14:paraId="0502982C" w14:textId="77777777" w:rsidR="00C7266C" w:rsidRPr="001041C6" w:rsidRDefault="00C7266C" w:rsidP="001041C6">
      <w:pPr>
        <w:autoSpaceDE w:val="0"/>
        <w:autoSpaceDN w:val="0"/>
        <w:adjustRightInd w:val="0"/>
        <w:spacing w:after="120"/>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 xml:space="preserve">The presence of SVCV should be considered as </w:t>
      </w:r>
      <w:r w:rsidRPr="001041C6">
        <w:rPr>
          <w:rFonts w:ascii="Times New Roman" w:eastAsia="Calibri" w:hAnsi="Times New Roman" w:cs="Times New Roman"/>
          <w:b/>
          <w:sz w:val="20"/>
          <w:szCs w:val="20"/>
          <w:lang w:val="en-AU"/>
        </w:rPr>
        <w:t>confirmed</w:t>
      </w:r>
      <w:r w:rsidRPr="001041C6">
        <w:rPr>
          <w:rFonts w:ascii="Times New Roman" w:eastAsia="Calibri" w:hAnsi="Times New Roman" w:cs="Times New Roman"/>
          <w:i/>
          <w:sz w:val="20"/>
          <w:szCs w:val="20"/>
          <w:lang w:val="en-AU"/>
        </w:rPr>
        <w:t xml:space="preserve"> if the following criteria are met:</w:t>
      </w:r>
    </w:p>
    <w:p w14:paraId="4F9471DA" w14:textId="77777777" w:rsidR="00C7266C" w:rsidRPr="001041C6" w:rsidRDefault="00C7266C" w:rsidP="001041C6">
      <w:pPr>
        <w:autoSpaceDE w:val="0"/>
        <w:autoSpaceDN w:val="0"/>
        <w:adjustRightInd w:val="0"/>
        <w:spacing w:after="120"/>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Virus isolation with typical CPE and positive for serological tests using validated antisera;</w:t>
      </w:r>
    </w:p>
    <w:p w14:paraId="0CE095EF" w14:textId="77777777" w:rsidR="00C7266C" w:rsidRPr="001041C6" w:rsidRDefault="00C7266C" w:rsidP="001041C6">
      <w:pPr>
        <w:autoSpaceDE w:val="0"/>
        <w:autoSpaceDN w:val="0"/>
        <w:adjustRightInd w:val="0"/>
        <w:spacing w:after="120"/>
        <w:jc w:val="both"/>
        <w:rPr>
          <w:rFonts w:ascii="Times New Roman" w:eastAsia="Calibri" w:hAnsi="Times New Roman" w:cs="Times New Roman"/>
          <w:i/>
          <w:sz w:val="20"/>
          <w:szCs w:val="20"/>
          <w:lang w:val="en-AU"/>
        </w:rPr>
      </w:pPr>
      <w:r w:rsidRPr="001041C6">
        <w:rPr>
          <w:rFonts w:ascii="Times New Roman" w:eastAsia="Calibri" w:hAnsi="Times New Roman" w:cs="Times New Roman"/>
          <w:i/>
          <w:sz w:val="20"/>
          <w:szCs w:val="20"/>
          <w:lang w:val="en-AU"/>
        </w:rPr>
        <w:t>OR</w:t>
      </w:r>
    </w:p>
    <w:p w14:paraId="1EE4AE38" w14:textId="77777777" w:rsidR="00C7266C" w:rsidRPr="001041C6" w:rsidRDefault="00C7266C" w:rsidP="001041C6">
      <w:pPr>
        <w:autoSpaceDE w:val="0"/>
        <w:autoSpaceDN w:val="0"/>
        <w:adjustRightInd w:val="0"/>
        <w:spacing w:after="240"/>
        <w:jc w:val="both"/>
        <w:rPr>
          <w:rFonts w:ascii="Times New Roman" w:eastAsia="Calibri" w:hAnsi="Times New Roman" w:cs="Times New Roman"/>
          <w:b/>
          <w:sz w:val="20"/>
          <w:szCs w:val="20"/>
        </w:rPr>
      </w:pPr>
      <w:r w:rsidRPr="001041C6">
        <w:rPr>
          <w:rFonts w:ascii="Times New Roman" w:eastAsia="Calibri" w:hAnsi="Times New Roman" w:cs="Times New Roman"/>
          <w:i/>
          <w:sz w:val="20"/>
          <w:szCs w:val="20"/>
          <w:lang w:val="en-AU"/>
        </w:rPr>
        <w:t>Virus isolation with typical CPE and positive for RT-PCR using extracted RNA from isolated virus as template and sequencing.</w:t>
      </w:r>
    </w:p>
    <w:p w14:paraId="45FC5D41" w14:textId="77777777" w:rsidR="00C7266C" w:rsidRPr="001041C6" w:rsidRDefault="00C7266C" w:rsidP="001041C6">
      <w:pPr>
        <w:spacing w:after="240"/>
        <w:rPr>
          <w:rFonts w:ascii="Times New Roman" w:eastAsia="Calibri" w:hAnsi="Times New Roman" w:cs="Times New Roman"/>
          <w:b/>
          <w:sz w:val="20"/>
          <w:szCs w:val="20"/>
        </w:rPr>
        <w:sectPr w:rsidR="00C7266C" w:rsidRPr="001041C6" w:rsidSect="001041C6">
          <w:headerReference w:type="even" r:id="rId205"/>
          <w:headerReference w:type="default" r:id="rId206"/>
          <w:footerReference w:type="even" r:id="rId207"/>
          <w:footerReference w:type="default" r:id="rId208"/>
          <w:headerReference w:type="first" r:id="rId209"/>
          <w:type w:val="oddPage"/>
          <w:pgSz w:w="11906" w:h="16838" w:code="9"/>
          <w:pgMar w:top="1418" w:right="1418" w:bottom="1418" w:left="1418" w:header="709" w:footer="709" w:gutter="0"/>
          <w:cols w:space="720"/>
          <w:docGrid w:linePitch="326"/>
        </w:sectPr>
      </w:pPr>
    </w:p>
    <w:p w14:paraId="7D926851" w14:textId="77777777" w:rsidR="00C7266C" w:rsidRPr="001041C6" w:rsidRDefault="00C7266C" w:rsidP="001041C6">
      <w:pPr>
        <w:pStyle w:val="2"/>
        <w:tabs>
          <w:tab w:val="clear" w:pos="360"/>
        </w:tabs>
        <w:spacing w:after="480"/>
        <w:ind w:left="0" w:firstLine="0"/>
        <w:rPr>
          <w:b w:val="0"/>
          <w:sz w:val="18"/>
          <w:szCs w:val="18"/>
        </w:rPr>
      </w:pPr>
      <w:r w:rsidRPr="001041C6">
        <w:rPr>
          <w:rFonts w:ascii="Times New Roman" w:hAnsi="Times New Roman"/>
          <w:b w:val="0"/>
          <w:sz w:val="18"/>
          <w:szCs w:val="18"/>
          <w:u w:val="single"/>
        </w:rPr>
        <w:t>Annex 16</w:t>
      </w:r>
      <w:r w:rsidRPr="001041C6">
        <w:rPr>
          <w:rFonts w:ascii="Times New Roman" w:hAnsi="Times New Roman"/>
          <w:b w:val="0"/>
          <w:sz w:val="18"/>
          <w:szCs w:val="18"/>
        </w:rPr>
        <w:t xml:space="preserve"> (contd)</w:t>
      </w:r>
    </w:p>
    <w:p w14:paraId="74B8E63B" w14:textId="77777777" w:rsidR="00C7266C" w:rsidRPr="001041C6" w:rsidRDefault="00C7266C" w:rsidP="001041C6">
      <w:pPr>
        <w:spacing w:after="240"/>
        <w:rPr>
          <w:rFonts w:ascii="Times New Roman" w:eastAsia="Calibri" w:hAnsi="Times New Roman" w:cs="Times New Roman"/>
          <w:b/>
          <w:i/>
          <w:sz w:val="18"/>
          <w:szCs w:val="18"/>
        </w:rPr>
      </w:pPr>
      <w:r w:rsidRPr="001041C6">
        <w:rPr>
          <w:rFonts w:ascii="Times New Roman" w:eastAsia="Calibri" w:hAnsi="Times New Roman" w:cs="Times New Roman"/>
          <w:b/>
          <w:i/>
          <w:sz w:val="18"/>
          <w:szCs w:val="18"/>
        </w:rPr>
        <w:t xml:space="preserve">Table 1. </w:t>
      </w:r>
      <w:r w:rsidRPr="001041C6">
        <w:rPr>
          <w:rFonts w:ascii="Times New Roman" w:eastAsia="Calibri" w:hAnsi="Times New Roman" w:cs="Times New Roman"/>
          <w:i/>
          <w:sz w:val="18"/>
          <w:szCs w:val="18"/>
        </w:rPr>
        <w:t xml:space="preserve">Criteria for susceptibility to infection with SVCV (Stage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3900"/>
        <w:gridCol w:w="5522"/>
        <w:gridCol w:w="2381"/>
      </w:tblGrid>
      <w:tr w:rsidR="00C7266C" w:rsidRPr="001041C6" w14:paraId="5D79F520" w14:textId="77777777" w:rsidTr="00C7266C">
        <w:tc>
          <w:tcPr>
            <w:tcW w:w="2415" w:type="dxa"/>
            <w:tcBorders>
              <w:top w:val="single" w:sz="4" w:space="0" w:color="auto"/>
              <w:left w:val="single" w:sz="4" w:space="0" w:color="auto"/>
              <w:bottom w:val="single" w:sz="4" w:space="0" w:color="auto"/>
              <w:right w:val="single" w:sz="4" w:space="0" w:color="auto"/>
            </w:tcBorders>
            <w:shd w:val="clear" w:color="auto" w:fill="auto"/>
            <w:hideMark/>
          </w:tcPr>
          <w:p w14:paraId="74655A8B" w14:textId="77777777" w:rsidR="00C7266C" w:rsidRPr="001041C6" w:rsidRDefault="00C7266C" w:rsidP="001041C6">
            <w:pPr>
              <w:spacing w:after="240"/>
              <w:jc w:val="center"/>
              <w:rPr>
                <w:rFonts w:ascii="Times New Roman" w:eastAsia="Calibri" w:hAnsi="Times New Roman" w:cs="Times New Roman"/>
                <w:b/>
                <w:sz w:val="18"/>
                <w:szCs w:val="18"/>
                <w:lang w:val="en-US" w:eastAsia="ja-JP"/>
              </w:rPr>
            </w:pPr>
            <w:r w:rsidRPr="001041C6">
              <w:rPr>
                <w:rFonts w:ascii="Times New Roman" w:eastAsia="Calibri" w:hAnsi="Times New Roman" w:cs="Times New Roman"/>
                <w:b/>
                <w:sz w:val="18"/>
                <w:szCs w:val="18"/>
                <w:lang w:val="fr-FR"/>
              </w:rPr>
              <w:t>A: Replication</w:t>
            </w:r>
          </w:p>
        </w:tc>
        <w:tc>
          <w:tcPr>
            <w:tcW w:w="3900" w:type="dxa"/>
            <w:tcBorders>
              <w:top w:val="single" w:sz="4" w:space="0" w:color="auto"/>
              <w:left w:val="single" w:sz="4" w:space="0" w:color="auto"/>
              <w:bottom w:val="single" w:sz="4" w:space="0" w:color="auto"/>
              <w:right w:val="single" w:sz="4" w:space="0" w:color="auto"/>
            </w:tcBorders>
            <w:shd w:val="clear" w:color="auto" w:fill="auto"/>
            <w:hideMark/>
          </w:tcPr>
          <w:p w14:paraId="6F4F8319" w14:textId="77777777" w:rsidR="00C7266C" w:rsidRPr="001041C6" w:rsidRDefault="00C7266C" w:rsidP="001041C6">
            <w:pPr>
              <w:spacing w:after="240"/>
              <w:jc w:val="center"/>
              <w:rPr>
                <w:rFonts w:ascii="Times New Roman" w:eastAsia="Calibri" w:hAnsi="Times New Roman" w:cs="Times New Roman"/>
                <w:b/>
                <w:sz w:val="18"/>
                <w:szCs w:val="18"/>
                <w:lang w:val="en-US" w:eastAsia="ja-JP"/>
              </w:rPr>
            </w:pPr>
            <w:r w:rsidRPr="001041C6">
              <w:rPr>
                <w:rFonts w:ascii="Times New Roman" w:eastAsia="Calibri" w:hAnsi="Times New Roman" w:cs="Times New Roman"/>
                <w:b/>
                <w:sz w:val="18"/>
                <w:szCs w:val="18"/>
                <w:lang w:val="fr-FR"/>
              </w:rPr>
              <w:t>B: Viability/ Infectivity</w:t>
            </w:r>
          </w:p>
        </w:tc>
        <w:tc>
          <w:tcPr>
            <w:tcW w:w="5522" w:type="dxa"/>
            <w:tcBorders>
              <w:top w:val="single" w:sz="4" w:space="0" w:color="auto"/>
              <w:left w:val="single" w:sz="4" w:space="0" w:color="auto"/>
              <w:bottom w:val="single" w:sz="4" w:space="0" w:color="auto"/>
              <w:right w:val="single" w:sz="4" w:space="0" w:color="auto"/>
            </w:tcBorders>
            <w:shd w:val="clear" w:color="auto" w:fill="auto"/>
            <w:hideMark/>
          </w:tcPr>
          <w:p w14:paraId="586558FB" w14:textId="77777777" w:rsidR="00C7266C" w:rsidRPr="001041C6" w:rsidRDefault="00C7266C" w:rsidP="001041C6">
            <w:pPr>
              <w:spacing w:after="240"/>
              <w:jc w:val="center"/>
              <w:rPr>
                <w:rFonts w:ascii="Times New Roman" w:eastAsia="Calibri" w:hAnsi="Times New Roman" w:cs="Times New Roman"/>
                <w:b/>
                <w:sz w:val="18"/>
                <w:szCs w:val="18"/>
                <w:lang w:val="en-US" w:eastAsia="ja-JP"/>
              </w:rPr>
            </w:pPr>
            <w:r w:rsidRPr="001041C6">
              <w:rPr>
                <w:rFonts w:ascii="Times New Roman" w:eastAsia="Calibri" w:hAnsi="Times New Roman" w:cs="Times New Roman"/>
                <w:b/>
                <w:sz w:val="18"/>
                <w:szCs w:val="18"/>
                <w:lang w:val="fr-FR"/>
              </w:rPr>
              <w:t>C: Pathology/Clinical signs</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14:paraId="43137B9C" w14:textId="77777777" w:rsidR="00C7266C" w:rsidRPr="001041C6" w:rsidRDefault="00C7266C" w:rsidP="001041C6">
            <w:pPr>
              <w:spacing w:after="240"/>
              <w:jc w:val="center"/>
              <w:rPr>
                <w:rFonts w:ascii="Times New Roman" w:eastAsia="Calibri" w:hAnsi="Times New Roman" w:cs="Times New Roman"/>
                <w:b/>
                <w:sz w:val="18"/>
                <w:szCs w:val="18"/>
                <w:lang w:val="en-US" w:eastAsia="ja-JP"/>
              </w:rPr>
            </w:pPr>
            <w:r w:rsidRPr="001041C6">
              <w:rPr>
                <w:rFonts w:ascii="Times New Roman" w:eastAsia="Calibri" w:hAnsi="Times New Roman" w:cs="Times New Roman"/>
                <w:b/>
                <w:sz w:val="18"/>
                <w:szCs w:val="18"/>
                <w:lang w:val="fr-FR"/>
              </w:rPr>
              <w:t>D: Location</w:t>
            </w:r>
          </w:p>
        </w:tc>
      </w:tr>
      <w:tr w:rsidR="00C7266C" w:rsidRPr="001041C6" w14:paraId="2585B2D1" w14:textId="77777777" w:rsidTr="00C7266C">
        <w:tc>
          <w:tcPr>
            <w:tcW w:w="2415" w:type="dxa"/>
            <w:tcBorders>
              <w:top w:val="single" w:sz="4" w:space="0" w:color="auto"/>
              <w:left w:val="single" w:sz="4" w:space="0" w:color="auto"/>
              <w:bottom w:val="single" w:sz="4" w:space="0" w:color="auto"/>
              <w:right w:val="single" w:sz="4" w:space="0" w:color="auto"/>
            </w:tcBorders>
            <w:shd w:val="clear" w:color="auto" w:fill="auto"/>
          </w:tcPr>
          <w:p w14:paraId="2ABDA438"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lang w:val="en-AU"/>
              </w:rPr>
              <w:t>Sequential virus titration showing increase in viral titres or high virus titres in organs (&gt;10</w:t>
            </w:r>
            <w:r w:rsidRPr="001041C6">
              <w:rPr>
                <w:rFonts w:ascii="Times New Roman" w:eastAsia="Calibri" w:hAnsi="Times New Roman" w:cs="Times New Roman"/>
                <w:sz w:val="18"/>
                <w:szCs w:val="18"/>
                <w:vertAlign w:val="superscript"/>
                <w:lang w:val="en-AU"/>
              </w:rPr>
              <w:t>5</w:t>
            </w:r>
            <w:r w:rsidRPr="001041C6">
              <w:rPr>
                <w:rFonts w:ascii="Times New Roman" w:eastAsia="Calibri" w:hAnsi="Times New Roman" w:cs="Times New Roman"/>
                <w:sz w:val="18"/>
                <w:szCs w:val="18"/>
                <w:lang w:val="en-AU"/>
              </w:rPr>
              <w:t xml:space="preserve"> TCID</w:t>
            </w:r>
            <w:r w:rsidRPr="001041C6">
              <w:rPr>
                <w:rFonts w:ascii="Times New Roman" w:eastAsia="Calibri" w:hAnsi="Times New Roman" w:cs="Times New Roman"/>
                <w:sz w:val="18"/>
                <w:szCs w:val="18"/>
                <w:vertAlign w:val="subscript"/>
                <w:lang w:val="en-AU"/>
              </w:rPr>
              <w:t>50</w:t>
            </w:r>
            <w:r w:rsidRPr="001041C6">
              <w:rPr>
                <w:rFonts w:ascii="Times New Roman" w:eastAsia="Calibri" w:hAnsi="Times New Roman" w:cs="Times New Roman"/>
                <w:sz w:val="18"/>
                <w:szCs w:val="18"/>
                <w:lang w:val="en-AU"/>
              </w:rPr>
              <w:t>/g);</w:t>
            </w:r>
          </w:p>
          <w:p w14:paraId="4851B8C8"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lang w:val="en-AU"/>
              </w:rPr>
              <w:t>OR</w:t>
            </w:r>
          </w:p>
          <w:p w14:paraId="022AB297"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bdr w:val="none" w:sz="0" w:space="0" w:color="auto" w:frame="1"/>
              </w:rPr>
            </w:pPr>
            <w:r w:rsidRPr="001041C6">
              <w:rPr>
                <w:rFonts w:ascii="Times New Roman" w:eastAsia="Calibri" w:hAnsi="Times New Roman" w:cs="Times New Roman"/>
                <w:sz w:val="18"/>
                <w:szCs w:val="18"/>
                <w:bdr w:val="none" w:sz="0" w:space="0" w:color="auto" w:frame="1"/>
              </w:rPr>
              <w:t>Demonstration of increasing copy number over time by qPCR with confirmatory PCR/sequencing;</w:t>
            </w:r>
          </w:p>
          <w:p w14:paraId="3B120DD8"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bdr w:val="none" w:sz="0" w:space="0" w:color="auto" w:frame="1"/>
              </w:rPr>
              <w:t>OR</w:t>
            </w:r>
          </w:p>
          <w:p w14:paraId="3EA9D9C8"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lang w:val="en-AU"/>
              </w:rPr>
              <w:t>TEM showing virions in host cells;</w:t>
            </w:r>
          </w:p>
          <w:p w14:paraId="1514B4FC"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lang w:val="en-AU"/>
              </w:rPr>
              <w:t>OR</w:t>
            </w:r>
          </w:p>
          <w:p w14:paraId="566FED87"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US" w:eastAsia="ja-JP"/>
              </w:rPr>
            </w:pPr>
            <w:r w:rsidRPr="001041C6">
              <w:rPr>
                <w:rFonts w:ascii="Times New Roman" w:eastAsia="Calibri" w:hAnsi="Times New Roman" w:cs="Times New Roman"/>
                <w:sz w:val="18"/>
                <w:szCs w:val="18"/>
                <w:lang w:val="en-AU"/>
              </w:rPr>
              <w:t>Products (e.g. antigens) of virus replication detected.</w:t>
            </w:r>
          </w:p>
        </w:tc>
        <w:tc>
          <w:tcPr>
            <w:tcW w:w="3900" w:type="dxa"/>
            <w:tcBorders>
              <w:top w:val="single" w:sz="4" w:space="0" w:color="auto"/>
              <w:left w:val="single" w:sz="4" w:space="0" w:color="auto"/>
              <w:bottom w:val="single" w:sz="4" w:space="0" w:color="auto"/>
              <w:right w:val="single" w:sz="4" w:space="0" w:color="auto"/>
            </w:tcBorders>
            <w:shd w:val="clear" w:color="auto" w:fill="auto"/>
          </w:tcPr>
          <w:p w14:paraId="1EF846E9"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lang w:val="en-AU"/>
              </w:rPr>
              <w:t>Isolation by cell culture.</w:t>
            </w:r>
          </w:p>
          <w:p w14:paraId="35C51D94"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lang w:val="en-AU"/>
              </w:rPr>
              <w:t>OR</w:t>
            </w:r>
          </w:p>
          <w:p w14:paraId="660C94CC" w14:textId="77777777" w:rsidR="00C7266C" w:rsidRPr="001041C6" w:rsidRDefault="00C7266C" w:rsidP="001041C6">
            <w:pPr>
              <w:keepNext/>
              <w:autoSpaceDE w:val="0"/>
              <w:autoSpaceDN w:val="0"/>
              <w:adjustRightInd w:val="0"/>
              <w:spacing w:after="240"/>
              <w:rPr>
                <w:rFonts w:ascii="Times New Roman" w:eastAsia="Calibri" w:hAnsi="Times New Roman" w:cs="Times New Roman"/>
                <w:sz w:val="18"/>
                <w:szCs w:val="18"/>
                <w:lang w:val="en-AU"/>
              </w:rPr>
            </w:pPr>
            <w:r w:rsidRPr="001041C6">
              <w:rPr>
                <w:rFonts w:ascii="Times New Roman" w:eastAsia="Calibri" w:hAnsi="Times New Roman" w:cs="Times New Roman"/>
                <w:sz w:val="18"/>
                <w:szCs w:val="18"/>
                <w:lang w:val="en-AU"/>
              </w:rPr>
              <w:t>Passage to a susceptible host with infection confirmed by PCR/sequencing and demonstrating at least two of the following: i. clinical signs, with or without associated mortality, ii. Histopathology, iii. Re-isolation of virus in cell culture.</w:t>
            </w:r>
          </w:p>
          <w:p w14:paraId="0BB554BE"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US" w:eastAsia="ja-JP"/>
              </w:rPr>
            </w:pPr>
          </w:p>
        </w:tc>
        <w:tc>
          <w:tcPr>
            <w:tcW w:w="5522" w:type="dxa"/>
            <w:tcBorders>
              <w:top w:val="single" w:sz="4" w:space="0" w:color="auto"/>
              <w:left w:val="single" w:sz="4" w:space="0" w:color="auto"/>
              <w:bottom w:val="single" w:sz="4" w:space="0" w:color="auto"/>
              <w:right w:val="single" w:sz="4" w:space="0" w:color="auto"/>
            </w:tcBorders>
            <w:shd w:val="clear" w:color="auto" w:fill="auto"/>
            <w:hideMark/>
          </w:tcPr>
          <w:p w14:paraId="4680AF73"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rPr>
            </w:pPr>
            <w:r w:rsidRPr="001041C6">
              <w:rPr>
                <w:rFonts w:ascii="Times New Roman" w:eastAsia="Calibri" w:hAnsi="Times New Roman" w:cs="Times New Roman"/>
                <w:sz w:val="18"/>
                <w:szCs w:val="18"/>
              </w:rPr>
              <w:t>Typical clinical signs include exophthalmia, pale gills, haemorrhages on the skin, base of the fins and the vent, abdominal swelling, ascites and a protruding vent (anus), often with trailing mucoid faecal casts.</w:t>
            </w:r>
          </w:p>
          <w:p w14:paraId="51D7B1FB" w14:textId="77777777" w:rsidR="00C7266C" w:rsidRPr="001041C6" w:rsidRDefault="00C7266C" w:rsidP="001041C6">
            <w:pPr>
              <w:autoSpaceDE w:val="0"/>
              <w:autoSpaceDN w:val="0"/>
              <w:adjustRightInd w:val="0"/>
              <w:spacing w:after="240"/>
              <w:rPr>
                <w:rFonts w:ascii="Times New Roman" w:eastAsia="Calibri" w:hAnsi="Times New Roman" w:cs="Times New Roman"/>
                <w:sz w:val="18"/>
                <w:szCs w:val="18"/>
                <w:lang w:val="en-US" w:eastAsia="ja-JP"/>
              </w:rPr>
            </w:pPr>
            <w:r w:rsidRPr="001041C6">
              <w:rPr>
                <w:rFonts w:ascii="Times New Roman" w:eastAsia="Calibri" w:hAnsi="Times New Roman" w:cs="Times New Roman"/>
                <w:sz w:val="18"/>
                <w:szCs w:val="18"/>
              </w:rPr>
              <w:t>Necrosis and degeneration in major organs.</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14:paraId="5AD3D6E7" w14:textId="77777777" w:rsidR="00C7266C" w:rsidRPr="001041C6" w:rsidRDefault="00C7266C" w:rsidP="001041C6">
            <w:pPr>
              <w:spacing w:after="240"/>
              <w:rPr>
                <w:rFonts w:ascii="Times New Roman" w:eastAsia="Calibri" w:hAnsi="Times New Roman" w:cs="Times New Roman"/>
                <w:sz w:val="18"/>
                <w:szCs w:val="18"/>
              </w:rPr>
            </w:pPr>
            <w:r w:rsidRPr="001041C6">
              <w:rPr>
                <w:rFonts w:ascii="Times New Roman" w:eastAsia="Calibri" w:hAnsi="Times New Roman" w:cs="Times New Roman"/>
                <w:sz w:val="18"/>
                <w:szCs w:val="18"/>
              </w:rPr>
              <w:t>High titre in liver, heart and kidney.</w:t>
            </w:r>
          </w:p>
          <w:p w14:paraId="0BE84B44" w14:textId="77777777" w:rsidR="00C7266C" w:rsidRPr="001041C6" w:rsidRDefault="00C7266C" w:rsidP="001041C6">
            <w:pPr>
              <w:spacing w:after="240"/>
              <w:rPr>
                <w:rFonts w:ascii="Times New Roman" w:eastAsia="Calibri" w:hAnsi="Times New Roman" w:cs="Times New Roman"/>
                <w:sz w:val="18"/>
                <w:szCs w:val="18"/>
              </w:rPr>
            </w:pPr>
            <w:r w:rsidRPr="001041C6">
              <w:rPr>
                <w:rFonts w:ascii="Times New Roman" w:eastAsia="Calibri" w:hAnsi="Times New Roman" w:cs="Times New Roman"/>
                <w:sz w:val="18"/>
                <w:szCs w:val="18"/>
              </w:rPr>
              <w:t>Lower titre in spleen, gills and brain.</w:t>
            </w:r>
          </w:p>
          <w:p w14:paraId="699C2008" w14:textId="77777777" w:rsidR="00C7266C" w:rsidRPr="001041C6" w:rsidRDefault="00C7266C" w:rsidP="001041C6">
            <w:pPr>
              <w:spacing w:after="240"/>
              <w:rPr>
                <w:rFonts w:ascii="Times New Roman" w:eastAsia="Calibri" w:hAnsi="Times New Roman" w:cs="Times New Roman"/>
                <w:sz w:val="18"/>
                <w:szCs w:val="18"/>
                <w:lang w:val="en-US" w:eastAsia="ja-JP"/>
              </w:rPr>
            </w:pPr>
            <w:r w:rsidRPr="001041C6">
              <w:rPr>
                <w:rFonts w:ascii="Times New Roman" w:eastAsia="Calibri" w:hAnsi="Times New Roman" w:cs="Times New Roman"/>
                <w:sz w:val="18"/>
                <w:szCs w:val="18"/>
              </w:rPr>
              <w:t>As a systemic infection virus will be located in all tissues.</w:t>
            </w:r>
          </w:p>
        </w:tc>
      </w:tr>
    </w:tbl>
    <w:p w14:paraId="1529C296" w14:textId="77777777" w:rsidR="00C7266C" w:rsidRPr="001041C6" w:rsidRDefault="00C7266C" w:rsidP="001041C6">
      <w:pPr>
        <w:spacing w:after="240"/>
        <w:rPr>
          <w:rFonts w:ascii="Times New Roman" w:eastAsia="Calibri" w:hAnsi="Times New Roman" w:cs="Times New Roman"/>
          <w:sz w:val="18"/>
          <w:szCs w:val="18"/>
          <w:lang w:val="en-US" w:eastAsia="ja-JP"/>
        </w:rPr>
      </w:pPr>
    </w:p>
    <w:p w14:paraId="7E1AB2FB" w14:textId="77777777" w:rsidR="00C7266C" w:rsidRPr="001041C6" w:rsidRDefault="00C7266C" w:rsidP="001041C6">
      <w:pPr>
        <w:spacing w:after="240"/>
        <w:jc w:val="both"/>
        <w:rPr>
          <w:rFonts w:ascii="Times New Roman" w:eastAsia="Calibri" w:hAnsi="Times New Roman" w:cs="Times New Roman"/>
          <w:sz w:val="18"/>
          <w:szCs w:val="18"/>
        </w:rPr>
      </w:pPr>
      <w:r w:rsidRPr="001041C6">
        <w:rPr>
          <w:rFonts w:ascii="Times New Roman" w:eastAsia="Calibri" w:hAnsi="Times New Roman" w:cs="Times New Roman"/>
          <w:sz w:val="18"/>
          <w:szCs w:val="18"/>
        </w:rPr>
        <w:t xml:space="preserve">For this assessment only virus isolates identified as SVCV according to Stone </w:t>
      </w:r>
      <w:r w:rsidRPr="001041C6">
        <w:rPr>
          <w:rFonts w:ascii="Times New Roman" w:eastAsia="Calibri" w:hAnsi="Times New Roman" w:cs="Times New Roman"/>
          <w:i/>
          <w:sz w:val="18"/>
          <w:szCs w:val="18"/>
        </w:rPr>
        <w:t>et al.</w:t>
      </w:r>
      <w:r w:rsidRPr="001041C6">
        <w:rPr>
          <w:rFonts w:ascii="Times New Roman" w:eastAsia="Calibri" w:hAnsi="Times New Roman" w:cs="Times New Roman"/>
          <w:sz w:val="18"/>
          <w:szCs w:val="18"/>
        </w:rPr>
        <w:t xml:space="preserve"> 2003 (genotype 1) are regarded as SVCV. </w:t>
      </w:r>
    </w:p>
    <w:p w14:paraId="615133C1" w14:textId="77777777" w:rsidR="00C7266C" w:rsidRPr="001041C6" w:rsidRDefault="00C7266C" w:rsidP="001041C6">
      <w:pPr>
        <w:spacing w:after="240"/>
        <w:rPr>
          <w:rFonts w:ascii="Times New Roman" w:eastAsia="Calibri" w:hAnsi="Times New Roman" w:cs="Times New Roman"/>
          <w:caps/>
          <w:sz w:val="18"/>
          <w:szCs w:val="18"/>
        </w:rPr>
        <w:sectPr w:rsidR="00C7266C" w:rsidRPr="001041C6" w:rsidSect="00C7266C">
          <w:type w:val="evenPage"/>
          <w:pgSz w:w="16838" w:h="11906" w:orient="landscape" w:code="9"/>
          <w:pgMar w:top="1418" w:right="1418" w:bottom="1418" w:left="1418" w:header="709" w:footer="709" w:gutter="0"/>
          <w:cols w:space="720"/>
          <w:docGrid w:linePitch="326"/>
        </w:sectPr>
      </w:pPr>
    </w:p>
    <w:p w14:paraId="033B5499" w14:textId="77777777" w:rsidR="00C7266C" w:rsidRPr="001041C6" w:rsidRDefault="00C7266C" w:rsidP="001041C6">
      <w:pPr>
        <w:pStyle w:val="2"/>
        <w:tabs>
          <w:tab w:val="clear" w:pos="360"/>
        </w:tabs>
        <w:spacing w:after="480"/>
        <w:ind w:left="0" w:firstLine="0"/>
        <w:jc w:val="right"/>
        <w:rPr>
          <w:b w:val="0"/>
          <w:sz w:val="20"/>
          <w:szCs w:val="20"/>
        </w:rPr>
      </w:pPr>
      <w:r w:rsidRPr="001041C6">
        <w:rPr>
          <w:rFonts w:ascii="Times New Roman" w:hAnsi="Times New Roman"/>
          <w:b w:val="0"/>
          <w:sz w:val="20"/>
          <w:szCs w:val="20"/>
          <w:u w:val="single"/>
        </w:rPr>
        <w:t>Annex 16</w:t>
      </w:r>
      <w:r w:rsidRPr="001041C6">
        <w:rPr>
          <w:rFonts w:ascii="Times New Roman" w:hAnsi="Times New Roman"/>
          <w:b w:val="0"/>
          <w:sz w:val="20"/>
          <w:szCs w:val="20"/>
        </w:rPr>
        <w:t xml:space="preserve"> (contd)</w:t>
      </w:r>
    </w:p>
    <w:p w14:paraId="16293120" w14:textId="77777777" w:rsidR="00C7266C" w:rsidRPr="001041C6" w:rsidRDefault="00C7266C" w:rsidP="001041C6">
      <w:pPr>
        <w:spacing w:after="240"/>
        <w:rPr>
          <w:rFonts w:ascii="Times New Roman" w:eastAsia="Calibri" w:hAnsi="Times New Roman" w:cs="Times New Roman"/>
          <w:b/>
          <w:caps/>
          <w:sz w:val="20"/>
          <w:szCs w:val="20"/>
        </w:rPr>
      </w:pPr>
      <w:r w:rsidRPr="001041C6">
        <w:rPr>
          <w:rFonts w:ascii="Times New Roman" w:eastAsia="Calibri" w:hAnsi="Times New Roman" w:cs="Times New Roman"/>
          <w:b/>
          <w:caps/>
          <w:sz w:val="20"/>
          <w:szCs w:val="20"/>
        </w:rPr>
        <w:t>Assessment for host susceptibility</w:t>
      </w:r>
    </w:p>
    <w:p w14:paraId="454E4D4D" w14:textId="77777777" w:rsidR="00C7266C" w:rsidRPr="001041C6" w:rsidRDefault="00C7266C" w:rsidP="001041C6">
      <w:pPr>
        <w:spacing w:after="240"/>
        <w:jc w:val="both"/>
        <w:rPr>
          <w:rFonts w:ascii="Times New Roman" w:eastAsia="Calibri" w:hAnsi="Times New Roman" w:cs="Times New Roman"/>
          <w:sz w:val="20"/>
          <w:szCs w:val="20"/>
        </w:rPr>
      </w:pPr>
      <w:r w:rsidRPr="001041C6">
        <w:rPr>
          <w:rFonts w:ascii="Times New Roman" w:eastAsia="Calibri" w:hAnsi="Times New Roman" w:cs="Times New Roman"/>
          <w:sz w:val="20"/>
          <w:szCs w:val="20"/>
        </w:rPr>
        <w:t>The assessment for host susceptibility of zebrafish (</w:t>
      </w:r>
      <w:r w:rsidRPr="001041C6">
        <w:rPr>
          <w:rFonts w:ascii="Times New Roman" w:eastAsia="Calibri" w:hAnsi="Times New Roman" w:cs="Times New Roman"/>
          <w:i/>
          <w:iCs/>
          <w:sz w:val="20"/>
          <w:szCs w:val="20"/>
        </w:rPr>
        <w:t>Danio rerio</w:t>
      </w:r>
      <w:r w:rsidRPr="001041C6">
        <w:rPr>
          <w:rFonts w:ascii="Times New Roman" w:eastAsia="Calibri" w:hAnsi="Times New Roman" w:cs="Times New Roman"/>
          <w:sz w:val="20"/>
          <w:szCs w:val="20"/>
        </w:rPr>
        <w:t>) to infection with SVCV is provided in Table 2.</w:t>
      </w:r>
    </w:p>
    <w:p w14:paraId="67F8680C" w14:textId="77777777" w:rsidR="00C7266C" w:rsidRPr="001041C6" w:rsidRDefault="00C7266C" w:rsidP="001041C6">
      <w:pPr>
        <w:spacing w:after="240"/>
        <w:rPr>
          <w:rFonts w:ascii="Times New Roman" w:eastAsia="Calibri" w:hAnsi="Times New Roman" w:cs="Times New Roman"/>
          <w:i/>
          <w:sz w:val="20"/>
          <w:szCs w:val="20"/>
        </w:rPr>
      </w:pPr>
      <w:r w:rsidRPr="001041C6">
        <w:rPr>
          <w:rFonts w:ascii="Times New Roman" w:eastAsia="Calibri" w:hAnsi="Times New Roman" w:cs="Times New Roman"/>
          <w:b/>
          <w:i/>
          <w:sz w:val="20"/>
          <w:szCs w:val="20"/>
        </w:rPr>
        <w:t>Table 2.</w:t>
      </w:r>
      <w:r w:rsidRPr="001041C6">
        <w:rPr>
          <w:rFonts w:ascii="Times New Roman" w:eastAsia="Calibri" w:hAnsi="Times New Roman" w:cs="Times New Roman"/>
          <w:i/>
          <w:sz w:val="20"/>
          <w:szCs w:val="20"/>
        </w:rPr>
        <w:t xml:space="preserve"> Outcome of assessment for host susceptibility to infection with SVCV</w:t>
      </w:r>
    </w:p>
    <w:tbl>
      <w:tblPr>
        <w:tblW w:w="14388" w:type="dxa"/>
        <w:tblLayout w:type="fixed"/>
        <w:tblCellMar>
          <w:left w:w="70" w:type="dxa"/>
          <w:right w:w="70" w:type="dxa"/>
        </w:tblCellMar>
        <w:tblLook w:val="04A0" w:firstRow="1" w:lastRow="0" w:firstColumn="1" w:lastColumn="0" w:noHBand="0" w:noVBand="1"/>
      </w:tblPr>
      <w:tblGrid>
        <w:gridCol w:w="1913"/>
        <w:gridCol w:w="1276"/>
        <w:gridCol w:w="1276"/>
        <w:gridCol w:w="1418"/>
        <w:gridCol w:w="1672"/>
        <w:gridCol w:w="900"/>
        <w:gridCol w:w="990"/>
        <w:gridCol w:w="900"/>
        <w:gridCol w:w="810"/>
        <w:gridCol w:w="1080"/>
        <w:gridCol w:w="2153"/>
      </w:tblGrid>
      <w:tr w:rsidR="00C7266C" w:rsidRPr="001041C6" w14:paraId="5538F58D" w14:textId="77777777" w:rsidTr="00C7266C">
        <w:trPr>
          <w:trHeight w:val="300"/>
        </w:trPr>
        <w:tc>
          <w:tcPr>
            <w:tcW w:w="1913" w:type="dxa"/>
            <w:tcBorders>
              <w:top w:val="single" w:sz="4" w:space="0" w:color="auto"/>
              <w:left w:val="single" w:sz="4" w:space="0" w:color="auto"/>
              <w:bottom w:val="single" w:sz="4" w:space="0" w:color="auto"/>
              <w:right w:val="single" w:sz="4" w:space="0" w:color="auto"/>
            </w:tcBorders>
            <w:noWrap/>
            <w:hideMark/>
          </w:tcPr>
          <w:p w14:paraId="3FBC95D6"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 xml:space="preserve">Common name </w:t>
            </w:r>
          </w:p>
        </w:tc>
        <w:tc>
          <w:tcPr>
            <w:tcW w:w="1276" w:type="dxa"/>
            <w:tcBorders>
              <w:top w:val="single" w:sz="4" w:space="0" w:color="auto"/>
              <w:left w:val="single" w:sz="4" w:space="0" w:color="auto"/>
              <w:bottom w:val="single" w:sz="4" w:space="0" w:color="auto"/>
              <w:right w:val="single" w:sz="4" w:space="0" w:color="auto"/>
            </w:tcBorders>
          </w:tcPr>
          <w:p w14:paraId="40CD07C9"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Genus</w:t>
            </w:r>
          </w:p>
        </w:tc>
        <w:tc>
          <w:tcPr>
            <w:tcW w:w="1276" w:type="dxa"/>
            <w:tcBorders>
              <w:top w:val="single" w:sz="4" w:space="0" w:color="auto"/>
              <w:left w:val="single" w:sz="4" w:space="0" w:color="auto"/>
              <w:bottom w:val="single" w:sz="4" w:space="0" w:color="auto"/>
              <w:right w:val="single" w:sz="4" w:space="0" w:color="auto"/>
            </w:tcBorders>
            <w:noWrap/>
            <w:hideMark/>
          </w:tcPr>
          <w:p w14:paraId="14B08A15"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Species</w:t>
            </w:r>
          </w:p>
        </w:tc>
        <w:tc>
          <w:tcPr>
            <w:tcW w:w="1418" w:type="dxa"/>
            <w:tcBorders>
              <w:top w:val="single" w:sz="4" w:space="0" w:color="auto"/>
              <w:left w:val="single" w:sz="4" w:space="0" w:color="auto"/>
              <w:bottom w:val="single" w:sz="4" w:space="0" w:color="auto"/>
              <w:right w:val="single" w:sz="4" w:space="0" w:color="auto"/>
            </w:tcBorders>
            <w:noWrap/>
            <w:hideMark/>
          </w:tcPr>
          <w:p w14:paraId="53ADF5DC"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STAGE 1: Transmission</w:t>
            </w:r>
          </w:p>
        </w:tc>
        <w:tc>
          <w:tcPr>
            <w:tcW w:w="1672" w:type="dxa"/>
            <w:tcBorders>
              <w:top w:val="single" w:sz="4" w:space="0" w:color="auto"/>
              <w:left w:val="single" w:sz="4" w:space="0" w:color="auto"/>
              <w:bottom w:val="single" w:sz="4" w:space="0" w:color="auto"/>
              <w:right w:val="single" w:sz="4" w:space="0" w:color="auto"/>
            </w:tcBorders>
            <w:noWrap/>
            <w:hideMark/>
          </w:tcPr>
          <w:p w14:paraId="53BDD588"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STAGE 2:</w:t>
            </w:r>
            <w:r w:rsidRPr="001041C6">
              <w:rPr>
                <w:rFonts w:ascii="Times New Roman" w:eastAsia="Calibri" w:hAnsi="Times New Roman" w:cs="Times New Roman"/>
                <w:b/>
                <w:sz w:val="20"/>
                <w:szCs w:val="20"/>
                <w:lang w:val="fr-FR"/>
              </w:rPr>
              <w:br/>
              <w:t>Pathogen identification</w:t>
            </w:r>
          </w:p>
        </w:tc>
        <w:tc>
          <w:tcPr>
            <w:tcW w:w="3600" w:type="dxa"/>
            <w:gridSpan w:val="4"/>
            <w:tcBorders>
              <w:top w:val="single" w:sz="4" w:space="0" w:color="auto"/>
              <w:left w:val="single" w:sz="4" w:space="0" w:color="auto"/>
              <w:bottom w:val="single" w:sz="4" w:space="0" w:color="auto"/>
              <w:right w:val="nil"/>
            </w:tcBorders>
            <w:noWrap/>
            <w:hideMark/>
          </w:tcPr>
          <w:p w14:paraId="34B5AFBA"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STAGE 3:</w:t>
            </w:r>
            <w:r w:rsidRPr="001041C6">
              <w:rPr>
                <w:rFonts w:ascii="Times New Roman" w:eastAsia="Calibri" w:hAnsi="Times New Roman" w:cs="Times New Roman"/>
                <w:b/>
                <w:sz w:val="20"/>
                <w:szCs w:val="20"/>
                <w:lang w:val="fr-FR"/>
              </w:rPr>
              <w:br/>
              <w:t>Evidence of infection</w:t>
            </w:r>
          </w:p>
        </w:tc>
        <w:tc>
          <w:tcPr>
            <w:tcW w:w="1080" w:type="dxa"/>
            <w:tcBorders>
              <w:top w:val="single" w:sz="4" w:space="0" w:color="auto"/>
              <w:left w:val="single" w:sz="4" w:space="0" w:color="auto"/>
              <w:bottom w:val="single" w:sz="4" w:space="0" w:color="auto"/>
              <w:right w:val="single" w:sz="4" w:space="0" w:color="auto"/>
            </w:tcBorders>
            <w:noWrap/>
            <w:hideMark/>
          </w:tcPr>
          <w:p w14:paraId="39234CEF"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Outcome</w:t>
            </w:r>
          </w:p>
        </w:tc>
        <w:tc>
          <w:tcPr>
            <w:tcW w:w="2153" w:type="dxa"/>
            <w:tcBorders>
              <w:top w:val="single" w:sz="4" w:space="0" w:color="auto"/>
              <w:left w:val="single" w:sz="4" w:space="0" w:color="auto"/>
              <w:bottom w:val="single" w:sz="4" w:space="0" w:color="auto"/>
              <w:right w:val="single" w:sz="4" w:space="0" w:color="auto"/>
            </w:tcBorders>
            <w:hideMark/>
          </w:tcPr>
          <w:p w14:paraId="1A4B48EA"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References</w:t>
            </w:r>
          </w:p>
        </w:tc>
      </w:tr>
      <w:tr w:rsidR="00C7266C" w:rsidRPr="001041C6" w14:paraId="28DE9ED6" w14:textId="77777777" w:rsidTr="00C7266C">
        <w:trPr>
          <w:cantSplit/>
        </w:trPr>
        <w:tc>
          <w:tcPr>
            <w:tcW w:w="1913" w:type="dxa"/>
            <w:tcBorders>
              <w:top w:val="single" w:sz="4" w:space="0" w:color="auto"/>
              <w:left w:val="single" w:sz="4" w:space="0" w:color="auto"/>
              <w:bottom w:val="nil"/>
              <w:right w:val="single" w:sz="4" w:space="0" w:color="auto"/>
            </w:tcBorders>
            <w:noWrap/>
            <w:vAlign w:val="bottom"/>
          </w:tcPr>
          <w:p w14:paraId="0530F313" w14:textId="77777777" w:rsidR="00C7266C" w:rsidRPr="001041C6" w:rsidRDefault="00C7266C" w:rsidP="00D403F5">
            <w:pPr>
              <w:spacing w:after="0"/>
              <w:jc w:val="center"/>
              <w:rPr>
                <w:rFonts w:ascii="Times New Roman" w:eastAsia="Calibri" w:hAnsi="Times New Roman" w:cs="Times New Roman"/>
                <w:i/>
                <w:sz w:val="20"/>
                <w:szCs w:val="20"/>
                <w:lang w:val="fr-FR"/>
              </w:rPr>
            </w:pPr>
          </w:p>
        </w:tc>
        <w:tc>
          <w:tcPr>
            <w:tcW w:w="1276" w:type="dxa"/>
            <w:tcBorders>
              <w:top w:val="nil"/>
              <w:left w:val="nil"/>
              <w:bottom w:val="single" w:sz="4" w:space="0" w:color="auto"/>
              <w:right w:val="nil"/>
            </w:tcBorders>
          </w:tcPr>
          <w:p w14:paraId="41E9D301" w14:textId="77777777" w:rsidR="00C7266C" w:rsidRPr="001041C6" w:rsidRDefault="00C7266C" w:rsidP="00D403F5">
            <w:pPr>
              <w:spacing w:after="0"/>
              <w:jc w:val="center"/>
              <w:rPr>
                <w:rFonts w:ascii="Times New Roman" w:eastAsia="Calibri" w:hAnsi="Times New Roman" w:cs="Times New Roman"/>
                <w:i/>
                <w:sz w:val="20"/>
                <w:szCs w:val="20"/>
                <w:lang w:val="fr-FR"/>
              </w:rPr>
            </w:pPr>
          </w:p>
        </w:tc>
        <w:tc>
          <w:tcPr>
            <w:tcW w:w="1276" w:type="dxa"/>
            <w:tcBorders>
              <w:top w:val="nil"/>
              <w:left w:val="nil"/>
              <w:bottom w:val="single" w:sz="4" w:space="0" w:color="auto"/>
              <w:right w:val="single" w:sz="4" w:space="0" w:color="auto"/>
            </w:tcBorders>
            <w:noWrap/>
            <w:vAlign w:val="bottom"/>
          </w:tcPr>
          <w:p w14:paraId="4250A28F" w14:textId="77777777" w:rsidR="00C7266C" w:rsidRPr="001041C6" w:rsidRDefault="00C7266C" w:rsidP="00D403F5">
            <w:pPr>
              <w:spacing w:after="0"/>
              <w:jc w:val="center"/>
              <w:rPr>
                <w:rFonts w:ascii="Times New Roman" w:eastAsia="Calibri" w:hAnsi="Times New Roman" w:cs="Times New Roman"/>
                <w:i/>
                <w:sz w:val="20"/>
                <w:szCs w:val="20"/>
                <w:lang w:val="fr-FR"/>
              </w:rPr>
            </w:pPr>
          </w:p>
        </w:tc>
        <w:tc>
          <w:tcPr>
            <w:tcW w:w="1418" w:type="dxa"/>
            <w:tcBorders>
              <w:top w:val="nil"/>
              <w:left w:val="nil"/>
              <w:bottom w:val="single" w:sz="4" w:space="0" w:color="auto"/>
              <w:right w:val="single" w:sz="4" w:space="0" w:color="auto"/>
            </w:tcBorders>
            <w:noWrap/>
            <w:vAlign w:val="bottom"/>
          </w:tcPr>
          <w:p w14:paraId="2A790F95" w14:textId="77777777" w:rsidR="00C7266C" w:rsidRPr="001041C6" w:rsidRDefault="00C7266C" w:rsidP="00D403F5">
            <w:pPr>
              <w:spacing w:after="0"/>
              <w:jc w:val="center"/>
              <w:rPr>
                <w:rFonts w:ascii="Times New Roman" w:eastAsia="Calibri" w:hAnsi="Times New Roman" w:cs="Times New Roman"/>
                <w:sz w:val="20"/>
                <w:szCs w:val="20"/>
                <w:lang w:val="fr-FR"/>
              </w:rPr>
            </w:pPr>
          </w:p>
        </w:tc>
        <w:tc>
          <w:tcPr>
            <w:tcW w:w="1672" w:type="dxa"/>
            <w:tcBorders>
              <w:top w:val="nil"/>
              <w:left w:val="nil"/>
              <w:bottom w:val="single" w:sz="4" w:space="0" w:color="auto"/>
              <w:right w:val="single" w:sz="4" w:space="0" w:color="auto"/>
            </w:tcBorders>
            <w:noWrap/>
            <w:vAlign w:val="bottom"/>
          </w:tcPr>
          <w:p w14:paraId="0157937C" w14:textId="77777777" w:rsidR="00C7266C" w:rsidRPr="001041C6" w:rsidRDefault="00C7266C" w:rsidP="00D403F5">
            <w:pPr>
              <w:spacing w:after="0"/>
              <w:jc w:val="center"/>
              <w:rPr>
                <w:rFonts w:ascii="Times New Roman" w:eastAsia="Calibri" w:hAnsi="Times New Roman" w:cs="Times New Roman"/>
                <w:sz w:val="20"/>
                <w:szCs w:val="20"/>
                <w:lang w:val="fr-FR"/>
              </w:rPr>
            </w:pPr>
          </w:p>
        </w:tc>
        <w:tc>
          <w:tcPr>
            <w:tcW w:w="900" w:type="dxa"/>
            <w:tcBorders>
              <w:top w:val="single" w:sz="4" w:space="0" w:color="auto"/>
              <w:left w:val="single" w:sz="4" w:space="0" w:color="auto"/>
              <w:bottom w:val="single" w:sz="4" w:space="0" w:color="auto"/>
              <w:right w:val="single" w:sz="4" w:space="0" w:color="auto"/>
            </w:tcBorders>
            <w:noWrap/>
            <w:vAlign w:val="center"/>
          </w:tcPr>
          <w:p w14:paraId="17C1B30C"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A</w:t>
            </w:r>
          </w:p>
        </w:tc>
        <w:tc>
          <w:tcPr>
            <w:tcW w:w="990" w:type="dxa"/>
            <w:tcBorders>
              <w:top w:val="single" w:sz="4" w:space="0" w:color="auto"/>
              <w:left w:val="single" w:sz="4" w:space="0" w:color="auto"/>
              <w:bottom w:val="single" w:sz="4" w:space="0" w:color="auto"/>
              <w:right w:val="single" w:sz="4" w:space="0" w:color="auto"/>
            </w:tcBorders>
            <w:noWrap/>
            <w:vAlign w:val="center"/>
          </w:tcPr>
          <w:p w14:paraId="7CFE9345"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B</w:t>
            </w:r>
          </w:p>
        </w:tc>
        <w:tc>
          <w:tcPr>
            <w:tcW w:w="900" w:type="dxa"/>
            <w:tcBorders>
              <w:top w:val="single" w:sz="4" w:space="0" w:color="auto"/>
              <w:left w:val="single" w:sz="4" w:space="0" w:color="auto"/>
              <w:bottom w:val="single" w:sz="4" w:space="0" w:color="auto"/>
              <w:right w:val="single" w:sz="4" w:space="0" w:color="auto"/>
            </w:tcBorders>
            <w:noWrap/>
            <w:vAlign w:val="center"/>
          </w:tcPr>
          <w:p w14:paraId="4D64C772"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C</w:t>
            </w:r>
          </w:p>
        </w:tc>
        <w:tc>
          <w:tcPr>
            <w:tcW w:w="810" w:type="dxa"/>
            <w:tcBorders>
              <w:top w:val="single" w:sz="4" w:space="0" w:color="auto"/>
              <w:left w:val="single" w:sz="4" w:space="0" w:color="auto"/>
              <w:bottom w:val="single" w:sz="4" w:space="0" w:color="auto"/>
              <w:right w:val="single" w:sz="4" w:space="0" w:color="auto"/>
            </w:tcBorders>
            <w:noWrap/>
            <w:vAlign w:val="center"/>
          </w:tcPr>
          <w:p w14:paraId="2E444EEF" w14:textId="77777777" w:rsidR="00C7266C" w:rsidRPr="001041C6" w:rsidRDefault="00C7266C" w:rsidP="00D403F5">
            <w:pPr>
              <w:spacing w:after="0"/>
              <w:jc w:val="center"/>
              <w:rPr>
                <w:rFonts w:ascii="Times New Roman" w:eastAsia="Calibri" w:hAnsi="Times New Roman" w:cs="Times New Roman"/>
                <w:b/>
                <w:sz w:val="20"/>
                <w:szCs w:val="20"/>
                <w:lang w:val="fr-FR"/>
              </w:rPr>
            </w:pPr>
            <w:r w:rsidRPr="001041C6">
              <w:rPr>
                <w:rFonts w:ascii="Times New Roman" w:eastAsia="Calibri" w:hAnsi="Times New Roman" w:cs="Times New Roman"/>
                <w:b/>
                <w:sz w:val="20"/>
                <w:szCs w:val="20"/>
                <w:lang w:val="fr-FR"/>
              </w:rPr>
              <w:t>D</w:t>
            </w:r>
          </w:p>
        </w:tc>
        <w:tc>
          <w:tcPr>
            <w:tcW w:w="1080" w:type="dxa"/>
            <w:tcBorders>
              <w:top w:val="single" w:sz="4" w:space="0" w:color="auto"/>
              <w:left w:val="single" w:sz="4" w:space="0" w:color="auto"/>
              <w:bottom w:val="single" w:sz="4" w:space="0" w:color="auto"/>
              <w:right w:val="single" w:sz="4" w:space="0" w:color="auto"/>
            </w:tcBorders>
            <w:noWrap/>
            <w:vAlign w:val="center"/>
          </w:tcPr>
          <w:p w14:paraId="0D94FD98" w14:textId="77777777" w:rsidR="00C7266C" w:rsidRPr="001041C6" w:rsidRDefault="00C7266C" w:rsidP="00D403F5">
            <w:pPr>
              <w:spacing w:after="0"/>
              <w:jc w:val="center"/>
              <w:rPr>
                <w:rFonts w:ascii="Times New Roman" w:eastAsia="Calibri" w:hAnsi="Times New Roman" w:cs="Times New Roman"/>
                <w:sz w:val="20"/>
                <w:szCs w:val="20"/>
                <w:lang w:val="fr-FR"/>
              </w:rPr>
            </w:pPr>
          </w:p>
        </w:tc>
        <w:tc>
          <w:tcPr>
            <w:tcW w:w="2153" w:type="dxa"/>
            <w:tcBorders>
              <w:top w:val="single" w:sz="4" w:space="0" w:color="auto"/>
              <w:left w:val="single" w:sz="4" w:space="0" w:color="auto"/>
              <w:bottom w:val="single" w:sz="4" w:space="0" w:color="auto"/>
              <w:right w:val="single" w:sz="4" w:space="0" w:color="auto"/>
            </w:tcBorders>
            <w:vAlign w:val="center"/>
          </w:tcPr>
          <w:p w14:paraId="27D170BC" w14:textId="77777777" w:rsidR="00C7266C" w:rsidRPr="001041C6" w:rsidRDefault="00C7266C" w:rsidP="00D403F5">
            <w:pPr>
              <w:spacing w:after="0"/>
              <w:jc w:val="center"/>
              <w:rPr>
                <w:rFonts w:ascii="Times New Roman" w:eastAsia="Calibri" w:hAnsi="Times New Roman" w:cs="Times New Roman"/>
                <w:sz w:val="20"/>
                <w:szCs w:val="20"/>
                <w:lang w:val="fr-FR"/>
              </w:rPr>
            </w:pPr>
          </w:p>
        </w:tc>
      </w:tr>
      <w:tr w:rsidR="00C7266C" w:rsidRPr="001041C6" w14:paraId="4EC42B5F" w14:textId="77777777" w:rsidTr="00C7266C">
        <w:trPr>
          <w:cantSplit/>
        </w:trPr>
        <w:tc>
          <w:tcPr>
            <w:tcW w:w="1913" w:type="dxa"/>
            <w:tcBorders>
              <w:top w:val="single" w:sz="4" w:space="0" w:color="auto"/>
              <w:left w:val="single" w:sz="4" w:space="0" w:color="auto"/>
              <w:bottom w:val="single" w:sz="4" w:space="0" w:color="auto"/>
              <w:right w:val="single" w:sz="4" w:space="0" w:color="auto"/>
            </w:tcBorders>
            <w:noWrap/>
            <w:vAlign w:val="center"/>
          </w:tcPr>
          <w:p w14:paraId="7F80369A" w14:textId="77777777" w:rsidR="00C7266C" w:rsidRPr="001041C6" w:rsidRDefault="00C7266C" w:rsidP="00D403F5">
            <w:pPr>
              <w:spacing w:after="0"/>
              <w:jc w:val="center"/>
              <w:rPr>
                <w:rFonts w:ascii="Times New Roman" w:hAnsi="Times New Roman" w:cs="Times New Roman"/>
                <w:sz w:val="20"/>
                <w:szCs w:val="20"/>
              </w:rPr>
            </w:pPr>
            <w:r w:rsidRPr="001041C6">
              <w:rPr>
                <w:rFonts w:ascii="Times New Roman" w:hAnsi="Times New Roman" w:cs="Times New Roman"/>
                <w:sz w:val="20"/>
                <w:szCs w:val="20"/>
              </w:rPr>
              <w:t>Zebrafish</w:t>
            </w:r>
          </w:p>
        </w:tc>
        <w:tc>
          <w:tcPr>
            <w:tcW w:w="1276" w:type="dxa"/>
            <w:tcBorders>
              <w:top w:val="nil"/>
              <w:left w:val="nil"/>
              <w:bottom w:val="single" w:sz="4" w:space="0" w:color="auto"/>
              <w:right w:val="nil"/>
            </w:tcBorders>
            <w:vAlign w:val="center"/>
          </w:tcPr>
          <w:p w14:paraId="74BBC15B" w14:textId="77777777" w:rsidR="00C7266C" w:rsidRPr="001041C6" w:rsidRDefault="00C7266C" w:rsidP="00D403F5">
            <w:pPr>
              <w:spacing w:after="0"/>
              <w:jc w:val="center"/>
              <w:rPr>
                <w:rFonts w:ascii="Times New Roman" w:hAnsi="Times New Roman" w:cs="Times New Roman"/>
                <w:i/>
                <w:iCs/>
                <w:color w:val="000000"/>
                <w:sz w:val="20"/>
                <w:szCs w:val="20"/>
              </w:rPr>
            </w:pPr>
            <w:r w:rsidRPr="001041C6">
              <w:rPr>
                <w:rFonts w:ascii="Times New Roman" w:hAnsi="Times New Roman" w:cs="Times New Roman"/>
                <w:i/>
                <w:iCs/>
                <w:color w:val="000000"/>
                <w:sz w:val="20"/>
                <w:szCs w:val="20"/>
              </w:rPr>
              <w:t>Danio</w:t>
            </w:r>
          </w:p>
        </w:tc>
        <w:tc>
          <w:tcPr>
            <w:tcW w:w="1276" w:type="dxa"/>
            <w:tcBorders>
              <w:top w:val="nil"/>
              <w:left w:val="nil"/>
              <w:bottom w:val="single" w:sz="4" w:space="0" w:color="auto"/>
              <w:right w:val="single" w:sz="4" w:space="0" w:color="auto"/>
            </w:tcBorders>
            <w:noWrap/>
            <w:vAlign w:val="center"/>
          </w:tcPr>
          <w:p w14:paraId="61F5B339" w14:textId="77777777" w:rsidR="00C7266C" w:rsidRPr="001041C6" w:rsidRDefault="00C7266C" w:rsidP="00D403F5">
            <w:pPr>
              <w:spacing w:after="0"/>
              <w:jc w:val="center"/>
              <w:rPr>
                <w:rFonts w:ascii="Times New Roman" w:hAnsi="Times New Roman" w:cs="Times New Roman"/>
                <w:i/>
                <w:iCs/>
                <w:color w:val="000000"/>
                <w:sz w:val="20"/>
                <w:szCs w:val="20"/>
              </w:rPr>
            </w:pPr>
            <w:r w:rsidRPr="001041C6">
              <w:rPr>
                <w:rFonts w:ascii="Times New Roman" w:hAnsi="Times New Roman" w:cs="Times New Roman"/>
                <w:i/>
                <w:iCs/>
                <w:color w:val="000000"/>
                <w:sz w:val="20"/>
                <w:szCs w:val="20"/>
              </w:rPr>
              <w:t>rerio</w:t>
            </w:r>
          </w:p>
        </w:tc>
        <w:tc>
          <w:tcPr>
            <w:tcW w:w="1418" w:type="dxa"/>
            <w:tcBorders>
              <w:top w:val="nil"/>
              <w:left w:val="single" w:sz="4" w:space="0" w:color="auto"/>
              <w:bottom w:val="single" w:sz="4" w:space="0" w:color="auto"/>
              <w:right w:val="single" w:sz="4" w:space="0" w:color="auto"/>
            </w:tcBorders>
            <w:noWrap/>
            <w:vAlign w:val="center"/>
          </w:tcPr>
          <w:p w14:paraId="29E97297"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E</w:t>
            </w:r>
          </w:p>
        </w:tc>
        <w:tc>
          <w:tcPr>
            <w:tcW w:w="1672" w:type="dxa"/>
            <w:tcBorders>
              <w:top w:val="nil"/>
              <w:left w:val="nil"/>
              <w:bottom w:val="single" w:sz="4" w:space="0" w:color="auto"/>
              <w:right w:val="single" w:sz="4" w:space="0" w:color="auto"/>
            </w:tcBorders>
            <w:noWrap/>
            <w:vAlign w:val="center"/>
          </w:tcPr>
          <w:p w14:paraId="7BDDDF5F"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Ref strain 56/70, RT-PCR</w:t>
            </w:r>
          </w:p>
        </w:tc>
        <w:tc>
          <w:tcPr>
            <w:tcW w:w="900" w:type="dxa"/>
            <w:tcBorders>
              <w:top w:val="single" w:sz="4" w:space="0" w:color="auto"/>
              <w:left w:val="single" w:sz="4" w:space="0" w:color="auto"/>
              <w:bottom w:val="single" w:sz="4" w:space="0" w:color="auto"/>
              <w:right w:val="single" w:sz="4" w:space="0" w:color="auto"/>
            </w:tcBorders>
            <w:noWrap/>
            <w:vAlign w:val="center"/>
          </w:tcPr>
          <w:p w14:paraId="09CF3B86"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ND</w:t>
            </w:r>
          </w:p>
        </w:tc>
        <w:tc>
          <w:tcPr>
            <w:tcW w:w="990" w:type="dxa"/>
            <w:tcBorders>
              <w:top w:val="single" w:sz="4" w:space="0" w:color="auto"/>
              <w:left w:val="single" w:sz="4" w:space="0" w:color="auto"/>
              <w:bottom w:val="single" w:sz="4" w:space="0" w:color="auto"/>
              <w:right w:val="single" w:sz="4" w:space="0" w:color="auto"/>
            </w:tcBorders>
            <w:noWrap/>
            <w:vAlign w:val="center"/>
          </w:tcPr>
          <w:p w14:paraId="6E2B2878"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Y</w:t>
            </w:r>
          </w:p>
        </w:tc>
        <w:tc>
          <w:tcPr>
            <w:tcW w:w="900" w:type="dxa"/>
            <w:tcBorders>
              <w:top w:val="single" w:sz="4" w:space="0" w:color="auto"/>
              <w:left w:val="single" w:sz="4" w:space="0" w:color="auto"/>
              <w:bottom w:val="single" w:sz="4" w:space="0" w:color="auto"/>
              <w:right w:val="single" w:sz="4" w:space="0" w:color="auto"/>
            </w:tcBorders>
            <w:noWrap/>
            <w:vAlign w:val="center"/>
          </w:tcPr>
          <w:p w14:paraId="08BC648E"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Y</w:t>
            </w:r>
          </w:p>
        </w:tc>
        <w:tc>
          <w:tcPr>
            <w:tcW w:w="810" w:type="dxa"/>
            <w:tcBorders>
              <w:top w:val="single" w:sz="4" w:space="0" w:color="auto"/>
              <w:left w:val="single" w:sz="4" w:space="0" w:color="auto"/>
              <w:bottom w:val="single" w:sz="4" w:space="0" w:color="auto"/>
              <w:right w:val="single" w:sz="4" w:space="0" w:color="auto"/>
            </w:tcBorders>
            <w:noWrap/>
            <w:vAlign w:val="center"/>
          </w:tcPr>
          <w:p w14:paraId="3E6A50B6"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Y</w:t>
            </w:r>
          </w:p>
        </w:tc>
        <w:tc>
          <w:tcPr>
            <w:tcW w:w="1080" w:type="dxa"/>
            <w:tcBorders>
              <w:top w:val="single" w:sz="4" w:space="0" w:color="auto"/>
              <w:left w:val="single" w:sz="4" w:space="0" w:color="auto"/>
              <w:bottom w:val="single" w:sz="4" w:space="0" w:color="auto"/>
              <w:right w:val="single" w:sz="4" w:space="0" w:color="auto"/>
            </w:tcBorders>
            <w:noWrap/>
            <w:vAlign w:val="center"/>
          </w:tcPr>
          <w:p w14:paraId="0FA727A4"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eastAsia="Calibri" w:hAnsi="Times New Roman" w:cs="Times New Roman"/>
                <w:sz w:val="20"/>
                <w:szCs w:val="20"/>
                <w:lang w:val="fr-FR"/>
              </w:rPr>
              <w:t>1*</w:t>
            </w:r>
          </w:p>
        </w:tc>
        <w:tc>
          <w:tcPr>
            <w:tcW w:w="2153" w:type="dxa"/>
            <w:tcBorders>
              <w:top w:val="single" w:sz="4" w:space="0" w:color="auto"/>
              <w:left w:val="single" w:sz="4" w:space="0" w:color="auto"/>
              <w:bottom w:val="single" w:sz="4" w:space="0" w:color="auto"/>
              <w:right w:val="single" w:sz="4" w:space="0" w:color="auto"/>
            </w:tcBorders>
            <w:vAlign w:val="center"/>
          </w:tcPr>
          <w:p w14:paraId="1AA88A09"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sz w:val="20"/>
                <w:szCs w:val="20"/>
              </w:rPr>
              <w:t xml:space="preserve">Sanders </w:t>
            </w:r>
            <w:r w:rsidRPr="001041C6">
              <w:rPr>
                <w:rFonts w:ascii="Times New Roman" w:hAnsi="Times New Roman" w:cs="Times New Roman"/>
                <w:i/>
                <w:iCs/>
                <w:sz w:val="20"/>
                <w:szCs w:val="20"/>
              </w:rPr>
              <w:t>et al.,</w:t>
            </w:r>
            <w:r w:rsidRPr="001041C6">
              <w:rPr>
                <w:rFonts w:ascii="Times New Roman" w:hAnsi="Times New Roman" w:cs="Times New Roman"/>
                <w:sz w:val="20"/>
                <w:szCs w:val="20"/>
              </w:rPr>
              <w:t xml:space="preserve"> 2003</w:t>
            </w:r>
          </w:p>
        </w:tc>
      </w:tr>
      <w:tr w:rsidR="00C7266C" w:rsidRPr="001041C6" w14:paraId="27CD54FC" w14:textId="77777777" w:rsidTr="00C7266C">
        <w:trPr>
          <w:cantSplit/>
        </w:trPr>
        <w:tc>
          <w:tcPr>
            <w:tcW w:w="1913" w:type="dxa"/>
            <w:tcBorders>
              <w:top w:val="single" w:sz="4" w:space="0" w:color="auto"/>
              <w:left w:val="single" w:sz="4" w:space="0" w:color="auto"/>
              <w:bottom w:val="single" w:sz="4" w:space="0" w:color="auto"/>
              <w:right w:val="single" w:sz="4" w:space="0" w:color="auto"/>
            </w:tcBorders>
            <w:noWrap/>
            <w:vAlign w:val="center"/>
          </w:tcPr>
          <w:p w14:paraId="56C0CCE1" w14:textId="77777777" w:rsidR="00C7266C" w:rsidRPr="001041C6" w:rsidRDefault="00C7266C" w:rsidP="00D403F5">
            <w:pPr>
              <w:spacing w:after="0"/>
              <w:jc w:val="center"/>
              <w:rPr>
                <w:rFonts w:ascii="Times New Roman" w:hAnsi="Times New Roman" w:cs="Times New Roman"/>
                <w:sz w:val="20"/>
                <w:szCs w:val="20"/>
                <w:lang w:val="en-US"/>
              </w:rPr>
            </w:pPr>
            <w:r w:rsidRPr="001041C6">
              <w:rPr>
                <w:rFonts w:ascii="Times New Roman" w:hAnsi="Times New Roman" w:cs="Times New Roman"/>
                <w:sz w:val="20"/>
                <w:szCs w:val="20"/>
              </w:rPr>
              <w:t>Zebrafish</w:t>
            </w:r>
          </w:p>
        </w:tc>
        <w:tc>
          <w:tcPr>
            <w:tcW w:w="1276" w:type="dxa"/>
            <w:tcBorders>
              <w:top w:val="nil"/>
              <w:left w:val="nil"/>
              <w:bottom w:val="single" w:sz="4" w:space="0" w:color="auto"/>
              <w:right w:val="nil"/>
            </w:tcBorders>
            <w:vAlign w:val="center"/>
          </w:tcPr>
          <w:p w14:paraId="3D80A6C2" w14:textId="77777777" w:rsidR="00C7266C" w:rsidRPr="001041C6" w:rsidRDefault="00C7266C" w:rsidP="00D403F5">
            <w:pPr>
              <w:spacing w:after="0"/>
              <w:jc w:val="center"/>
              <w:rPr>
                <w:rFonts w:ascii="Times New Roman" w:hAnsi="Times New Roman" w:cs="Times New Roman"/>
                <w:i/>
                <w:iCs/>
                <w:color w:val="000000"/>
                <w:sz w:val="20"/>
                <w:szCs w:val="20"/>
              </w:rPr>
            </w:pPr>
            <w:r w:rsidRPr="001041C6">
              <w:rPr>
                <w:rFonts w:ascii="Times New Roman" w:hAnsi="Times New Roman" w:cs="Times New Roman"/>
                <w:i/>
                <w:iCs/>
                <w:color w:val="000000"/>
                <w:sz w:val="20"/>
                <w:szCs w:val="20"/>
              </w:rPr>
              <w:t>Danio</w:t>
            </w:r>
          </w:p>
        </w:tc>
        <w:tc>
          <w:tcPr>
            <w:tcW w:w="1276" w:type="dxa"/>
            <w:tcBorders>
              <w:top w:val="nil"/>
              <w:left w:val="nil"/>
              <w:bottom w:val="single" w:sz="4" w:space="0" w:color="auto"/>
              <w:right w:val="single" w:sz="4" w:space="0" w:color="auto"/>
            </w:tcBorders>
            <w:noWrap/>
            <w:vAlign w:val="center"/>
          </w:tcPr>
          <w:p w14:paraId="0B8A4436" w14:textId="77777777" w:rsidR="00C7266C" w:rsidRPr="001041C6" w:rsidRDefault="00C7266C" w:rsidP="00D403F5">
            <w:pPr>
              <w:spacing w:after="0"/>
              <w:jc w:val="center"/>
              <w:rPr>
                <w:rFonts w:ascii="Times New Roman" w:eastAsia="Calibri" w:hAnsi="Times New Roman" w:cs="Times New Roman"/>
                <w:i/>
                <w:sz w:val="20"/>
                <w:szCs w:val="20"/>
                <w:lang w:val="fr-FR"/>
              </w:rPr>
            </w:pPr>
            <w:r w:rsidRPr="001041C6">
              <w:rPr>
                <w:rFonts w:ascii="Times New Roman" w:hAnsi="Times New Roman" w:cs="Times New Roman"/>
                <w:i/>
                <w:iCs/>
                <w:color w:val="000000"/>
                <w:sz w:val="20"/>
                <w:szCs w:val="20"/>
              </w:rPr>
              <w:t>rerio</w:t>
            </w:r>
          </w:p>
        </w:tc>
        <w:tc>
          <w:tcPr>
            <w:tcW w:w="1418" w:type="dxa"/>
            <w:tcBorders>
              <w:top w:val="nil"/>
              <w:left w:val="single" w:sz="4" w:space="0" w:color="auto"/>
              <w:bottom w:val="single" w:sz="4" w:space="0" w:color="auto"/>
              <w:right w:val="single" w:sz="4" w:space="0" w:color="auto"/>
            </w:tcBorders>
            <w:noWrap/>
            <w:vAlign w:val="center"/>
          </w:tcPr>
          <w:p w14:paraId="52677607"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E</w:t>
            </w:r>
          </w:p>
        </w:tc>
        <w:tc>
          <w:tcPr>
            <w:tcW w:w="1672" w:type="dxa"/>
            <w:tcBorders>
              <w:top w:val="nil"/>
              <w:left w:val="nil"/>
              <w:bottom w:val="single" w:sz="4" w:space="0" w:color="auto"/>
              <w:right w:val="single" w:sz="4" w:space="0" w:color="auto"/>
            </w:tcBorders>
            <w:noWrap/>
            <w:vAlign w:val="center"/>
          </w:tcPr>
          <w:p w14:paraId="6627BD09" w14:textId="77777777" w:rsidR="00C7266C" w:rsidRPr="001041C6" w:rsidRDefault="00C7266C" w:rsidP="00D403F5">
            <w:pPr>
              <w:spacing w:after="0"/>
              <w:jc w:val="center"/>
              <w:rPr>
                <w:rFonts w:ascii="Times New Roman" w:eastAsia="MS PGothic" w:hAnsi="Times New Roman" w:cs="Times New Roman"/>
                <w:bCs/>
                <w:sz w:val="20"/>
                <w:szCs w:val="20"/>
              </w:rPr>
            </w:pPr>
            <w:r w:rsidRPr="001041C6">
              <w:rPr>
                <w:rFonts w:ascii="Times New Roman" w:hAnsi="Times New Roman" w:cs="Times New Roman"/>
                <w:color w:val="000000"/>
                <w:sz w:val="20"/>
                <w:szCs w:val="20"/>
              </w:rPr>
              <w:t>Ref strain ATCCVR-1390; RT-PCR, VI</w:t>
            </w:r>
          </w:p>
        </w:tc>
        <w:tc>
          <w:tcPr>
            <w:tcW w:w="900" w:type="dxa"/>
            <w:tcBorders>
              <w:top w:val="single" w:sz="4" w:space="0" w:color="auto"/>
              <w:left w:val="single" w:sz="4" w:space="0" w:color="auto"/>
              <w:bottom w:val="single" w:sz="4" w:space="0" w:color="auto"/>
              <w:right w:val="single" w:sz="4" w:space="0" w:color="auto"/>
            </w:tcBorders>
            <w:noWrap/>
            <w:vAlign w:val="center"/>
          </w:tcPr>
          <w:p w14:paraId="1D8C01F3"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ND </w:t>
            </w:r>
          </w:p>
        </w:tc>
        <w:tc>
          <w:tcPr>
            <w:tcW w:w="990" w:type="dxa"/>
            <w:tcBorders>
              <w:top w:val="single" w:sz="4" w:space="0" w:color="auto"/>
              <w:left w:val="single" w:sz="4" w:space="0" w:color="auto"/>
              <w:bottom w:val="single" w:sz="4" w:space="0" w:color="auto"/>
              <w:right w:val="single" w:sz="4" w:space="0" w:color="auto"/>
            </w:tcBorders>
            <w:noWrap/>
            <w:vAlign w:val="center"/>
          </w:tcPr>
          <w:p w14:paraId="1F338E89"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ND</w:t>
            </w:r>
          </w:p>
        </w:tc>
        <w:tc>
          <w:tcPr>
            <w:tcW w:w="900" w:type="dxa"/>
            <w:tcBorders>
              <w:top w:val="single" w:sz="4" w:space="0" w:color="auto"/>
              <w:left w:val="single" w:sz="4" w:space="0" w:color="auto"/>
              <w:bottom w:val="single" w:sz="4" w:space="0" w:color="auto"/>
              <w:right w:val="single" w:sz="4" w:space="0" w:color="auto"/>
            </w:tcBorders>
            <w:noWrap/>
            <w:vAlign w:val="center"/>
          </w:tcPr>
          <w:p w14:paraId="17EFEDA5"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810" w:type="dxa"/>
            <w:tcBorders>
              <w:top w:val="single" w:sz="4" w:space="0" w:color="auto"/>
              <w:left w:val="single" w:sz="4" w:space="0" w:color="auto"/>
              <w:bottom w:val="single" w:sz="4" w:space="0" w:color="auto"/>
              <w:right w:val="single" w:sz="4" w:space="0" w:color="auto"/>
            </w:tcBorders>
            <w:noWrap/>
            <w:vAlign w:val="center"/>
          </w:tcPr>
          <w:p w14:paraId="6A7C9E8B"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1080" w:type="dxa"/>
            <w:tcBorders>
              <w:top w:val="single" w:sz="4" w:space="0" w:color="auto"/>
              <w:left w:val="single" w:sz="4" w:space="0" w:color="auto"/>
              <w:bottom w:val="single" w:sz="4" w:space="0" w:color="auto"/>
              <w:right w:val="single" w:sz="4" w:space="0" w:color="auto"/>
            </w:tcBorders>
            <w:noWrap/>
            <w:vAlign w:val="center"/>
          </w:tcPr>
          <w:p w14:paraId="49DB1EE6"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eastAsia="Calibri" w:hAnsi="Times New Roman" w:cs="Times New Roman"/>
                <w:sz w:val="20"/>
                <w:szCs w:val="20"/>
                <w:lang w:val="fr-FR"/>
              </w:rPr>
              <w:t>1</w:t>
            </w:r>
          </w:p>
        </w:tc>
        <w:tc>
          <w:tcPr>
            <w:tcW w:w="2153" w:type="dxa"/>
            <w:tcBorders>
              <w:top w:val="single" w:sz="4" w:space="0" w:color="auto"/>
              <w:left w:val="single" w:sz="4" w:space="0" w:color="auto"/>
              <w:bottom w:val="single" w:sz="4" w:space="0" w:color="auto"/>
              <w:right w:val="single" w:sz="4" w:space="0" w:color="auto"/>
            </w:tcBorders>
            <w:vAlign w:val="center"/>
          </w:tcPr>
          <w:p w14:paraId="763D46AD" w14:textId="77777777" w:rsidR="00C7266C" w:rsidRPr="001041C6" w:rsidRDefault="00C7266C" w:rsidP="00D403F5">
            <w:pPr>
              <w:spacing w:after="0"/>
              <w:jc w:val="center"/>
              <w:rPr>
                <w:rFonts w:ascii="Times New Roman" w:eastAsia="Calibri" w:hAnsi="Times New Roman" w:cs="Times New Roman"/>
                <w:sz w:val="20"/>
                <w:szCs w:val="20"/>
                <w:lang w:val="nb-NO"/>
              </w:rPr>
            </w:pPr>
            <w:r w:rsidRPr="001041C6">
              <w:rPr>
                <w:rFonts w:ascii="Times New Roman" w:hAnsi="Times New Roman" w:cs="Times New Roman"/>
                <w:color w:val="000000"/>
                <w:sz w:val="20"/>
                <w:szCs w:val="20"/>
              </w:rPr>
              <w:t xml:space="preserve">Lopez-Munoz </w:t>
            </w:r>
            <w:r w:rsidRPr="001041C6">
              <w:rPr>
                <w:rFonts w:ascii="Times New Roman" w:hAnsi="Times New Roman" w:cs="Times New Roman"/>
                <w:i/>
                <w:iCs/>
                <w:color w:val="000000"/>
                <w:sz w:val="20"/>
                <w:szCs w:val="20"/>
              </w:rPr>
              <w:t>et al.,</w:t>
            </w:r>
            <w:r w:rsidRPr="001041C6">
              <w:rPr>
                <w:rFonts w:ascii="Times New Roman" w:hAnsi="Times New Roman" w:cs="Times New Roman"/>
                <w:color w:val="000000"/>
                <w:sz w:val="20"/>
                <w:szCs w:val="20"/>
              </w:rPr>
              <w:t xml:space="preserve"> 2010</w:t>
            </w:r>
          </w:p>
        </w:tc>
      </w:tr>
      <w:tr w:rsidR="00C7266C" w:rsidRPr="001041C6" w14:paraId="3561A513" w14:textId="77777777" w:rsidTr="00C7266C">
        <w:trPr>
          <w:cantSplit/>
        </w:trPr>
        <w:tc>
          <w:tcPr>
            <w:tcW w:w="1913" w:type="dxa"/>
            <w:tcBorders>
              <w:top w:val="single" w:sz="4" w:space="0" w:color="auto"/>
              <w:left w:val="single" w:sz="4" w:space="0" w:color="auto"/>
              <w:bottom w:val="single" w:sz="4" w:space="0" w:color="auto"/>
              <w:right w:val="single" w:sz="4" w:space="0" w:color="auto"/>
            </w:tcBorders>
            <w:noWrap/>
            <w:vAlign w:val="center"/>
          </w:tcPr>
          <w:p w14:paraId="0B41FDE0" w14:textId="77777777" w:rsidR="00C7266C" w:rsidRPr="001041C6" w:rsidRDefault="00C7266C" w:rsidP="00D403F5">
            <w:pPr>
              <w:spacing w:after="0"/>
              <w:jc w:val="center"/>
              <w:rPr>
                <w:rFonts w:ascii="Times New Roman" w:eastAsia="Calibri" w:hAnsi="Times New Roman" w:cs="Times New Roman"/>
                <w:i/>
                <w:iCs/>
                <w:color w:val="000000"/>
                <w:sz w:val="20"/>
                <w:szCs w:val="20"/>
                <w:lang w:val="fr-FR"/>
              </w:rPr>
            </w:pPr>
            <w:r w:rsidRPr="001041C6">
              <w:rPr>
                <w:rFonts w:ascii="Times New Roman" w:hAnsi="Times New Roman" w:cs="Times New Roman"/>
                <w:sz w:val="20"/>
                <w:szCs w:val="20"/>
              </w:rPr>
              <w:t>Zebrafish</w:t>
            </w:r>
          </w:p>
        </w:tc>
        <w:tc>
          <w:tcPr>
            <w:tcW w:w="1276" w:type="dxa"/>
            <w:tcBorders>
              <w:top w:val="nil"/>
              <w:left w:val="nil"/>
              <w:bottom w:val="single" w:sz="4" w:space="0" w:color="auto"/>
              <w:right w:val="nil"/>
            </w:tcBorders>
            <w:vAlign w:val="center"/>
          </w:tcPr>
          <w:p w14:paraId="7DB521EF" w14:textId="77777777" w:rsidR="00C7266C" w:rsidRPr="001041C6" w:rsidRDefault="00C7266C" w:rsidP="00D403F5">
            <w:pPr>
              <w:spacing w:after="0"/>
              <w:jc w:val="center"/>
              <w:rPr>
                <w:rFonts w:ascii="Times New Roman" w:eastAsia="Calibri" w:hAnsi="Times New Roman" w:cs="Times New Roman"/>
                <w:i/>
                <w:sz w:val="20"/>
                <w:szCs w:val="20"/>
                <w:lang w:val="fr-FR"/>
              </w:rPr>
            </w:pPr>
            <w:r w:rsidRPr="001041C6">
              <w:rPr>
                <w:rFonts w:ascii="Times New Roman" w:hAnsi="Times New Roman" w:cs="Times New Roman"/>
                <w:i/>
                <w:iCs/>
                <w:color w:val="000000"/>
                <w:sz w:val="20"/>
                <w:szCs w:val="20"/>
              </w:rPr>
              <w:t>Danio</w:t>
            </w:r>
          </w:p>
        </w:tc>
        <w:tc>
          <w:tcPr>
            <w:tcW w:w="1276" w:type="dxa"/>
            <w:tcBorders>
              <w:top w:val="nil"/>
              <w:left w:val="nil"/>
              <w:bottom w:val="single" w:sz="4" w:space="0" w:color="auto"/>
              <w:right w:val="single" w:sz="4" w:space="0" w:color="auto"/>
            </w:tcBorders>
            <w:noWrap/>
            <w:vAlign w:val="center"/>
          </w:tcPr>
          <w:p w14:paraId="28E3CA6F" w14:textId="77777777" w:rsidR="00C7266C" w:rsidRPr="001041C6" w:rsidRDefault="00C7266C" w:rsidP="00D403F5">
            <w:pPr>
              <w:spacing w:after="0"/>
              <w:jc w:val="center"/>
              <w:rPr>
                <w:rFonts w:ascii="Times New Roman" w:eastAsia="Calibri" w:hAnsi="Times New Roman" w:cs="Times New Roman"/>
                <w:i/>
                <w:sz w:val="20"/>
                <w:szCs w:val="20"/>
                <w:lang w:val="fr-FR"/>
              </w:rPr>
            </w:pPr>
            <w:r w:rsidRPr="001041C6">
              <w:rPr>
                <w:rFonts w:ascii="Times New Roman" w:hAnsi="Times New Roman" w:cs="Times New Roman"/>
                <w:i/>
                <w:iCs/>
                <w:color w:val="000000"/>
                <w:sz w:val="20"/>
                <w:szCs w:val="20"/>
              </w:rPr>
              <w:t>rerio</w:t>
            </w:r>
          </w:p>
        </w:tc>
        <w:tc>
          <w:tcPr>
            <w:tcW w:w="1418" w:type="dxa"/>
            <w:tcBorders>
              <w:top w:val="nil"/>
              <w:left w:val="single" w:sz="4" w:space="0" w:color="auto"/>
              <w:bottom w:val="single" w:sz="4" w:space="0" w:color="auto"/>
              <w:right w:val="single" w:sz="4" w:space="0" w:color="auto"/>
            </w:tcBorders>
            <w:noWrap/>
            <w:vAlign w:val="center"/>
          </w:tcPr>
          <w:p w14:paraId="45D9BA7F"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E</w:t>
            </w:r>
          </w:p>
        </w:tc>
        <w:tc>
          <w:tcPr>
            <w:tcW w:w="1672" w:type="dxa"/>
            <w:tcBorders>
              <w:top w:val="nil"/>
              <w:left w:val="nil"/>
              <w:bottom w:val="single" w:sz="4" w:space="0" w:color="auto"/>
              <w:right w:val="single" w:sz="4" w:space="0" w:color="auto"/>
            </w:tcBorders>
            <w:noWrap/>
            <w:vAlign w:val="center"/>
          </w:tcPr>
          <w:p w14:paraId="4CD4807D"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Ref strain 56/70, RT-PCR</w:t>
            </w:r>
          </w:p>
        </w:tc>
        <w:tc>
          <w:tcPr>
            <w:tcW w:w="900" w:type="dxa"/>
            <w:tcBorders>
              <w:top w:val="single" w:sz="4" w:space="0" w:color="auto"/>
              <w:left w:val="single" w:sz="4" w:space="0" w:color="auto"/>
              <w:bottom w:val="single" w:sz="4" w:space="0" w:color="auto"/>
              <w:right w:val="single" w:sz="4" w:space="0" w:color="auto"/>
            </w:tcBorders>
            <w:noWrap/>
            <w:vAlign w:val="center"/>
          </w:tcPr>
          <w:p w14:paraId="0F5219E6"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990" w:type="dxa"/>
            <w:tcBorders>
              <w:top w:val="single" w:sz="4" w:space="0" w:color="auto"/>
              <w:left w:val="single" w:sz="4" w:space="0" w:color="auto"/>
              <w:bottom w:val="single" w:sz="4" w:space="0" w:color="auto"/>
              <w:right w:val="single" w:sz="4" w:space="0" w:color="auto"/>
            </w:tcBorders>
            <w:noWrap/>
            <w:vAlign w:val="center"/>
          </w:tcPr>
          <w:p w14:paraId="5BB841E7"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900" w:type="dxa"/>
            <w:tcBorders>
              <w:top w:val="single" w:sz="4" w:space="0" w:color="auto"/>
              <w:left w:val="single" w:sz="4" w:space="0" w:color="auto"/>
              <w:bottom w:val="single" w:sz="4" w:space="0" w:color="auto"/>
              <w:right w:val="single" w:sz="4" w:space="0" w:color="auto"/>
            </w:tcBorders>
            <w:noWrap/>
            <w:vAlign w:val="center"/>
          </w:tcPr>
          <w:p w14:paraId="46C52158"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810" w:type="dxa"/>
            <w:tcBorders>
              <w:top w:val="single" w:sz="4" w:space="0" w:color="auto"/>
              <w:left w:val="single" w:sz="4" w:space="0" w:color="auto"/>
              <w:bottom w:val="single" w:sz="4" w:space="0" w:color="auto"/>
              <w:right w:val="single" w:sz="4" w:space="0" w:color="auto"/>
            </w:tcBorders>
            <w:noWrap/>
            <w:vAlign w:val="center"/>
          </w:tcPr>
          <w:p w14:paraId="139D126D"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1080" w:type="dxa"/>
            <w:tcBorders>
              <w:top w:val="single" w:sz="4" w:space="0" w:color="auto"/>
              <w:left w:val="single" w:sz="4" w:space="0" w:color="auto"/>
              <w:bottom w:val="single" w:sz="4" w:space="0" w:color="auto"/>
              <w:right w:val="single" w:sz="4" w:space="0" w:color="auto"/>
            </w:tcBorders>
            <w:noWrap/>
            <w:vAlign w:val="center"/>
          </w:tcPr>
          <w:p w14:paraId="0BD890D4"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eastAsia="Calibri" w:hAnsi="Times New Roman" w:cs="Times New Roman"/>
                <w:sz w:val="20"/>
                <w:szCs w:val="20"/>
                <w:lang w:val="fr-FR"/>
              </w:rPr>
              <w:t>1</w:t>
            </w:r>
          </w:p>
        </w:tc>
        <w:tc>
          <w:tcPr>
            <w:tcW w:w="2153" w:type="dxa"/>
            <w:tcBorders>
              <w:top w:val="single" w:sz="4" w:space="0" w:color="auto"/>
              <w:left w:val="single" w:sz="4" w:space="0" w:color="auto"/>
              <w:bottom w:val="single" w:sz="4" w:space="0" w:color="auto"/>
              <w:right w:val="single" w:sz="4" w:space="0" w:color="auto"/>
            </w:tcBorders>
            <w:vAlign w:val="center"/>
          </w:tcPr>
          <w:p w14:paraId="0E38D575" w14:textId="77777777" w:rsidR="00C7266C" w:rsidRPr="001041C6" w:rsidRDefault="00C7266C" w:rsidP="00D403F5">
            <w:pPr>
              <w:spacing w:after="0"/>
              <w:jc w:val="center"/>
              <w:rPr>
                <w:rFonts w:ascii="Times New Roman" w:eastAsia="Calibri" w:hAnsi="Times New Roman" w:cs="Times New Roman"/>
                <w:sz w:val="20"/>
                <w:szCs w:val="20"/>
                <w:lang w:val="nb-NO"/>
              </w:rPr>
            </w:pPr>
            <w:bookmarkStart w:id="115" w:name="_Hlk21695671"/>
            <w:r w:rsidRPr="001041C6">
              <w:rPr>
                <w:rFonts w:ascii="Times New Roman" w:hAnsi="Times New Roman" w:cs="Times New Roman"/>
                <w:color w:val="000000"/>
                <w:sz w:val="20"/>
                <w:szCs w:val="20"/>
              </w:rPr>
              <w:t xml:space="preserve">Martinez-Lopez </w:t>
            </w:r>
            <w:r w:rsidRPr="001041C6">
              <w:rPr>
                <w:rFonts w:ascii="Times New Roman" w:hAnsi="Times New Roman" w:cs="Times New Roman"/>
                <w:i/>
                <w:iCs/>
                <w:color w:val="000000"/>
                <w:sz w:val="20"/>
                <w:szCs w:val="20"/>
              </w:rPr>
              <w:t>et al</w:t>
            </w:r>
            <w:r w:rsidRPr="001041C6">
              <w:rPr>
                <w:rFonts w:ascii="Times New Roman" w:hAnsi="Times New Roman" w:cs="Times New Roman"/>
                <w:color w:val="000000"/>
                <w:sz w:val="20"/>
                <w:szCs w:val="20"/>
              </w:rPr>
              <w:t>., 2014</w:t>
            </w:r>
            <w:bookmarkEnd w:id="115"/>
          </w:p>
        </w:tc>
      </w:tr>
      <w:tr w:rsidR="00C7266C" w:rsidRPr="001041C6" w14:paraId="536E22AC" w14:textId="77777777" w:rsidTr="00C7266C">
        <w:trPr>
          <w:cantSplit/>
        </w:trPr>
        <w:tc>
          <w:tcPr>
            <w:tcW w:w="1913" w:type="dxa"/>
            <w:tcBorders>
              <w:top w:val="single" w:sz="4" w:space="0" w:color="auto"/>
              <w:left w:val="single" w:sz="4" w:space="0" w:color="auto"/>
              <w:bottom w:val="single" w:sz="4" w:space="0" w:color="auto"/>
              <w:right w:val="single" w:sz="4" w:space="0" w:color="auto"/>
            </w:tcBorders>
            <w:noWrap/>
            <w:vAlign w:val="center"/>
          </w:tcPr>
          <w:p w14:paraId="7E068CE3" w14:textId="77777777" w:rsidR="00C7266C" w:rsidRPr="001041C6" w:rsidRDefault="00C7266C" w:rsidP="00D403F5">
            <w:pPr>
              <w:spacing w:after="0"/>
              <w:jc w:val="center"/>
              <w:rPr>
                <w:rFonts w:ascii="Times New Roman" w:eastAsia="Calibri" w:hAnsi="Times New Roman" w:cs="Times New Roman"/>
                <w:i/>
                <w:sz w:val="20"/>
                <w:szCs w:val="20"/>
                <w:lang w:val="fr-FR"/>
              </w:rPr>
            </w:pPr>
            <w:r w:rsidRPr="001041C6">
              <w:rPr>
                <w:rFonts w:ascii="Times New Roman" w:hAnsi="Times New Roman" w:cs="Times New Roman"/>
                <w:sz w:val="20"/>
                <w:szCs w:val="20"/>
              </w:rPr>
              <w:t>Zebrafish</w:t>
            </w:r>
          </w:p>
        </w:tc>
        <w:tc>
          <w:tcPr>
            <w:tcW w:w="1276" w:type="dxa"/>
            <w:tcBorders>
              <w:top w:val="nil"/>
              <w:left w:val="nil"/>
              <w:bottom w:val="single" w:sz="4" w:space="0" w:color="auto"/>
              <w:right w:val="nil"/>
            </w:tcBorders>
            <w:vAlign w:val="center"/>
          </w:tcPr>
          <w:p w14:paraId="5C57C923" w14:textId="77777777" w:rsidR="00C7266C" w:rsidRPr="001041C6" w:rsidRDefault="00C7266C" w:rsidP="00D403F5">
            <w:pPr>
              <w:spacing w:after="0"/>
              <w:jc w:val="center"/>
              <w:rPr>
                <w:rFonts w:ascii="Times New Roman" w:eastAsia="Calibri" w:hAnsi="Times New Roman" w:cs="Times New Roman"/>
                <w:i/>
                <w:sz w:val="20"/>
                <w:szCs w:val="20"/>
                <w:lang w:val="fr-FR"/>
              </w:rPr>
            </w:pPr>
            <w:r w:rsidRPr="001041C6">
              <w:rPr>
                <w:rFonts w:ascii="Times New Roman" w:hAnsi="Times New Roman" w:cs="Times New Roman"/>
                <w:i/>
                <w:iCs/>
                <w:color w:val="000000"/>
                <w:sz w:val="20"/>
                <w:szCs w:val="20"/>
              </w:rPr>
              <w:t>Danio</w:t>
            </w:r>
          </w:p>
        </w:tc>
        <w:tc>
          <w:tcPr>
            <w:tcW w:w="1276" w:type="dxa"/>
            <w:tcBorders>
              <w:top w:val="nil"/>
              <w:left w:val="nil"/>
              <w:bottom w:val="single" w:sz="4" w:space="0" w:color="auto"/>
              <w:right w:val="single" w:sz="4" w:space="0" w:color="auto"/>
            </w:tcBorders>
            <w:noWrap/>
            <w:vAlign w:val="center"/>
          </w:tcPr>
          <w:p w14:paraId="2ECC3A7A" w14:textId="77777777" w:rsidR="00C7266C" w:rsidRPr="001041C6" w:rsidRDefault="00C7266C" w:rsidP="00D403F5">
            <w:pPr>
              <w:spacing w:after="0"/>
              <w:jc w:val="center"/>
              <w:rPr>
                <w:rFonts w:ascii="Times New Roman" w:eastAsia="Calibri" w:hAnsi="Times New Roman" w:cs="Times New Roman"/>
                <w:i/>
                <w:sz w:val="20"/>
                <w:szCs w:val="20"/>
                <w:lang w:val="fr-FR"/>
              </w:rPr>
            </w:pPr>
            <w:r w:rsidRPr="001041C6">
              <w:rPr>
                <w:rFonts w:ascii="Times New Roman" w:hAnsi="Times New Roman" w:cs="Times New Roman"/>
                <w:i/>
                <w:iCs/>
                <w:color w:val="000000"/>
                <w:sz w:val="20"/>
                <w:szCs w:val="20"/>
              </w:rPr>
              <w:t>rerio</w:t>
            </w:r>
          </w:p>
        </w:tc>
        <w:tc>
          <w:tcPr>
            <w:tcW w:w="1418" w:type="dxa"/>
            <w:tcBorders>
              <w:top w:val="nil"/>
              <w:left w:val="nil"/>
              <w:bottom w:val="single" w:sz="4" w:space="0" w:color="auto"/>
              <w:right w:val="single" w:sz="4" w:space="0" w:color="auto"/>
            </w:tcBorders>
            <w:noWrap/>
            <w:vAlign w:val="center"/>
          </w:tcPr>
          <w:p w14:paraId="6BEC3056"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E</w:t>
            </w:r>
          </w:p>
        </w:tc>
        <w:tc>
          <w:tcPr>
            <w:tcW w:w="1672" w:type="dxa"/>
            <w:tcBorders>
              <w:top w:val="nil"/>
              <w:left w:val="nil"/>
              <w:bottom w:val="single" w:sz="4" w:space="0" w:color="auto"/>
              <w:right w:val="single" w:sz="4" w:space="0" w:color="auto"/>
            </w:tcBorders>
            <w:noWrap/>
            <w:vAlign w:val="center"/>
          </w:tcPr>
          <w:p w14:paraId="5F074129"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Ref strain 56/70, RT-PCR</w:t>
            </w:r>
          </w:p>
        </w:tc>
        <w:tc>
          <w:tcPr>
            <w:tcW w:w="900" w:type="dxa"/>
            <w:tcBorders>
              <w:top w:val="single" w:sz="4" w:space="0" w:color="auto"/>
              <w:left w:val="single" w:sz="4" w:space="0" w:color="auto"/>
              <w:bottom w:val="single" w:sz="4" w:space="0" w:color="auto"/>
              <w:right w:val="single" w:sz="4" w:space="0" w:color="auto"/>
            </w:tcBorders>
            <w:noWrap/>
            <w:vAlign w:val="center"/>
          </w:tcPr>
          <w:p w14:paraId="345BADB8"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990" w:type="dxa"/>
            <w:tcBorders>
              <w:top w:val="single" w:sz="4" w:space="0" w:color="auto"/>
              <w:left w:val="single" w:sz="4" w:space="0" w:color="auto"/>
              <w:bottom w:val="single" w:sz="4" w:space="0" w:color="auto"/>
              <w:right w:val="single" w:sz="4" w:space="0" w:color="auto"/>
            </w:tcBorders>
            <w:noWrap/>
            <w:vAlign w:val="center"/>
          </w:tcPr>
          <w:p w14:paraId="3C242DEE"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ND</w:t>
            </w:r>
          </w:p>
        </w:tc>
        <w:tc>
          <w:tcPr>
            <w:tcW w:w="900" w:type="dxa"/>
            <w:tcBorders>
              <w:top w:val="single" w:sz="4" w:space="0" w:color="auto"/>
              <w:left w:val="single" w:sz="4" w:space="0" w:color="auto"/>
              <w:bottom w:val="single" w:sz="4" w:space="0" w:color="auto"/>
              <w:right w:val="single" w:sz="4" w:space="0" w:color="auto"/>
            </w:tcBorders>
            <w:noWrap/>
            <w:vAlign w:val="center"/>
          </w:tcPr>
          <w:p w14:paraId="5302E53E"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ND</w:t>
            </w:r>
          </w:p>
        </w:tc>
        <w:tc>
          <w:tcPr>
            <w:tcW w:w="810" w:type="dxa"/>
            <w:tcBorders>
              <w:top w:val="single" w:sz="4" w:space="0" w:color="auto"/>
              <w:left w:val="single" w:sz="4" w:space="0" w:color="auto"/>
              <w:bottom w:val="single" w:sz="4" w:space="0" w:color="auto"/>
              <w:right w:val="single" w:sz="4" w:space="0" w:color="auto"/>
            </w:tcBorders>
            <w:noWrap/>
            <w:vAlign w:val="center"/>
          </w:tcPr>
          <w:p w14:paraId="312156F0"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ND</w:t>
            </w:r>
          </w:p>
        </w:tc>
        <w:tc>
          <w:tcPr>
            <w:tcW w:w="1080" w:type="dxa"/>
            <w:tcBorders>
              <w:top w:val="single" w:sz="4" w:space="0" w:color="auto"/>
              <w:left w:val="single" w:sz="4" w:space="0" w:color="auto"/>
              <w:bottom w:val="single" w:sz="4" w:space="0" w:color="auto"/>
              <w:right w:val="single" w:sz="4" w:space="0" w:color="auto"/>
            </w:tcBorders>
            <w:noWrap/>
            <w:vAlign w:val="center"/>
          </w:tcPr>
          <w:p w14:paraId="6710FFBD"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eastAsia="Calibri" w:hAnsi="Times New Roman" w:cs="Times New Roman"/>
                <w:sz w:val="20"/>
                <w:szCs w:val="20"/>
                <w:lang w:val="fr-FR"/>
              </w:rPr>
              <w:t>1</w:t>
            </w:r>
          </w:p>
        </w:tc>
        <w:tc>
          <w:tcPr>
            <w:tcW w:w="2153" w:type="dxa"/>
            <w:tcBorders>
              <w:top w:val="single" w:sz="4" w:space="0" w:color="auto"/>
              <w:left w:val="single" w:sz="4" w:space="0" w:color="auto"/>
              <w:bottom w:val="single" w:sz="4" w:space="0" w:color="auto"/>
              <w:right w:val="single" w:sz="4" w:space="0" w:color="auto"/>
            </w:tcBorders>
            <w:vAlign w:val="center"/>
          </w:tcPr>
          <w:p w14:paraId="122FEB9A" w14:textId="77777777" w:rsidR="00C7266C" w:rsidRPr="001041C6" w:rsidRDefault="00C7266C" w:rsidP="00D403F5">
            <w:pPr>
              <w:spacing w:after="0"/>
              <w:jc w:val="center"/>
              <w:rPr>
                <w:rFonts w:ascii="Times New Roman" w:eastAsia="Calibri" w:hAnsi="Times New Roman" w:cs="Times New Roman"/>
                <w:sz w:val="20"/>
                <w:szCs w:val="20"/>
                <w:lang w:val="nb-NO"/>
              </w:rPr>
            </w:pPr>
            <w:bookmarkStart w:id="116" w:name="_Hlk21695681"/>
            <w:r w:rsidRPr="001041C6">
              <w:rPr>
                <w:rFonts w:ascii="Times New Roman" w:hAnsi="Times New Roman" w:cs="Times New Roman"/>
                <w:color w:val="000000"/>
                <w:sz w:val="20"/>
                <w:szCs w:val="20"/>
                <w:lang w:val="nb-NO"/>
              </w:rPr>
              <w:t xml:space="preserve">Medina-Gali </w:t>
            </w:r>
            <w:r w:rsidRPr="001041C6">
              <w:rPr>
                <w:rFonts w:ascii="Times New Roman" w:hAnsi="Times New Roman" w:cs="Times New Roman"/>
                <w:i/>
                <w:iCs/>
                <w:color w:val="000000"/>
                <w:sz w:val="20"/>
                <w:szCs w:val="20"/>
                <w:lang w:val="nb-NO"/>
              </w:rPr>
              <w:t>et al</w:t>
            </w:r>
            <w:r w:rsidRPr="001041C6">
              <w:rPr>
                <w:rFonts w:ascii="Times New Roman" w:hAnsi="Times New Roman" w:cs="Times New Roman"/>
                <w:color w:val="000000"/>
                <w:sz w:val="20"/>
                <w:szCs w:val="20"/>
                <w:lang w:val="nb-NO"/>
              </w:rPr>
              <w:t>., 2018</w:t>
            </w:r>
            <w:r w:rsidRPr="001041C6">
              <w:rPr>
                <w:rFonts w:ascii="Times New Roman" w:hAnsi="Times New Roman" w:cs="Times New Roman"/>
                <w:color w:val="000000"/>
                <w:sz w:val="20"/>
                <w:szCs w:val="20"/>
              </w:rPr>
              <w:t>a</w:t>
            </w:r>
            <w:bookmarkEnd w:id="116"/>
          </w:p>
        </w:tc>
      </w:tr>
      <w:tr w:rsidR="00C7266C" w:rsidRPr="001041C6" w14:paraId="6939E5E1" w14:textId="77777777" w:rsidTr="00C7266C">
        <w:trPr>
          <w:cantSplit/>
        </w:trPr>
        <w:tc>
          <w:tcPr>
            <w:tcW w:w="1913" w:type="dxa"/>
            <w:tcBorders>
              <w:top w:val="single" w:sz="4" w:space="0" w:color="auto"/>
              <w:left w:val="single" w:sz="4" w:space="0" w:color="auto"/>
              <w:bottom w:val="single" w:sz="4" w:space="0" w:color="auto"/>
              <w:right w:val="single" w:sz="4" w:space="0" w:color="auto"/>
            </w:tcBorders>
            <w:noWrap/>
            <w:vAlign w:val="center"/>
          </w:tcPr>
          <w:p w14:paraId="4335155F" w14:textId="77777777" w:rsidR="00C7266C" w:rsidRPr="001041C6" w:rsidRDefault="00C7266C" w:rsidP="00D403F5">
            <w:pPr>
              <w:spacing w:after="0"/>
              <w:jc w:val="center"/>
              <w:rPr>
                <w:rFonts w:ascii="Times New Roman" w:hAnsi="Times New Roman" w:cs="Times New Roman"/>
                <w:sz w:val="20"/>
                <w:szCs w:val="20"/>
              </w:rPr>
            </w:pPr>
            <w:r w:rsidRPr="001041C6">
              <w:rPr>
                <w:rFonts w:ascii="Times New Roman" w:hAnsi="Times New Roman" w:cs="Times New Roman"/>
                <w:sz w:val="20"/>
                <w:szCs w:val="20"/>
              </w:rPr>
              <w:t>Zebrafish</w:t>
            </w:r>
          </w:p>
        </w:tc>
        <w:tc>
          <w:tcPr>
            <w:tcW w:w="1276" w:type="dxa"/>
            <w:tcBorders>
              <w:top w:val="nil"/>
              <w:left w:val="nil"/>
              <w:bottom w:val="single" w:sz="4" w:space="0" w:color="auto"/>
              <w:right w:val="nil"/>
            </w:tcBorders>
            <w:vAlign w:val="center"/>
          </w:tcPr>
          <w:p w14:paraId="6681C523" w14:textId="77777777" w:rsidR="00C7266C" w:rsidRPr="001041C6" w:rsidRDefault="00C7266C" w:rsidP="00D403F5">
            <w:pPr>
              <w:spacing w:after="0"/>
              <w:jc w:val="center"/>
              <w:rPr>
                <w:rFonts w:ascii="Times New Roman" w:hAnsi="Times New Roman" w:cs="Times New Roman"/>
                <w:i/>
                <w:iCs/>
                <w:color w:val="000000"/>
                <w:sz w:val="20"/>
                <w:szCs w:val="20"/>
              </w:rPr>
            </w:pPr>
            <w:r w:rsidRPr="001041C6">
              <w:rPr>
                <w:rFonts w:ascii="Times New Roman" w:hAnsi="Times New Roman" w:cs="Times New Roman"/>
                <w:i/>
                <w:iCs/>
                <w:color w:val="000000"/>
                <w:sz w:val="20"/>
                <w:szCs w:val="20"/>
              </w:rPr>
              <w:t>Danio</w:t>
            </w:r>
          </w:p>
        </w:tc>
        <w:tc>
          <w:tcPr>
            <w:tcW w:w="1276" w:type="dxa"/>
            <w:tcBorders>
              <w:top w:val="nil"/>
              <w:left w:val="nil"/>
              <w:bottom w:val="single" w:sz="4" w:space="0" w:color="auto"/>
              <w:right w:val="single" w:sz="4" w:space="0" w:color="auto"/>
            </w:tcBorders>
            <w:noWrap/>
            <w:vAlign w:val="center"/>
          </w:tcPr>
          <w:p w14:paraId="1B74B193" w14:textId="77777777" w:rsidR="00C7266C" w:rsidRPr="001041C6" w:rsidRDefault="00C7266C" w:rsidP="00D403F5">
            <w:pPr>
              <w:spacing w:after="0"/>
              <w:jc w:val="center"/>
              <w:rPr>
                <w:rFonts w:ascii="Times New Roman" w:hAnsi="Times New Roman" w:cs="Times New Roman"/>
                <w:i/>
                <w:iCs/>
                <w:color w:val="000000"/>
                <w:sz w:val="20"/>
                <w:szCs w:val="20"/>
              </w:rPr>
            </w:pPr>
            <w:r w:rsidRPr="001041C6">
              <w:rPr>
                <w:rFonts w:ascii="Times New Roman" w:hAnsi="Times New Roman" w:cs="Times New Roman"/>
                <w:i/>
                <w:iCs/>
                <w:color w:val="000000"/>
                <w:sz w:val="20"/>
                <w:szCs w:val="20"/>
              </w:rPr>
              <w:t>rerio</w:t>
            </w:r>
          </w:p>
        </w:tc>
        <w:tc>
          <w:tcPr>
            <w:tcW w:w="1418" w:type="dxa"/>
            <w:tcBorders>
              <w:top w:val="nil"/>
              <w:left w:val="nil"/>
              <w:bottom w:val="single" w:sz="4" w:space="0" w:color="auto"/>
              <w:right w:val="single" w:sz="4" w:space="0" w:color="auto"/>
            </w:tcBorders>
            <w:noWrap/>
            <w:vAlign w:val="center"/>
          </w:tcPr>
          <w:p w14:paraId="66CD106B"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E</w:t>
            </w:r>
          </w:p>
        </w:tc>
        <w:tc>
          <w:tcPr>
            <w:tcW w:w="1672" w:type="dxa"/>
            <w:tcBorders>
              <w:top w:val="nil"/>
              <w:left w:val="nil"/>
              <w:bottom w:val="single" w:sz="4" w:space="0" w:color="auto"/>
              <w:right w:val="single" w:sz="4" w:space="0" w:color="auto"/>
            </w:tcBorders>
            <w:noWrap/>
            <w:vAlign w:val="center"/>
          </w:tcPr>
          <w:p w14:paraId="63FBC5AA"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Ref strain 56/70, RT-PCR</w:t>
            </w:r>
          </w:p>
        </w:tc>
        <w:tc>
          <w:tcPr>
            <w:tcW w:w="900" w:type="dxa"/>
            <w:tcBorders>
              <w:top w:val="single" w:sz="4" w:space="0" w:color="auto"/>
              <w:left w:val="single" w:sz="4" w:space="0" w:color="auto"/>
              <w:bottom w:val="single" w:sz="4" w:space="0" w:color="auto"/>
              <w:right w:val="single" w:sz="4" w:space="0" w:color="auto"/>
            </w:tcBorders>
            <w:noWrap/>
            <w:vAlign w:val="center"/>
          </w:tcPr>
          <w:p w14:paraId="4CDB0112"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Y</w:t>
            </w:r>
          </w:p>
        </w:tc>
        <w:tc>
          <w:tcPr>
            <w:tcW w:w="990" w:type="dxa"/>
            <w:tcBorders>
              <w:top w:val="single" w:sz="4" w:space="0" w:color="auto"/>
              <w:left w:val="single" w:sz="4" w:space="0" w:color="auto"/>
              <w:bottom w:val="single" w:sz="4" w:space="0" w:color="auto"/>
              <w:right w:val="single" w:sz="4" w:space="0" w:color="auto"/>
            </w:tcBorders>
            <w:noWrap/>
            <w:vAlign w:val="center"/>
          </w:tcPr>
          <w:p w14:paraId="08C4E21D"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ND</w:t>
            </w:r>
          </w:p>
        </w:tc>
        <w:tc>
          <w:tcPr>
            <w:tcW w:w="900" w:type="dxa"/>
            <w:tcBorders>
              <w:top w:val="single" w:sz="4" w:space="0" w:color="auto"/>
              <w:left w:val="single" w:sz="4" w:space="0" w:color="auto"/>
              <w:bottom w:val="single" w:sz="4" w:space="0" w:color="auto"/>
              <w:right w:val="single" w:sz="4" w:space="0" w:color="auto"/>
            </w:tcBorders>
            <w:noWrap/>
            <w:vAlign w:val="center"/>
          </w:tcPr>
          <w:p w14:paraId="04232C75"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Y</w:t>
            </w:r>
          </w:p>
        </w:tc>
        <w:tc>
          <w:tcPr>
            <w:tcW w:w="810" w:type="dxa"/>
            <w:tcBorders>
              <w:top w:val="single" w:sz="4" w:space="0" w:color="auto"/>
              <w:left w:val="single" w:sz="4" w:space="0" w:color="auto"/>
              <w:bottom w:val="single" w:sz="4" w:space="0" w:color="auto"/>
              <w:right w:val="single" w:sz="4" w:space="0" w:color="auto"/>
            </w:tcBorders>
            <w:noWrap/>
            <w:vAlign w:val="center"/>
          </w:tcPr>
          <w:p w14:paraId="546D47A4" w14:textId="77777777" w:rsidR="00C7266C" w:rsidRPr="001041C6" w:rsidRDefault="00C7266C" w:rsidP="00D403F5">
            <w:pPr>
              <w:spacing w:after="0"/>
              <w:jc w:val="center"/>
              <w:rPr>
                <w:rFonts w:ascii="Times New Roman" w:hAnsi="Times New Roman" w:cs="Times New Roman"/>
                <w:color w:val="000000"/>
                <w:sz w:val="20"/>
                <w:szCs w:val="20"/>
              </w:rPr>
            </w:pPr>
            <w:r w:rsidRPr="001041C6">
              <w:rPr>
                <w:rFonts w:ascii="Times New Roman" w:hAnsi="Times New Roman" w:cs="Times New Roman"/>
                <w:color w:val="000000"/>
                <w:sz w:val="20"/>
                <w:szCs w:val="20"/>
              </w:rPr>
              <w:t>ND</w:t>
            </w:r>
          </w:p>
        </w:tc>
        <w:tc>
          <w:tcPr>
            <w:tcW w:w="1080" w:type="dxa"/>
            <w:tcBorders>
              <w:top w:val="single" w:sz="4" w:space="0" w:color="auto"/>
              <w:left w:val="single" w:sz="4" w:space="0" w:color="auto"/>
              <w:bottom w:val="single" w:sz="4" w:space="0" w:color="auto"/>
              <w:right w:val="single" w:sz="4" w:space="0" w:color="auto"/>
            </w:tcBorders>
            <w:noWrap/>
            <w:vAlign w:val="center"/>
          </w:tcPr>
          <w:p w14:paraId="7F622ED3"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eastAsia="Calibri" w:hAnsi="Times New Roman" w:cs="Times New Roman"/>
                <w:sz w:val="20"/>
                <w:szCs w:val="20"/>
                <w:lang w:val="fr-FR"/>
              </w:rPr>
              <w:t>1</w:t>
            </w:r>
          </w:p>
        </w:tc>
        <w:tc>
          <w:tcPr>
            <w:tcW w:w="2153" w:type="dxa"/>
            <w:tcBorders>
              <w:top w:val="single" w:sz="4" w:space="0" w:color="auto"/>
              <w:left w:val="single" w:sz="4" w:space="0" w:color="auto"/>
              <w:bottom w:val="single" w:sz="4" w:space="0" w:color="auto"/>
              <w:right w:val="single" w:sz="4" w:space="0" w:color="auto"/>
            </w:tcBorders>
            <w:vAlign w:val="center"/>
          </w:tcPr>
          <w:p w14:paraId="74AB4318" w14:textId="77777777" w:rsidR="00C7266C" w:rsidRPr="001041C6" w:rsidRDefault="00C7266C" w:rsidP="00D403F5">
            <w:pPr>
              <w:spacing w:after="0"/>
              <w:jc w:val="center"/>
              <w:rPr>
                <w:rFonts w:ascii="Times New Roman" w:hAnsi="Times New Roman" w:cs="Times New Roman"/>
                <w:color w:val="000000"/>
                <w:sz w:val="20"/>
                <w:szCs w:val="20"/>
                <w:lang w:val="nb-NO"/>
              </w:rPr>
            </w:pPr>
            <w:bookmarkStart w:id="117" w:name="_Hlk21695689"/>
            <w:r w:rsidRPr="001041C6">
              <w:rPr>
                <w:rFonts w:ascii="Times New Roman" w:hAnsi="Times New Roman" w:cs="Times New Roman"/>
                <w:color w:val="000000"/>
                <w:sz w:val="20"/>
                <w:szCs w:val="20"/>
                <w:lang w:val="nb-NO"/>
              </w:rPr>
              <w:t xml:space="preserve">Medina-Gali </w:t>
            </w:r>
            <w:r w:rsidRPr="001041C6">
              <w:rPr>
                <w:rFonts w:ascii="Times New Roman" w:hAnsi="Times New Roman" w:cs="Times New Roman"/>
                <w:i/>
                <w:iCs/>
                <w:color w:val="000000"/>
                <w:sz w:val="20"/>
                <w:szCs w:val="20"/>
                <w:lang w:val="nb-NO"/>
              </w:rPr>
              <w:t xml:space="preserve">et al., </w:t>
            </w:r>
            <w:r w:rsidRPr="001041C6">
              <w:rPr>
                <w:rFonts w:ascii="Times New Roman" w:hAnsi="Times New Roman" w:cs="Times New Roman"/>
                <w:color w:val="000000"/>
                <w:sz w:val="20"/>
                <w:szCs w:val="20"/>
                <w:lang w:val="nb-NO"/>
              </w:rPr>
              <w:t xml:space="preserve"> 2018b</w:t>
            </w:r>
            <w:bookmarkEnd w:id="117"/>
          </w:p>
        </w:tc>
      </w:tr>
      <w:tr w:rsidR="00C7266C" w:rsidRPr="001041C6" w14:paraId="4A1CAAAA" w14:textId="77777777" w:rsidTr="00C7266C">
        <w:trPr>
          <w:cantSplit/>
        </w:trPr>
        <w:tc>
          <w:tcPr>
            <w:tcW w:w="1913" w:type="dxa"/>
            <w:tcBorders>
              <w:top w:val="single" w:sz="4" w:space="0" w:color="auto"/>
              <w:left w:val="single" w:sz="4" w:space="0" w:color="auto"/>
              <w:bottom w:val="single" w:sz="4" w:space="0" w:color="auto"/>
              <w:right w:val="single" w:sz="4" w:space="0" w:color="auto"/>
            </w:tcBorders>
            <w:noWrap/>
            <w:vAlign w:val="center"/>
          </w:tcPr>
          <w:p w14:paraId="6D34D3CF" w14:textId="77777777" w:rsidR="00C7266C" w:rsidRPr="001041C6" w:rsidRDefault="00C7266C" w:rsidP="00D403F5">
            <w:pPr>
              <w:spacing w:after="0"/>
              <w:jc w:val="center"/>
              <w:rPr>
                <w:rFonts w:ascii="Times New Roman" w:eastAsia="Calibri" w:hAnsi="Times New Roman" w:cs="Times New Roman"/>
                <w:i/>
                <w:sz w:val="20"/>
                <w:szCs w:val="20"/>
                <w:lang w:val="nb-NO"/>
              </w:rPr>
            </w:pPr>
            <w:r w:rsidRPr="001041C6">
              <w:rPr>
                <w:rFonts w:ascii="Times New Roman" w:hAnsi="Times New Roman" w:cs="Times New Roman"/>
                <w:sz w:val="20"/>
                <w:szCs w:val="20"/>
              </w:rPr>
              <w:t>Zebrafish</w:t>
            </w:r>
          </w:p>
        </w:tc>
        <w:tc>
          <w:tcPr>
            <w:tcW w:w="1276" w:type="dxa"/>
            <w:tcBorders>
              <w:top w:val="nil"/>
              <w:left w:val="nil"/>
              <w:bottom w:val="single" w:sz="4" w:space="0" w:color="auto"/>
              <w:right w:val="nil"/>
            </w:tcBorders>
            <w:vAlign w:val="center"/>
          </w:tcPr>
          <w:p w14:paraId="1EAE9BB2" w14:textId="77777777" w:rsidR="00C7266C" w:rsidRPr="001041C6" w:rsidRDefault="00C7266C" w:rsidP="00D403F5">
            <w:pPr>
              <w:spacing w:after="0"/>
              <w:jc w:val="center"/>
              <w:rPr>
                <w:rFonts w:ascii="Times New Roman" w:eastAsia="Calibri" w:hAnsi="Times New Roman" w:cs="Times New Roman"/>
                <w:i/>
                <w:iCs/>
                <w:sz w:val="20"/>
                <w:szCs w:val="20"/>
                <w:lang w:val="nb-NO"/>
              </w:rPr>
            </w:pPr>
            <w:r w:rsidRPr="001041C6">
              <w:rPr>
                <w:rFonts w:ascii="Times New Roman" w:hAnsi="Times New Roman" w:cs="Times New Roman"/>
                <w:i/>
                <w:iCs/>
                <w:color w:val="000000"/>
                <w:sz w:val="20"/>
                <w:szCs w:val="20"/>
              </w:rPr>
              <w:t>Danio</w:t>
            </w:r>
          </w:p>
        </w:tc>
        <w:tc>
          <w:tcPr>
            <w:tcW w:w="1276" w:type="dxa"/>
            <w:tcBorders>
              <w:top w:val="nil"/>
              <w:left w:val="nil"/>
              <w:bottom w:val="single" w:sz="4" w:space="0" w:color="auto"/>
              <w:right w:val="single" w:sz="4" w:space="0" w:color="auto"/>
            </w:tcBorders>
            <w:noWrap/>
            <w:vAlign w:val="center"/>
          </w:tcPr>
          <w:p w14:paraId="2B97B9EE" w14:textId="77777777" w:rsidR="00C7266C" w:rsidRPr="001041C6" w:rsidRDefault="00C7266C" w:rsidP="00D403F5">
            <w:pPr>
              <w:spacing w:after="0"/>
              <w:jc w:val="center"/>
              <w:rPr>
                <w:rFonts w:ascii="Times New Roman" w:eastAsia="Calibri" w:hAnsi="Times New Roman" w:cs="Times New Roman"/>
                <w:i/>
                <w:iCs/>
                <w:sz w:val="20"/>
                <w:szCs w:val="20"/>
                <w:lang w:val="nb-NO"/>
              </w:rPr>
            </w:pPr>
            <w:r w:rsidRPr="001041C6">
              <w:rPr>
                <w:rFonts w:ascii="Times New Roman" w:hAnsi="Times New Roman" w:cs="Times New Roman"/>
                <w:i/>
                <w:iCs/>
                <w:color w:val="000000"/>
                <w:sz w:val="20"/>
                <w:szCs w:val="20"/>
              </w:rPr>
              <w:t>rerio</w:t>
            </w:r>
          </w:p>
        </w:tc>
        <w:tc>
          <w:tcPr>
            <w:tcW w:w="1418" w:type="dxa"/>
            <w:tcBorders>
              <w:top w:val="nil"/>
              <w:left w:val="nil"/>
              <w:bottom w:val="single" w:sz="4" w:space="0" w:color="auto"/>
              <w:right w:val="single" w:sz="4" w:space="0" w:color="auto"/>
            </w:tcBorders>
            <w:noWrap/>
            <w:vAlign w:val="center"/>
          </w:tcPr>
          <w:p w14:paraId="76C4B720" w14:textId="77777777" w:rsidR="00C7266C" w:rsidRPr="001041C6" w:rsidRDefault="00C7266C" w:rsidP="00D403F5">
            <w:pPr>
              <w:spacing w:after="0"/>
              <w:jc w:val="center"/>
              <w:rPr>
                <w:rFonts w:ascii="Times New Roman" w:eastAsia="Calibri" w:hAnsi="Times New Roman" w:cs="Times New Roman"/>
                <w:sz w:val="20"/>
                <w:szCs w:val="20"/>
                <w:lang w:val="nb-NO"/>
              </w:rPr>
            </w:pPr>
            <w:r w:rsidRPr="001041C6">
              <w:rPr>
                <w:rFonts w:ascii="Times New Roman" w:hAnsi="Times New Roman" w:cs="Times New Roman"/>
                <w:color w:val="000000"/>
                <w:sz w:val="20"/>
                <w:szCs w:val="20"/>
              </w:rPr>
              <w:t>E</w:t>
            </w:r>
          </w:p>
        </w:tc>
        <w:tc>
          <w:tcPr>
            <w:tcW w:w="1672" w:type="dxa"/>
            <w:tcBorders>
              <w:top w:val="nil"/>
              <w:left w:val="nil"/>
              <w:bottom w:val="single" w:sz="4" w:space="0" w:color="auto"/>
              <w:right w:val="single" w:sz="4" w:space="0" w:color="auto"/>
            </w:tcBorders>
            <w:noWrap/>
            <w:vAlign w:val="center"/>
          </w:tcPr>
          <w:p w14:paraId="73B23464" w14:textId="77777777" w:rsidR="00C7266C" w:rsidRPr="001041C6" w:rsidRDefault="00C7266C" w:rsidP="00D403F5">
            <w:pPr>
              <w:spacing w:after="0"/>
              <w:jc w:val="center"/>
              <w:rPr>
                <w:rFonts w:ascii="Times New Roman" w:eastAsia="Calibri" w:hAnsi="Times New Roman" w:cs="Times New Roman"/>
                <w:sz w:val="20"/>
                <w:szCs w:val="20"/>
              </w:rPr>
            </w:pPr>
            <w:r w:rsidRPr="001041C6">
              <w:rPr>
                <w:rFonts w:ascii="Times New Roman" w:hAnsi="Times New Roman" w:cs="Times New Roman"/>
                <w:color w:val="000000"/>
                <w:sz w:val="20"/>
                <w:szCs w:val="20"/>
              </w:rPr>
              <w:t>Ref strain 56/70, RT-PCR</w:t>
            </w:r>
          </w:p>
        </w:tc>
        <w:tc>
          <w:tcPr>
            <w:tcW w:w="900" w:type="dxa"/>
            <w:tcBorders>
              <w:top w:val="single" w:sz="4" w:space="0" w:color="auto"/>
              <w:left w:val="single" w:sz="4" w:space="0" w:color="auto"/>
              <w:bottom w:val="single" w:sz="4" w:space="0" w:color="auto"/>
              <w:right w:val="single" w:sz="4" w:space="0" w:color="auto"/>
            </w:tcBorders>
            <w:noWrap/>
            <w:vAlign w:val="center"/>
          </w:tcPr>
          <w:p w14:paraId="1690E494"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990" w:type="dxa"/>
            <w:tcBorders>
              <w:top w:val="single" w:sz="4" w:space="0" w:color="auto"/>
              <w:left w:val="single" w:sz="4" w:space="0" w:color="auto"/>
              <w:bottom w:val="single" w:sz="4" w:space="0" w:color="auto"/>
              <w:right w:val="single" w:sz="4" w:space="0" w:color="auto"/>
            </w:tcBorders>
            <w:noWrap/>
            <w:vAlign w:val="center"/>
          </w:tcPr>
          <w:p w14:paraId="4F9DCC2B"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ND</w:t>
            </w:r>
          </w:p>
        </w:tc>
        <w:tc>
          <w:tcPr>
            <w:tcW w:w="900" w:type="dxa"/>
            <w:tcBorders>
              <w:top w:val="single" w:sz="4" w:space="0" w:color="auto"/>
              <w:left w:val="single" w:sz="4" w:space="0" w:color="auto"/>
              <w:bottom w:val="single" w:sz="4" w:space="0" w:color="auto"/>
              <w:right w:val="single" w:sz="4" w:space="0" w:color="auto"/>
            </w:tcBorders>
            <w:noWrap/>
            <w:vAlign w:val="center"/>
          </w:tcPr>
          <w:p w14:paraId="73AE759E"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810" w:type="dxa"/>
            <w:tcBorders>
              <w:top w:val="single" w:sz="4" w:space="0" w:color="auto"/>
              <w:left w:val="single" w:sz="4" w:space="0" w:color="auto"/>
              <w:bottom w:val="single" w:sz="4" w:space="0" w:color="auto"/>
              <w:right w:val="single" w:sz="4" w:space="0" w:color="auto"/>
            </w:tcBorders>
            <w:noWrap/>
            <w:vAlign w:val="center"/>
          </w:tcPr>
          <w:p w14:paraId="06E3331A"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hAnsi="Times New Roman" w:cs="Times New Roman"/>
                <w:color w:val="000000"/>
                <w:sz w:val="20"/>
                <w:szCs w:val="20"/>
              </w:rPr>
              <w:t>Y</w:t>
            </w:r>
          </w:p>
        </w:tc>
        <w:tc>
          <w:tcPr>
            <w:tcW w:w="1080" w:type="dxa"/>
            <w:tcBorders>
              <w:top w:val="single" w:sz="4" w:space="0" w:color="auto"/>
              <w:left w:val="single" w:sz="4" w:space="0" w:color="auto"/>
              <w:bottom w:val="single" w:sz="4" w:space="0" w:color="auto"/>
              <w:right w:val="single" w:sz="4" w:space="0" w:color="auto"/>
            </w:tcBorders>
            <w:noWrap/>
            <w:vAlign w:val="center"/>
          </w:tcPr>
          <w:p w14:paraId="552C13EE" w14:textId="77777777" w:rsidR="00C7266C" w:rsidRPr="001041C6" w:rsidRDefault="00C7266C" w:rsidP="00D403F5">
            <w:pPr>
              <w:spacing w:after="0"/>
              <w:jc w:val="center"/>
              <w:rPr>
                <w:rFonts w:ascii="Times New Roman" w:eastAsia="Calibri" w:hAnsi="Times New Roman" w:cs="Times New Roman"/>
                <w:sz w:val="20"/>
                <w:szCs w:val="20"/>
                <w:lang w:val="fr-FR"/>
              </w:rPr>
            </w:pPr>
            <w:r w:rsidRPr="001041C6">
              <w:rPr>
                <w:rFonts w:ascii="Times New Roman" w:eastAsia="Calibri" w:hAnsi="Times New Roman" w:cs="Times New Roman"/>
                <w:sz w:val="20"/>
                <w:szCs w:val="20"/>
                <w:lang w:val="fr-FR"/>
              </w:rPr>
              <w:t>1</w:t>
            </w:r>
          </w:p>
        </w:tc>
        <w:tc>
          <w:tcPr>
            <w:tcW w:w="2153" w:type="dxa"/>
            <w:tcBorders>
              <w:top w:val="single" w:sz="4" w:space="0" w:color="auto"/>
              <w:left w:val="single" w:sz="4" w:space="0" w:color="auto"/>
              <w:bottom w:val="single" w:sz="4" w:space="0" w:color="auto"/>
              <w:right w:val="single" w:sz="4" w:space="0" w:color="auto"/>
            </w:tcBorders>
            <w:vAlign w:val="center"/>
          </w:tcPr>
          <w:p w14:paraId="1705871A" w14:textId="77777777" w:rsidR="00C7266C" w:rsidRPr="001041C6" w:rsidRDefault="00C7266C" w:rsidP="00D403F5">
            <w:pPr>
              <w:spacing w:after="0"/>
              <w:jc w:val="center"/>
              <w:rPr>
                <w:rFonts w:ascii="Times New Roman" w:eastAsia="Calibri" w:hAnsi="Times New Roman" w:cs="Times New Roman"/>
                <w:sz w:val="20"/>
                <w:szCs w:val="20"/>
                <w:lang w:val="fr-FR"/>
              </w:rPr>
            </w:pPr>
            <w:bookmarkStart w:id="118" w:name="_Hlk21695700"/>
            <w:r w:rsidRPr="001041C6">
              <w:rPr>
                <w:rFonts w:ascii="Times New Roman" w:hAnsi="Times New Roman" w:cs="Times New Roman"/>
                <w:color w:val="000000"/>
                <w:sz w:val="20"/>
                <w:szCs w:val="20"/>
              </w:rPr>
              <w:t xml:space="preserve">Bello-Perez </w:t>
            </w:r>
            <w:r w:rsidRPr="001041C6">
              <w:rPr>
                <w:rFonts w:ascii="Times New Roman" w:hAnsi="Times New Roman" w:cs="Times New Roman"/>
                <w:i/>
                <w:iCs/>
                <w:color w:val="000000"/>
                <w:sz w:val="20"/>
                <w:szCs w:val="20"/>
              </w:rPr>
              <w:t>et al</w:t>
            </w:r>
            <w:r w:rsidRPr="001041C6">
              <w:rPr>
                <w:rFonts w:ascii="Times New Roman" w:hAnsi="Times New Roman" w:cs="Times New Roman"/>
                <w:color w:val="000000"/>
                <w:sz w:val="20"/>
                <w:szCs w:val="20"/>
              </w:rPr>
              <w:t>., 2019</w:t>
            </w:r>
            <w:bookmarkEnd w:id="118"/>
          </w:p>
        </w:tc>
      </w:tr>
    </w:tbl>
    <w:p w14:paraId="48CC1AC4" w14:textId="77777777" w:rsidR="00C7266C" w:rsidRPr="001041C6" w:rsidRDefault="00C7266C" w:rsidP="00D403F5">
      <w:pPr>
        <w:spacing w:after="0"/>
        <w:rPr>
          <w:rFonts w:ascii="Times New Roman" w:eastAsia="Arial" w:hAnsi="Times New Roman" w:cs="Times New Roman"/>
          <w:sz w:val="20"/>
          <w:szCs w:val="20"/>
          <w:lang w:val="fr-FR"/>
        </w:rPr>
      </w:pPr>
    </w:p>
    <w:p w14:paraId="592BB754" w14:textId="77777777" w:rsidR="00C7266C" w:rsidRPr="001041C6" w:rsidRDefault="00C7266C" w:rsidP="00D403F5">
      <w:pPr>
        <w:spacing w:after="0"/>
        <w:rPr>
          <w:rFonts w:ascii="Times New Roman" w:eastAsia="Arial" w:hAnsi="Times New Roman" w:cs="Times New Roman"/>
          <w:sz w:val="20"/>
          <w:szCs w:val="20"/>
        </w:rPr>
      </w:pPr>
      <w:r w:rsidRPr="001041C6">
        <w:rPr>
          <w:rFonts w:ascii="Times New Roman" w:eastAsia="Arial" w:hAnsi="Times New Roman" w:cs="Times New Roman"/>
          <w:sz w:val="20"/>
          <w:szCs w:val="20"/>
        </w:rPr>
        <w:t>*For this species the conditions of experimental challenge did not meet the requirements of Article 1.5.7. concerning evidence of a route of transmission that is consistent with natural pathways for the infection. The study considered for this assessment had used temperatures outside of the natural range of zebrafish and the authors had acknowledged that this had likely resulted in immunosuppression.</w:t>
      </w:r>
    </w:p>
    <w:p w14:paraId="7D250175" w14:textId="77777777" w:rsidR="00C7266C" w:rsidRPr="00D403F5" w:rsidRDefault="00C7266C" w:rsidP="00D403F5">
      <w:pPr>
        <w:spacing w:after="0"/>
        <w:rPr>
          <w:rFonts w:eastAsia="Arial"/>
          <w:sz w:val="18"/>
          <w:szCs w:val="18"/>
          <w:lang w:val="en-US"/>
        </w:rPr>
      </w:pPr>
    </w:p>
    <w:p w14:paraId="0FB5CD95" w14:textId="77777777" w:rsidR="00C7266C" w:rsidRPr="00D403F5" w:rsidRDefault="00C7266C" w:rsidP="00D403F5">
      <w:pPr>
        <w:spacing w:after="0"/>
        <w:rPr>
          <w:rFonts w:eastAsia="Arial"/>
          <w:sz w:val="18"/>
          <w:szCs w:val="18"/>
          <w:lang w:val="en-US"/>
        </w:rPr>
        <w:sectPr w:rsidR="00C7266C" w:rsidRPr="00D403F5" w:rsidSect="00C7266C">
          <w:headerReference w:type="even" r:id="rId210"/>
          <w:headerReference w:type="default" r:id="rId211"/>
          <w:footerReference w:type="even" r:id="rId212"/>
          <w:footerReference w:type="default" r:id="rId213"/>
          <w:headerReference w:type="first" r:id="rId214"/>
          <w:pgSz w:w="16838" w:h="11906" w:orient="landscape" w:code="9"/>
          <w:pgMar w:top="1418" w:right="1418" w:bottom="1418" w:left="1418" w:header="709" w:footer="709" w:gutter="0"/>
          <w:cols w:space="708"/>
          <w:docGrid w:linePitch="360"/>
        </w:sectPr>
      </w:pPr>
    </w:p>
    <w:p w14:paraId="4C9C8C25" w14:textId="77777777" w:rsidR="00C7266C" w:rsidRPr="001041C6" w:rsidRDefault="00C7266C" w:rsidP="001041C6">
      <w:pPr>
        <w:pStyle w:val="2"/>
        <w:tabs>
          <w:tab w:val="clear" w:pos="360"/>
        </w:tabs>
        <w:spacing w:after="480"/>
        <w:ind w:left="0" w:firstLine="0"/>
        <w:jc w:val="both"/>
        <w:rPr>
          <w:rFonts w:ascii="Times New Roman" w:hAnsi="Times New Roman"/>
          <w:b w:val="0"/>
          <w:sz w:val="20"/>
          <w:szCs w:val="20"/>
          <w:lang w:val="es-ES"/>
        </w:rPr>
      </w:pPr>
      <w:r w:rsidRPr="001041C6">
        <w:rPr>
          <w:rFonts w:ascii="Times New Roman" w:hAnsi="Times New Roman"/>
          <w:b w:val="0"/>
          <w:sz w:val="20"/>
          <w:szCs w:val="20"/>
          <w:u w:val="single"/>
          <w:lang w:val="es-ES"/>
        </w:rPr>
        <w:t>Annex 16</w:t>
      </w:r>
      <w:r w:rsidRPr="001041C6">
        <w:rPr>
          <w:rFonts w:ascii="Times New Roman" w:hAnsi="Times New Roman"/>
          <w:b w:val="0"/>
          <w:sz w:val="20"/>
          <w:szCs w:val="20"/>
          <w:lang w:val="es-ES"/>
        </w:rPr>
        <w:t xml:space="preserve"> (contd)</w:t>
      </w:r>
    </w:p>
    <w:p w14:paraId="2CB93811" w14:textId="77777777" w:rsidR="00C7266C" w:rsidRPr="001041C6" w:rsidRDefault="00C7266C" w:rsidP="001041C6">
      <w:pPr>
        <w:spacing w:after="240"/>
        <w:jc w:val="both"/>
        <w:rPr>
          <w:rFonts w:ascii="Times New Roman" w:eastAsia="Calibri" w:hAnsi="Times New Roman" w:cs="Times New Roman"/>
          <w:sz w:val="20"/>
          <w:szCs w:val="20"/>
          <w:lang w:val="es-ES"/>
        </w:rPr>
      </w:pPr>
      <w:r w:rsidRPr="001041C6">
        <w:rPr>
          <w:rFonts w:ascii="Times New Roman" w:eastAsia="Calibri" w:hAnsi="Times New Roman" w:cs="Times New Roman"/>
          <w:sz w:val="20"/>
          <w:szCs w:val="20"/>
          <w:lang w:val="es-ES"/>
        </w:rPr>
        <w:t xml:space="preserve">References </w:t>
      </w:r>
    </w:p>
    <w:p w14:paraId="58A8A8BC" w14:textId="77777777" w:rsidR="00C7266C" w:rsidRPr="001041C6" w:rsidRDefault="00C7266C" w:rsidP="001041C6">
      <w:pPr>
        <w:spacing w:after="240"/>
        <w:jc w:val="both"/>
        <w:rPr>
          <w:rFonts w:ascii="Times New Roman" w:eastAsia="Arial Unicode MS" w:hAnsi="Times New Roman" w:cs="Times New Roman"/>
          <w:kern w:val="1"/>
          <w:sz w:val="20"/>
          <w:szCs w:val="20"/>
          <w:bdr w:val="nil"/>
          <w:lang w:val="es-ES" w:eastAsia="ja-JP"/>
        </w:rPr>
      </w:pPr>
      <w:bookmarkStart w:id="119" w:name="_Hlk21695719"/>
      <w:r w:rsidRPr="001041C6">
        <w:rPr>
          <w:rFonts w:ascii="Times New Roman" w:eastAsia="Arial Unicode MS" w:hAnsi="Times New Roman" w:cs="Times New Roman"/>
          <w:kern w:val="1"/>
          <w:sz w:val="20"/>
          <w:szCs w:val="20"/>
          <w:bdr w:val="nil"/>
          <w:lang w:val="es-ES" w:eastAsia="ja-JP"/>
        </w:rPr>
        <w:t xml:space="preserve">BELLO-PEREZ, M., MEDINA-GALI, R., COLL, J. &amp; PEREZ, L. (2019). </w:t>
      </w:r>
      <w:r w:rsidRPr="001041C6">
        <w:rPr>
          <w:rFonts w:ascii="Times New Roman" w:eastAsia="Arial Unicode MS" w:hAnsi="Times New Roman" w:cs="Times New Roman"/>
          <w:kern w:val="1"/>
          <w:sz w:val="20"/>
          <w:szCs w:val="20"/>
          <w:bdr w:val="nil"/>
          <w:lang w:eastAsia="ja-JP"/>
        </w:rPr>
        <w:t xml:space="preserve">Viral interference between infectious pancreatic necrosis virus and spring viremia of carp virus in zebrafish. </w:t>
      </w:r>
      <w:r w:rsidRPr="001041C6">
        <w:rPr>
          <w:rFonts w:ascii="Times New Roman" w:eastAsia="Arial Unicode MS" w:hAnsi="Times New Roman" w:cs="Times New Roman"/>
          <w:i/>
          <w:iCs/>
          <w:kern w:val="1"/>
          <w:sz w:val="20"/>
          <w:szCs w:val="20"/>
          <w:bdr w:val="nil"/>
          <w:lang w:val="es-ES" w:eastAsia="ja-JP"/>
        </w:rPr>
        <w:t>Aquaculture</w:t>
      </w:r>
      <w:r w:rsidRPr="001041C6">
        <w:rPr>
          <w:rFonts w:ascii="Times New Roman" w:eastAsia="Arial Unicode MS" w:hAnsi="Times New Roman" w:cs="Times New Roman"/>
          <w:kern w:val="1"/>
          <w:sz w:val="20"/>
          <w:szCs w:val="20"/>
          <w:bdr w:val="nil"/>
          <w:lang w:val="es-ES" w:eastAsia="ja-JP"/>
        </w:rPr>
        <w:t xml:space="preserve">, </w:t>
      </w:r>
      <w:r w:rsidRPr="001041C6">
        <w:rPr>
          <w:rFonts w:ascii="Times New Roman" w:eastAsia="Arial Unicode MS" w:hAnsi="Times New Roman" w:cs="Times New Roman"/>
          <w:bCs/>
          <w:kern w:val="1"/>
          <w:sz w:val="20"/>
          <w:szCs w:val="20"/>
          <w:bdr w:val="nil"/>
          <w:lang w:val="es-ES" w:eastAsia="ja-JP"/>
        </w:rPr>
        <w:t>500</w:t>
      </w:r>
      <w:r w:rsidRPr="001041C6">
        <w:rPr>
          <w:rFonts w:ascii="Times New Roman" w:eastAsia="Arial Unicode MS" w:hAnsi="Times New Roman" w:cs="Times New Roman"/>
          <w:kern w:val="1"/>
          <w:sz w:val="20"/>
          <w:szCs w:val="20"/>
          <w:bdr w:val="nil"/>
          <w:lang w:val="es-ES" w:eastAsia="ja-JP"/>
        </w:rPr>
        <w:t xml:space="preserve">, 370-377. </w:t>
      </w:r>
    </w:p>
    <w:p w14:paraId="595E15DA" w14:textId="77777777" w:rsidR="00C7266C" w:rsidRPr="001041C6" w:rsidRDefault="00C7266C" w:rsidP="001041C6">
      <w:pPr>
        <w:spacing w:after="240"/>
        <w:jc w:val="both"/>
        <w:rPr>
          <w:rFonts w:ascii="Times New Roman" w:eastAsia="Arial Unicode MS" w:hAnsi="Times New Roman" w:cs="Times New Roman"/>
          <w:kern w:val="20"/>
          <w:sz w:val="20"/>
          <w:szCs w:val="20"/>
          <w:bdr w:val="nil"/>
          <w:lang w:eastAsia="ja-JP"/>
        </w:rPr>
      </w:pPr>
      <w:r w:rsidRPr="001041C6">
        <w:rPr>
          <w:rFonts w:ascii="Times New Roman" w:eastAsia="Arial Unicode MS" w:hAnsi="Times New Roman" w:cs="Times New Roman"/>
          <w:caps/>
          <w:kern w:val="20"/>
          <w:sz w:val="20"/>
          <w:szCs w:val="20"/>
          <w:bdr w:val="nil"/>
          <w:lang w:val="es-ES" w:eastAsia="ja-JP"/>
        </w:rPr>
        <w:t xml:space="preserve">LÓpez-MuÑoz, a., Roca, f. j., SEPULCRE, m. p., Meseguer, j. &amp; Mulero, v. (2010). </w:t>
      </w:r>
      <w:r w:rsidRPr="001041C6">
        <w:rPr>
          <w:rFonts w:ascii="Times New Roman" w:eastAsia="Arial Unicode MS" w:hAnsi="Times New Roman" w:cs="Times New Roman"/>
          <w:kern w:val="20"/>
          <w:sz w:val="20"/>
          <w:szCs w:val="20"/>
          <w:bdr w:val="nil"/>
          <w:lang w:eastAsia="ja-JP"/>
        </w:rPr>
        <w:t xml:space="preserve">Zebrafish larvae are unable to mount a protective antiviral response against waterborne infection by spring viremia of carp virus. </w:t>
      </w:r>
      <w:r w:rsidRPr="001041C6">
        <w:rPr>
          <w:rFonts w:ascii="Times New Roman" w:eastAsia="Arial Unicode MS" w:hAnsi="Times New Roman" w:cs="Times New Roman"/>
          <w:i/>
          <w:iCs/>
          <w:kern w:val="20"/>
          <w:sz w:val="20"/>
          <w:szCs w:val="20"/>
          <w:bdr w:val="nil"/>
          <w:lang w:eastAsia="ja-JP"/>
        </w:rPr>
        <w:t>Developmental and Comparative Immunology</w:t>
      </w:r>
      <w:r w:rsidRPr="001041C6">
        <w:rPr>
          <w:rFonts w:ascii="Times New Roman" w:eastAsia="Arial Unicode MS" w:hAnsi="Times New Roman" w:cs="Times New Roman"/>
          <w:kern w:val="20"/>
          <w:sz w:val="20"/>
          <w:szCs w:val="20"/>
          <w:bdr w:val="nil"/>
          <w:lang w:eastAsia="ja-JP"/>
        </w:rPr>
        <w:t xml:space="preserve">, </w:t>
      </w:r>
      <w:r w:rsidRPr="001041C6">
        <w:rPr>
          <w:rFonts w:ascii="Times New Roman" w:eastAsia="Arial Unicode MS" w:hAnsi="Times New Roman" w:cs="Times New Roman"/>
          <w:bCs/>
          <w:kern w:val="20"/>
          <w:sz w:val="20"/>
          <w:szCs w:val="20"/>
          <w:bdr w:val="nil"/>
          <w:lang w:eastAsia="ja-JP"/>
        </w:rPr>
        <w:t>34</w:t>
      </w:r>
      <w:r w:rsidRPr="001041C6">
        <w:rPr>
          <w:rFonts w:ascii="Times New Roman" w:eastAsia="Arial Unicode MS" w:hAnsi="Times New Roman" w:cs="Times New Roman"/>
          <w:kern w:val="20"/>
          <w:sz w:val="20"/>
          <w:szCs w:val="20"/>
          <w:bdr w:val="nil"/>
          <w:lang w:eastAsia="ja-JP"/>
        </w:rPr>
        <w:t xml:space="preserve">, 546-552. </w:t>
      </w:r>
    </w:p>
    <w:p w14:paraId="09793912" w14:textId="77777777" w:rsidR="00C7266C" w:rsidRPr="001041C6" w:rsidRDefault="00C7266C" w:rsidP="001041C6">
      <w:pPr>
        <w:spacing w:after="240"/>
        <w:jc w:val="both"/>
        <w:rPr>
          <w:rFonts w:ascii="Times New Roman" w:eastAsia="Arial Unicode MS" w:hAnsi="Times New Roman" w:cs="Times New Roman"/>
          <w:kern w:val="20"/>
          <w:sz w:val="20"/>
          <w:szCs w:val="20"/>
          <w:bdr w:val="nil"/>
          <w:lang w:val="es-ES" w:eastAsia="ja-JP"/>
        </w:rPr>
      </w:pPr>
      <w:r w:rsidRPr="001041C6">
        <w:rPr>
          <w:rFonts w:ascii="Times New Roman" w:eastAsia="Arial Unicode MS" w:hAnsi="Times New Roman" w:cs="Times New Roman"/>
          <w:kern w:val="20"/>
          <w:sz w:val="20"/>
          <w:szCs w:val="20"/>
          <w:bdr w:val="nil"/>
          <w:lang w:eastAsia="ja-JP"/>
        </w:rPr>
        <w:t xml:space="preserve">MARTINEZ-LOPEZ, A., GARCIA-VALTANEN, P., ORTEGA-VILLAIZAN, M., CHICO, V., GOMEZ-CASADO, E., COLL, J. M. &amp; ESTEPA, A. (2014). </w:t>
      </w:r>
      <w:r w:rsidRPr="001041C6">
        <w:rPr>
          <w:rFonts w:ascii="Times New Roman" w:eastAsia="Arial Unicode MS" w:hAnsi="Times New Roman" w:cs="Times New Roman"/>
          <w:kern w:val="20"/>
          <w:sz w:val="20"/>
          <w:szCs w:val="20"/>
          <w:bdr w:val="nil"/>
          <w:lang w:val="en-US" w:eastAsia="ja-JP"/>
        </w:rPr>
        <w:t xml:space="preserve">VHSV G glycoprotein major determinants implicated in triggering the host type I IFN antiviral response as DNA vaccine molecular adjuvants. </w:t>
      </w:r>
      <w:r w:rsidRPr="001041C6">
        <w:rPr>
          <w:rFonts w:ascii="Times New Roman" w:eastAsia="Arial Unicode MS" w:hAnsi="Times New Roman" w:cs="Times New Roman"/>
          <w:i/>
          <w:iCs/>
          <w:kern w:val="20"/>
          <w:sz w:val="20"/>
          <w:szCs w:val="20"/>
          <w:bdr w:val="nil"/>
          <w:lang w:val="es-ES" w:eastAsia="ja-JP"/>
        </w:rPr>
        <w:t>Vaccine</w:t>
      </w:r>
      <w:r w:rsidRPr="001041C6">
        <w:rPr>
          <w:rFonts w:ascii="Times New Roman" w:eastAsia="Arial Unicode MS" w:hAnsi="Times New Roman" w:cs="Times New Roman"/>
          <w:kern w:val="20"/>
          <w:sz w:val="20"/>
          <w:szCs w:val="20"/>
          <w:bdr w:val="nil"/>
          <w:lang w:val="es-ES" w:eastAsia="ja-JP"/>
        </w:rPr>
        <w:t xml:space="preserve">, </w:t>
      </w:r>
      <w:r w:rsidRPr="001041C6">
        <w:rPr>
          <w:rFonts w:ascii="Times New Roman" w:eastAsia="Arial Unicode MS" w:hAnsi="Times New Roman" w:cs="Times New Roman"/>
          <w:bCs/>
          <w:kern w:val="20"/>
          <w:sz w:val="20"/>
          <w:szCs w:val="20"/>
          <w:bdr w:val="nil"/>
          <w:lang w:val="es-ES" w:eastAsia="ja-JP"/>
        </w:rPr>
        <w:t>32</w:t>
      </w:r>
      <w:r w:rsidRPr="001041C6">
        <w:rPr>
          <w:rFonts w:ascii="Times New Roman" w:eastAsia="Arial Unicode MS" w:hAnsi="Times New Roman" w:cs="Times New Roman"/>
          <w:kern w:val="20"/>
          <w:sz w:val="20"/>
          <w:szCs w:val="20"/>
          <w:bdr w:val="nil"/>
          <w:lang w:val="es-ES" w:eastAsia="ja-JP"/>
        </w:rPr>
        <w:t>, 6012-6019.</w:t>
      </w:r>
    </w:p>
    <w:p w14:paraId="0A8F1819" w14:textId="77777777" w:rsidR="00C7266C" w:rsidRPr="001041C6" w:rsidRDefault="00C7266C" w:rsidP="001041C6">
      <w:pPr>
        <w:spacing w:after="240"/>
        <w:jc w:val="both"/>
        <w:rPr>
          <w:rFonts w:ascii="Times New Roman" w:eastAsia="Arial Unicode MS" w:hAnsi="Times New Roman" w:cs="Times New Roman"/>
          <w:kern w:val="20"/>
          <w:sz w:val="20"/>
          <w:szCs w:val="20"/>
          <w:bdr w:val="nil"/>
          <w:lang w:val="es-ES" w:eastAsia="ja-JP"/>
        </w:rPr>
      </w:pPr>
      <w:r w:rsidRPr="001041C6">
        <w:rPr>
          <w:rFonts w:ascii="Times New Roman" w:eastAsia="Arial Unicode MS" w:hAnsi="Times New Roman" w:cs="Times New Roman"/>
          <w:kern w:val="1"/>
          <w:sz w:val="20"/>
          <w:szCs w:val="20"/>
          <w:bdr w:val="nil"/>
          <w:lang w:val="es-ES" w:eastAsia="ja-JP"/>
        </w:rPr>
        <w:t xml:space="preserve">MEDINA-GALI, R. M., ORTEGA-VILLAIZAN, M., MERCADO, L., NOVOA, J. C. &amp; PEREZ, L. (2018a). </w:t>
      </w:r>
      <w:r w:rsidRPr="001041C6">
        <w:rPr>
          <w:rFonts w:ascii="Times New Roman" w:eastAsia="Arial Unicode MS" w:hAnsi="Times New Roman" w:cs="Times New Roman"/>
          <w:kern w:val="1"/>
          <w:sz w:val="20"/>
          <w:szCs w:val="20"/>
          <w:bdr w:val="nil"/>
          <w:lang w:val="en-US" w:eastAsia="ja-JP"/>
        </w:rPr>
        <w:t xml:space="preserve">Beta-glucan enhances the response to SVCV infection in zebrafish. </w:t>
      </w:r>
      <w:r w:rsidRPr="001041C6">
        <w:rPr>
          <w:rFonts w:ascii="Times New Roman" w:eastAsia="Arial Unicode MS" w:hAnsi="Times New Roman" w:cs="Times New Roman"/>
          <w:i/>
          <w:iCs/>
          <w:kern w:val="20"/>
          <w:sz w:val="20"/>
          <w:szCs w:val="20"/>
          <w:bdr w:val="nil"/>
          <w:lang w:val="es-ES" w:eastAsia="ja-JP"/>
        </w:rPr>
        <w:t>Developmental and Comparative Immunology</w:t>
      </w:r>
      <w:r w:rsidRPr="001041C6">
        <w:rPr>
          <w:rFonts w:ascii="Times New Roman" w:eastAsia="Arial Unicode MS" w:hAnsi="Times New Roman" w:cs="Times New Roman"/>
          <w:kern w:val="20"/>
          <w:sz w:val="20"/>
          <w:szCs w:val="20"/>
          <w:bdr w:val="nil"/>
          <w:lang w:val="es-ES" w:eastAsia="ja-JP"/>
        </w:rPr>
        <w:t xml:space="preserve">, </w:t>
      </w:r>
      <w:r w:rsidRPr="001041C6">
        <w:rPr>
          <w:rFonts w:ascii="Times New Roman" w:eastAsia="Arial Unicode MS" w:hAnsi="Times New Roman" w:cs="Times New Roman"/>
          <w:bCs/>
          <w:kern w:val="20"/>
          <w:sz w:val="20"/>
          <w:szCs w:val="20"/>
          <w:bdr w:val="nil"/>
          <w:lang w:val="es-ES" w:eastAsia="ja-JP"/>
        </w:rPr>
        <w:t>84</w:t>
      </w:r>
      <w:r w:rsidRPr="001041C6">
        <w:rPr>
          <w:rFonts w:ascii="Times New Roman" w:eastAsia="Arial Unicode MS" w:hAnsi="Times New Roman" w:cs="Times New Roman"/>
          <w:kern w:val="20"/>
          <w:sz w:val="20"/>
          <w:szCs w:val="20"/>
          <w:bdr w:val="nil"/>
          <w:lang w:val="es-ES" w:eastAsia="ja-JP"/>
        </w:rPr>
        <w:t xml:space="preserve">, 307-314. </w:t>
      </w:r>
    </w:p>
    <w:p w14:paraId="2E9C1F2C" w14:textId="77777777" w:rsidR="00C7266C" w:rsidRPr="001041C6" w:rsidRDefault="00C7266C" w:rsidP="001041C6">
      <w:pPr>
        <w:spacing w:after="240"/>
        <w:jc w:val="both"/>
        <w:rPr>
          <w:rFonts w:ascii="Times New Roman" w:eastAsia="Arial Unicode MS" w:hAnsi="Times New Roman" w:cs="Times New Roman"/>
          <w:kern w:val="20"/>
          <w:sz w:val="20"/>
          <w:szCs w:val="20"/>
          <w:bdr w:val="nil"/>
          <w:lang w:val="en-US" w:eastAsia="ja-JP"/>
        </w:rPr>
      </w:pPr>
      <w:r w:rsidRPr="001041C6">
        <w:rPr>
          <w:rFonts w:ascii="Times New Roman" w:eastAsia="Arial Unicode MS" w:hAnsi="Times New Roman" w:cs="Times New Roman"/>
          <w:kern w:val="1"/>
          <w:sz w:val="20"/>
          <w:szCs w:val="20"/>
          <w:bdr w:val="nil"/>
          <w:lang w:val="es-ES" w:eastAsia="ja-JP"/>
        </w:rPr>
        <w:t xml:space="preserve">MEDINA-GALI, R. M., </w:t>
      </w:r>
      <w:r w:rsidRPr="001041C6">
        <w:rPr>
          <w:rFonts w:ascii="Times New Roman" w:eastAsia="Arial Unicode MS" w:hAnsi="Times New Roman" w:cs="Times New Roman"/>
          <w:caps/>
          <w:kern w:val="20"/>
          <w:sz w:val="20"/>
          <w:szCs w:val="20"/>
          <w:bdr w:val="nil"/>
          <w:lang w:val="es-ES" w:eastAsia="ja-JP"/>
        </w:rPr>
        <w:t>Belló-Péreza, M., Martínez-López, a., Falcó, a., Ortega-Villaizana, m. m., Encinara, j. a., Novoa, b., Coll, j. &amp; Perez, l. (2018</w:t>
      </w:r>
      <w:r w:rsidRPr="001041C6">
        <w:rPr>
          <w:rFonts w:ascii="Times New Roman" w:eastAsia="Arial Unicode MS" w:hAnsi="Times New Roman" w:cs="Times New Roman"/>
          <w:kern w:val="20"/>
          <w:sz w:val="20"/>
          <w:szCs w:val="20"/>
          <w:bdr w:val="nil"/>
          <w:lang w:val="es-ES" w:eastAsia="ja-JP"/>
        </w:rPr>
        <w:t>b</w:t>
      </w:r>
      <w:r w:rsidRPr="001041C6">
        <w:rPr>
          <w:rFonts w:ascii="Times New Roman" w:eastAsia="Arial Unicode MS" w:hAnsi="Times New Roman" w:cs="Times New Roman"/>
          <w:caps/>
          <w:kern w:val="20"/>
          <w:sz w:val="20"/>
          <w:szCs w:val="20"/>
          <w:bdr w:val="nil"/>
          <w:lang w:val="es-ES" w:eastAsia="ja-JP"/>
        </w:rPr>
        <w:t xml:space="preserve">). </w:t>
      </w:r>
      <w:r w:rsidRPr="001041C6">
        <w:rPr>
          <w:rFonts w:ascii="Times New Roman" w:eastAsia="Arial Unicode MS" w:hAnsi="Times New Roman" w:cs="Times New Roman"/>
          <w:kern w:val="20"/>
          <w:sz w:val="20"/>
          <w:szCs w:val="20"/>
          <w:bdr w:val="nil"/>
          <w:lang w:val="en-US" w:eastAsia="ja-JP"/>
        </w:rPr>
        <w:t xml:space="preserve">Chromatin immunoprecipitation and high throughput sequencing of SVCV infected zebrafish reveals novel epigenetic histone methylation patterns involved in antiviral immune response. </w:t>
      </w:r>
      <w:r w:rsidRPr="001041C6">
        <w:rPr>
          <w:rFonts w:ascii="Times New Roman" w:eastAsia="Arial Unicode MS" w:hAnsi="Times New Roman" w:cs="Times New Roman"/>
          <w:i/>
          <w:iCs/>
          <w:kern w:val="20"/>
          <w:sz w:val="20"/>
          <w:szCs w:val="20"/>
          <w:bdr w:val="nil"/>
          <w:lang w:val="en-US" w:eastAsia="ja-JP"/>
        </w:rPr>
        <w:t>Fish and Shellfish Immunology</w:t>
      </w:r>
      <w:r w:rsidRPr="001041C6">
        <w:rPr>
          <w:rFonts w:ascii="Times New Roman" w:eastAsia="Arial Unicode MS" w:hAnsi="Times New Roman" w:cs="Times New Roman"/>
          <w:kern w:val="20"/>
          <w:sz w:val="20"/>
          <w:szCs w:val="20"/>
          <w:bdr w:val="nil"/>
          <w:lang w:val="en-US" w:eastAsia="ja-JP"/>
        </w:rPr>
        <w:t xml:space="preserve">, </w:t>
      </w:r>
      <w:r w:rsidRPr="001041C6">
        <w:rPr>
          <w:rFonts w:ascii="Times New Roman" w:eastAsia="Arial Unicode MS" w:hAnsi="Times New Roman" w:cs="Times New Roman"/>
          <w:bCs/>
          <w:kern w:val="20"/>
          <w:sz w:val="20"/>
          <w:szCs w:val="20"/>
          <w:bdr w:val="nil"/>
          <w:lang w:val="en-US" w:eastAsia="ja-JP"/>
        </w:rPr>
        <w:t>82</w:t>
      </w:r>
      <w:r w:rsidRPr="001041C6">
        <w:rPr>
          <w:rFonts w:ascii="Times New Roman" w:eastAsia="Arial Unicode MS" w:hAnsi="Times New Roman" w:cs="Times New Roman"/>
          <w:kern w:val="20"/>
          <w:sz w:val="20"/>
          <w:szCs w:val="20"/>
          <w:bdr w:val="nil"/>
          <w:lang w:val="en-US" w:eastAsia="ja-JP"/>
        </w:rPr>
        <w:t xml:space="preserve">, 514-521. </w:t>
      </w:r>
    </w:p>
    <w:p w14:paraId="36649548" w14:textId="77777777" w:rsidR="00C7266C" w:rsidRPr="001041C6" w:rsidRDefault="00C7266C" w:rsidP="001041C6">
      <w:pPr>
        <w:spacing w:after="240"/>
        <w:jc w:val="both"/>
        <w:rPr>
          <w:rFonts w:ascii="Times New Roman" w:eastAsia="Arial Unicode MS" w:hAnsi="Times New Roman" w:cs="Times New Roman"/>
          <w:kern w:val="1"/>
          <w:sz w:val="20"/>
          <w:szCs w:val="20"/>
          <w:bdr w:val="nil"/>
          <w:lang w:eastAsia="ja-JP"/>
        </w:rPr>
      </w:pPr>
      <w:r w:rsidRPr="001041C6">
        <w:rPr>
          <w:rFonts w:ascii="Times New Roman" w:eastAsia="Arial Unicode MS" w:hAnsi="Times New Roman" w:cs="Times New Roman"/>
          <w:kern w:val="1"/>
          <w:sz w:val="20"/>
          <w:szCs w:val="20"/>
          <w:bdr w:val="nil"/>
          <w:lang w:eastAsia="ja-JP"/>
        </w:rPr>
        <w:t>S</w:t>
      </w:r>
      <w:r w:rsidRPr="001041C6">
        <w:rPr>
          <w:rFonts w:ascii="Times New Roman" w:eastAsia="Arial Unicode MS" w:hAnsi="Times New Roman" w:cs="Times New Roman"/>
          <w:caps/>
          <w:kern w:val="20"/>
          <w:sz w:val="20"/>
          <w:szCs w:val="20"/>
          <w:bdr w:val="nil"/>
          <w:lang w:eastAsia="ja-JP"/>
        </w:rPr>
        <w:t>anders</w:t>
      </w:r>
      <w:r w:rsidRPr="001041C6">
        <w:rPr>
          <w:rFonts w:ascii="Times New Roman" w:eastAsia="Arial Unicode MS" w:hAnsi="Times New Roman" w:cs="Times New Roman"/>
          <w:kern w:val="1"/>
          <w:sz w:val="20"/>
          <w:szCs w:val="20"/>
          <w:bdr w:val="nil"/>
          <w:lang w:eastAsia="ja-JP"/>
        </w:rPr>
        <w:t>, G. E., BATTS, W. N. &amp; WINTON, J. R. (2003). Susceptibility of Zebrafish (</w:t>
      </w:r>
      <w:r w:rsidRPr="001041C6">
        <w:rPr>
          <w:rFonts w:ascii="Times New Roman" w:eastAsia="Arial Unicode MS" w:hAnsi="Times New Roman" w:cs="Times New Roman"/>
          <w:i/>
          <w:iCs/>
          <w:kern w:val="1"/>
          <w:sz w:val="20"/>
          <w:szCs w:val="20"/>
          <w:bdr w:val="nil"/>
          <w:lang w:eastAsia="ja-JP"/>
        </w:rPr>
        <w:t>Danio rerio</w:t>
      </w:r>
      <w:r w:rsidRPr="001041C6">
        <w:rPr>
          <w:rFonts w:ascii="Times New Roman" w:eastAsia="Arial Unicode MS" w:hAnsi="Times New Roman" w:cs="Times New Roman"/>
          <w:kern w:val="1"/>
          <w:sz w:val="20"/>
          <w:szCs w:val="20"/>
          <w:bdr w:val="nil"/>
          <w:lang w:eastAsia="ja-JP"/>
        </w:rPr>
        <w:t xml:space="preserve">) to a Model Pathogen, Spring Viremia of Carp Virus. </w:t>
      </w:r>
      <w:r w:rsidRPr="001041C6">
        <w:rPr>
          <w:rFonts w:ascii="Times New Roman" w:eastAsia="Arial Unicode MS" w:hAnsi="Times New Roman" w:cs="Times New Roman"/>
          <w:i/>
          <w:iCs/>
          <w:kern w:val="1"/>
          <w:sz w:val="20"/>
          <w:szCs w:val="20"/>
          <w:bdr w:val="nil"/>
          <w:lang w:eastAsia="ja-JP"/>
        </w:rPr>
        <w:t>Comparative Medicine</w:t>
      </w:r>
      <w:r w:rsidRPr="001041C6">
        <w:rPr>
          <w:rFonts w:ascii="Times New Roman" w:eastAsia="Arial Unicode MS" w:hAnsi="Times New Roman" w:cs="Times New Roman"/>
          <w:kern w:val="1"/>
          <w:sz w:val="20"/>
          <w:szCs w:val="20"/>
          <w:bdr w:val="nil"/>
          <w:lang w:eastAsia="ja-JP"/>
        </w:rPr>
        <w:t xml:space="preserve">, </w:t>
      </w:r>
      <w:r w:rsidRPr="001041C6">
        <w:rPr>
          <w:rFonts w:ascii="Times New Roman" w:eastAsia="Arial Unicode MS" w:hAnsi="Times New Roman" w:cs="Times New Roman"/>
          <w:bCs/>
          <w:kern w:val="1"/>
          <w:sz w:val="20"/>
          <w:szCs w:val="20"/>
          <w:bdr w:val="nil"/>
          <w:lang w:eastAsia="ja-JP"/>
        </w:rPr>
        <w:t>53(5)</w:t>
      </w:r>
      <w:r w:rsidRPr="001041C6">
        <w:rPr>
          <w:rFonts w:ascii="Times New Roman" w:eastAsia="Arial Unicode MS" w:hAnsi="Times New Roman" w:cs="Times New Roman"/>
          <w:kern w:val="1"/>
          <w:sz w:val="20"/>
          <w:szCs w:val="20"/>
          <w:bdr w:val="nil"/>
          <w:lang w:eastAsia="ja-JP"/>
        </w:rPr>
        <w:t xml:space="preserve">, 514-521. </w:t>
      </w:r>
    </w:p>
    <w:bookmarkEnd w:id="119"/>
    <w:p w14:paraId="7249D87E" w14:textId="77777777" w:rsidR="001041C6" w:rsidRPr="00147332" w:rsidRDefault="001041C6" w:rsidP="001041C6">
      <w:pPr>
        <w:spacing w:before="720" w:after="240"/>
        <w:ind w:right="51"/>
        <w:jc w:val="center"/>
        <w:rPr>
          <w:rFonts w:ascii="Times New Roman" w:eastAsia="MS Mincho" w:hAnsi="Times New Roman" w:cs="Times New Roman"/>
          <w:kern w:val="2"/>
          <w:sz w:val="20"/>
          <w:szCs w:val="20"/>
        </w:rPr>
      </w:pPr>
      <w:r w:rsidRPr="00D44454">
        <w:rPr>
          <w:rFonts w:ascii="Times New Roman" w:eastAsia="MS Mincho" w:hAnsi="Times New Roman" w:cs="Times New Roman"/>
          <w:kern w:val="2"/>
          <w:sz w:val="20"/>
          <w:szCs w:val="20"/>
        </w:rPr>
        <w:t>____________________________</w:t>
      </w:r>
    </w:p>
    <w:p w14:paraId="72AAA59C" w14:textId="77777777" w:rsidR="00C7266C" w:rsidRPr="00D403F5" w:rsidRDefault="00C7266C" w:rsidP="00D403F5">
      <w:pPr>
        <w:spacing w:after="0"/>
        <w:rPr>
          <w:sz w:val="18"/>
          <w:szCs w:val="18"/>
        </w:rPr>
      </w:pPr>
    </w:p>
    <w:p w14:paraId="4905335F" w14:textId="77777777" w:rsidR="00C7266C" w:rsidRPr="00D403F5" w:rsidRDefault="00C7266C" w:rsidP="00D403F5">
      <w:pPr>
        <w:spacing w:after="0"/>
        <w:ind w:left="107"/>
        <w:jc w:val="both"/>
        <w:rPr>
          <w:rFonts w:ascii="Arial" w:hAnsi="Arial" w:cs="Arial"/>
          <w:sz w:val="18"/>
          <w:szCs w:val="18"/>
          <w:lang w:val="en-IE"/>
        </w:rPr>
        <w:sectPr w:rsidR="00C7266C" w:rsidRPr="00D403F5">
          <w:pgSz w:w="12240" w:h="15840"/>
          <w:pgMar w:top="1440" w:right="1440" w:bottom="1440" w:left="1440" w:header="720" w:footer="720" w:gutter="0"/>
          <w:cols w:space="720"/>
          <w:docGrid w:linePitch="360"/>
        </w:sectPr>
      </w:pPr>
    </w:p>
    <w:p w14:paraId="721A4CBD" w14:textId="77777777" w:rsidR="00C7266C" w:rsidRPr="00D403F5" w:rsidRDefault="00C7266C" w:rsidP="001041C6">
      <w:pPr>
        <w:pStyle w:val="2"/>
        <w:tabs>
          <w:tab w:val="clear" w:pos="360"/>
        </w:tabs>
        <w:spacing w:after="480"/>
        <w:ind w:left="0" w:firstLine="0"/>
        <w:jc w:val="right"/>
        <w:rPr>
          <w:b w:val="0"/>
          <w:sz w:val="18"/>
          <w:szCs w:val="18"/>
        </w:rPr>
      </w:pPr>
      <w:bookmarkStart w:id="120" w:name="_Hlk24519314"/>
      <w:r w:rsidRPr="00D403F5">
        <w:rPr>
          <w:rFonts w:ascii="Times New Roman" w:hAnsi="Times New Roman"/>
          <w:b w:val="0"/>
          <w:sz w:val="18"/>
          <w:szCs w:val="18"/>
          <w:u w:val="single"/>
        </w:rPr>
        <w:t>Annex 17</w:t>
      </w:r>
    </w:p>
    <w:tbl>
      <w:tblPr>
        <w:tblStyle w:val="af2"/>
        <w:tblW w:w="9468" w:type="dxa"/>
        <w:tblLook w:val="04A0" w:firstRow="1" w:lastRow="0" w:firstColumn="1" w:lastColumn="0" w:noHBand="0" w:noVBand="1"/>
      </w:tblPr>
      <w:tblGrid>
        <w:gridCol w:w="1622"/>
        <w:gridCol w:w="3593"/>
        <w:gridCol w:w="4253"/>
      </w:tblGrid>
      <w:tr w:rsidR="00C7266C" w:rsidRPr="00D403F5" w14:paraId="4EEDB3BD" w14:textId="77777777" w:rsidTr="00C7266C">
        <w:tc>
          <w:tcPr>
            <w:tcW w:w="9468" w:type="dxa"/>
            <w:gridSpan w:val="3"/>
            <w:shd w:val="clear" w:color="auto" w:fill="A6A6A6" w:themeFill="background1" w:themeFillShade="A6"/>
          </w:tcPr>
          <w:p w14:paraId="75FEE6EB" w14:textId="77777777" w:rsidR="00C7266C" w:rsidRPr="00D403F5" w:rsidRDefault="00C7266C" w:rsidP="00D403F5">
            <w:pPr>
              <w:jc w:val="center"/>
              <w:rPr>
                <w:rFonts w:ascii="Arial" w:hAnsi="Arial" w:cs="Arial"/>
                <w:b/>
                <w:sz w:val="18"/>
                <w:szCs w:val="18"/>
              </w:rPr>
            </w:pPr>
            <w:r w:rsidRPr="00D403F5">
              <w:rPr>
                <w:rFonts w:ascii="Arial" w:hAnsi="Arial" w:cs="Arial"/>
                <w:b/>
                <w:bCs/>
                <w:i/>
                <w:sz w:val="18"/>
                <w:szCs w:val="18"/>
              </w:rPr>
              <w:t>AQUATIC CODE</w:t>
            </w:r>
          </w:p>
        </w:tc>
      </w:tr>
      <w:tr w:rsidR="00C7266C" w:rsidRPr="00D403F5" w14:paraId="5894D717" w14:textId="77777777" w:rsidTr="00C7266C">
        <w:tc>
          <w:tcPr>
            <w:tcW w:w="1615" w:type="dxa"/>
            <w:shd w:val="clear" w:color="auto" w:fill="A6A6A6" w:themeFill="background1" w:themeFillShade="A6"/>
          </w:tcPr>
          <w:p w14:paraId="101548EF" w14:textId="77777777" w:rsidR="00C7266C" w:rsidRPr="00D403F5" w:rsidRDefault="00C7266C" w:rsidP="00D403F5">
            <w:pPr>
              <w:jc w:val="center"/>
              <w:rPr>
                <w:rFonts w:ascii="Arial" w:hAnsi="Arial" w:cs="Arial"/>
                <w:b/>
                <w:sz w:val="18"/>
                <w:szCs w:val="18"/>
              </w:rPr>
            </w:pPr>
            <w:r w:rsidRPr="00D403F5">
              <w:rPr>
                <w:rFonts w:ascii="Arial" w:hAnsi="Arial" w:cs="Arial"/>
                <w:b/>
                <w:sz w:val="18"/>
                <w:szCs w:val="18"/>
              </w:rPr>
              <w:t>Chapter/Subject</w:t>
            </w:r>
          </w:p>
        </w:tc>
        <w:tc>
          <w:tcPr>
            <w:tcW w:w="3596" w:type="dxa"/>
            <w:shd w:val="clear" w:color="auto" w:fill="A6A6A6" w:themeFill="background1" w:themeFillShade="A6"/>
          </w:tcPr>
          <w:p w14:paraId="1B9BA230" w14:textId="77777777" w:rsidR="00C7266C" w:rsidRPr="00D403F5" w:rsidRDefault="00C7266C" w:rsidP="00D403F5">
            <w:pPr>
              <w:jc w:val="center"/>
              <w:rPr>
                <w:rFonts w:ascii="Arial" w:hAnsi="Arial" w:cs="Arial"/>
                <w:b/>
                <w:sz w:val="18"/>
                <w:szCs w:val="18"/>
              </w:rPr>
            </w:pPr>
            <w:r w:rsidRPr="00D403F5">
              <w:rPr>
                <w:rFonts w:ascii="Arial" w:hAnsi="Arial" w:cs="Arial"/>
                <w:b/>
                <w:sz w:val="18"/>
                <w:szCs w:val="18"/>
              </w:rPr>
              <w:t>Activity</w:t>
            </w:r>
          </w:p>
        </w:tc>
        <w:tc>
          <w:tcPr>
            <w:tcW w:w="4253" w:type="dxa"/>
            <w:shd w:val="clear" w:color="auto" w:fill="A6A6A6" w:themeFill="background1" w:themeFillShade="A6"/>
          </w:tcPr>
          <w:p w14:paraId="3CA9C91B" w14:textId="77777777" w:rsidR="00C7266C" w:rsidRPr="00D403F5" w:rsidRDefault="00C7266C" w:rsidP="00D403F5">
            <w:pPr>
              <w:jc w:val="center"/>
              <w:rPr>
                <w:rFonts w:ascii="Arial" w:hAnsi="Arial" w:cs="Arial"/>
                <w:b/>
                <w:sz w:val="18"/>
                <w:szCs w:val="18"/>
              </w:rPr>
            </w:pPr>
            <w:r w:rsidRPr="00D403F5">
              <w:rPr>
                <w:rFonts w:ascii="Arial" w:hAnsi="Arial" w:cs="Arial"/>
                <w:b/>
                <w:sz w:val="18"/>
                <w:szCs w:val="18"/>
              </w:rPr>
              <w:t>Status September 2020</w:t>
            </w:r>
          </w:p>
        </w:tc>
      </w:tr>
      <w:tr w:rsidR="00C7266C" w:rsidRPr="00D403F5" w14:paraId="521516EA" w14:textId="77777777" w:rsidTr="00C7266C">
        <w:tc>
          <w:tcPr>
            <w:tcW w:w="1615" w:type="dxa"/>
          </w:tcPr>
          <w:p w14:paraId="610C75BB"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1</w:t>
            </w:r>
          </w:p>
        </w:tc>
        <w:tc>
          <w:tcPr>
            <w:tcW w:w="3596" w:type="dxa"/>
          </w:tcPr>
          <w:p w14:paraId="360D61BF"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Reviewing Chapter 1.3. Diseases listed by the OIE to decide if work should be initiated to either assess new diseases for listing or to de-list diseases </w:t>
            </w:r>
          </w:p>
        </w:tc>
        <w:tc>
          <w:tcPr>
            <w:tcW w:w="4253" w:type="dxa"/>
            <w:vAlign w:val="center"/>
          </w:tcPr>
          <w:p w14:paraId="3A6BBBEC"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Commission to review at all meetings </w:t>
            </w:r>
          </w:p>
        </w:tc>
      </w:tr>
      <w:tr w:rsidR="00C7266C" w:rsidRPr="00D403F5" w14:paraId="11A95C53" w14:textId="77777777" w:rsidTr="00C7266C">
        <w:tc>
          <w:tcPr>
            <w:tcW w:w="1615" w:type="dxa"/>
          </w:tcPr>
          <w:p w14:paraId="0E1CE21B" w14:textId="77777777" w:rsidR="00C7266C" w:rsidRPr="00D403F5" w:rsidRDefault="00C7266C" w:rsidP="00D403F5">
            <w:pPr>
              <w:ind w:right="113"/>
              <w:rPr>
                <w:rFonts w:ascii="Arial" w:hAnsi="Arial" w:cs="Arial"/>
                <w:b/>
                <w:bCs/>
                <w:sz w:val="18"/>
                <w:szCs w:val="18"/>
              </w:rPr>
            </w:pPr>
            <w:r w:rsidRPr="00D403F5">
              <w:rPr>
                <w:rFonts w:ascii="Arial" w:hAnsi="Arial" w:cs="Arial"/>
                <w:b/>
                <w:bCs/>
                <w:sz w:val="18"/>
                <w:szCs w:val="18"/>
              </w:rPr>
              <w:t xml:space="preserve">Glossary, Sections 1 and 8-11 </w:t>
            </w:r>
          </w:p>
        </w:tc>
        <w:tc>
          <w:tcPr>
            <w:tcW w:w="3596" w:type="dxa"/>
          </w:tcPr>
          <w:p w14:paraId="051AEA26"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Explore improvements to the standards of the </w:t>
            </w:r>
            <w:r w:rsidRPr="00D403F5">
              <w:rPr>
                <w:rFonts w:ascii="Arial" w:hAnsi="Arial" w:cs="Arial"/>
                <w:i/>
                <w:iCs/>
                <w:sz w:val="18"/>
                <w:szCs w:val="18"/>
              </w:rPr>
              <w:t>Aquatic Code</w:t>
            </w:r>
            <w:r w:rsidRPr="00D403F5">
              <w:rPr>
                <w:rFonts w:ascii="Arial" w:hAnsi="Arial" w:cs="Arial"/>
                <w:sz w:val="18"/>
                <w:szCs w:val="18"/>
              </w:rPr>
              <w:t xml:space="preserve"> for demonstration of freedom from OIE listed diseases. These standards are provided through several interacting parts of the Aquatic Code, for example: Articles X.X.4. (free country) and X.X.5. (free zone or compartment) of each disease-specific chapter (except Infection with ISAV, for which numbering differs); Chapter 1.4. on Aquatic animal health surveillance; and relevant definitions in the glossary (e.g. basic biosecurity conditions and early detection system)</w:t>
            </w:r>
          </w:p>
        </w:tc>
        <w:tc>
          <w:tcPr>
            <w:tcW w:w="4253" w:type="dxa"/>
          </w:tcPr>
          <w:p w14:paraId="74955A17"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September 2018 – Discussion paper on approaches for determining periods required to demonstrate disease freedom first circulated for Member comments. </w:t>
            </w:r>
          </w:p>
          <w:p w14:paraId="20AE1D97"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September 2019 – The discussion paper to be revised by following consideration of Member comments and provided for further comment.</w:t>
            </w:r>
          </w:p>
          <w:p w14:paraId="52B1FFA6"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February 2020 – Commission to consider revised articles </w:t>
            </w:r>
            <w:r w:rsidRPr="00D403F5">
              <w:rPr>
                <w:rFonts w:ascii="Arial" w:hAnsi="Arial" w:cs="Arial"/>
                <w:sz w:val="18"/>
                <w:szCs w:val="18"/>
              </w:rPr>
              <w:t>of disease-specific chapters and revised structure for Chapter 1.4.</w:t>
            </w:r>
          </w:p>
        </w:tc>
      </w:tr>
      <w:tr w:rsidR="00C7266C" w:rsidRPr="00D403F5" w14:paraId="2F4F7C4A" w14:textId="77777777" w:rsidTr="00C7266C">
        <w:tc>
          <w:tcPr>
            <w:tcW w:w="1615" w:type="dxa"/>
          </w:tcPr>
          <w:p w14:paraId="2947878A"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4. Disease prevention and Control</w:t>
            </w:r>
          </w:p>
        </w:tc>
        <w:tc>
          <w:tcPr>
            <w:tcW w:w="3596" w:type="dxa"/>
          </w:tcPr>
          <w:p w14:paraId="38277321"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Finalising new chapter on Biosecurity for Aquaculture Establishments (Chapter 4.X.)</w:t>
            </w:r>
          </w:p>
        </w:tc>
        <w:tc>
          <w:tcPr>
            <w:tcW w:w="4253" w:type="dxa"/>
            <w:vAlign w:val="center"/>
          </w:tcPr>
          <w:p w14:paraId="5C788317"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September 2019 – The draft chapter circulated for Member Comments for the 3</w:t>
            </w:r>
            <w:r w:rsidRPr="00D403F5">
              <w:rPr>
                <w:rFonts w:ascii="Arial" w:hAnsi="Arial" w:cs="Arial"/>
                <w:iCs/>
                <w:sz w:val="18"/>
                <w:szCs w:val="18"/>
                <w:vertAlign w:val="superscript"/>
              </w:rPr>
              <w:t>rd</w:t>
            </w:r>
            <w:r w:rsidRPr="00D403F5">
              <w:rPr>
                <w:rFonts w:ascii="Arial" w:hAnsi="Arial" w:cs="Arial"/>
                <w:iCs/>
                <w:sz w:val="18"/>
                <w:szCs w:val="18"/>
              </w:rPr>
              <w:t xml:space="preserve"> time.</w:t>
            </w:r>
          </w:p>
          <w:p w14:paraId="1649FBD9"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February 2020 – expected to be proposed for adoption in May 2020.</w:t>
            </w:r>
          </w:p>
        </w:tc>
      </w:tr>
      <w:tr w:rsidR="00C7266C" w:rsidRPr="00D403F5" w14:paraId="6C03FE83" w14:textId="77777777" w:rsidTr="00C7266C">
        <w:tc>
          <w:tcPr>
            <w:tcW w:w="1615" w:type="dxa"/>
          </w:tcPr>
          <w:p w14:paraId="175FEF2A" w14:textId="77777777" w:rsidR="00C7266C" w:rsidRPr="00D403F5" w:rsidRDefault="00C7266C" w:rsidP="00D403F5">
            <w:pPr>
              <w:ind w:left="142" w:right="113"/>
              <w:rPr>
                <w:rFonts w:ascii="Arial" w:hAnsi="Arial" w:cs="Arial"/>
                <w:b/>
                <w:sz w:val="18"/>
                <w:szCs w:val="18"/>
              </w:rPr>
            </w:pPr>
          </w:p>
        </w:tc>
        <w:tc>
          <w:tcPr>
            <w:tcW w:w="3596" w:type="dxa"/>
          </w:tcPr>
          <w:p w14:paraId="5666CE49"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Draft new chapters on emergency disease preparedness (Chapter 4.X.) and on disease outbreak management (Chapter 4.X.)</w:t>
            </w:r>
          </w:p>
        </w:tc>
        <w:tc>
          <w:tcPr>
            <w:tcW w:w="4253" w:type="dxa"/>
          </w:tcPr>
          <w:p w14:paraId="4104B0EB" w14:textId="77777777" w:rsidR="00C7266C" w:rsidRPr="00D403F5" w:rsidRDefault="00C7266C" w:rsidP="00D403F5">
            <w:pPr>
              <w:ind w:right="113"/>
              <w:jc w:val="both"/>
              <w:rPr>
                <w:rFonts w:cstheme="minorHAnsi"/>
                <w:sz w:val="18"/>
                <w:szCs w:val="18"/>
                <w:lang w:val="en-IE"/>
              </w:rPr>
            </w:pPr>
            <w:r w:rsidRPr="00D403F5">
              <w:rPr>
                <w:rFonts w:ascii="Arial" w:hAnsi="Arial" w:cs="Arial"/>
                <w:sz w:val="18"/>
                <w:szCs w:val="18"/>
              </w:rPr>
              <w:t xml:space="preserve">February 2020 </w:t>
            </w:r>
            <w:r w:rsidRPr="00D403F5">
              <w:rPr>
                <w:rFonts w:ascii="Arial" w:hAnsi="Arial" w:cs="Arial"/>
                <w:iCs/>
                <w:sz w:val="18"/>
                <w:szCs w:val="18"/>
              </w:rPr>
              <w:t xml:space="preserve">– </w:t>
            </w:r>
            <w:r w:rsidRPr="00D403F5">
              <w:rPr>
                <w:rFonts w:ascii="Arial" w:hAnsi="Arial" w:cs="Arial"/>
                <w:sz w:val="18"/>
                <w:szCs w:val="18"/>
              </w:rPr>
              <w:t xml:space="preserve">Secretariat and Commission to consider scoping documents on the structure and content of these chapters. </w:t>
            </w:r>
          </w:p>
        </w:tc>
      </w:tr>
      <w:tr w:rsidR="00C7266C" w:rsidRPr="00D403F5" w14:paraId="4F3A9C5F" w14:textId="77777777" w:rsidTr="00C7266C">
        <w:tc>
          <w:tcPr>
            <w:tcW w:w="1615" w:type="dxa"/>
          </w:tcPr>
          <w:p w14:paraId="7047CAF1" w14:textId="77777777" w:rsidR="00C7266C" w:rsidRPr="00D403F5" w:rsidRDefault="00C7266C" w:rsidP="00D403F5">
            <w:pPr>
              <w:ind w:left="142" w:right="113"/>
              <w:rPr>
                <w:rFonts w:ascii="Arial" w:hAnsi="Arial" w:cs="Arial"/>
                <w:b/>
                <w:sz w:val="18"/>
                <w:szCs w:val="18"/>
              </w:rPr>
            </w:pPr>
          </w:p>
        </w:tc>
        <w:tc>
          <w:tcPr>
            <w:tcW w:w="3596" w:type="dxa"/>
          </w:tcPr>
          <w:p w14:paraId="0D417A36" w14:textId="77777777" w:rsidR="00C7266C" w:rsidRPr="00D403F5" w:rsidRDefault="00C7266C" w:rsidP="00D403F5">
            <w:pPr>
              <w:ind w:left="113" w:right="113"/>
              <w:jc w:val="both"/>
              <w:rPr>
                <w:rFonts w:ascii="Arial" w:hAnsi="Arial" w:cs="Arial"/>
                <w:sz w:val="18"/>
                <w:szCs w:val="18"/>
              </w:rPr>
            </w:pPr>
          </w:p>
        </w:tc>
        <w:tc>
          <w:tcPr>
            <w:tcW w:w="4253" w:type="dxa"/>
          </w:tcPr>
          <w:p w14:paraId="23FA2A6F" w14:textId="77777777" w:rsidR="00C7266C" w:rsidRPr="00D403F5" w:rsidRDefault="00C7266C" w:rsidP="00D403F5">
            <w:pPr>
              <w:ind w:right="113"/>
              <w:jc w:val="both"/>
              <w:rPr>
                <w:rFonts w:ascii="Arial" w:hAnsi="Arial" w:cs="Arial"/>
                <w:sz w:val="18"/>
                <w:szCs w:val="18"/>
              </w:rPr>
            </w:pPr>
          </w:p>
        </w:tc>
      </w:tr>
      <w:tr w:rsidR="00C7266C" w:rsidRPr="00D403F5" w14:paraId="0EB10993" w14:textId="77777777" w:rsidTr="00C7266C">
        <w:tc>
          <w:tcPr>
            <w:tcW w:w="1615" w:type="dxa"/>
          </w:tcPr>
          <w:p w14:paraId="168DBD42" w14:textId="77777777" w:rsidR="00C7266C" w:rsidRPr="00D403F5" w:rsidRDefault="00C7266C" w:rsidP="00D403F5">
            <w:pPr>
              <w:ind w:left="142" w:right="113"/>
              <w:rPr>
                <w:rFonts w:ascii="Arial" w:hAnsi="Arial" w:cs="Arial"/>
                <w:b/>
                <w:sz w:val="18"/>
                <w:szCs w:val="18"/>
              </w:rPr>
            </w:pPr>
          </w:p>
        </w:tc>
        <w:tc>
          <w:tcPr>
            <w:tcW w:w="3596" w:type="dxa"/>
          </w:tcPr>
          <w:p w14:paraId="56A25129"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Revision of Chapters 4.2., 4.7. and 4.8. for alignment with Chapter 4.X. Biosecurity for Aquaculture Establishments.</w:t>
            </w:r>
          </w:p>
        </w:tc>
        <w:tc>
          <w:tcPr>
            <w:tcW w:w="4253" w:type="dxa"/>
          </w:tcPr>
          <w:p w14:paraId="2C1076F9" w14:textId="77777777" w:rsidR="00C7266C" w:rsidRPr="00D403F5" w:rsidRDefault="00C7266C" w:rsidP="00D403F5">
            <w:pPr>
              <w:ind w:right="113"/>
              <w:jc w:val="both"/>
              <w:rPr>
                <w:rFonts w:ascii="Arial" w:hAnsi="Arial" w:cs="Arial"/>
                <w:sz w:val="18"/>
                <w:szCs w:val="18"/>
              </w:rPr>
            </w:pPr>
            <w:r w:rsidRPr="00D403F5">
              <w:rPr>
                <w:rFonts w:ascii="Arial" w:hAnsi="Arial" w:cs="Arial"/>
                <w:sz w:val="18"/>
                <w:szCs w:val="18"/>
              </w:rPr>
              <w:t xml:space="preserve">September 2020 </w:t>
            </w:r>
            <w:r w:rsidRPr="00D403F5">
              <w:rPr>
                <w:rFonts w:ascii="Arial" w:hAnsi="Arial" w:cs="Arial"/>
                <w:iCs/>
                <w:sz w:val="18"/>
                <w:szCs w:val="18"/>
              </w:rPr>
              <w:t xml:space="preserve">– Necessary revisions to be considered </w:t>
            </w:r>
            <w:r w:rsidRPr="00D403F5">
              <w:rPr>
                <w:rFonts w:ascii="Arial" w:hAnsi="Arial" w:cs="Arial"/>
                <w:sz w:val="18"/>
                <w:szCs w:val="18"/>
              </w:rPr>
              <w:t>following adoption of Chapter 4.X. on Biosecurity for Aquaculture Establishments.</w:t>
            </w:r>
          </w:p>
        </w:tc>
      </w:tr>
      <w:tr w:rsidR="00C7266C" w:rsidRPr="00D403F5" w14:paraId="1960F605" w14:textId="77777777" w:rsidTr="00C7266C">
        <w:tc>
          <w:tcPr>
            <w:tcW w:w="1615" w:type="dxa"/>
          </w:tcPr>
          <w:p w14:paraId="38C8FB15" w14:textId="77777777" w:rsidR="00C7266C" w:rsidRPr="00D403F5" w:rsidRDefault="00C7266C" w:rsidP="00D403F5">
            <w:pPr>
              <w:ind w:left="142" w:right="113"/>
              <w:rPr>
                <w:rFonts w:ascii="Arial" w:hAnsi="Arial" w:cs="Arial"/>
                <w:b/>
                <w:sz w:val="18"/>
                <w:szCs w:val="18"/>
              </w:rPr>
            </w:pPr>
          </w:p>
        </w:tc>
        <w:tc>
          <w:tcPr>
            <w:tcW w:w="3596" w:type="dxa"/>
          </w:tcPr>
          <w:p w14:paraId="115534B1"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Draft new chapter on application of zoning </w:t>
            </w:r>
          </w:p>
        </w:tc>
        <w:tc>
          <w:tcPr>
            <w:tcW w:w="4253" w:type="dxa"/>
          </w:tcPr>
          <w:p w14:paraId="0CD31889" w14:textId="77777777" w:rsidR="00C7266C" w:rsidRPr="00D403F5" w:rsidRDefault="00C7266C" w:rsidP="00D403F5">
            <w:pPr>
              <w:ind w:right="113"/>
              <w:jc w:val="both"/>
              <w:rPr>
                <w:rFonts w:ascii="Arial" w:hAnsi="Arial" w:cs="Arial"/>
                <w:sz w:val="18"/>
                <w:szCs w:val="18"/>
              </w:rPr>
            </w:pPr>
            <w:r w:rsidRPr="00D403F5">
              <w:rPr>
                <w:rFonts w:ascii="Arial" w:hAnsi="Arial" w:cs="Arial"/>
                <w:sz w:val="18"/>
                <w:szCs w:val="18"/>
              </w:rPr>
              <w:t xml:space="preserve">Yet to be prioritised </w:t>
            </w:r>
          </w:p>
        </w:tc>
      </w:tr>
      <w:tr w:rsidR="00C7266C" w:rsidRPr="00D403F5" w14:paraId="3EF85EDC" w14:textId="77777777" w:rsidTr="00C7266C">
        <w:tc>
          <w:tcPr>
            <w:tcW w:w="1615" w:type="dxa"/>
          </w:tcPr>
          <w:p w14:paraId="37CAE4C6"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5. Trade measures</w:t>
            </w:r>
          </w:p>
        </w:tc>
        <w:tc>
          <w:tcPr>
            <w:tcW w:w="3596" w:type="dxa"/>
          </w:tcPr>
          <w:p w14:paraId="7DB75A4A"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Draft new chapter on ornamental aquatic animals </w:t>
            </w:r>
          </w:p>
        </w:tc>
        <w:tc>
          <w:tcPr>
            <w:tcW w:w="4253" w:type="dxa"/>
          </w:tcPr>
          <w:p w14:paraId="7E0FCB54"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September 2020 – Commission to consider scoping document </w:t>
            </w:r>
            <w:r w:rsidRPr="00D403F5">
              <w:rPr>
                <w:rFonts w:ascii="Arial" w:hAnsi="Arial" w:cs="Arial"/>
                <w:sz w:val="18"/>
                <w:szCs w:val="18"/>
              </w:rPr>
              <w:t>on the structure and content of this chapter</w:t>
            </w:r>
          </w:p>
        </w:tc>
      </w:tr>
      <w:tr w:rsidR="00C7266C" w:rsidRPr="00D403F5" w14:paraId="72824522" w14:textId="77777777" w:rsidTr="00C7266C">
        <w:tc>
          <w:tcPr>
            <w:tcW w:w="1615" w:type="dxa"/>
          </w:tcPr>
          <w:p w14:paraId="595BF5D0" w14:textId="77777777" w:rsidR="00C7266C" w:rsidRPr="00D403F5" w:rsidRDefault="00C7266C" w:rsidP="00D403F5">
            <w:pPr>
              <w:ind w:left="142" w:right="113"/>
              <w:rPr>
                <w:rFonts w:ascii="Arial" w:hAnsi="Arial" w:cs="Arial"/>
                <w:b/>
                <w:sz w:val="18"/>
                <w:szCs w:val="18"/>
              </w:rPr>
            </w:pPr>
          </w:p>
        </w:tc>
        <w:tc>
          <w:tcPr>
            <w:tcW w:w="3596" w:type="dxa"/>
          </w:tcPr>
          <w:p w14:paraId="37F208E0"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Draft new standards on trade in genetic material</w:t>
            </w:r>
          </w:p>
        </w:tc>
        <w:tc>
          <w:tcPr>
            <w:tcW w:w="4253" w:type="dxa"/>
          </w:tcPr>
          <w:p w14:paraId="5B4B4AD2"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February 2021 – Commission to consider scoping document </w:t>
            </w:r>
            <w:r w:rsidRPr="00D403F5">
              <w:rPr>
                <w:rFonts w:ascii="Arial" w:hAnsi="Arial" w:cs="Arial"/>
                <w:sz w:val="18"/>
                <w:szCs w:val="18"/>
              </w:rPr>
              <w:t>on the structure and content of this chapter</w:t>
            </w:r>
          </w:p>
        </w:tc>
      </w:tr>
      <w:tr w:rsidR="00C7266C" w:rsidRPr="00D403F5" w14:paraId="7B1F874A" w14:textId="77777777" w:rsidTr="00C7266C">
        <w:tc>
          <w:tcPr>
            <w:tcW w:w="1615" w:type="dxa"/>
          </w:tcPr>
          <w:p w14:paraId="0AA32A4F"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6. Antimicrobial use in Aquatic Animals</w:t>
            </w:r>
          </w:p>
        </w:tc>
        <w:tc>
          <w:tcPr>
            <w:tcW w:w="3596" w:type="dxa"/>
          </w:tcPr>
          <w:p w14:paraId="309ABD0A"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Consider the next steps of the work on antimicrobial use in aquatic animals in light of the new OIE work plan </w:t>
            </w:r>
          </w:p>
        </w:tc>
        <w:tc>
          <w:tcPr>
            <w:tcW w:w="4253" w:type="dxa"/>
          </w:tcPr>
          <w:p w14:paraId="3B530625"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February 2020 – For Commission discussion  </w:t>
            </w:r>
          </w:p>
        </w:tc>
      </w:tr>
      <w:tr w:rsidR="00C7266C" w:rsidRPr="00D403F5" w14:paraId="01D6E972" w14:textId="77777777" w:rsidTr="00C7266C">
        <w:tc>
          <w:tcPr>
            <w:tcW w:w="1615" w:type="dxa"/>
          </w:tcPr>
          <w:p w14:paraId="03961786"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8. Diseases of Amphibians</w:t>
            </w:r>
          </w:p>
        </w:tc>
        <w:tc>
          <w:tcPr>
            <w:tcW w:w="3596" w:type="dxa"/>
          </w:tcPr>
          <w:p w14:paraId="301129E6"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Update list of susceptible species in Article X.X.2 of disease-specific chapters</w:t>
            </w:r>
          </w:p>
        </w:tc>
        <w:tc>
          <w:tcPr>
            <w:tcW w:w="4253" w:type="dxa"/>
          </w:tcPr>
          <w:p w14:paraId="1D813B91" w14:textId="77777777" w:rsidR="00C7266C" w:rsidRPr="00D403F5" w:rsidRDefault="00C7266C" w:rsidP="00D403F5">
            <w:pPr>
              <w:jc w:val="both"/>
              <w:rPr>
                <w:rFonts w:ascii="Arial" w:hAnsi="Arial" w:cs="Arial"/>
                <w:iCs/>
                <w:sz w:val="18"/>
                <w:szCs w:val="18"/>
              </w:rPr>
            </w:pPr>
            <w:r w:rsidRPr="00D403F5">
              <w:rPr>
                <w:rFonts w:ascii="Arial" w:hAnsi="Arial" w:cs="Arial"/>
                <w:sz w:val="18"/>
                <w:szCs w:val="18"/>
              </w:rPr>
              <w:t>Yet to be prioritised</w:t>
            </w:r>
          </w:p>
        </w:tc>
      </w:tr>
      <w:tr w:rsidR="00C7266C" w:rsidRPr="00D403F5" w14:paraId="3695FD5A" w14:textId="77777777" w:rsidTr="00C7266C">
        <w:tc>
          <w:tcPr>
            <w:tcW w:w="1615" w:type="dxa"/>
          </w:tcPr>
          <w:p w14:paraId="2CC65DA2"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9. Diseases of Crustaceans</w:t>
            </w:r>
          </w:p>
        </w:tc>
        <w:tc>
          <w:tcPr>
            <w:tcW w:w="3596" w:type="dxa"/>
          </w:tcPr>
          <w:p w14:paraId="5102D191"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Update list of susceptible species in Article 9.8.2. of Chapter 9.8. Infection with white spot syndrome virus</w:t>
            </w:r>
          </w:p>
        </w:tc>
        <w:tc>
          <w:tcPr>
            <w:tcW w:w="4253" w:type="dxa"/>
          </w:tcPr>
          <w:p w14:paraId="742E7D9E" w14:textId="77777777" w:rsidR="00C7266C" w:rsidRPr="00D403F5" w:rsidRDefault="00C7266C" w:rsidP="00D403F5">
            <w:pPr>
              <w:jc w:val="both"/>
              <w:rPr>
                <w:rFonts w:ascii="Arial" w:hAnsi="Arial" w:cs="Arial"/>
                <w:sz w:val="18"/>
                <w:szCs w:val="18"/>
              </w:rPr>
            </w:pPr>
            <w:r w:rsidRPr="00D403F5">
              <w:rPr>
                <w:rFonts w:ascii="Arial" w:hAnsi="Arial" w:cs="Arial"/>
                <w:sz w:val="18"/>
                <w:szCs w:val="18"/>
              </w:rPr>
              <w:t>Yet to be prioritised</w:t>
            </w:r>
          </w:p>
        </w:tc>
      </w:tr>
    </w:tbl>
    <w:p w14:paraId="10D12770" w14:textId="77777777" w:rsidR="001041C6" w:rsidRDefault="001041C6" w:rsidP="001041C6">
      <w:pPr>
        <w:pStyle w:val="2"/>
        <w:tabs>
          <w:tab w:val="clear" w:pos="360"/>
        </w:tabs>
        <w:spacing w:after="480"/>
        <w:ind w:left="0" w:firstLine="0"/>
        <w:rPr>
          <w:sz w:val="18"/>
          <w:szCs w:val="18"/>
        </w:rPr>
      </w:pPr>
    </w:p>
    <w:p w14:paraId="0CC88C56" w14:textId="77777777" w:rsidR="001041C6" w:rsidRPr="001041C6" w:rsidRDefault="001041C6" w:rsidP="001041C6"/>
    <w:p w14:paraId="33252F33" w14:textId="77777777" w:rsidR="00C7266C" w:rsidRPr="00D403F5" w:rsidRDefault="00C7266C" w:rsidP="001041C6">
      <w:pPr>
        <w:pStyle w:val="2"/>
        <w:tabs>
          <w:tab w:val="clear" w:pos="360"/>
        </w:tabs>
        <w:spacing w:after="480"/>
        <w:ind w:left="0" w:firstLine="0"/>
        <w:rPr>
          <w:b w:val="0"/>
          <w:sz w:val="18"/>
          <w:szCs w:val="18"/>
        </w:rPr>
      </w:pPr>
      <w:r w:rsidRPr="00D403F5">
        <w:rPr>
          <w:sz w:val="18"/>
          <w:szCs w:val="18"/>
        </w:rPr>
        <w:br w:type="page"/>
      </w:r>
      <w:r w:rsidRPr="00D403F5">
        <w:rPr>
          <w:rFonts w:ascii="Times New Roman" w:hAnsi="Times New Roman"/>
          <w:b w:val="0"/>
          <w:sz w:val="18"/>
          <w:szCs w:val="18"/>
          <w:u w:val="single"/>
        </w:rPr>
        <w:t>Annex 17</w:t>
      </w:r>
      <w:r w:rsidRPr="00D403F5">
        <w:rPr>
          <w:rFonts w:ascii="Times New Roman" w:hAnsi="Times New Roman"/>
          <w:b w:val="0"/>
          <w:sz w:val="18"/>
          <w:szCs w:val="18"/>
        </w:rPr>
        <w:t xml:space="preserve"> (contd)</w:t>
      </w:r>
    </w:p>
    <w:tbl>
      <w:tblPr>
        <w:tblStyle w:val="af2"/>
        <w:tblW w:w="9464" w:type="dxa"/>
        <w:tblLook w:val="04A0" w:firstRow="1" w:lastRow="0" w:firstColumn="1" w:lastColumn="0" w:noHBand="0" w:noVBand="1"/>
      </w:tblPr>
      <w:tblGrid>
        <w:gridCol w:w="1615"/>
        <w:gridCol w:w="3596"/>
        <w:gridCol w:w="4253"/>
      </w:tblGrid>
      <w:tr w:rsidR="00C7266C" w:rsidRPr="00D403F5" w14:paraId="46F5E61B" w14:textId="77777777" w:rsidTr="00C7266C">
        <w:tc>
          <w:tcPr>
            <w:tcW w:w="1615" w:type="dxa"/>
          </w:tcPr>
          <w:p w14:paraId="349098A3"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9. Diseases of Crustaceans</w:t>
            </w:r>
          </w:p>
        </w:tc>
        <w:tc>
          <w:tcPr>
            <w:tcW w:w="3596" w:type="dxa"/>
          </w:tcPr>
          <w:p w14:paraId="2A3C6847"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Update list of susceptible species in Article 9.2.2. of Chapter 9.2. Infection with </w:t>
            </w:r>
            <w:r w:rsidRPr="00D403F5">
              <w:rPr>
                <w:rFonts w:ascii="Arial" w:hAnsi="Arial" w:cs="Arial"/>
                <w:i/>
                <w:iCs/>
                <w:sz w:val="18"/>
                <w:szCs w:val="18"/>
              </w:rPr>
              <w:t>Aphanomyces astaci</w:t>
            </w:r>
            <w:r w:rsidRPr="00D403F5">
              <w:rPr>
                <w:rFonts w:ascii="Arial" w:hAnsi="Arial" w:cs="Arial"/>
                <w:sz w:val="18"/>
                <w:szCs w:val="18"/>
              </w:rPr>
              <w:t xml:space="preserve"> (Crayfish plague)</w:t>
            </w:r>
          </w:p>
        </w:tc>
        <w:tc>
          <w:tcPr>
            <w:tcW w:w="4253" w:type="dxa"/>
          </w:tcPr>
          <w:p w14:paraId="6A793512" w14:textId="77777777" w:rsidR="00C7266C" w:rsidRPr="00D403F5" w:rsidRDefault="00C7266C" w:rsidP="00D403F5">
            <w:pPr>
              <w:jc w:val="both"/>
              <w:rPr>
                <w:rFonts w:ascii="Arial" w:hAnsi="Arial" w:cs="Arial"/>
                <w:i/>
                <w:sz w:val="18"/>
                <w:szCs w:val="18"/>
              </w:rPr>
            </w:pPr>
            <w:r w:rsidRPr="00D403F5">
              <w:rPr>
                <w:rFonts w:ascii="Arial" w:hAnsi="Arial" w:cs="Arial"/>
                <w:sz w:val="18"/>
                <w:szCs w:val="18"/>
              </w:rPr>
              <w:t>Yet to be prioritised</w:t>
            </w:r>
          </w:p>
        </w:tc>
      </w:tr>
      <w:tr w:rsidR="00C7266C" w:rsidRPr="00D403F5" w14:paraId="7498A1A8" w14:textId="77777777" w:rsidTr="00C7266C">
        <w:tc>
          <w:tcPr>
            <w:tcW w:w="1615" w:type="dxa"/>
          </w:tcPr>
          <w:p w14:paraId="6289693B"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10. Diseases of Fish</w:t>
            </w:r>
          </w:p>
        </w:tc>
        <w:tc>
          <w:tcPr>
            <w:tcW w:w="3596" w:type="dxa"/>
          </w:tcPr>
          <w:p w14:paraId="4C96EAF4" w14:textId="77777777" w:rsidR="00C7266C" w:rsidRPr="00D403F5" w:rsidRDefault="00C7266C" w:rsidP="00D403F5">
            <w:pPr>
              <w:ind w:left="113" w:right="113"/>
              <w:jc w:val="both"/>
              <w:rPr>
                <w:rFonts w:ascii="Arial" w:hAnsi="Arial" w:cs="Arial"/>
                <w:sz w:val="18"/>
                <w:szCs w:val="18"/>
                <w:lang w:val="en-IE"/>
              </w:rPr>
            </w:pPr>
            <w:r w:rsidRPr="00D403F5">
              <w:rPr>
                <w:rFonts w:ascii="Arial" w:hAnsi="Arial" w:cs="Arial"/>
                <w:sz w:val="18"/>
                <w:szCs w:val="18"/>
              </w:rPr>
              <w:t xml:space="preserve">Update list of susceptible species in </w:t>
            </w:r>
            <w:r w:rsidRPr="00D403F5">
              <w:rPr>
                <w:rFonts w:ascii="Arial" w:hAnsi="Arial" w:cs="Arial"/>
                <w:sz w:val="18"/>
                <w:szCs w:val="18"/>
                <w:lang w:val="en-IE"/>
              </w:rPr>
              <w:t>Article 10.10.2. of Chapter 10.10. Infection with viral haemorrhagic septicaemia virus</w:t>
            </w:r>
          </w:p>
        </w:tc>
        <w:tc>
          <w:tcPr>
            <w:tcW w:w="4253" w:type="dxa"/>
          </w:tcPr>
          <w:p w14:paraId="54C06968"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September 2020 – amended Article circulated for Member comments</w:t>
            </w:r>
          </w:p>
        </w:tc>
      </w:tr>
      <w:tr w:rsidR="00C7266C" w:rsidRPr="00D403F5" w14:paraId="0163FFB7" w14:textId="77777777" w:rsidTr="00C7266C">
        <w:tc>
          <w:tcPr>
            <w:tcW w:w="1615" w:type="dxa"/>
          </w:tcPr>
          <w:p w14:paraId="1E7E92EF" w14:textId="77777777" w:rsidR="00C7266C" w:rsidRPr="00D403F5" w:rsidRDefault="00C7266C" w:rsidP="00D403F5">
            <w:pPr>
              <w:ind w:left="142" w:right="113"/>
              <w:rPr>
                <w:rFonts w:ascii="Arial" w:hAnsi="Arial" w:cs="Arial"/>
                <w:b/>
                <w:sz w:val="18"/>
                <w:szCs w:val="18"/>
              </w:rPr>
            </w:pPr>
          </w:p>
        </w:tc>
        <w:tc>
          <w:tcPr>
            <w:tcW w:w="3596" w:type="dxa"/>
          </w:tcPr>
          <w:p w14:paraId="78D799B0"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Update list of susceptible species in </w:t>
            </w:r>
            <w:r w:rsidRPr="00D403F5">
              <w:rPr>
                <w:rFonts w:ascii="Arial" w:hAnsi="Arial" w:cs="Arial"/>
                <w:sz w:val="18"/>
                <w:szCs w:val="18"/>
                <w:lang w:val="en-IE"/>
              </w:rPr>
              <w:t>Article 10.8.2. of Chapter 10.8. Infection with red sea bream iridovirus (and infectious Spleen and kidney Necrosis Virus (ISKNV)</w:t>
            </w:r>
          </w:p>
        </w:tc>
        <w:tc>
          <w:tcPr>
            <w:tcW w:w="4253" w:type="dxa"/>
          </w:tcPr>
          <w:p w14:paraId="022FDDFE"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Yet to be prioritised</w:t>
            </w:r>
          </w:p>
        </w:tc>
      </w:tr>
      <w:tr w:rsidR="00C7266C" w:rsidRPr="00D403F5" w14:paraId="30A2F500" w14:textId="77777777" w:rsidTr="00C7266C">
        <w:tc>
          <w:tcPr>
            <w:tcW w:w="1615" w:type="dxa"/>
          </w:tcPr>
          <w:p w14:paraId="7455C9ED" w14:textId="77777777" w:rsidR="00C7266C" w:rsidRPr="00D403F5" w:rsidRDefault="00C7266C" w:rsidP="00D403F5">
            <w:pPr>
              <w:ind w:left="142" w:right="113"/>
              <w:rPr>
                <w:rFonts w:ascii="Arial" w:hAnsi="Arial" w:cs="Arial"/>
                <w:b/>
                <w:sz w:val="18"/>
                <w:szCs w:val="18"/>
              </w:rPr>
            </w:pPr>
          </w:p>
        </w:tc>
        <w:tc>
          <w:tcPr>
            <w:tcW w:w="3596" w:type="dxa"/>
          </w:tcPr>
          <w:p w14:paraId="1A306DA6"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Update list of susceptible species in </w:t>
            </w:r>
            <w:r w:rsidRPr="00D403F5">
              <w:rPr>
                <w:rFonts w:ascii="Arial" w:hAnsi="Arial" w:cs="Arial"/>
                <w:sz w:val="18"/>
                <w:szCs w:val="18"/>
                <w:lang w:val="en-IE"/>
              </w:rPr>
              <w:t>Article 10.2.2. of Chapter 10.2.</w:t>
            </w:r>
            <w:r w:rsidRPr="00D403F5">
              <w:rPr>
                <w:sz w:val="18"/>
                <w:szCs w:val="18"/>
              </w:rPr>
              <w:t xml:space="preserve"> </w:t>
            </w:r>
            <w:r w:rsidRPr="00D403F5">
              <w:rPr>
                <w:rFonts w:ascii="Arial" w:hAnsi="Arial" w:cs="Arial"/>
                <w:sz w:val="18"/>
                <w:szCs w:val="18"/>
                <w:lang w:val="en-IE"/>
              </w:rPr>
              <w:t xml:space="preserve">Infection with </w:t>
            </w:r>
            <w:r w:rsidRPr="00D403F5">
              <w:rPr>
                <w:rFonts w:ascii="Arial" w:hAnsi="Arial" w:cs="Arial"/>
                <w:i/>
                <w:iCs/>
                <w:sz w:val="18"/>
                <w:szCs w:val="18"/>
                <w:lang w:val="en-IE"/>
              </w:rPr>
              <w:t>Aphanomyces invadans</w:t>
            </w:r>
            <w:r w:rsidRPr="00D403F5">
              <w:rPr>
                <w:rFonts w:ascii="Arial" w:hAnsi="Arial" w:cs="Arial"/>
                <w:sz w:val="18"/>
                <w:szCs w:val="18"/>
                <w:lang w:val="en-IE"/>
              </w:rPr>
              <w:t xml:space="preserve"> (Epizootic ulcerative syndrome)</w:t>
            </w:r>
          </w:p>
        </w:tc>
        <w:tc>
          <w:tcPr>
            <w:tcW w:w="4253" w:type="dxa"/>
          </w:tcPr>
          <w:p w14:paraId="4EEB36D2" w14:textId="77777777" w:rsidR="00C7266C" w:rsidRPr="00D403F5" w:rsidRDefault="00C7266C" w:rsidP="00D403F5">
            <w:pPr>
              <w:jc w:val="both"/>
              <w:rPr>
                <w:rFonts w:ascii="Arial" w:hAnsi="Arial" w:cs="Arial"/>
                <w:i/>
                <w:sz w:val="18"/>
                <w:szCs w:val="18"/>
              </w:rPr>
            </w:pPr>
            <w:r w:rsidRPr="00D403F5">
              <w:rPr>
                <w:rFonts w:ascii="Arial" w:hAnsi="Arial" w:cs="Arial"/>
                <w:iCs/>
                <w:sz w:val="18"/>
                <w:szCs w:val="18"/>
              </w:rPr>
              <w:t>Yet to be prioritised</w:t>
            </w:r>
          </w:p>
        </w:tc>
      </w:tr>
      <w:tr w:rsidR="00C7266C" w:rsidRPr="00D403F5" w14:paraId="5D53E76E" w14:textId="77777777" w:rsidTr="00C7266C">
        <w:tc>
          <w:tcPr>
            <w:tcW w:w="1615" w:type="dxa"/>
          </w:tcPr>
          <w:p w14:paraId="769DCB40"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11. Diseases of Molluscs</w:t>
            </w:r>
          </w:p>
        </w:tc>
        <w:tc>
          <w:tcPr>
            <w:tcW w:w="3596" w:type="dxa"/>
          </w:tcPr>
          <w:p w14:paraId="1E8B56AE"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Update list of susceptible species in Article X.X.2 of disease-specific chapters</w:t>
            </w:r>
          </w:p>
        </w:tc>
        <w:tc>
          <w:tcPr>
            <w:tcW w:w="4253" w:type="dxa"/>
          </w:tcPr>
          <w:p w14:paraId="6289116C"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An </w:t>
            </w:r>
            <w:r w:rsidRPr="00D403F5">
              <w:rPr>
                <w:rFonts w:ascii="Arial" w:hAnsi="Arial" w:cs="Arial"/>
                <w:i/>
                <w:sz w:val="18"/>
                <w:szCs w:val="18"/>
              </w:rPr>
              <w:t>ad hoc</w:t>
            </w:r>
            <w:r w:rsidRPr="00D403F5">
              <w:rPr>
                <w:rFonts w:ascii="Arial" w:hAnsi="Arial" w:cs="Arial"/>
                <w:iCs/>
                <w:sz w:val="18"/>
                <w:szCs w:val="18"/>
              </w:rPr>
              <w:t xml:space="preserve"> Group has been established and will have its first two meetings in December 2019 and January 2020. They will assess susceptible species for the different diseases in the following order:</w:t>
            </w:r>
          </w:p>
          <w:p w14:paraId="3F6E4FA0" w14:textId="77777777" w:rsidR="00C7266C" w:rsidRPr="00D403F5" w:rsidRDefault="00C7266C" w:rsidP="00D403F5">
            <w:pPr>
              <w:ind w:left="318" w:hanging="318"/>
              <w:jc w:val="both"/>
              <w:rPr>
                <w:rFonts w:ascii="Arial" w:hAnsi="Arial" w:cs="Arial"/>
                <w:i/>
                <w:sz w:val="18"/>
                <w:szCs w:val="18"/>
              </w:rPr>
            </w:pPr>
            <w:r w:rsidRPr="00D403F5">
              <w:rPr>
                <w:rFonts w:ascii="Arial" w:hAnsi="Arial" w:cs="Arial"/>
                <w:iCs/>
                <w:sz w:val="18"/>
                <w:szCs w:val="18"/>
              </w:rPr>
              <w:t>‒</w:t>
            </w:r>
            <w:r w:rsidRPr="00D403F5">
              <w:rPr>
                <w:rFonts w:ascii="Arial" w:hAnsi="Arial" w:cs="Arial"/>
                <w:iCs/>
                <w:sz w:val="18"/>
                <w:szCs w:val="18"/>
              </w:rPr>
              <w:tab/>
              <w:t xml:space="preserve">Infection with </w:t>
            </w:r>
            <w:r w:rsidRPr="00D403F5">
              <w:rPr>
                <w:rFonts w:ascii="Arial" w:hAnsi="Arial" w:cs="Arial"/>
                <w:i/>
                <w:sz w:val="18"/>
                <w:szCs w:val="18"/>
              </w:rPr>
              <w:t>Bonamia exitiosa</w:t>
            </w:r>
          </w:p>
          <w:p w14:paraId="05F17C7A" w14:textId="77777777" w:rsidR="00C7266C" w:rsidRPr="00D403F5" w:rsidRDefault="00C7266C" w:rsidP="00D403F5">
            <w:pPr>
              <w:ind w:left="318" w:hanging="318"/>
              <w:jc w:val="both"/>
              <w:rPr>
                <w:rFonts w:ascii="Arial" w:hAnsi="Arial" w:cs="Arial"/>
                <w:iCs/>
                <w:sz w:val="18"/>
                <w:szCs w:val="18"/>
              </w:rPr>
            </w:pPr>
            <w:r w:rsidRPr="00D403F5">
              <w:rPr>
                <w:rFonts w:ascii="Arial" w:hAnsi="Arial" w:cs="Arial"/>
                <w:iCs/>
                <w:sz w:val="18"/>
                <w:szCs w:val="18"/>
              </w:rPr>
              <w:t>‒</w:t>
            </w:r>
            <w:r w:rsidRPr="00D403F5">
              <w:rPr>
                <w:rFonts w:ascii="Arial" w:hAnsi="Arial" w:cs="Arial"/>
                <w:iCs/>
                <w:sz w:val="18"/>
                <w:szCs w:val="18"/>
              </w:rPr>
              <w:tab/>
              <w:t xml:space="preserve">Infection with </w:t>
            </w:r>
            <w:r w:rsidRPr="00D403F5">
              <w:rPr>
                <w:rFonts w:ascii="Arial" w:hAnsi="Arial" w:cs="Arial"/>
                <w:i/>
                <w:sz w:val="18"/>
                <w:szCs w:val="18"/>
              </w:rPr>
              <w:t>Bonamia ostreae</w:t>
            </w:r>
            <w:r w:rsidRPr="00D403F5">
              <w:rPr>
                <w:rFonts w:ascii="Arial" w:hAnsi="Arial" w:cs="Arial"/>
                <w:iCs/>
                <w:sz w:val="18"/>
                <w:szCs w:val="18"/>
              </w:rPr>
              <w:t xml:space="preserve"> </w:t>
            </w:r>
          </w:p>
          <w:p w14:paraId="1C411583" w14:textId="77777777" w:rsidR="00C7266C" w:rsidRPr="00D403F5" w:rsidRDefault="00C7266C" w:rsidP="00D403F5">
            <w:pPr>
              <w:ind w:left="318" w:hanging="318"/>
              <w:jc w:val="both"/>
              <w:rPr>
                <w:rFonts w:ascii="Arial" w:hAnsi="Arial" w:cs="Arial"/>
                <w:iCs/>
                <w:sz w:val="18"/>
                <w:szCs w:val="18"/>
              </w:rPr>
            </w:pPr>
            <w:r w:rsidRPr="00D403F5">
              <w:rPr>
                <w:rFonts w:ascii="Arial" w:hAnsi="Arial" w:cs="Arial"/>
                <w:iCs/>
                <w:sz w:val="18"/>
                <w:szCs w:val="18"/>
              </w:rPr>
              <w:t>‒</w:t>
            </w:r>
            <w:r w:rsidRPr="00D403F5">
              <w:rPr>
                <w:rFonts w:ascii="Arial" w:hAnsi="Arial" w:cs="Arial"/>
                <w:iCs/>
                <w:sz w:val="18"/>
                <w:szCs w:val="18"/>
              </w:rPr>
              <w:tab/>
              <w:t xml:space="preserve">Infection with abalone herpesvirus </w:t>
            </w:r>
          </w:p>
          <w:p w14:paraId="07E2F71E" w14:textId="77777777" w:rsidR="00C7266C" w:rsidRPr="00D403F5" w:rsidRDefault="00C7266C" w:rsidP="00D403F5">
            <w:pPr>
              <w:ind w:left="318" w:hanging="318"/>
              <w:jc w:val="both"/>
              <w:rPr>
                <w:rFonts w:ascii="Arial" w:hAnsi="Arial" w:cs="Arial"/>
                <w:iCs/>
                <w:sz w:val="18"/>
                <w:szCs w:val="18"/>
              </w:rPr>
            </w:pPr>
            <w:r w:rsidRPr="00D403F5">
              <w:rPr>
                <w:rFonts w:ascii="Arial" w:hAnsi="Arial" w:cs="Arial"/>
                <w:iCs/>
                <w:sz w:val="18"/>
                <w:szCs w:val="18"/>
              </w:rPr>
              <w:t>‒</w:t>
            </w:r>
            <w:r w:rsidRPr="00D403F5">
              <w:rPr>
                <w:rFonts w:ascii="Arial" w:hAnsi="Arial" w:cs="Arial"/>
                <w:iCs/>
                <w:sz w:val="18"/>
                <w:szCs w:val="18"/>
              </w:rPr>
              <w:tab/>
              <w:t xml:space="preserve">Infection with </w:t>
            </w:r>
            <w:r w:rsidRPr="00D403F5">
              <w:rPr>
                <w:rFonts w:ascii="Arial" w:hAnsi="Arial" w:cs="Arial"/>
                <w:i/>
                <w:sz w:val="18"/>
                <w:szCs w:val="18"/>
              </w:rPr>
              <w:t>Xenohaliotis californiensis</w:t>
            </w:r>
            <w:r w:rsidRPr="00D403F5">
              <w:rPr>
                <w:rFonts w:ascii="Arial" w:hAnsi="Arial" w:cs="Arial"/>
                <w:iCs/>
                <w:sz w:val="18"/>
                <w:szCs w:val="18"/>
              </w:rPr>
              <w:t xml:space="preserve"> </w:t>
            </w:r>
          </w:p>
          <w:p w14:paraId="292EFA0A" w14:textId="77777777" w:rsidR="00C7266C" w:rsidRPr="00D403F5" w:rsidRDefault="00C7266C" w:rsidP="00D403F5">
            <w:pPr>
              <w:ind w:left="318" w:hanging="318"/>
              <w:jc w:val="both"/>
              <w:rPr>
                <w:rFonts w:ascii="Arial" w:hAnsi="Arial" w:cs="Arial"/>
                <w:i/>
                <w:sz w:val="18"/>
                <w:szCs w:val="18"/>
              </w:rPr>
            </w:pPr>
            <w:r w:rsidRPr="00D403F5">
              <w:rPr>
                <w:rFonts w:ascii="Arial" w:hAnsi="Arial" w:cs="Arial"/>
                <w:iCs/>
                <w:sz w:val="18"/>
                <w:szCs w:val="18"/>
              </w:rPr>
              <w:t>‒</w:t>
            </w:r>
            <w:r w:rsidRPr="00D403F5">
              <w:rPr>
                <w:rFonts w:ascii="Arial" w:hAnsi="Arial" w:cs="Arial"/>
                <w:iCs/>
                <w:sz w:val="18"/>
                <w:szCs w:val="18"/>
              </w:rPr>
              <w:tab/>
              <w:t xml:space="preserve">Infection with </w:t>
            </w:r>
            <w:r w:rsidRPr="00D403F5">
              <w:rPr>
                <w:rFonts w:ascii="Arial" w:hAnsi="Arial" w:cs="Arial"/>
                <w:i/>
                <w:sz w:val="18"/>
                <w:szCs w:val="18"/>
              </w:rPr>
              <w:t>Marteilia refringens</w:t>
            </w:r>
          </w:p>
          <w:p w14:paraId="0A3B17B2" w14:textId="77777777" w:rsidR="00C7266C" w:rsidRPr="00D403F5" w:rsidRDefault="00C7266C" w:rsidP="00D403F5">
            <w:pPr>
              <w:ind w:left="318" w:hanging="318"/>
              <w:jc w:val="both"/>
              <w:rPr>
                <w:rFonts w:ascii="Arial" w:hAnsi="Arial" w:cs="Arial"/>
                <w:iCs/>
                <w:sz w:val="18"/>
                <w:szCs w:val="18"/>
              </w:rPr>
            </w:pPr>
            <w:r w:rsidRPr="00D403F5">
              <w:rPr>
                <w:rFonts w:ascii="Arial" w:hAnsi="Arial" w:cs="Arial"/>
                <w:iCs/>
                <w:sz w:val="18"/>
                <w:szCs w:val="18"/>
              </w:rPr>
              <w:t>‒</w:t>
            </w:r>
            <w:r w:rsidRPr="00D403F5">
              <w:rPr>
                <w:rFonts w:ascii="Arial" w:hAnsi="Arial" w:cs="Arial"/>
                <w:iCs/>
                <w:sz w:val="18"/>
                <w:szCs w:val="18"/>
              </w:rPr>
              <w:tab/>
              <w:t xml:space="preserve">Infection with </w:t>
            </w:r>
            <w:r w:rsidRPr="00D403F5">
              <w:rPr>
                <w:rFonts w:ascii="Arial" w:hAnsi="Arial" w:cs="Arial"/>
                <w:i/>
                <w:sz w:val="18"/>
                <w:szCs w:val="18"/>
              </w:rPr>
              <w:t>Perkinsus marinus</w:t>
            </w:r>
          </w:p>
          <w:p w14:paraId="1808B4C6" w14:textId="77777777" w:rsidR="00C7266C" w:rsidRPr="00D403F5" w:rsidRDefault="00C7266C" w:rsidP="00D403F5">
            <w:pPr>
              <w:ind w:left="318" w:hanging="318"/>
              <w:jc w:val="both"/>
              <w:rPr>
                <w:rFonts w:ascii="Arial" w:hAnsi="Arial" w:cs="Arial"/>
                <w:i/>
                <w:sz w:val="18"/>
                <w:szCs w:val="18"/>
              </w:rPr>
            </w:pPr>
            <w:r w:rsidRPr="00D403F5">
              <w:rPr>
                <w:rFonts w:ascii="Arial" w:hAnsi="Arial" w:cs="Arial"/>
                <w:iCs/>
                <w:sz w:val="18"/>
                <w:szCs w:val="18"/>
              </w:rPr>
              <w:t>‒</w:t>
            </w:r>
            <w:r w:rsidRPr="00D403F5">
              <w:rPr>
                <w:rFonts w:ascii="Arial" w:hAnsi="Arial" w:cs="Arial"/>
                <w:iCs/>
                <w:sz w:val="18"/>
                <w:szCs w:val="18"/>
              </w:rPr>
              <w:tab/>
              <w:t xml:space="preserve">Infection with </w:t>
            </w:r>
            <w:r w:rsidRPr="00D403F5">
              <w:rPr>
                <w:rFonts w:ascii="Arial" w:hAnsi="Arial" w:cs="Arial"/>
                <w:i/>
                <w:sz w:val="18"/>
                <w:szCs w:val="18"/>
              </w:rPr>
              <w:t>Perkinsus olseni</w:t>
            </w:r>
          </w:p>
          <w:p w14:paraId="210BD0BF" w14:textId="77777777" w:rsidR="00C7266C" w:rsidRPr="00D403F5" w:rsidRDefault="00C7266C" w:rsidP="00D403F5">
            <w:pPr>
              <w:jc w:val="both"/>
              <w:rPr>
                <w:rFonts w:ascii="Arial" w:hAnsi="Arial" w:cs="Arial"/>
                <w:iCs/>
                <w:sz w:val="18"/>
                <w:szCs w:val="18"/>
              </w:rPr>
            </w:pPr>
            <w:r w:rsidRPr="00D403F5">
              <w:rPr>
                <w:rFonts w:ascii="Arial" w:hAnsi="Arial" w:cs="Arial"/>
                <w:sz w:val="18"/>
                <w:szCs w:val="18"/>
              </w:rPr>
              <w:t xml:space="preserve">February 2020 </w:t>
            </w:r>
            <w:r w:rsidRPr="00D403F5">
              <w:rPr>
                <w:rFonts w:ascii="Arial" w:hAnsi="Arial" w:cs="Arial"/>
                <w:iCs/>
                <w:sz w:val="18"/>
                <w:szCs w:val="18"/>
              </w:rPr>
              <w:t xml:space="preserve">– Commission to consider </w:t>
            </w:r>
            <w:r w:rsidRPr="00D403F5">
              <w:rPr>
                <w:rFonts w:ascii="Arial" w:hAnsi="Arial" w:cs="Arial"/>
                <w:i/>
                <w:sz w:val="18"/>
                <w:szCs w:val="18"/>
              </w:rPr>
              <w:t>ad hoc</w:t>
            </w:r>
            <w:r w:rsidRPr="00D403F5">
              <w:rPr>
                <w:rFonts w:ascii="Arial" w:hAnsi="Arial" w:cs="Arial"/>
                <w:iCs/>
                <w:sz w:val="18"/>
                <w:szCs w:val="18"/>
              </w:rPr>
              <w:t xml:space="preserve"> Group report and propose amendments to relevant </w:t>
            </w:r>
            <w:r w:rsidRPr="00D403F5">
              <w:rPr>
                <w:rFonts w:ascii="Arial" w:hAnsi="Arial" w:cs="Arial"/>
                <w:i/>
                <w:iCs/>
                <w:sz w:val="18"/>
                <w:szCs w:val="18"/>
              </w:rPr>
              <w:t>Aquatic Code</w:t>
            </w:r>
            <w:r w:rsidRPr="00D403F5">
              <w:rPr>
                <w:rFonts w:ascii="Arial" w:hAnsi="Arial" w:cs="Arial"/>
                <w:iCs/>
                <w:sz w:val="18"/>
                <w:szCs w:val="18"/>
              </w:rPr>
              <w:t xml:space="preserve"> and </w:t>
            </w:r>
            <w:r w:rsidRPr="00D403F5">
              <w:rPr>
                <w:rFonts w:ascii="Arial" w:hAnsi="Arial" w:cs="Arial"/>
                <w:i/>
                <w:iCs/>
                <w:sz w:val="18"/>
                <w:szCs w:val="18"/>
              </w:rPr>
              <w:t>Aquatic Manual</w:t>
            </w:r>
            <w:r w:rsidRPr="00D403F5">
              <w:rPr>
                <w:rFonts w:ascii="Arial" w:hAnsi="Arial" w:cs="Arial"/>
                <w:iCs/>
                <w:sz w:val="18"/>
                <w:szCs w:val="18"/>
              </w:rPr>
              <w:t xml:space="preserve"> chapters</w:t>
            </w:r>
          </w:p>
        </w:tc>
      </w:tr>
      <w:tr w:rsidR="00C7266C" w:rsidRPr="00D403F5" w14:paraId="288AC1A2" w14:textId="77777777" w:rsidTr="00C7266C">
        <w:tc>
          <w:tcPr>
            <w:tcW w:w="1615" w:type="dxa"/>
          </w:tcPr>
          <w:p w14:paraId="76E26211"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Section 8-11: improving standards</w:t>
            </w:r>
          </w:p>
        </w:tc>
        <w:tc>
          <w:tcPr>
            <w:tcW w:w="3596" w:type="dxa"/>
          </w:tcPr>
          <w:p w14:paraId="65D910B9"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Review structure and application for different trade purposes of articles in disease-specific chapters</w:t>
            </w:r>
          </w:p>
        </w:tc>
        <w:tc>
          <w:tcPr>
            <w:tcW w:w="4253" w:type="dxa"/>
          </w:tcPr>
          <w:p w14:paraId="53636E49"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September 2020 – Proposed structure to be presented for Member comments in the Commission report</w:t>
            </w:r>
          </w:p>
        </w:tc>
      </w:tr>
      <w:tr w:rsidR="00C7266C" w:rsidRPr="00D403F5" w14:paraId="572EAB14" w14:textId="77777777" w:rsidTr="00C7266C">
        <w:tc>
          <w:tcPr>
            <w:tcW w:w="1615" w:type="dxa"/>
          </w:tcPr>
          <w:p w14:paraId="6E3338E5" w14:textId="77777777" w:rsidR="00C7266C" w:rsidRPr="00D403F5" w:rsidRDefault="00C7266C" w:rsidP="00D403F5">
            <w:pPr>
              <w:ind w:left="142" w:right="113"/>
              <w:rPr>
                <w:rFonts w:ascii="Arial" w:hAnsi="Arial" w:cs="Arial"/>
                <w:b/>
                <w:sz w:val="18"/>
                <w:szCs w:val="18"/>
              </w:rPr>
            </w:pPr>
          </w:p>
        </w:tc>
        <w:tc>
          <w:tcPr>
            <w:tcW w:w="3596" w:type="dxa"/>
          </w:tcPr>
          <w:p w14:paraId="3E1A8940"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Safe commodities: review the structure of Article X.X.3. of all disease specific chapters </w:t>
            </w:r>
          </w:p>
        </w:tc>
        <w:tc>
          <w:tcPr>
            <w:tcW w:w="4253" w:type="dxa"/>
          </w:tcPr>
          <w:p w14:paraId="1B1030D9"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Review structure at the February 2020 meeting and send for Member comments</w:t>
            </w:r>
          </w:p>
        </w:tc>
      </w:tr>
      <w:tr w:rsidR="00C7266C" w:rsidRPr="00D403F5" w14:paraId="49D753DB" w14:textId="77777777" w:rsidTr="00C7266C">
        <w:tc>
          <w:tcPr>
            <w:tcW w:w="9464" w:type="dxa"/>
            <w:gridSpan w:val="3"/>
            <w:shd w:val="clear" w:color="auto" w:fill="A6A6A6" w:themeFill="background1" w:themeFillShade="A6"/>
          </w:tcPr>
          <w:p w14:paraId="34660B96" w14:textId="77777777" w:rsidR="00C7266C" w:rsidRPr="00D403F5" w:rsidRDefault="00C7266C" w:rsidP="00D403F5">
            <w:pPr>
              <w:jc w:val="both"/>
              <w:rPr>
                <w:rFonts w:ascii="Arial" w:hAnsi="Arial" w:cs="Arial"/>
                <w:iCs/>
                <w:sz w:val="18"/>
                <w:szCs w:val="18"/>
              </w:rPr>
            </w:pPr>
            <w:r w:rsidRPr="00D403F5">
              <w:rPr>
                <w:rFonts w:ascii="Arial" w:hAnsi="Arial" w:cs="Arial"/>
                <w:b/>
                <w:bCs/>
                <w:i/>
                <w:sz w:val="18"/>
                <w:szCs w:val="18"/>
              </w:rPr>
              <w:t>AQUATIC MANUAL</w:t>
            </w:r>
          </w:p>
        </w:tc>
      </w:tr>
      <w:tr w:rsidR="00C7266C" w:rsidRPr="00D403F5" w14:paraId="472C6DAD" w14:textId="77777777" w:rsidTr="00C7266C">
        <w:tc>
          <w:tcPr>
            <w:tcW w:w="1615" w:type="dxa"/>
          </w:tcPr>
          <w:p w14:paraId="64B8D4A5"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 xml:space="preserve">Part 1 – General provisions </w:t>
            </w:r>
          </w:p>
        </w:tc>
        <w:tc>
          <w:tcPr>
            <w:tcW w:w="3596" w:type="dxa"/>
          </w:tcPr>
          <w:p w14:paraId="21C2A0D9"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Review and update introductory text to the disease-specific chapters </w:t>
            </w:r>
          </w:p>
        </w:tc>
        <w:tc>
          <w:tcPr>
            <w:tcW w:w="4253" w:type="dxa"/>
          </w:tcPr>
          <w:p w14:paraId="42A175AE"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February 2020</w:t>
            </w:r>
          </w:p>
        </w:tc>
      </w:tr>
      <w:tr w:rsidR="00C7266C" w:rsidRPr="00D403F5" w14:paraId="7ADD2D76" w14:textId="77777777" w:rsidTr="00C7266C">
        <w:tc>
          <w:tcPr>
            <w:tcW w:w="1615" w:type="dxa"/>
          </w:tcPr>
          <w:p w14:paraId="0E785B0B" w14:textId="77777777" w:rsidR="00C7266C" w:rsidRPr="00D403F5" w:rsidRDefault="00C7266C" w:rsidP="00D403F5">
            <w:pPr>
              <w:ind w:left="142" w:right="113"/>
              <w:rPr>
                <w:rFonts w:ascii="Arial" w:hAnsi="Arial" w:cs="Arial"/>
                <w:b/>
                <w:sz w:val="18"/>
                <w:szCs w:val="18"/>
              </w:rPr>
            </w:pPr>
          </w:p>
        </w:tc>
        <w:tc>
          <w:tcPr>
            <w:tcW w:w="3596" w:type="dxa"/>
          </w:tcPr>
          <w:p w14:paraId="3A497CA1"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 xml:space="preserve">The use of environmental DNA methods for aquatic animal disease surveillance </w:t>
            </w:r>
          </w:p>
        </w:tc>
        <w:tc>
          <w:tcPr>
            <w:tcW w:w="4253" w:type="dxa"/>
          </w:tcPr>
          <w:p w14:paraId="303EF8D7"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February 2020 </w:t>
            </w:r>
            <w:r w:rsidRPr="00D403F5">
              <w:rPr>
                <w:rFonts w:ascii="Arial" w:hAnsi="Arial" w:cs="Arial"/>
                <w:iCs/>
                <w:sz w:val="18"/>
                <w:szCs w:val="18"/>
              </w:rPr>
              <w:softHyphen/>
              <w:t xml:space="preserve">– Commission to consider the need for standards to validate the performance of </w:t>
            </w:r>
            <w:r w:rsidRPr="00D403F5">
              <w:rPr>
                <w:rFonts w:ascii="Arial" w:hAnsi="Arial" w:cs="Arial"/>
                <w:sz w:val="18"/>
                <w:szCs w:val="18"/>
              </w:rPr>
              <w:t>environmental DNA methods</w:t>
            </w:r>
          </w:p>
        </w:tc>
      </w:tr>
      <w:tr w:rsidR="00C7266C" w:rsidRPr="00D403F5" w14:paraId="77D1DF80" w14:textId="77777777" w:rsidTr="00C7266C">
        <w:tc>
          <w:tcPr>
            <w:tcW w:w="1615" w:type="dxa"/>
          </w:tcPr>
          <w:p w14:paraId="12261483"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Part 2 – Update and reformat disease chapters using the new template.</w:t>
            </w:r>
          </w:p>
        </w:tc>
        <w:tc>
          <w:tcPr>
            <w:tcW w:w="3596" w:type="dxa"/>
          </w:tcPr>
          <w:p w14:paraId="59ED96D1"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Chapter 2.3.9. Spring viraemia of carp</w:t>
            </w:r>
          </w:p>
        </w:tc>
        <w:tc>
          <w:tcPr>
            <w:tcW w:w="4253" w:type="dxa"/>
          </w:tcPr>
          <w:p w14:paraId="0ABFB6BB"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September 2020 – circulated for Member comments for the second time and expected to be proposed for adoption in May 2020</w:t>
            </w:r>
          </w:p>
        </w:tc>
      </w:tr>
    </w:tbl>
    <w:p w14:paraId="42E2BC25" w14:textId="77777777" w:rsidR="001041C6" w:rsidRDefault="001041C6" w:rsidP="001041C6">
      <w:pPr>
        <w:pStyle w:val="2"/>
        <w:tabs>
          <w:tab w:val="clear" w:pos="360"/>
        </w:tabs>
        <w:spacing w:after="480"/>
        <w:ind w:left="0" w:firstLine="0"/>
        <w:jc w:val="right"/>
        <w:rPr>
          <w:sz w:val="18"/>
          <w:szCs w:val="18"/>
        </w:rPr>
      </w:pPr>
    </w:p>
    <w:p w14:paraId="0F58A3B9" w14:textId="77777777" w:rsidR="001041C6" w:rsidRDefault="001041C6" w:rsidP="001041C6">
      <w:pPr>
        <w:pStyle w:val="2"/>
        <w:tabs>
          <w:tab w:val="clear" w:pos="360"/>
        </w:tabs>
        <w:spacing w:after="480"/>
        <w:ind w:left="0" w:firstLine="0"/>
        <w:jc w:val="right"/>
        <w:rPr>
          <w:sz w:val="18"/>
          <w:szCs w:val="18"/>
        </w:rPr>
      </w:pPr>
    </w:p>
    <w:p w14:paraId="49781AD9" w14:textId="77777777" w:rsidR="00C7266C" w:rsidRPr="00D403F5" w:rsidRDefault="00C7266C" w:rsidP="001041C6">
      <w:pPr>
        <w:pStyle w:val="2"/>
        <w:tabs>
          <w:tab w:val="clear" w:pos="360"/>
        </w:tabs>
        <w:spacing w:after="480"/>
        <w:ind w:left="0" w:firstLine="0"/>
        <w:jc w:val="right"/>
        <w:rPr>
          <w:b w:val="0"/>
          <w:sz w:val="18"/>
          <w:szCs w:val="18"/>
        </w:rPr>
      </w:pPr>
      <w:r w:rsidRPr="00D403F5">
        <w:rPr>
          <w:sz w:val="18"/>
          <w:szCs w:val="18"/>
        </w:rPr>
        <w:br w:type="page"/>
      </w:r>
      <w:r w:rsidRPr="00D403F5">
        <w:rPr>
          <w:rFonts w:ascii="Times New Roman" w:hAnsi="Times New Roman"/>
          <w:b w:val="0"/>
          <w:sz w:val="18"/>
          <w:szCs w:val="18"/>
          <w:u w:val="single"/>
        </w:rPr>
        <w:t>Annex 17</w:t>
      </w:r>
      <w:r w:rsidRPr="00D403F5">
        <w:rPr>
          <w:rFonts w:ascii="Times New Roman" w:hAnsi="Times New Roman"/>
          <w:b w:val="0"/>
          <w:sz w:val="18"/>
          <w:szCs w:val="18"/>
        </w:rPr>
        <w:t xml:space="preserve"> (contd)</w:t>
      </w:r>
    </w:p>
    <w:tbl>
      <w:tblPr>
        <w:tblStyle w:val="af2"/>
        <w:tblW w:w="9464" w:type="dxa"/>
        <w:tblLook w:val="04A0" w:firstRow="1" w:lastRow="0" w:firstColumn="1" w:lastColumn="0" w:noHBand="0" w:noVBand="1"/>
      </w:tblPr>
      <w:tblGrid>
        <w:gridCol w:w="1615"/>
        <w:gridCol w:w="3596"/>
        <w:gridCol w:w="4253"/>
      </w:tblGrid>
      <w:tr w:rsidR="00C7266C" w:rsidRPr="00D403F5" w14:paraId="0253B730" w14:textId="77777777" w:rsidTr="00C7266C">
        <w:tc>
          <w:tcPr>
            <w:tcW w:w="1615" w:type="dxa"/>
          </w:tcPr>
          <w:p w14:paraId="1FAADF82" w14:textId="77777777" w:rsidR="00C7266C" w:rsidRPr="00D403F5" w:rsidRDefault="00C7266C" w:rsidP="00D403F5">
            <w:pPr>
              <w:ind w:left="142" w:right="113"/>
              <w:rPr>
                <w:rFonts w:ascii="Arial" w:hAnsi="Arial" w:cs="Arial"/>
                <w:b/>
                <w:sz w:val="18"/>
                <w:szCs w:val="18"/>
              </w:rPr>
            </w:pPr>
            <w:r w:rsidRPr="00D403F5">
              <w:rPr>
                <w:rFonts w:ascii="Arial" w:hAnsi="Arial" w:cs="Arial"/>
                <w:b/>
                <w:sz w:val="18"/>
                <w:szCs w:val="18"/>
              </w:rPr>
              <w:t>Part 2 – Update and reformat disease chapters using the new template (contd).</w:t>
            </w:r>
          </w:p>
        </w:tc>
        <w:tc>
          <w:tcPr>
            <w:tcW w:w="3596" w:type="dxa"/>
          </w:tcPr>
          <w:p w14:paraId="794D4E8C"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u w:color="000000"/>
                <w:lang w:eastAsia="fr-FR"/>
              </w:rPr>
              <w:t xml:space="preserve">New draft Chapter 2.1.X. ‒ Infection with </w:t>
            </w:r>
            <w:r w:rsidRPr="00D403F5">
              <w:rPr>
                <w:rFonts w:ascii="Arial" w:hAnsi="Arial" w:cs="Arial"/>
                <w:i/>
                <w:iCs/>
                <w:sz w:val="18"/>
                <w:szCs w:val="18"/>
              </w:rPr>
              <w:t>Batrachochytrium</w:t>
            </w:r>
            <w:r w:rsidRPr="00D403F5">
              <w:rPr>
                <w:rFonts w:ascii="Arial" w:hAnsi="Arial" w:cs="Arial"/>
                <w:i/>
                <w:sz w:val="18"/>
                <w:szCs w:val="18"/>
                <w:u w:color="000000"/>
                <w:lang w:eastAsia="fr-FR"/>
              </w:rPr>
              <w:t xml:space="preserve"> salamandrivorans</w:t>
            </w:r>
            <w:r w:rsidRPr="00D403F5">
              <w:rPr>
                <w:rFonts w:ascii="Arial" w:hAnsi="Arial" w:cs="Arial"/>
                <w:sz w:val="18"/>
                <w:szCs w:val="18"/>
                <w:u w:color="000000"/>
                <w:lang w:eastAsia="fr-FR"/>
              </w:rPr>
              <w:t xml:space="preserve"> </w:t>
            </w:r>
          </w:p>
        </w:tc>
        <w:tc>
          <w:tcPr>
            <w:tcW w:w="4253" w:type="dxa"/>
          </w:tcPr>
          <w:p w14:paraId="25CB4646"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September 2020 – Circulated for Member comments twice and expected to be proposed for adoption in May 2020</w:t>
            </w:r>
          </w:p>
        </w:tc>
      </w:tr>
      <w:tr w:rsidR="00C7266C" w:rsidRPr="00D403F5" w14:paraId="238B6DF5" w14:textId="77777777" w:rsidTr="00C7266C">
        <w:tc>
          <w:tcPr>
            <w:tcW w:w="1615" w:type="dxa"/>
          </w:tcPr>
          <w:p w14:paraId="60A7520D" w14:textId="77777777" w:rsidR="00C7266C" w:rsidRPr="00D403F5" w:rsidRDefault="00C7266C" w:rsidP="00D403F5">
            <w:pPr>
              <w:ind w:left="142" w:right="113"/>
              <w:rPr>
                <w:rFonts w:ascii="Arial" w:hAnsi="Arial" w:cs="Arial"/>
                <w:b/>
                <w:sz w:val="18"/>
                <w:szCs w:val="18"/>
              </w:rPr>
            </w:pPr>
          </w:p>
        </w:tc>
        <w:tc>
          <w:tcPr>
            <w:tcW w:w="3596" w:type="dxa"/>
          </w:tcPr>
          <w:p w14:paraId="0E039D9C" w14:textId="77777777" w:rsidR="00C7266C" w:rsidRPr="00D403F5" w:rsidRDefault="00C7266C" w:rsidP="00D403F5">
            <w:pPr>
              <w:ind w:left="113" w:right="113"/>
              <w:jc w:val="both"/>
              <w:rPr>
                <w:rFonts w:ascii="Arial" w:hAnsi="Arial" w:cs="Arial"/>
                <w:sz w:val="18"/>
                <w:szCs w:val="18"/>
                <w:lang w:val="en-IE"/>
              </w:rPr>
            </w:pPr>
            <w:r w:rsidRPr="00D403F5">
              <w:rPr>
                <w:rFonts w:ascii="Arial" w:hAnsi="Arial" w:cs="Arial"/>
                <w:sz w:val="18"/>
                <w:szCs w:val="18"/>
              </w:rPr>
              <w:t>Chapter</w:t>
            </w:r>
            <w:r w:rsidRPr="00D403F5">
              <w:rPr>
                <w:rFonts w:ascii="Arial" w:hAnsi="Arial" w:cs="Arial"/>
                <w:sz w:val="18"/>
                <w:szCs w:val="18"/>
                <w:lang w:val="en-IE"/>
              </w:rPr>
              <w:t xml:space="preserve"> 2.3.2. Infection with </w:t>
            </w:r>
            <w:r w:rsidRPr="00D403F5">
              <w:rPr>
                <w:rFonts w:ascii="Arial" w:hAnsi="Arial" w:cs="Arial"/>
                <w:i/>
                <w:iCs/>
                <w:sz w:val="18"/>
                <w:szCs w:val="18"/>
                <w:lang w:val="en-IE"/>
              </w:rPr>
              <w:t>Aphanomyces invadans</w:t>
            </w:r>
            <w:r w:rsidRPr="00D403F5">
              <w:rPr>
                <w:rFonts w:ascii="Arial" w:hAnsi="Arial" w:cs="Arial"/>
                <w:sz w:val="18"/>
                <w:szCs w:val="18"/>
                <w:lang w:val="en-IE"/>
              </w:rPr>
              <w:t xml:space="preserve"> (epizootic ulcerative syndrome)</w:t>
            </w:r>
          </w:p>
        </w:tc>
        <w:tc>
          <w:tcPr>
            <w:tcW w:w="4253" w:type="dxa"/>
          </w:tcPr>
          <w:p w14:paraId="3BC22ED5"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February 2020 – revised draft to be reviewed by the Commission </w:t>
            </w:r>
          </w:p>
        </w:tc>
      </w:tr>
      <w:tr w:rsidR="00C7266C" w:rsidRPr="00D403F5" w14:paraId="7192871A" w14:textId="77777777" w:rsidTr="00C7266C">
        <w:tc>
          <w:tcPr>
            <w:tcW w:w="1615" w:type="dxa"/>
          </w:tcPr>
          <w:p w14:paraId="37061BE8" w14:textId="77777777" w:rsidR="00C7266C" w:rsidRPr="00D403F5" w:rsidRDefault="00C7266C" w:rsidP="00D403F5">
            <w:pPr>
              <w:ind w:left="142" w:right="113"/>
              <w:rPr>
                <w:rFonts w:ascii="Arial" w:hAnsi="Arial" w:cs="Arial"/>
                <w:b/>
                <w:sz w:val="18"/>
                <w:szCs w:val="18"/>
              </w:rPr>
            </w:pPr>
          </w:p>
        </w:tc>
        <w:tc>
          <w:tcPr>
            <w:tcW w:w="3596" w:type="dxa"/>
          </w:tcPr>
          <w:p w14:paraId="00696D33" w14:textId="77777777" w:rsidR="00C7266C" w:rsidRPr="00D403F5" w:rsidRDefault="00C7266C" w:rsidP="00D403F5">
            <w:pPr>
              <w:ind w:left="113" w:right="113"/>
              <w:jc w:val="both"/>
              <w:rPr>
                <w:rFonts w:ascii="Arial" w:hAnsi="Arial" w:cs="Arial"/>
                <w:sz w:val="18"/>
                <w:szCs w:val="18"/>
                <w:lang w:val="en-IE"/>
              </w:rPr>
            </w:pPr>
            <w:r w:rsidRPr="00D403F5">
              <w:rPr>
                <w:rFonts w:ascii="Arial" w:hAnsi="Arial" w:cs="Arial"/>
                <w:sz w:val="18"/>
                <w:szCs w:val="18"/>
              </w:rPr>
              <w:t>Chapter</w:t>
            </w:r>
            <w:r w:rsidRPr="00D403F5">
              <w:rPr>
                <w:rFonts w:ascii="Arial" w:hAnsi="Arial" w:cs="Arial"/>
                <w:sz w:val="18"/>
                <w:szCs w:val="18"/>
                <w:lang w:val="en-IE"/>
              </w:rPr>
              <w:t xml:space="preserve"> 2.3.3. Infection with </w:t>
            </w:r>
            <w:r w:rsidRPr="00D403F5">
              <w:rPr>
                <w:rFonts w:ascii="Arial" w:hAnsi="Arial" w:cs="Arial"/>
                <w:i/>
                <w:iCs/>
                <w:sz w:val="18"/>
                <w:szCs w:val="18"/>
                <w:lang w:val="en-IE"/>
              </w:rPr>
              <w:t>Gyrodactylus salaris</w:t>
            </w:r>
          </w:p>
        </w:tc>
        <w:tc>
          <w:tcPr>
            <w:tcW w:w="4253" w:type="dxa"/>
          </w:tcPr>
          <w:p w14:paraId="678EEFCD"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February 2020 – revised draft to be reviewed by the Commission</w:t>
            </w:r>
          </w:p>
        </w:tc>
      </w:tr>
      <w:tr w:rsidR="00C7266C" w:rsidRPr="00D403F5" w14:paraId="267A3140" w14:textId="77777777" w:rsidTr="00C7266C">
        <w:tc>
          <w:tcPr>
            <w:tcW w:w="1615" w:type="dxa"/>
          </w:tcPr>
          <w:p w14:paraId="1D55F3CC" w14:textId="77777777" w:rsidR="00C7266C" w:rsidRPr="00D403F5" w:rsidRDefault="00C7266C" w:rsidP="00D403F5">
            <w:pPr>
              <w:ind w:left="142" w:right="113"/>
              <w:rPr>
                <w:rFonts w:ascii="Arial" w:hAnsi="Arial" w:cs="Arial"/>
                <w:b/>
                <w:sz w:val="18"/>
                <w:szCs w:val="18"/>
              </w:rPr>
            </w:pPr>
          </w:p>
        </w:tc>
        <w:tc>
          <w:tcPr>
            <w:tcW w:w="3596" w:type="dxa"/>
          </w:tcPr>
          <w:p w14:paraId="05769CA0"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Chapter 2.3.4. Infection with infectious haematopoietic necrosis virus</w:t>
            </w:r>
          </w:p>
        </w:tc>
        <w:tc>
          <w:tcPr>
            <w:tcW w:w="4253" w:type="dxa"/>
          </w:tcPr>
          <w:p w14:paraId="32634C7D"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September 2019 – revised draft circulated for the first time for Member comments </w:t>
            </w:r>
          </w:p>
        </w:tc>
      </w:tr>
      <w:tr w:rsidR="00C7266C" w:rsidRPr="00D403F5" w14:paraId="7BE743F2" w14:textId="77777777" w:rsidTr="00C7266C">
        <w:tc>
          <w:tcPr>
            <w:tcW w:w="1615" w:type="dxa"/>
          </w:tcPr>
          <w:p w14:paraId="38C035EC" w14:textId="77777777" w:rsidR="00C7266C" w:rsidRPr="00D403F5" w:rsidRDefault="00C7266C" w:rsidP="00D403F5">
            <w:pPr>
              <w:ind w:left="142" w:right="113"/>
              <w:rPr>
                <w:rFonts w:ascii="Arial" w:hAnsi="Arial" w:cs="Arial"/>
                <w:b/>
                <w:sz w:val="18"/>
                <w:szCs w:val="18"/>
              </w:rPr>
            </w:pPr>
          </w:p>
        </w:tc>
        <w:tc>
          <w:tcPr>
            <w:tcW w:w="3596" w:type="dxa"/>
          </w:tcPr>
          <w:p w14:paraId="40E17820"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Chapter 2.3.6. Infection with salmonid alphavirus</w:t>
            </w:r>
          </w:p>
        </w:tc>
        <w:tc>
          <w:tcPr>
            <w:tcW w:w="4253" w:type="dxa"/>
          </w:tcPr>
          <w:p w14:paraId="24CA31DA"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February 2020 – revised draft to be reviewed by the Commission</w:t>
            </w:r>
          </w:p>
        </w:tc>
      </w:tr>
      <w:tr w:rsidR="00C7266C" w:rsidRPr="00D403F5" w14:paraId="19B49D8C" w14:textId="77777777" w:rsidTr="00C7266C">
        <w:tc>
          <w:tcPr>
            <w:tcW w:w="1615" w:type="dxa"/>
          </w:tcPr>
          <w:p w14:paraId="72268D40" w14:textId="77777777" w:rsidR="00C7266C" w:rsidRPr="00D403F5" w:rsidRDefault="00C7266C" w:rsidP="00D403F5">
            <w:pPr>
              <w:ind w:left="142" w:right="113"/>
              <w:rPr>
                <w:rFonts w:ascii="Arial" w:hAnsi="Arial" w:cs="Arial"/>
                <w:b/>
                <w:sz w:val="18"/>
                <w:szCs w:val="18"/>
              </w:rPr>
            </w:pPr>
          </w:p>
        </w:tc>
        <w:tc>
          <w:tcPr>
            <w:tcW w:w="3596" w:type="dxa"/>
          </w:tcPr>
          <w:p w14:paraId="4C05D77F"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Chapter 2.3.7. Infection with koi herpesvirus</w:t>
            </w:r>
          </w:p>
        </w:tc>
        <w:tc>
          <w:tcPr>
            <w:tcW w:w="4253" w:type="dxa"/>
          </w:tcPr>
          <w:p w14:paraId="1728F7BC"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February 2020 – revised draft to be reviewed by the Commission</w:t>
            </w:r>
          </w:p>
        </w:tc>
      </w:tr>
      <w:tr w:rsidR="00C7266C" w:rsidRPr="00D403F5" w14:paraId="080B7501" w14:textId="77777777" w:rsidTr="00C7266C">
        <w:tc>
          <w:tcPr>
            <w:tcW w:w="1615" w:type="dxa"/>
          </w:tcPr>
          <w:p w14:paraId="410CCAD1" w14:textId="77777777" w:rsidR="00C7266C" w:rsidRPr="00D403F5" w:rsidRDefault="00C7266C" w:rsidP="00D403F5">
            <w:pPr>
              <w:ind w:left="142" w:right="113"/>
              <w:rPr>
                <w:rFonts w:ascii="Arial" w:hAnsi="Arial" w:cs="Arial"/>
                <w:b/>
                <w:sz w:val="18"/>
                <w:szCs w:val="18"/>
              </w:rPr>
            </w:pPr>
          </w:p>
        </w:tc>
        <w:tc>
          <w:tcPr>
            <w:tcW w:w="3596" w:type="dxa"/>
          </w:tcPr>
          <w:p w14:paraId="22CD8E4B"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rPr>
              <w:t>Chapter 2.3.10. Viral haemorrhagic septicaemia</w:t>
            </w:r>
          </w:p>
        </w:tc>
        <w:tc>
          <w:tcPr>
            <w:tcW w:w="4253" w:type="dxa"/>
          </w:tcPr>
          <w:p w14:paraId="42D888F8"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September 2019 – revised draft circulated for the first time for Member comments</w:t>
            </w:r>
          </w:p>
        </w:tc>
      </w:tr>
      <w:tr w:rsidR="00C7266C" w:rsidRPr="00D403F5" w14:paraId="6714CB4B" w14:textId="77777777" w:rsidTr="00C7266C">
        <w:tc>
          <w:tcPr>
            <w:tcW w:w="9464" w:type="dxa"/>
            <w:gridSpan w:val="3"/>
            <w:shd w:val="clear" w:color="auto" w:fill="A6A6A6" w:themeFill="background1" w:themeFillShade="A6"/>
          </w:tcPr>
          <w:p w14:paraId="3A9451D9" w14:textId="77777777" w:rsidR="00C7266C" w:rsidRPr="00D403F5" w:rsidRDefault="00C7266C" w:rsidP="00D403F5">
            <w:pPr>
              <w:jc w:val="both"/>
              <w:rPr>
                <w:rFonts w:ascii="Arial" w:hAnsi="Arial" w:cs="Arial"/>
                <w:b/>
                <w:i/>
                <w:sz w:val="18"/>
                <w:szCs w:val="18"/>
              </w:rPr>
            </w:pPr>
            <w:r w:rsidRPr="00D403F5">
              <w:rPr>
                <w:rFonts w:ascii="Arial" w:hAnsi="Arial" w:cs="Arial"/>
                <w:b/>
                <w:i/>
                <w:sz w:val="18"/>
                <w:szCs w:val="18"/>
              </w:rPr>
              <w:t>Ad hoc Groups</w:t>
            </w:r>
          </w:p>
        </w:tc>
      </w:tr>
      <w:tr w:rsidR="00C7266C" w:rsidRPr="00D403F5" w14:paraId="421784B5" w14:textId="77777777" w:rsidTr="00C7266C">
        <w:tc>
          <w:tcPr>
            <w:tcW w:w="1615" w:type="dxa"/>
          </w:tcPr>
          <w:p w14:paraId="23C7F7CE" w14:textId="77777777" w:rsidR="00C7266C" w:rsidRPr="00D403F5" w:rsidRDefault="00C7266C" w:rsidP="00D403F5">
            <w:pPr>
              <w:ind w:left="142" w:right="113"/>
              <w:rPr>
                <w:rFonts w:ascii="Arial" w:hAnsi="Arial" w:cs="Arial"/>
                <w:b/>
                <w:sz w:val="18"/>
                <w:szCs w:val="18"/>
              </w:rPr>
            </w:pPr>
          </w:p>
        </w:tc>
        <w:tc>
          <w:tcPr>
            <w:tcW w:w="3596" w:type="dxa"/>
          </w:tcPr>
          <w:p w14:paraId="497A6178"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lang w:val="en-IE"/>
              </w:rPr>
              <w:t>A</w:t>
            </w:r>
            <w:r w:rsidRPr="00D403F5">
              <w:rPr>
                <w:rFonts w:ascii="Arial" w:hAnsi="Arial" w:cs="Arial"/>
                <w:i/>
                <w:iCs/>
                <w:sz w:val="18"/>
                <w:szCs w:val="18"/>
                <w:lang w:val="en-IE"/>
              </w:rPr>
              <w:t>d hoc</w:t>
            </w:r>
            <w:r w:rsidRPr="00D403F5">
              <w:rPr>
                <w:rFonts w:ascii="Arial" w:hAnsi="Arial" w:cs="Arial"/>
                <w:sz w:val="18"/>
                <w:szCs w:val="18"/>
                <w:lang w:val="en-IE"/>
              </w:rPr>
              <w:t xml:space="preserve"> Group on Susceptibility of fish species to infection with OIE listed diseases</w:t>
            </w:r>
          </w:p>
        </w:tc>
        <w:tc>
          <w:tcPr>
            <w:tcW w:w="4253" w:type="dxa"/>
          </w:tcPr>
          <w:p w14:paraId="76FA04F1" w14:textId="77777777" w:rsidR="00C7266C" w:rsidRPr="00D403F5" w:rsidRDefault="00C7266C" w:rsidP="00D403F5">
            <w:pPr>
              <w:jc w:val="both"/>
              <w:rPr>
                <w:rFonts w:ascii="Arial" w:hAnsi="Arial" w:cs="Arial"/>
                <w:sz w:val="18"/>
                <w:szCs w:val="18"/>
                <w:lang w:val="en-IE"/>
              </w:rPr>
            </w:pPr>
            <w:r w:rsidRPr="00D403F5">
              <w:rPr>
                <w:rFonts w:ascii="Arial" w:hAnsi="Arial" w:cs="Arial"/>
                <w:iCs/>
                <w:sz w:val="18"/>
                <w:szCs w:val="18"/>
              </w:rPr>
              <w:t>Remaining work: assessments of fish species susceptible to i</w:t>
            </w:r>
            <w:r w:rsidRPr="00D403F5">
              <w:rPr>
                <w:rFonts w:ascii="Arial" w:hAnsi="Arial" w:cs="Arial"/>
                <w:sz w:val="18"/>
                <w:szCs w:val="18"/>
                <w:lang w:val="en-IE"/>
              </w:rPr>
              <w:t xml:space="preserve">nfection with red sea bream iridovirus (and infectious spleen and kidney necrosis virus) and </w:t>
            </w:r>
            <w:r w:rsidRPr="00D403F5">
              <w:rPr>
                <w:rFonts w:ascii="Arial" w:hAnsi="Arial" w:cs="Arial"/>
                <w:iCs/>
                <w:sz w:val="18"/>
                <w:szCs w:val="18"/>
              </w:rPr>
              <w:t>i</w:t>
            </w:r>
            <w:r w:rsidRPr="00D403F5">
              <w:rPr>
                <w:rFonts w:ascii="Arial" w:hAnsi="Arial" w:cs="Arial"/>
                <w:sz w:val="18"/>
                <w:szCs w:val="18"/>
                <w:lang w:val="en-IE"/>
              </w:rPr>
              <w:t xml:space="preserve">nfection with </w:t>
            </w:r>
            <w:r w:rsidRPr="00D403F5">
              <w:rPr>
                <w:rFonts w:ascii="Arial" w:hAnsi="Arial" w:cs="Arial"/>
                <w:i/>
                <w:iCs/>
                <w:sz w:val="18"/>
                <w:szCs w:val="18"/>
                <w:lang w:val="en-IE"/>
              </w:rPr>
              <w:t>Aphanomyces invadans</w:t>
            </w:r>
            <w:r w:rsidRPr="00D403F5">
              <w:rPr>
                <w:rFonts w:ascii="Arial" w:hAnsi="Arial" w:cs="Arial"/>
                <w:sz w:val="18"/>
                <w:szCs w:val="18"/>
                <w:lang w:val="en-IE"/>
              </w:rPr>
              <w:t xml:space="preserve"> (Epizootic ulcerative syndrome)</w:t>
            </w:r>
          </w:p>
          <w:p w14:paraId="709C9546"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September 2020 – Commission to consider </w:t>
            </w:r>
            <w:r w:rsidRPr="00D403F5">
              <w:rPr>
                <w:rFonts w:ascii="Arial" w:hAnsi="Arial" w:cs="Arial"/>
                <w:sz w:val="18"/>
                <w:szCs w:val="18"/>
                <w:lang w:val="en-IE"/>
              </w:rPr>
              <w:t>A</w:t>
            </w:r>
            <w:r w:rsidRPr="00D403F5">
              <w:rPr>
                <w:rFonts w:ascii="Arial" w:hAnsi="Arial" w:cs="Arial"/>
                <w:i/>
                <w:iCs/>
                <w:sz w:val="18"/>
                <w:szCs w:val="18"/>
                <w:lang w:val="en-IE"/>
              </w:rPr>
              <w:t>d hoc</w:t>
            </w:r>
            <w:r w:rsidRPr="00D403F5">
              <w:rPr>
                <w:rFonts w:ascii="Arial" w:hAnsi="Arial" w:cs="Arial"/>
                <w:sz w:val="18"/>
                <w:szCs w:val="18"/>
                <w:lang w:val="en-IE"/>
              </w:rPr>
              <w:t xml:space="preserve"> Group report and propose revised texts for comment</w:t>
            </w:r>
          </w:p>
        </w:tc>
      </w:tr>
      <w:tr w:rsidR="00C7266C" w:rsidRPr="00D403F5" w14:paraId="063F32BA" w14:textId="77777777" w:rsidTr="00C7266C">
        <w:tc>
          <w:tcPr>
            <w:tcW w:w="1615" w:type="dxa"/>
          </w:tcPr>
          <w:p w14:paraId="1B4AEB59" w14:textId="77777777" w:rsidR="00C7266C" w:rsidRPr="00D403F5" w:rsidRDefault="00C7266C" w:rsidP="00D403F5">
            <w:pPr>
              <w:ind w:left="142" w:right="113"/>
              <w:rPr>
                <w:rFonts w:ascii="Arial" w:hAnsi="Arial" w:cs="Arial"/>
                <w:b/>
                <w:sz w:val="18"/>
                <w:szCs w:val="18"/>
              </w:rPr>
            </w:pPr>
          </w:p>
        </w:tc>
        <w:tc>
          <w:tcPr>
            <w:tcW w:w="3596" w:type="dxa"/>
          </w:tcPr>
          <w:p w14:paraId="243375C6" w14:textId="77777777" w:rsidR="00C7266C" w:rsidRPr="00D403F5" w:rsidRDefault="00C7266C" w:rsidP="00D403F5">
            <w:pPr>
              <w:ind w:left="113" w:right="113"/>
              <w:jc w:val="both"/>
              <w:rPr>
                <w:rFonts w:ascii="Arial" w:hAnsi="Arial" w:cs="Arial"/>
                <w:sz w:val="18"/>
                <w:szCs w:val="18"/>
              </w:rPr>
            </w:pPr>
            <w:r w:rsidRPr="00D403F5">
              <w:rPr>
                <w:rFonts w:ascii="Arial" w:hAnsi="Arial" w:cs="Arial"/>
                <w:sz w:val="18"/>
                <w:szCs w:val="18"/>
                <w:lang w:val="en-IE"/>
              </w:rPr>
              <w:t xml:space="preserve">Electronic </w:t>
            </w:r>
            <w:r w:rsidRPr="00D403F5">
              <w:rPr>
                <w:rFonts w:ascii="Arial" w:hAnsi="Arial" w:cs="Arial"/>
                <w:i/>
                <w:iCs/>
                <w:sz w:val="18"/>
                <w:szCs w:val="18"/>
                <w:lang w:val="en-IE"/>
              </w:rPr>
              <w:t>ad hoc</w:t>
            </w:r>
            <w:r w:rsidRPr="00D403F5">
              <w:rPr>
                <w:rFonts w:ascii="Arial" w:hAnsi="Arial" w:cs="Arial"/>
                <w:sz w:val="18"/>
                <w:szCs w:val="18"/>
                <w:lang w:val="en-IE"/>
              </w:rPr>
              <w:t xml:space="preserve"> Group on tilapia lake virus</w:t>
            </w:r>
          </w:p>
        </w:tc>
        <w:tc>
          <w:tcPr>
            <w:tcW w:w="4253" w:type="dxa"/>
          </w:tcPr>
          <w:p w14:paraId="6539E87F"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Was established in December 2017 and is expected to finalise its work in 2020</w:t>
            </w:r>
          </w:p>
          <w:p w14:paraId="7999397C"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 xml:space="preserve">September 2019 – Commission consider an update from the </w:t>
            </w:r>
            <w:r w:rsidRPr="00D403F5">
              <w:rPr>
                <w:rFonts w:ascii="Arial" w:hAnsi="Arial" w:cs="Arial"/>
                <w:sz w:val="18"/>
                <w:szCs w:val="18"/>
                <w:lang w:val="en-IE"/>
              </w:rPr>
              <w:t>A</w:t>
            </w:r>
            <w:r w:rsidRPr="00D403F5">
              <w:rPr>
                <w:rFonts w:ascii="Arial" w:hAnsi="Arial" w:cs="Arial"/>
                <w:i/>
                <w:iCs/>
                <w:sz w:val="18"/>
                <w:szCs w:val="18"/>
                <w:lang w:val="en-IE"/>
              </w:rPr>
              <w:t>d hoc</w:t>
            </w:r>
            <w:r w:rsidRPr="00D403F5">
              <w:rPr>
                <w:rFonts w:ascii="Arial" w:hAnsi="Arial" w:cs="Arial"/>
                <w:sz w:val="18"/>
                <w:szCs w:val="18"/>
                <w:lang w:val="en-IE"/>
              </w:rPr>
              <w:t xml:space="preserve"> Group on progress to assess the performance of available assays </w:t>
            </w:r>
          </w:p>
        </w:tc>
      </w:tr>
      <w:tr w:rsidR="00C7266C" w:rsidRPr="00D403F5" w14:paraId="7AE3D348" w14:textId="77777777" w:rsidTr="00C7266C">
        <w:tc>
          <w:tcPr>
            <w:tcW w:w="1615" w:type="dxa"/>
          </w:tcPr>
          <w:p w14:paraId="4189B39B" w14:textId="77777777" w:rsidR="00C7266C" w:rsidRPr="00D403F5" w:rsidRDefault="00C7266C" w:rsidP="00D403F5">
            <w:pPr>
              <w:ind w:left="142" w:right="113"/>
              <w:rPr>
                <w:rFonts w:ascii="Arial" w:hAnsi="Arial" w:cs="Arial"/>
                <w:b/>
                <w:sz w:val="18"/>
                <w:szCs w:val="18"/>
              </w:rPr>
            </w:pPr>
          </w:p>
        </w:tc>
        <w:tc>
          <w:tcPr>
            <w:tcW w:w="3596" w:type="dxa"/>
          </w:tcPr>
          <w:p w14:paraId="5ABC1753" w14:textId="77777777" w:rsidR="00C7266C" w:rsidRPr="00D403F5" w:rsidRDefault="00C7266C" w:rsidP="00D403F5">
            <w:pPr>
              <w:ind w:left="113" w:right="113"/>
              <w:jc w:val="both"/>
              <w:rPr>
                <w:rFonts w:ascii="Arial" w:hAnsi="Arial" w:cs="Arial"/>
                <w:sz w:val="18"/>
                <w:szCs w:val="18"/>
                <w:lang w:val="en-IE"/>
              </w:rPr>
            </w:pPr>
            <w:r w:rsidRPr="00D403F5">
              <w:rPr>
                <w:rFonts w:ascii="Arial" w:hAnsi="Arial" w:cs="Arial"/>
                <w:sz w:val="18"/>
                <w:szCs w:val="18"/>
                <w:lang w:val="en-IE"/>
              </w:rPr>
              <w:t>A</w:t>
            </w:r>
            <w:r w:rsidRPr="00D403F5">
              <w:rPr>
                <w:rFonts w:ascii="Arial" w:hAnsi="Arial" w:cs="Arial"/>
                <w:i/>
                <w:iCs/>
                <w:sz w:val="18"/>
                <w:szCs w:val="18"/>
                <w:lang w:val="en-IE"/>
              </w:rPr>
              <w:t>d hoc</w:t>
            </w:r>
            <w:r w:rsidRPr="00D403F5">
              <w:rPr>
                <w:rFonts w:ascii="Arial" w:hAnsi="Arial" w:cs="Arial"/>
                <w:sz w:val="18"/>
                <w:szCs w:val="18"/>
                <w:lang w:val="en-IE"/>
              </w:rPr>
              <w:t xml:space="preserve"> Group on Susceptibility of mollusc species to infection with OIE listed diseases</w:t>
            </w:r>
          </w:p>
        </w:tc>
        <w:tc>
          <w:tcPr>
            <w:tcW w:w="4253" w:type="dxa"/>
          </w:tcPr>
          <w:p w14:paraId="7CD7B912" w14:textId="77777777" w:rsidR="00C7266C" w:rsidRPr="00D403F5" w:rsidRDefault="00C7266C" w:rsidP="00D403F5">
            <w:pPr>
              <w:jc w:val="both"/>
              <w:rPr>
                <w:rFonts w:ascii="Arial" w:hAnsi="Arial" w:cs="Arial"/>
                <w:iCs/>
                <w:sz w:val="18"/>
                <w:szCs w:val="18"/>
              </w:rPr>
            </w:pPr>
            <w:r w:rsidRPr="00D403F5">
              <w:rPr>
                <w:rFonts w:ascii="Arial" w:hAnsi="Arial" w:cs="Arial"/>
                <w:iCs/>
                <w:sz w:val="18"/>
                <w:szCs w:val="18"/>
              </w:rPr>
              <w:t>Will have its first two meetings in December 2019 and January 2020</w:t>
            </w:r>
          </w:p>
        </w:tc>
      </w:tr>
      <w:bookmarkEnd w:id="120"/>
    </w:tbl>
    <w:p w14:paraId="112D7901" w14:textId="77777777" w:rsidR="00C7266C" w:rsidRPr="00D403F5" w:rsidRDefault="00C7266C" w:rsidP="00D403F5">
      <w:pPr>
        <w:spacing w:after="0"/>
        <w:rPr>
          <w:sz w:val="18"/>
          <w:szCs w:val="18"/>
        </w:rPr>
      </w:pPr>
    </w:p>
    <w:p w14:paraId="1887DAFB" w14:textId="77777777" w:rsidR="00C7266C" w:rsidRDefault="00C7266C" w:rsidP="00D403F5">
      <w:pPr>
        <w:spacing w:after="0"/>
        <w:rPr>
          <w:sz w:val="18"/>
          <w:szCs w:val="18"/>
        </w:rPr>
      </w:pPr>
    </w:p>
    <w:p w14:paraId="568DA03C" w14:textId="77777777" w:rsidR="001041C6" w:rsidRDefault="001041C6" w:rsidP="00D403F5">
      <w:pPr>
        <w:spacing w:after="0"/>
        <w:rPr>
          <w:sz w:val="18"/>
          <w:szCs w:val="18"/>
        </w:rPr>
      </w:pPr>
    </w:p>
    <w:p w14:paraId="12490833" w14:textId="77777777" w:rsidR="001041C6" w:rsidRDefault="001041C6" w:rsidP="00D403F5">
      <w:pPr>
        <w:spacing w:after="0"/>
        <w:rPr>
          <w:sz w:val="18"/>
          <w:szCs w:val="18"/>
        </w:rPr>
      </w:pPr>
    </w:p>
    <w:p w14:paraId="16CC3D4F" w14:textId="77777777" w:rsidR="001041C6" w:rsidRDefault="001041C6" w:rsidP="00D403F5">
      <w:pPr>
        <w:spacing w:after="0"/>
        <w:rPr>
          <w:sz w:val="18"/>
          <w:szCs w:val="18"/>
        </w:rPr>
      </w:pPr>
    </w:p>
    <w:p w14:paraId="3458BCB1" w14:textId="77777777" w:rsidR="001041C6" w:rsidRDefault="001041C6" w:rsidP="00D403F5">
      <w:pPr>
        <w:spacing w:after="0"/>
        <w:rPr>
          <w:sz w:val="18"/>
          <w:szCs w:val="18"/>
        </w:rPr>
      </w:pPr>
    </w:p>
    <w:p w14:paraId="4B4BA698" w14:textId="77777777" w:rsidR="001041C6" w:rsidRDefault="001041C6" w:rsidP="00D403F5">
      <w:pPr>
        <w:spacing w:after="0"/>
        <w:rPr>
          <w:sz w:val="18"/>
          <w:szCs w:val="18"/>
        </w:rPr>
      </w:pPr>
    </w:p>
    <w:p w14:paraId="3042FC52" w14:textId="77777777" w:rsidR="001041C6" w:rsidRDefault="001041C6" w:rsidP="00D403F5">
      <w:pPr>
        <w:spacing w:after="0"/>
        <w:rPr>
          <w:sz w:val="18"/>
          <w:szCs w:val="18"/>
        </w:rPr>
      </w:pPr>
    </w:p>
    <w:p w14:paraId="14D6AD3C" w14:textId="77777777" w:rsidR="001041C6" w:rsidRDefault="001041C6" w:rsidP="00D403F5">
      <w:pPr>
        <w:spacing w:after="0"/>
        <w:rPr>
          <w:sz w:val="18"/>
          <w:szCs w:val="18"/>
        </w:rPr>
      </w:pPr>
    </w:p>
    <w:p w14:paraId="0AC0894D" w14:textId="77777777" w:rsidR="001041C6" w:rsidRDefault="001041C6" w:rsidP="00D403F5">
      <w:pPr>
        <w:spacing w:after="0"/>
        <w:rPr>
          <w:sz w:val="18"/>
          <w:szCs w:val="18"/>
        </w:rPr>
      </w:pPr>
    </w:p>
    <w:p w14:paraId="176012C9" w14:textId="77777777" w:rsidR="001041C6" w:rsidRDefault="001041C6" w:rsidP="00D403F5">
      <w:pPr>
        <w:spacing w:after="0"/>
        <w:rPr>
          <w:sz w:val="18"/>
          <w:szCs w:val="18"/>
        </w:rPr>
      </w:pPr>
    </w:p>
    <w:p w14:paraId="5BBD6B41" w14:textId="77777777" w:rsidR="001041C6" w:rsidRPr="00D403F5" w:rsidRDefault="001041C6" w:rsidP="00D403F5">
      <w:pPr>
        <w:spacing w:after="0"/>
        <w:rPr>
          <w:sz w:val="18"/>
          <w:szCs w:val="18"/>
        </w:rPr>
      </w:pPr>
    </w:p>
    <w:p w14:paraId="2EE88AD4" w14:textId="77777777" w:rsidR="00C7266C" w:rsidRPr="00D403F5" w:rsidRDefault="00C7266C" w:rsidP="00D403F5">
      <w:pPr>
        <w:spacing w:after="0"/>
        <w:rPr>
          <w:sz w:val="18"/>
          <w:szCs w:val="18"/>
        </w:rPr>
      </w:pPr>
    </w:p>
    <w:p w14:paraId="2A22B0F9" w14:textId="77777777" w:rsidR="00C7266C" w:rsidRPr="00D403F5" w:rsidRDefault="00C7266C" w:rsidP="00D403F5">
      <w:pPr>
        <w:spacing w:after="0"/>
        <w:rPr>
          <w:sz w:val="18"/>
          <w:szCs w:val="18"/>
        </w:rPr>
      </w:pPr>
    </w:p>
    <w:p w14:paraId="0FEBFEA7" w14:textId="77777777" w:rsidR="00C7266C" w:rsidRPr="00D403F5" w:rsidRDefault="00C7266C" w:rsidP="00D403F5">
      <w:pPr>
        <w:spacing w:after="0"/>
        <w:rPr>
          <w:sz w:val="18"/>
          <w:szCs w:val="18"/>
        </w:rPr>
      </w:pPr>
    </w:p>
    <w:p w14:paraId="6B94F700" w14:textId="77777777" w:rsidR="00C7266C" w:rsidRPr="00D403F5" w:rsidRDefault="00C7266C" w:rsidP="00D403F5">
      <w:pPr>
        <w:spacing w:after="0"/>
        <w:rPr>
          <w:sz w:val="18"/>
          <w:szCs w:val="18"/>
        </w:rPr>
      </w:pPr>
    </w:p>
    <w:p w14:paraId="152D959B" w14:textId="77777777" w:rsidR="001041C6" w:rsidRDefault="001041C6" w:rsidP="00D403F5">
      <w:pPr>
        <w:spacing w:after="0"/>
        <w:rPr>
          <w:sz w:val="18"/>
          <w:szCs w:val="18"/>
        </w:rPr>
        <w:sectPr w:rsidR="001041C6" w:rsidSect="001041C6">
          <w:headerReference w:type="even" r:id="rId215"/>
          <w:headerReference w:type="default" r:id="rId216"/>
          <w:footerReference w:type="even" r:id="rId217"/>
          <w:footerReference w:type="default" r:id="rId218"/>
          <w:headerReference w:type="first" r:id="rId219"/>
          <w:type w:val="oddPage"/>
          <w:pgSz w:w="12240" w:h="15840" w:code="1"/>
          <w:pgMar w:top="1440" w:right="1440" w:bottom="1440" w:left="1440" w:header="709" w:footer="709" w:gutter="0"/>
          <w:cols w:space="720"/>
          <w:vAlign w:val="both"/>
          <w:docGrid w:linePitch="360"/>
        </w:sectPr>
      </w:pPr>
    </w:p>
    <w:p w14:paraId="4CD4ACE4" w14:textId="0C904180" w:rsidR="00C7266C" w:rsidRPr="00D403F5" w:rsidRDefault="00C7266C" w:rsidP="00D403F5">
      <w:pPr>
        <w:spacing w:after="0"/>
        <w:rPr>
          <w:sz w:val="18"/>
          <w:szCs w:val="18"/>
        </w:rPr>
      </w:pPr>
    </w:p>
    <w:p w14:paraId="2753906D" w14:textId="4E08F754" w:rsidR="00C7266C" w:rsidRPr="00D403F5" w:rsidRDefault="00C7266C" w:rsidP="00D403F5">
      <w:pPr>
        <w:spacing w:after="0"/>
        <w:ind w:left="107"/>
        <w:jc w:val="both"/>
        <w:rPr>
          <w:rFonts w:ascii="Arial" w:hAnsi="Arial" w:cs="Arial"/>
          <w:sz w:val="18"/>
          <w:szCs w:val="18"/>
        </w:rPr>
      </w:pPr>
    </w:p>
    <w:sectPr w:rsidR="00C7266C" w:rsidRPr="00D403F5" w:rsidSect="001041C6">
      <w:headerReference w:type="even" r:id="rId220"/>
      <w:headerReference w:type="default" r:id="rId221"/>
      <w:footerReference w:type="even" r:id="rId222"/>
      <w:headerReference w:type="first" r:id="rId223"/>
      <w:type w:val="evenPage"/>
      <w:pgSz w:w="12240" w:h="15840" w:code="1"/>
      <w:pgMar w:top="1440" w:right="1440" w:bottom="1440" w:left="1440" w:header="709" w:footer="709" w:gutter="0"/>
      <w:cols w:space="720"/>
      <w:vAlign w:val="both"/>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788F4" w14:textId="77777777" w:rsidR="001942A9" w:rsidRDefault="001942A9" w:rsidP="00CD3C3E">
      <w:pPr>
        <w:spacing w:after="0" w:line="240" w:lineRule="auto"/>
      </w:pPr>
      <w:r>
        <w:separator/>
      </w:r>
    </w:p>
  </w:endnote>
  <w:endnote w:type="continuationSeparator" w:id="0">
    <w:p w14:paraId="288B6634" w14:textId="77777777" w:rsidR="001942A9" w:rsidRDefault="001942A9" w:rsidP="00CD3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Ottawa">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Helvetica Neue">
    <w:altName w:val="Corbel"/>
    <w:charset w:val="00"/>
    <w:family w:val="swiss"/>
    <w:pitch w:val="variable"/>
  </w:font>
  <w:font w:name="Bassoon">
    <w:altName w:val="Courier New"/>
    <w:charset w:val="00"/>
    <w:family w:val="swiss"/>
    <w:pitch w:val="variable"/>
    <w:sig w:usb0="00000003" w:usb1="00000000" w:usb2="00000000" w:usb3="00000000" w:csb0="00000001" w:csb1="00000000"/>
  </w:font>
  <w:font w:name="TradeGothic">
    <w:charset w:val="00"/>
    <w:family w:val="auto"/>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adeGothic Bold">
    <w:charset w:val="00"/>
    <w:family w:val="auto"/>
    <w:pitch w:val="variable"/>
    <w:sig w:usb0="80000027"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ヒラギノ角ゴ Pro W3">
    <w:altName w:val="MS Mincho"/>
    <w:charset w:val="80"/>
    <w:family w:val="auto"/>
    <w:pitch w:val="variable"/>
    <w:sig w:usb0="E00002FF" w:usb1="7AC7FFFF" w:usb2="00000012" w:usb3="00000000" w:csb0="0002000D" w:csb1="00000000"/>
  </w:font>
  <w:font w:name="OpenSymbol">
    <w:panose1 w:val="05010000000000000000"/>
    <w:charset w:val="00"/>
    <w:family w:val="auto"/>
    <w:pitch w:val="variable"/>
    <w:sig w:usb0="800000AF" w:usb1="1001ECEA" w:usb2="00000000" w:usb3="00000000" w:csb0="00000001" w:csb1="00000000"/>
  </w:font>
  <w:font w:name="Times New Roman Bold">
    <w:altName w:val="Times New Roman"/>
    <w:panose1 w:val="02020803070505020304"/>
    <w:charset w:val="00"/>
    <w:family w:val="auto"/>
    <w:pitch w:val="variable"/>
  </w:font>
  <w:font w:name="Angsana New">
    <w:panose1 w:val="02020603050405020304"/>
    <w:charset w:val="DE"/>
    <w:family w:val="roman"/>
    <w:notTrueType/>
    <w:pitch w:val="variable"/>
    <w:sig w:usb0="01000001" w:usb1="00000000" w:usb2="00000000" w:usb3="00000000" w:csb0="00010000" w:csb1="00000000"/>
  </w:font>
  <w:font w:name="GeoSlab703 XBd BT">
    <w:charset w:val="00"/>
    <w:family w:val="roman"/>
    <w:pitch w:val="variable"/>
    <w:sig w:usb0="00000001" w:usb1="00000000" w:usb2="00000000" w:usb3="00000000" w:csb0="00000011" w:csb1="00000000"/>
  </w:font>
  <w:font w:name="TradeGothic BoldCondTwenty">
    <w:charset w:val="00"/>
    <w:family w:val="auto"/>
    <w:pitch w:val="variable"/>
    <w:sig w:usb0="80000027" w:usb1="00000000" w:usb2="00000000" w:usb3="00000000" w:csb0="00000001" w:csb1="00000000"/>
  </w:font>
  <w:font w:name="font323">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entury">
    <w:panose1 w:val="02040604050505020304"/>
    <w:charset w:val="00"/>
    <w:family w:val="roman"/>
    <w:pitch w:val="variable"/>
    <w:sig w:usb0="00000287" w:usb1="00000000" w:usb2="00000000" w:usb3="00000000" w:csb0="0000009F" w:csb1="00000000"/>
  </w:font>
  <w:font w:name="Times Udarennyi It">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Futura Lt B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HelveticaLTStd-Roman">
    <w:altName w:val="Microsoft JhengHei"/>
    <w:panose1 w:val="00000000000000000000"/>
    <w:charset w:val="88"/>
    <w:family w:val="swiss"/>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56884" w14:textId="5A7E6964" w:rsidR="001942A9" w:rsidRPr="00D34E50" w:rsidRDefault="001942A9" w:rsidP="00D34E50">
    <w:pPr>
      <w:widowControl w:val="0"/>
      <w:tabs>
        <w:tab w:val="center" w:pos="4536"/>
        <w:tab w:val="right" w:pos="9072"/>
      </w:tabs>
      <w:spacing w:after="0" w:line="240" w:lineRule="auto"/>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FB877" w14:textId="2C46B1DE" w:rsidR="001942A9" w:rsidRPr="00D34E50" w:rsidRDefault="001942A9" w:rsidP="00F250EC">
    <w:pPr>
      <w:widowControl w:val="0"/>
      <w:tabs>
        <w:tab w:val="center" w:pos="4536"/>
        <w:tab w:val="right" w:pos="9072"/>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0E40C" w14:textId="668913B7" w:rsidR="001942A9" w:rsidRPr="00D34E50" w:rsidRDefault="001942A9" w:rsidP="00D34E50">
    <w:pPr>
      <w:tabs>
        <w:tab w:val="center" w:pos="4320"/>
        <w:tab w:val="right" w:pos="8640"/>
      </w:tabs>
      <w:spacing w:after="0"/>
      <w:jc w:val="center"/>
      <w:rPr>
        <w:sz w:val="20"/>
        <w:szCs w:val="20"/>
        <w:lang w:val="fr-FR"/>
      </w:rPr>
    </w:pPr>
    <w:r w:rsidRPr="006E4A59">
      <w:rPr>
        <w:rFonts w:ascii="Futura Lt BT" w:hAnsi="Futura Lt BT"/>
        <w:sz w:val="20"/>
        <w:szCs w:val="20"/>
        <w:lang w:val="fr-FR"/>
      </w:rPr>
      <w:t>OIE •12, rue de Prony • 75017 Paris • France</w:t>
    </w:r>
    <w:r w:rsidRPr="006E4A59">
      <w:rPr>
        <w:rFonts w:ascii="Futura Lt BT" w:hAnsi="Futura Lt BT"/>
        <w:sz w:val="20"/>
        <w:szCs w:val="20"/>
        <w:lang w:val="fr-FR"/>
      </w:rPr>
      <w:br/>
      <w:t>Tel.: 33 (0)1 44 15 18 88 • Fax: 33 (0)1 42 67 09 87 • www.oie.int • oie@oie.int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91F69" w14:textId="1E9AFF7E" w:rsidR="001942A9" w:rsidRPr="00F7094C" w:rsidRDefault="001942A9" w:rsidP="00F7094C">
    <w:pPr>
      <w:widowControl w:val="0"/>
      <w:tabs>
        <w:tab w:val="center" w:pos="4536"/>
        <w:tab w:val="right" w:pos="9072"/>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83ED8" w14:textId="77777777" w:rsidR="001942A9" w:rsidRPr="002349CE" w:rsidRDefault="001942A9" w:rsidP="00F250EC">
    <w:pPr>
      <w:tabs>
        <w:tab w:val="center" w:pos="4536"/>
        <w:tab w:val="right" w:pos="9072"/>
      </w:tabs>
      <w:overflowPunct w:val="0"/>
      <w:autoSpaceDE w:val="0"/>
      <w:autoSpaceDN w:val="0"/>
      <w:adjustRightInd w:val="0"/>
      <w:spacing w:after="0"/>
      <w:jc w:val="right"/>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EA7E" w14:textId="77777777" w:rsidR="001942A9" w:rsidRPr="002349CE" w:rsidRDefault="001942A9" w:rsidP="00F250EC">
    <w:pPr>
      <w:tabs>
        <w:tab w:val="center" w:pos="4536"/>
        <w:tab w:val="right" w:pos="9072"/>
      </w:tabs>
      <w:overflowPunct w:val="0"/>
      <w:autoSpaceDE w:val="0"/>
      <w:autoSpaceDN w:val="0"/>
      <w:adjustRightInd w:val="0"/>
      <w:spacing w:after="0"/>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EFF55" w14:textId="77777777" w:rsidR="001942A9" w:rsidRDefault="001942A9">
    <w:pPr>
      <w:pStyle w:val="a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546C8C" w14:textId="77777777" w:rsidR="001942A9" w:rsidRPr="0002169F" w:rsidRDefault="001942A9" w:rsidP="00F250EC">
    <w:pPr>
      <w:tabs>
        <w:tab w:val="center" w:pos="4536"/>
        <w:tab w:val="right" w:pos="9072"/>
      </w:tabs>
      <w:overflowPunct w:val="0"/>
      <w:autoSpaceDE w:val="0"/>
      <w:autoSpaceDN w:val="0"/>
      <w:adjustRightInd w:val="0"/>
      <w:spacing w:after="0"/>
      <w:jc w:val="right"/>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4AAAB" w14:textId="77777777" w:rsidR="001942A9" w:rsidRPr="0002169F" w:rsidRDefault="001942A9" w:rsidP="00F250EC">
    <w:pPr>
      <w:tabs>
        <w:tab w:val="center" w:pos="4536"/>
        <w:tab w:val="right" w:pos="9072"/>
      </w:tabs>
      <w:overflowPunct w:val="0"/>
      <w:autoSpaceDE w:val="0"/>
      <w:autoSpaceDN w:val="0"/>
      <w:adjustRightInd w:val="0"/>
      <w:spacing w:after="0"/>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69C0C" w14:textId="766AC424" w:rsidR="001942A9" w:rsidRPr="00F250EC" w:rsidRDefault="00F250EC" w:rsidP="00F250EC">
    <w:pPr>
      <w:tabs>
        <w:tab w:val="center" w:pos="4536"/>
        <w:tab w:val="right" w:pos="9072"/>
      </w:tabs>
      <w:overflowPunct w:val="0"/>
      <w:autoSpaceDE w:val="0"/>
      <w:autoSpaceDN w:val="0"/>
      <w:adjustRightInd w:val="0"/>
      <w:spacing w:after="0"/>
      <w:jc w:val="right"/>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B48A9" w14:textId="77777777" w:rsidR="001942A9" w:rsidRPr="008226B2" w:rsidRDefault="001942A9" w:rsidP="00F250EC">
    <w:pPr>
      <w:tabs>
        <w:tab w:val="center" w:pos="4536"/>
        <w:tab w:val="right" w:pos="9072"/>
      </w:tabs>
      <w:overflowPunct w:val="0"/>
      <w:autoSpaceDE w:val="0"/>
      <w:autoSpaceDN w:val="0"/>
      <w:adjustRightInd w:val="0"/>
      <w:spacing w:after="0"/>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DBB5C" w14:textId="77777777" w:rsidR="001942A9" w:rsidRDefault="001942A9">
    <w:pPr>
      <w:pStyle w:val="a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231F3" w14:textId="77777777" w:rsidR="001942A9" w:rsidRPr="00912FFA" w:rsidRDefault="001942A9" w:rsidP="00F250EC">
    <w:pPr>
      <w:tabs>
        <w:tab w:val="center" w:pos="4536"/>
        <w:tab w:val="right" w:pos="9072"/>
      </w:tabs>
      <w:overflowPunct w:val="0"/>
      <w:autoSpaceDE w:val="0"/>
      <w:autoSpaceDN w:val="0"/>
      <w:adjustRightInd w:val="0"/>
      <w:spacing w:after="0"/>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528E4" w14:textId="77777777" w:rsidR="001942A9" w:rsidRPr="000E0A30" w:rsidRDefault="001942A9" w:rsidP="000E0A30">
    <w:pPr>
      <w:tabs>
        <w:tab w:val="center" w:pos="4536"/>
        <w:tab w:val="right" w:pos="9072"/>
      </w:tabs>
      <w:overflowPunct w:val="0"/>
      <w:adjustRightInd w:val="0"/>
      <w:spacing w:after="0" w:line="240" w:lineRule="auto"/>
      <w:textAlignment w:val="baseline"/>
      <w:rPr>
        <w:rFonts w:ascii="Arial" w:hAnsi="Arial" w:cs="Arial"/>
      </w:rPr>
    </w:pPr>
    <w:r w:rsidRPr="000E0A30">
      <w:rPr>
        <w:rFonts w:ascii="Arial" w:hAnsi="Arial" w:cs="Arial"/>
        <w:i/>
        <w:sz w:val="18"/>
        <w:szCs w:val="18"/>
        <w:lang w:eastAsia="en-GB"/>
      </w:rPr>
      <w:t>OIE Aquatic Animal Health Standards Commission/September 2019</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6E374" w14:textId="17E176CA" w:rsidR="001942A9" w:rsidRPr="0076436B" w:rsidRDefault="001942A9" w:rsidP="0076436B">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 xml:space="preserve">September </w:t>
    </w:r>
    <w:r w:rsidRPr="00AE20F6">
      <w:rPr>
        <w:rFonts w:ascii="Arial" w:eastAsia="Malgun Gothic" w:hAnsi="Arial" w:cs="Arial"/>
        <w:i/>
        <w:sz w:val="18"/>
        <w:szCs w:val="18"/>
        <w:lang w:val="en-US"/>
      </w:rPr>
      <w:t>201</w:t>
    </w:r>
    <w:r>
      <w:rPr>
        <w:rFonts w:ascii="Arial" w:eastAsia="Malgun Gothic" w:hAnsi="Arial" w:cs="Arial"/>
        <w:i/>
        <w:sz w:val="18"/>
        <w:szCs w:val="18"/>
        <w:lang w:val="en-US"/>
      </w:rPr>
      <w:t>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3E551" w14:textId="77777777" w:rsidR="001942A9" w:rsidRPr="003F6C03" w:rsidRDefault="001942A9" w:rsidP="000E0A30">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 xml:space="preserve">September </w:t>
    </w:r>
    <w:r w:rsidRPr="00AE20F6">
      <w:rPr>
        <w:rFonts w:ascii="Arial" w:eastAsia="Malgun Gothic" w:hAnsi="Arial" w:cs="Arial"/>
        <w:i/>
        <w:sz w:val="18"/>
        <w:szCs w:val="18"/>
        <w:lang w:val="en-US"/>
      </w:rPr>
      <w:t>201</w:t>
    </w:r>
    <w:r>
      <w:rPr>
        <w:rFonts w:ascii="Arial" w:eastAsia="Malgun Gothic" w:hAnsi="Arial" w:cs="Arial"/>
        <w:i/>
        <w:sz w:val="18"/>
        <w:szCs w:val="18"/>
        <w:lang w:val="en-US"/>
      </w:rPr>
      <w:t>9</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958CE" w14:textId="77777777" w:rsidR="001942A9" w:rsidRDefault="001942A9">
    <w:pPr>
      <w:pStyle w:val="a8"/>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F22B4" w14:textId="77777777" w:rsidR="001942A9" w:rsidRDefault="001942A9">
    <w:pPr>
      <w:pStyle w:val="aff0"/>
      <w:spacing w:line="14" w:lineRule="auto"/>
      <w:rPr>
        <w:sz w:val="20"/>
      </w:rPr>
    </w:pPr>
    <w:r>
      <w:rPr>
        <w:noProof/>
        <w:lang w:eastAsia="zh-TW"/>
      </w:rPr>
      <mc:AlternateContent>
        <mc:Choice Requires="wps">
          <w:drawing>
            <wp:anchor distT="0" distB="0" distL="114300" distR="114300" simplePos="0" relativeHeight="251659264" behindDoc="1" locked="0" layoutInCell="1" allowOverlap="1" wp14:anchorId="09EB68B8" wp14:editId="271D1A4F">
              <wp:simplePos x="0" y="0"/>
              <wp:positionH relativeFrom="page">
                <wp:posOffset>791845</wp:posOffset>
              </wp:positionH>
              <wp:positionV relativeFrom="page">
                <wp:posOffset>10105390</wp:posOffset>
              </wp:positionV>
              <wp:extent cx="5975985" cy="0"/>
              <wp:effectExtent l="10795" t="10160" r="13970" b="889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5985" cy="0"/>
                      </a:xfrm>
                      <a:prstGeom prst="line">
                        <a:avLst/>
                      </a:prstGeom>
                      <a:noFill/>
                      <a:ln w="137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0B819" id="Straight Connector 9"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2.35pt,795.7pt" to="532.9pt,7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gkiKQIAAFAEAAAOAAAAZHJzL2Uyb0RvYy54bWysVE2P2jAQvVfqf7B8hyQsnxFhVSXQy7aL&#10;xPYHGNshVh3bsg0BVf3vHTuA2PZSVeVgxp6Z5zczz1k+n1uJTtw6oVWBs2GKEVdUM6EOBf72thnM&#10;MXKeKEakVrzAF+7w8+rjh2Vncj7SjZaMWwQgyuWdKXDjvcmTxNGGt8QNteEKnLW2LfGwtYeEWdIB&#10;eiuTUZpOk05bZqym3Dk4rXonXkX8uubUv9a14x7JAgM3H1cb131Yk9WS5AdLTCPolQb5BxYtEQou&#10;vUNVxBN0tOIPqFZQq52u/ZDqNtF1LSiPNUA1WfpbNbuGGB5rgeY4c2+T+3+w9Otpa5FgBV5gpEgL&#10;I9p5S8Sh8ajUSkEDtUWL0KfOuBzCS7W1oVJ6Vjvzoul3h5QuG6IOPPJ9uxgAyUJG8i4lbJyB2/bd&#10;F80ghhy9jk0717YNkNAOdI6zudxnw88eUTicLGaTxXyCEb35EpLfEo11/jPXLQpGgaVQoW0kJ6cX&#10;5wMRkt9CwrHSGyFlHL1UqAO2T7NsGjOcloIFb4hz9rAvpUUnEtQTf7Es8DyGBeiKuKaPi65eV1Yf&#10;FYvXNJyw9dX2RMjeBlpShYugSCB6tXrd/Fiki/V8PR8PxqPpejBOq2rwaVOOB9NNNptUT1VZVtnP&#10;wDkb541gjKtA+6bhbPx3Grm+pl59dxXfG5S8R4+dBLK3/0g6TjkMtpfIXrPL1t6mD7KNwdcnFt7F&#10;4x7sxw/B6hcAAAD//wMAUEsDBBQABgAIAAAAIQCWFvN43QAAAA4BAAAPAAAAZHJzL2Rvd25yZXYu&#10;eG1sTE9NS8NAEL0L/odlBG9209LGNs2mFEEPQoVGwes0u02Cu7Mhu0njv3d6EL3Nm/d4H/luclaM&#10;pg+tJwXzWQLCUOV1S7WCj/fnhzWIEJE0Wk9GwbcJsCtub3LMtL/Q0YxlrAWbUMhQQRNjl0kZqsY4&#10;DDPfGWLu7HuHkWFfS93jhc2dlYskSaXDljihwc48Nab6KgfHIYMt15u0bvFt/1odcDx8yhet1P3d&#10;tN+CiGaKf2K41ufqUHCnkx9IB2EZL5aPLOVjtZkvQVwlSbriOaffnyxy+X9G8QMAAP//AwBQSwEC&#10;LQAUAAYACAAAACEAtoM4kv4AAADhAQAAEwAAAAAAAAAAAAAAAAAAAAAAW0NvbnRlbnRfVHlwZXNd&#10;LnhtbFBLAQItABQABgAIAAAAIQA4/SH/1gAAAJQBAAALAAAAAAAAAAAAAAAAAC8BAABfcmVscy8u&#10;cmVsc1BLAQItABQABgAIAAAAIQDaogkiKQIAAFAEAAAOAAAAAAAAAAAAAAAAAC4CAABkcnMvZTJv&#10;RG9jLnhtbFBLAQItABQABgAIAAAAIQCWFvN43QAAAA4BAAAPAAAAAAAAAAAAAAAAAIMEAABkcnMv&#10;ZG93bnJldi54bWxQSwUGAAAAAAQABADzAAAAjQUAAAAA&#10;" strokeweight="1.08pt">
              <w10:wrap anchorx="page" anchory="page"/>
            </v:line>
          </w:pict>
        </mc:Fallback>
      </mc:AlternateContent>
    </w:r>
    <w:r>
      <w:rPr>
        <w:noProof/>
        <w:lang w:eastAsia="zh-TW"/>
      </w:rPr>
      <mc:AlternateContent>
        <mc:Choice Requires="wps">
          <w:drawing>
            <wp:anchor distT="0" distB="0" distL="114300" distR="114300" simplePos="0" relativeHeight="251660288" behindDoc="1" locked="0" layoutInCell="1" allowOverlap="1" wp14:anchorId="22871CC5" wp14:editId="346783C4">
              <wp:simplePos x="0" y="0"/>
              <wp:positionH relativeFrom="page">
                <wp:posOffset>779145</wp:posOffset>
              </wp:positionH>
              <wp:positionV relativeFrom="page">
                <wp:posOffset>10129520</wp:posOffset>
              </wp:positionV>
              <wp:extent cx="246380" cy="148590"/>
              <wp:effectExtent l="0" t="0" r="317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6E82A" w14:textId="77777777" w:rsidR="001942A9" w:rsidRDefault="001942A9">
                          <w:pPr>
                            <w:spacing w:line="202" w:lineRule="exact"/>
                            <w:ind w:left="20"/>
                            <w:rPr>
                              <w:sz w:val="19"/>
                            </w:rPr>
                          </w:pPr>
                          <w:r>
                            <w:rPr>
                              <w:w w:val="110"/>
                              <w:sz w:val="19"/>
                            </w:rPr>
                            <w:t>xviii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871CC5" id="_x0000_t202" coordsize="21600,21600" o:spt="202" path="m,l,21600r21600,l21600,xe">
              <v:stroke joinstyle="miter"/>
              <v:path gradientshapeok="t" o:connecttype="rect"/>
            </v:shapetype>
            <v:shape id="Text Box 8" o:spid="_x0000_s1026" type="#_x0000_t202" style="position:absolute;margin-left:61.35pt;margin-top:797.6pt;width:19.4pt;height:11.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nvErAIAAKgFAAAOAAAAZHJzL2Uyb0RvYy54bWysVNuOmzAQfa/Uf7D8znIpyQJastoNoaq0&#10;vUi7/QAHm2AVbGo7gW3Vf+/YhGQvL1VbHqzBHp+5nOO5uh67Fh2Y0lyKHIcXAUZMVJJyscvx14fS&#10;SzDShghKWilYjh+Zxtert2+uhj5jkWxkS5lCACJ0NvQ5bozpM9/XVcM6oi9kzwQc1lJ1xMCv2vlU&#10;kQHQu9aPgmDpD1LRXsmKaQ27xXSIVw6/rlllPte1Zga1OYbcjFuVW7d29VdXJNsp0je8OqZB/iKL&#10;jnABQU9QBTEE7RV/BdXxSkkta3NRyc6Xdc0r5mqAasLgRTX3DemZqwWao/tTm/T/g60+Hb4oxGmO&#10;gShBOqDogY0G3coRJbY7Q68zcLrvwc2MsA0su0p1fyerbxoJuW6I2LEbpeTQMEIhu9De9J9cnXC0&#10;BdkOHyWFMGRvpAMaa9XZ1kEzEKADS48nZmwqFWxG8fJdAicVHIVxskgdcz7J5su90uY9kx2yRo4V&#10;EO/AyeFOG5sMyWYXG0vIkretI78VzzbAcdqB0HDVntkkHJc/0yDdJJsk9uJoufHioCi8m3Ide8sy&#10;vFwU74r1ugh/2bhhnDWcUiZsmFlXYfxnvB0VPinipCwtW04tnE1Jq9123Sp0IKDr0n2u5XBydvOf&#10;p+GaALW8KCmM4uA2Sr1ymVx6cRkvvPQySLwgTG/TZRCncVE+L+mOC/bvJaEhx+kiWkxaOif9orbA&#10;fa9rI1nHDUyOlncg3ZMTyawCN4I6ag3h7WQ/aYVN/9wKoHsm2unVSnQSqxm3I6BYEW8lfQTlKgnK&#10;AhHCuAOjkeoHRgOMjhzr73uiGEbtBwHqt3NmNtRsbGeDiAqu5thgNJlrM82jfa/4rgHk6X0JeQMv&#10;pOZOvecsju8KxoEr4ji67Lx5+u+8zgN29RsAAP//AwBQSwMEFAAGAAgAAAAhAM13xLzgAAAADQEA&#10;AA8AAABkcnMvZG93bnJldi54bWxMj0FPg0AQhe8m/ofNmHizS0nAFlmaxujJxEjx4HFhp0DKziK7&#10;bfHfO/VSb+9lvrx5L9/MdhAnnHzvSMFyEYFAapzpqVXwWb0+rED4oMnowREq+EEPm+L2JteZcWcq&#10;8bQLreAQ8plW0IUwZlL6pkOr/cKNSHzbu8nqwHZqpZn0mcPtIOMoSqXVPfGHTo/43GFz2B2tgu0X&#10;lS/993v9Ue7LvqrWEb2lB6Xu7+btE4iAc7jCcKnP1aHgTrU7kvFiYB/Hj4yySNZJDOKCpMsERP0n&#10;VinIIpf/VxS/AAAA//8DAFBLAQItABQABgAIAAAAIQC2gziS/gAAAOEBAAATAAAAAAAAAAAAAAAA&#10;AAAAAABbQ29udGVudF9UeXBlc10ueG1sUEsBAi0AFAAGAAgAAAAhADj9If/WAAAAlAEAAAsAAAAA&#10;AAAAAAAAAAAALwEAAF9yZWxzLy5yZWxzUEsBAi0AFAAGAAgAAAAhADU6e8SsAgAAqAUAAA4AAAAA&#10;AAAAAAAAAAAALgIAAGRycy9lMm9Eb2MueG1sUEsBAi0AFAAGAAgAAAAhAM13xLzgAAAADQEAAA8A&#10;AAAAAAAAAAAAAAAABgUAAGRycy9kb3ducmV2LnhtbFBLBQYAAAAABAAEAPMAAAATBgAAAAA=&#10;" filled="f" stroked="f">
              <v:textbox inset="0,0,0,0">
                <w:txbxContent>
                  <w:p w14:paraId="6DF6E82A" w14:textId="77777777" w:rsidR="001942A9" w:rsidRDefault="001942A9">
                    <w:pPr>
                      <w:spacing w:line="202" w:lineRule="exact"/>
                      <w:ind w:left="20"/>
                      <w:rPr>
                        <w:sz w:val="19"/>
                      </w:rPr>
                    </w:pPr>
                    <w:r>
                      <w:rPr>
                        <w:w w:val="110"/>
                        <w:sz w:val="19"/>
                      </w:rPr>
                      <w:t>xviii</w:t>
                    </w:r>
                  </w:p>
                </w:txbxContent>
              </v:textbox>
              <w10:wrap anchorx="page" anchory="page"/>
            </v:shape>
          </w:pict>
        </mc:Fallback>
      </mc:AlternateContent>
    </w:r>
    <w:r>
      <w:rPr>
        <w:noProof/>
        <w:lang w:eastAsia="zh-TW"/>
      </w:rPr>
      <mc:AlternateContent>
        <mc:Choice Requires="wps">
          <w:drawing>
            <wp:anchor distT="0" distB="0" distL="114300" distR="114300" simplePos="0" relativeHeight="251661312" behindDoc="1" locked="0" layoutInCell="1" allowOverlap="1" wp14:anchorId="0236B3A6" wp14:editId="079698B0">
              <wp:simplePos x="0" y="0"/>
              <wp:positionH relativeFrom="page">
                <wp:posOffset>3778885</wp:posOffset>
              </wp:positionH>
              <wp:positionV relativeFrom="page">
                <wp:posOffset>10129520</wp:posOffset>
              </wp:positionV>
              <wp:extent cx="2966085" cy="14859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08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AB5D8" w14:textId="77777777" w:rsidR="001942A9" w:rsidRDefault="001942A9">
                          <w:pPr>
                            <w:spacing w:line="203" w:lineRule="exact"/>
                            <w:ind w:left="20"/>
                            <w:rPr>
                              <w:sz w:val="19"/>
                            </w:rPr>
                          </w:pPr>
                          <w:r>
                            <w:rPr>
                              <w:sz w:val="19"/>
                            </w:rPr>
                            <w:t>2019</w:t>
                          </w:r>
                          <w:r>
                            <w:rPr>
                              <w:spacing w:val="-5"/>
                              <w:sz w:val="19"/>
                            </w:rPr>
                            <w:t xml:space="preserve"> </w:t>
                          </w:r>
                          <w:r>
                            <w:rPr>
                              <w:sz w:val="19"/>
                            </w:rPr>
                            <w:t>©</w:t>
                          </w:r>
                          <w:r>
                            <w:rPr>
                              <w:spacing w:val="-5"/>
                              <w:sz w:val="19"/>
                            </w:rPr>
                            <w:t xml:space="preserve"> </w:t>
                          </w:r>
                          <w:r>
                            <w:rPr>
                              <w:sz w:val="19"/>
                            </w:rPr>
                            <w:t>OIE</w:t>
                          </w:r>
                          <w:r>
                            <w:rPr>
                              <w:spacing w:val="-5"/>
                              <w:sz w:val="19"/>
                            </w:rPr>
                            <w:t xml:space="preserve"> </w:t>
                          </w:r>
                          <w:r>
                            <w:rPr>
                              <w:sz w:val="19"/>
                            </w:rPr>
                            <w:t>-</w:t>
                          </w:r>
                          <w:r>
                            <w:rPr>
                              <w:spacing w:val="-4"/>
                              <w:sz w:val="19"/>
                            </w:rPr>
                            <w:t xml:space="preserve"> </w:t>
                          </w:r>
                          <w:r>
                            <w:rPr>
                              <w:i/>
                              <w:sz w:val="19"/>
                            </w:rPr>
                            <w:t>Aquatic</w:t>
                          </w:r>
                          <w:r>
                            <w:rPr>
                              <w:i/>
                              <w:spacing w:val="-5"/>
                              <w:sz w:val="19"/>
                            </w:rPr>
                            <w:t xml:space="preserve"> </w:t>
                          </w:r>
                          <w:r>
                            <w:rPr>
                              <w:i/>
                              <w:sz w:val="19"/>
                            </w:rPr>
                            <w:t>Animal</w:t>
                          </w:r>
                          <w:r>
                            <w:rPr>
                              <w:i/>
                              <w:spacing w:val="-5"/>
                              <w:sz w:val="19"/>
                            </w:rPr>
                            <w:t xml:space="preserve"> </w:t>
                          </w:r>
                          <w:r>
                            <w:rPr>
                              <w:i/>
                              <w:sz w:val="19"/>
                            </w:rPr>
                            <w:t>Health</w:t>
                          </w:r>
                          <w:r>
                            <w:rPr>
                              <w:i/>
                              <w:spacing w:val="-4"/>
                              <w:sz w:val="19"/>
                            </w:rPr>
                            <w:t xml:space="preserve"> </w:t>
                          </w:r>
                          <w:r>
                            <w:rPr>
                              <w:i/>
                              <w:sz w:val="19"/>
                            </w:rPr>
                            <w:t>Code</w:t>
                          </w:r>
                          <w:r>
                            <w:rPr>
                              <w:i/>
                              <w:spacing w:val="-5"/>
                              <w:sz w:val="19"/>
                            </w:rPr>
                            <w:t xml:space="preserve"> </w:t>
                          </w:r>
                          <w:r>
                            <w:rPr>
                              <w:i/>
                              <w:sz w:val="19"/>
                            </w:rPr>
                            <w:t>-</w:t>
                          </w:r>
                          <w:r>
                            <w:rPr>
                              <w:i/>
                              <w:spacing w:val="-5"/>
                              <w:sz w:val="19"/>
                            </w:rPr>
                            <w:t xml:space="preserve"> </w:t>
                          </w:r>
                          <w:r>
                            <w:rPr>
                              <w:sz w:val="19"/>
                            </w:rPr>
                            <w:t>11/09/2019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6B3A6" id="Text Box 7" o:spid="_x0000_s1027" type="#_x0000_t202" style="position:absolute;margin-left:297.55pt;margin-top:797.6pt;width:233.55pt;height:11.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CiSsgIAALAFAAAOAAAAZHJzL2Uyb0RvYy54bWysVNuOmzAQfa/Uf7D8znIpIYCWrHZDqCpt&#10;L9JuP8ABE6yCTW0nsK367x2bkGx2X6q2PFiDPT5zZuZ4rm/GrkUHKhUTPMP+lYcR5aWoGN9l+Otj&#10;4cQYKU14RVrBaYafqMI3q7dvroc+pYFoRFtRiQCEq3ToM9xo3aeuq8qGdkRdiZ5yOKyF7IiGX7lz&#10;K0kGQO9aN/C8yB2ErHopSqoU7ObTIV5Z/Lqmpf5c14pq1GYYuGm7Srtuzequrkm6k6RvWHmkQf6C&#10;RUcYh6AnqJxogvaSvYLqWCmFErW+KkXnirpmJbU5QDa+9yKbh4b01OYCxVH9qUzq/8GWnw5fJGJV&#10;hpcYcdJBix7pqNGdGNHSVGfoVQpODz246RG2ocs2U9Xfi/KbQlysG8J39FZKMTSUVMDONzfdZ1cn&#10;HGVAtsNHUUEYstfCAo217EzpoBgI0KFLT6fOGColbAZJFHnxAqMSzvwwXiS2dS5J59u9VPo9FR0y&#10;RoYldN6ik8O90oYNSWcXE4yLgrWt7X7LLzbAcdqB2HDVnBkWtpk/Ey/ZxJs4dMIg2jihl+fObbEO&#10;najwl4v8Xb5e5/4vE9cP04ZVFeUmzCwsP/yzxh0lPkniJC0lWlYZOENJyd123Up0ICDswn625nBy&#10;dnMvadgiQC4vUvKD0LsLEqeI4qUTFuHCSZZe7Hh+cpdEXpiEeXGZ0j3j9N9TQkOGk0WwmMR0Jv0i&#10;N89+r3Mjacc0jI6WdRmOT04kNRLc8Mq2VhPWTvazUhj651JAu+dGW8EajU5q1eN2tC/DqtmIeSuq&#10;J1CwFCAwkCmMPTAaIX9gNMAIybD6vieSYtR+4PAKzLyZDTkb29kgvISrGdYYTeZaT3Np30u2awB5&#10;emdc3MJLqZkV8ZnF8X3BWLC5HEeYmTvP/63XedCufgMAAP//AwBQSwMEFAAGAAgAAAAhAFYWtiHg&#10;AAAADgEAAA8AAABkcnMvZG93bnJldi54bWxMj8FqwzAQRO+F/oPYQm+NZENE4loOobSnQqjjHHqU&#10;LcU2sVaupSTO33dzam+zzGN2Jt/MbmAXO4Xeo4JkIYBZbLzpsVVwqD5eVsBC1Gj04NEquNkAm+Lx&#10;IdeZ8Vcs7WUfW0YhGDKtoItxzDgPTWedDgs/WiTv6CenI51Ty82krxTuBp4KIbnTPdKHTo/2rbPN&#10;aX92CrbfWL73P7v6qzyWfVWtBX7Kk1LPT/P2FVi0c/yD4V6fqkNBnWp/RhPYoGC5XiaEkkEqBXZH&#10;hExJ1aRkspLAi5z/n1H8AgAA//8DAFBLAQItABQABgAIAAAAIQC2gziS/gAAAOEBAAATAAAAAAAA&#10;AAAAAAAAAAAAAABbQ29udGVudF9UeXBlc10ueG1sUEsBAi0AFAAGAAgAAAAhADj9If/WAAAAlAEA&#10;AAsAAAAAAAAAAAAAAAAALwEAAF9yZWxzLy5yZWxzUEsBAi0AFAAGAAgAAAAhAMOAKJKyAgAAsAUA&#10;AA4AAAAAAAAAAAAAAAAALgIAAGRycy9lMm9Eb2MueG1sUEsBAi0AFAAGAAgAAAAhAFYWtiHgAAAA&#10;DgEAAA8AAAAAAAAAAAAAAAAADAUAAGRycy9kb3ducmV2LnhtbFBLBQYAAAAABAAEAPMAAAAZBgAA&#10;AAA=&#10;" filled="f" stroked="f">
              <v:textbox inset="0,0,0,0">
                <w:txbxContent>
                  <w:p w14:paraId="052AB5D8" w14:textId="77777777" w:rsidR="001942A9" w:rsidRDefault="001942A9">
                    <w:pPr>
                      <w:spacing w:line="203" w:lineRule="exact"/>
                      <w:ind w:left="20"/>
                      <w:rPr>
                        <w:sz w:val="19"/>
                      </w:rPr>
                    </w:pPr>
                    <w:r>
                      <w:rPr>
                        <w:sz w:val="19"/>
                      </w:rPr>
                      <w:t>2019</w:t>
                    </w:r>
                    <w:r>
                      <w:rPr>
                        <w:spacing w:val="-5"/>
                        <w:sz w:val="19"/>
                      </w:rPr>
                      <w:t xml:space="preserve"> </w:t>
                    </w:r>
                    <w:r>
                      <w:rPr>
                        <w:sz w:val="19"/>
                      </w:rPr>
                      <w:t>©</w:t>
                    </w:r>
                    <w:r>
                      <w:rPr>
                        <w:spacing w:val="-5"/>
                        <w:sz w:val="19"/>
                      </w:rPr>
                      <w:t xml:space="preserve"> </w:t>
                    </w:r>
                    <w:r>
                      <w:rPr>
                        <w:sz w:val="19"/>
                      </w:rPr>
                      <w:t>OIE</w:t>
                    </w:r>
                    <w:r>
                      <w:rPr>
                        <w:spacing w:val="-5"/>
                        <w:sz w:val="19"/>
                      </w:rPr>
                      <w:t xml:space="preserve"> </w:t>
                    </w:r>
                    <w:r>
                      <w:rPr>
                        <w:sz w:val="19"/>
                      </w:rPr>
                      <w:t>-</w:t>
                    </w:r>
                    <w:r>
                      <w:rPr>
                        <w:spacing w:val="-4"/>
                        <w:sz w:val="19"/>
                      </w:rPr>
                      <w:t xml:space="preserve"> </w:t>
                    </w:r>
                    <w:r>
                      <w:rPr>
                        <w:i/>
                        <w:sz w:val="19"/>
                      </w:rPr>
                      <w:t>Aquatic</w:t>
                    </w:r>
                    <w:r>
                      <w:rPr>
                        <w:i/>
                        <w:spacing w:val="-5"/>
                        <w:sz w:val="19"/>
                      </w:rPr>
                      <w:t xml:space="preserve"> </w:t>
                    </w:r>
                    <w:r>
                      <w:rPr>
                        <w:i/>
                        <w:sz w:val="19"/>
                      </w:rPr>
                      <w:t>Animal</w:t>
                    </w:r>
                    <w:r>
                      <w:rPr>
                        <w:i/>
                        <w:spacing w:val="-5"/>
                        <w:sz w:val="19"/>
                      </w:rPr>
                      <w:t xml:space="preserve"> </w:t>
                    </w:r>
                    <w:r>
                      <w:rPr>
                        <w:i/>
                        <w:sz w:val="19"/>
                      </w:rPr>
                      <w:t>Health</w:t>
                    </w:r>
                    <w:r>
                      <w:rPr>
                        <w:i/>
                        <w:spacing w:val="-4"/>
                        <w:sz w:val="19"/>
                      </w:rPr>
                      <w:t xml:space="preserve"> </w:t>
                    </w:r>
                    <w:r>
                      <w:rPr>
                        <w:i/>
                        <w:sz w:val="19"/>
                      </w:rPr>
                      <w:t>Code</w:t>
                    </w:r>
                    <w:r>
                      <w:rPr>
                        <w:i/>
                        <w:spacing w:val="-5"/>
                        <w:sz w:val="19"/>
                      </w:rPr>
                      <w:t xml:space="preserve"> </w:t>
                    </w:r>
                    <w:r>
                      <w:rPr>
                        <w:i/>
                        <w:sz w:val="19"/>
                      </w:rPr>
                      <w:t>-</w:t>
                    </w:r>
                    <w:r>
                      <w:rPr>
                        <w:i/>
                        <w:spacing w:val="-5"/>
                        <w:sz w:val="19"/>
                      </w:rPr>
                      <w:t xml:space="preserve"> </w:t>
                    </w:r>
                    <w:r>
                      <w:rPr>
                        <w:sz w:val="19"/>
                      </w:rPr>
                      <w:t>11/09/2019</w:t>
                    </w:r>
                  </w:p>
                </w:txbxContent>
              </v:textbox>
              <w10:wrap anchorx="page" anchory="page"/>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26ECB" w14:textId="77777777" w:rsidR="001942A9" w:rsidRPr="00983DC1" w:rsidRDefault="001942A9" w:rsidP="00983DC1">
    <w:pPr>
      <w:tabs>
        <w:tab w:val="center" w:pos="4536"/>
        <w:tab w:val="right" w:pos="9072"/>
      </w:tabs>
      <w:overflowPunct w:val="0"/>
      <w:adjustRightInd w:val="0"/>
      <w:spacing w:after="0" w:line="240" w:lineRule="auto"/>
      <w:textAlignment w:val="baseline"/>
      <w:rPr>
        <w:rFonts w:ascii="Arial" w:hAnsi="Arial" w:cs="Arial"/>
      </w:rPr>
    </w:pPr>
    <w:r w:rsidRPr="00983DC1">
      <w:rPr>
        <w:rFonts w:ascii="Arial" w:hAnsi="Arial" w:cs="Arial"/>
        <w:i/>
        <w:sz w:val="18"/>
        <w:szCs w:val="18"/>
        <w:lang w:eastAsia="en-GB"/>
      </w:rPr>
      <w:t>OIE Aquatic Animal Health Standards Commission/September 2019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D2D1C" w14:textId="77777777" w:rsidR="001942A9" w:rsidRDefault="001942A9">
    <w:pPr>
      <w:pStyle w:val="a8"/>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6BF90" w14:textId="77777777" w:rsidR="001942A9" w:rsidRPr="009F1AE5"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9885B" w14:textId="77777777" w:rsidR="001942A9" w:rsidRPr="009F1AE5"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 xml:space="preserve">September </w:t>
    </w:r>
    <w:r w:rsidRPr="00AE20F6">
      <w:rPr>
        <w:rFonts w:ascii="Arial" w:eastAsia="Malgun Gothic" w:hAnsi="Arial" w:cs="Arial"/>
        <w:i/>
        <w:sz w:val="18"/>
        <w:szCs w:val="18"/>
        <w:lang w:val="en-US"/>
      </w:rPr>
      <w:t>201</w:t>
    </w:r>
    <w:r>
      <w:rPr>
        <w:rFonts w:ascii="Arial" w:eastAsia="Malgun Gothic" w:hAnsi="Arial" w:cs="Arial"/>
        <w:i/>
        <w:sz w:val="18"/>
        <w:szCs w:val="18"/>
        <w:lang w:val="en-US"/>
      </w:rPr>
      <w:t>9</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487FA1" w14:textId="77777777" w:rsidR="001942A9" w:rsidRPr="009F1AE5"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0DDC4" w14:textId="77777777" w:rsidR="001942A9" w:rsidRPr="009F1AE5"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C2B5EB" w14:textId="77777777" w:rsidR="001942A9" w:rsidRPr="009F1AE5"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41626" w14:textId="77777777" w:rsidR="001942A9" w:rsidRDefault="001942A9" w:rsidP="00C7266C">
    <w:pPr>
      <w:pStyle w:val="a8"/>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4D476" w14:textId="77777777" w:rsidR="001942A9" w:rsidRPr="009F1AE5"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523BC" w14:textId="77777777" w:rsidR="001942A9" w:rsidRPr="00B8567F" w:rsidRDefault="001942A9" w:rsidP="00C7266C">
    <w:pPr>
      <w:widowControl w:val="0"/>
      <w:tabs>
        <w:tab w:val="center" w:pos="4536"/>
        <w:tab w:val="right" w:pos="9072"/>
      </w:tabs>
      <w:rPr>
        <w:rFonts w:ascii="Arial" w:eastAsia="Calibri" w:hAnsi="Arial" w:cs="Arial"/>
        <w:lang w:val="en-US"/>
      </w:rPr>
    </w:pPr>
    <w:r w:rsidRPr="009E2A9B">
      <w:rPr>
        <w:rFonts w:ascii="Arial" w:eastAsia="Calibri" w:hAnsi="Arial" w:cs="Arial"/>
        <w:i/>
        <w:sz w:val="18"/>
        <w:szCs w:val="18"/>
        <w:lang w:val="en-US"/>
      </w:rPr>
      <w:t>OIE Aquatic Animal Health Standards Commission/</w:t>
    </w:r>
    <w:r w:rsidRPr="0063674A">
      <w:rPr>
        <w:rFonts w:ascii="Arial" w:eastAsia="Malgun Gothic" w:hAnsi="Arial" w:cs="Arial"/>
        <w:i/>
        <w:sz w:val="18"/>
        <w:szCs w:val="18"/>
        <w:lang w:val="en-US"/>
      </w:rPr>
      <w:t xml:space="preserve"> </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385B4" w14:textId="77777777" w:rsidR="001942A9" w:rsidRPr="009F1AE5" w:rsidRDefault="001942A9" w:rsidP="00C7266C">
    <w:pPr>
      <w:widowControl w:val="0"/>
      <w:tabs>
        <w:tab w:val="center" w:pos="4536"/>
        <w:tab w:val="right" w:pos="9072"/>
      </w:tabs>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27A57" w14:textId="77777777" w:rsidR="001942A9" w:rsidRPr="005D0BAB"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67C0E" w14:textId="77777777" w:rsidR="001942A9" w:rsidRPr="005D0BAB"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B75D9" w14:textId="77777777" w:rsidR="001942A9" w:rsidRPr="005D0BAB"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363AC" w14:textId="77777777" w:rsidR="001942A9" w:rsidRPr="005D0BAB"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6C5C1" w14:textId="77777777" w:rsidR="001942A9" w:rsidRPr="005D0BAB"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9CD04" w14:textId="77777777" w:rsidR="001942A9" w:rsidRPr="00436026"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D9F76" w14:textId="77777777" w:rsidR="001942A9" w:rsidRPr="00436026"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19B14" w14:textId="77777777" w:rsidR="001942A9" w:rsidRPr="00436026"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CC49F" w14:textId="77777777" w:rsidR="001942A9" w:rsidRPr="00436026"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E93A3" w14:textId="77777777" w:rsidR="001942A9" w:rsidRPr="00436026"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F3E6CC" w14:textId="77777777" w:rsidR="001942A9" w:rsidRPr="006502AF" w:rsidRDefault="001942A9" w:rsidP="001942A9">
    <w:pPr>
      <w:tabs>
        <w:tab w:val="center" w:pos="4536"/>
        <w:tab w:val="right" w:pos="9072"/>
      </w:tabs>
      <w:overflowPunct w:val="0"/>
      <w:autoSpaceDE w:val="0"/>
      <w:autoSpaceDN w:val="0"/>
      <w:adjustRightInd w:val="0"/>
      <w:spacing w:after="0"/>
      <w:jc w:val="right"/>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82617" w14:textId="77777777" w:rsidR="001942A9" w:rsidRPr="006502AF" w:rsidRDefault="001942A9" w:rsidP="001942A9">
    <w:pPr>
      <w:tabs>
        <w:tab w:val="center" w:pos="4536"/>
        <w:tab w:val="right" w:pos="9072"/>
      </w:tabs>
      <w:overflowPunct w:val="0"/>
      <w:autoSpaceDE w:val="0"/>
      <w:autoSpaceDN w:val="0"/>
      <w:adjustRightInd w:val="0"/>
      <w:spacing w:after="0"/>
      <w:textAlignment w:val="baseline"/>
      <w:rPr>
        <w:lang w:val="en-US"/>
      </w:rPr>
    </w:pPr>
    <w:r w:rsidRPr="006E4078">
      <w:rPr>
        <w:rFonts w:ascii="Arial" w:hAnsi="Arial" w:cs="Arial"/>
        <w:i/>
        <w:sz w:val="18"/>
        <w:szCs w:val="18"/>
        <w:lang w:val="en-US" w:eastAsia="en-GB"/>
      </w:rPr>
      <w:t xml:space="preserve">OIE </w:t>
    </w:r>
    <w:r>
      <w:rPr>
        <w:rFonts w:ascii="Arial" w:hAnsi="Arial" w:cs="Arial"/>
        <w:i/>
        <w:sz w:val="18"/>
        <w:szCs w:val="18"/>
        <w:lang w:val="en-US" w:eastAsia="en-GB"/>
      </w:rPr>
      <w:t>Aquatic</w:t>
    </w:r>
    <w:r w:rsidRPr="006E4078">
      <w:rPr>
        <w:rFonts w:ascii="Arial" w:hAnsi="Arial" w:cs="Arial"/>
        <w:i/>
        <w:sz w:val="18"/>
        <w:szCs w:val="18"/>
        <w:lang w:val="en-US" w:eastAsia="en-GB"/>
      </w:rPr>
      <w:t xml:space="preserve"> Animal Health Standards Commission/September 201</w:t>
    </w:r>
    <w:r>
      <w:rPr>
        <w:rFonts w:ascii="Arial" w:hAnsi="Arial" w:cs="Arial"/>
        <w:i/>
        <w:sz w:val="18"/>
        <w:szCs w:val="18"/>
        <w:lang w:val="en-US" w:eastAsia="en-GB"/>
      </w:rPr>
      <w:t>9</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BC77E" w14:textId="77777777" w:rsidR="001942A9" w:rsidRPr="000020BA" w:rsidRDefault="001942A9" w:rsidP="00C7266C">
    <w:pPr>
      <w:widowControl w:val="0"/>
      <w:tabs>
        <w:tab w:val="center" w:pos="4536"/>
        <w:tab w:val="right" w:pos="9072"/>
      </w:tabs>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83F27" w14:textId="77777777" w:rsidR="001942A9" w:rsidRPr="000020BA"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80D1" w14:textId="77777777" w:rsidR="001942A9" w:rsidRPr="00131CDC" w:rsidRDefault="001942A9" w:rsidP="00C7266C">
    <w:pPr>
      <w:widowControl w:val="0"/>
      <w:tabs>
        <w:tab w:val="center" w:pos="4536"/>
        <w:tab w:val="right" w:pos="9072"/>
      </w:tabs>
      <w:jc w:val="right"/>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2018</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4D17B" w14:textId="77777777" w:rsidR="001942A9" w:rsidRPr="00131CDC" w:rsidRDefault="001942A9" w:rsidP="001942A9">
    <w:pPr>
      <w:widowControl w:val="0"/>
      <w:tabs>
        <w:tab w:val="center" w:pos="4536"/>
        <w:tab w:val="right" w:pos="9072"/>
      </w:tabs>
      <w:spacing w:after="0"/>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2019</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9A4AD" w14:textId="77777777" w:rsidR="001942A9" w:rsidRPr="000020BA" w:rsidRDefault="001942A9" w:rsidP="00C7266C">
    <w:pPr>
      <w:pStyle w:val="a8"/>
      <w:rPr>
        <w:rFonts w:eastAsia="Calibri"/>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812F1" w14:textId="77777777" w:rsidR="001942A9" w:rsidRPr="00131CDC" w:rsidRDefault="001942A9" w:rsidP="001942A9">
    <w:pPr>
      <w:widowControl w:val="0"/>
      <w:tabs>
        <w:tab w:val="center" w:pos="4536"/>
        <w:tab w:val="right" w:pos="9072"/>
      </w:tabs>
      <w:spacing w:after="0"/>
      <w:jc w:val="right"/>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2019</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FFB9A" w14:textId="77777777" w:rsidR="001942A9" w:rsidRPr="000020BA"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E6DAB" w14:textId="77777777" w:rsidR="001942A9" w:rsidRPr="00131CDC" w:rsidRDefault="001942A9" w:rsidP="00C7266C">
    <w:pPr>
      <w:widowControl w:val="0"/>
      <w:tabs>
        <w:tab w:val="center" w:pos="4536"/>
        <w:tab w:val="right" w:pos="9072"/>
      </w:tabs>
      <w:jc w:val="right"/>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2018</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3DDD2" w14:textId="77777777" w:rsidR="001942A9" w:rsidRPr="00131CDC" w:rsidRDefault="001942A9" w:rsidP="001942A9">
    <w:pPr>
      <w:widowControl w:val="0"/>
      <w:tabs>
        <w:tab w:val="center" w:pos="4536"/>
        <w:tab w:val="right" w:pos="9072"/>
      </w:tabs>
      <w:spacing w:after="0"/>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2019</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07F36" w14:textId="77777777" w:rsidR="001942A9" w:rsidRPr="00131CDC" w:rsidRDefault="001942A9" w:rsidP="001942A9">
    <w:pPr>
      <w:widowControl w:val="0"/>
      <w:tabs>
        <w:tab w:val="center" w:pos="4536"/>
        <w:tab w:val="right" w:pos="9072"/>
      </w:tabs>
      <w:spacing w:after="0"/>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2019</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11934" w14:textId="77777777" w:rsidR="001942A9" w:rsidRPr="00D6163A" w:rsidRDefault="001942A9" w:rsidP="00C7266C">
    <w:pPr>
      <w:pStyle w:val="a8"/>
      <w:rPr>
        <w:rFonts w:eastAsia="Calibri"/>
      </w:rP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9FE26" w14:textId="77777777" w:rsidR="001942A9" w:rsidRPr="00131CDC" w:rsidRDefault="001942A9" w:rsidP="00C7266C">
    <w:pPr>
      <w:widowControl w:val="0"/>
      <w:tabs>
        <w:tab w:val="center" w:pos="4536"/>
        <w:tab w:val="right" w:pos="9072"/>
      </w:tabs>
      <w:jc w:val="right"/>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2018</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E130E" w14:textId="77777777" w:rsidR="001942A9" w:rsidRPr="00131CDC" w:rsidRDefault="001942A9" w:rsidP="001942A9">
    <w:pPr>
      <w:widowControl w:val="0"/>
      <w:tabs>
        <w:tab w:val="center" w:pos="4536"/>
        <w:tab w:val="right" w:pos="9072"/>
      </w:tabs>
      <w:spacing w:after="0"/>
      <w:rPr>
        <w:rFonts w:ascii="Arial" w:eastAsia="Calibri" w:hAnsi="Arial" w:cs="Arial"/>
        <w:lang w:val="en-US"/>
      </w:rPr>
    </w:pPr>
    <w:r w:rsidRPr="00131CDC">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 2019</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DF3C1" w14:textId="77777777" w:rsidR="001942A9" w:rsidRPr="00D1621C"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3B742" w14:textId="77777777" w:rsidR="001942A9" w:rsidRPr="00D1621C" w:rsidRDefault="001942A9" w:rsidP="001942A9">
    <w:pPr>
      <w:widowControl w:val="0"/>
      <w:tabs>
        <w:tab w:val="center" w:pos="4536"/>
        <w:tab w:val="right" w:pos="9072"/>
      </w:tabs>
      <w:spacing w:after="0"/>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3CD49" w14:textId="77777777" w:rsidR="001942A9" w:rsidRPr="00D1621C" w:rsidRDefault="001942A9" w:rsidP="001942A9">
    <w:pPr>
      <w:widowControl w:val="0"/>
      <w:tabs>
        <w:tab w:val="center" w:pos="4536"/>
        <w:tab w:val="right" w:pos="9072"/>
      </w:tabs>
      <w:spacing w:after="0"/>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0BB18" w14:textId="77777777" w:rsidR="001942A9" w:rsidRPr="00451F5E" w:rsidRDefault="001942A9" w:rsidP="001942A9">
    <w:pPr>
      <w:widowControl w:val="0"/>
      <w:tabs>
        <w:tab w:val="center" w:pos="4536"/>
        <w:tab w:val="right" w:pos="9072"/>
      </w:tabs>
      <w:spacing w:after="0"/>
      <w:rPr>
        <w:rFonts w:ascii="Arial" w:hAnsi="Arial" w:cs="Arial"/>
        <w:lang w:val="en-US"/>
      </w:rPr>
    </w:pPr>
    <w:r w:rsidRPr="00451F5E">
      <w:rPr>
        <w:rFonts w:ascii="Arial" w:hAnsi="Arial" w:cs="Arial"/>
        <w:i/>
        <w:sz w:val="18"/>
        <w:szCs w:val="18"/>
        <w:lang w:val="en-US"/>
      </w:rPr>
      <w:t>OIE Aquatic Animal Health Standards Commission/</w:t>
    </w:r>
    <w:r>
      <w:rPr>
        <w:rFonts w:ascii="Arial" w:eastAsia="Malgun Gothic" w:hAnsi="Arial" w:cs="Arial"/>
        <w:i/>
        <w:sz w:val="18"/>
        <w:szCs w:val="18"/>
        <w:lang w:val="en-US"/>
      </w:rPr>
      <w:t>September 2019</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38904" w14:textId="77777777" w:rsidR="001942A9" w:rsidRPr="00080C27" w:rsidRDefault="001942A9" w:rsidP="00C7266C">
    <w:pPr>
      <w:widowControl w:val="0"/>
      <w:tabs>
        <w:tab w:val="center" w:pos="4536"/>
        <w:tab w:val="right" w:pos="9072"/>
      </w:tabs>
      <w:spacing w:after="0" w:line="240" w:lineRule="auto"/>
      <w:jc w:val="right"/>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6905C" w14:textId="77777777" w:rsidR="001942A9" w:rsidRPr="00080C27" w:rsidRDefault="001942A9" w:rsidP="00C7266C">
    <w:pPr>
      <w:widowControl w:val="0"/>
      <w:tabs>
        <w:tab w:val="center" w:pos="4536"/>
        <w:tab w:val="right" w:pos="9072"/>
      </w:tabs>
      <w:spacing w:after="0" w:line="240" w:lineRule="auto"/>
      <w:rPr>
        <w:rFonts w:ascii="Arial" w:eastAsia="Calibri" w:hAnsi="Arial" w:cs="Arial"/>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September</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0D326" w14:textId="77777777" w:rsidR="001942A9" w:rsidRDefault="001942A9" w:rsidP="001041C6">
    <w:pPr>
      <w:widowControl w:val="0"/>
      <w:pBdr>
        <w:top w:val="single" w:sz="1" w:space="4" w:color="000000"/>
      </w:pBdr>
      <w:tabs>
        <w:tab w:val="left" w:pos="283"/>
      </w:tabs>
      <w:suppressAutoHyphens/>
      <w:spacing w:before="1" w:after="60" w:line="276" w:lineRule="auto"/>
      <w:ind w:left="283" w:right="1" w:hanging="281"/>
      <w:jc w:val="both"/>
      <w:rPr>
        <w:rFonts w:ascii="Century" w:eastAsia="Calibri" w:hAnsi="Century"/>
        <w:b/>
        <w:color w:val="000000"/>
        <w:spacing w:val="20"/>
        <w:w w:val="120"/>
        <w:sz w:val="16"/>
        <w:lang w:val="en-US" w:eastAsia="ar-SA"/>
      </w:rPr>
    </w:pPr>
    <w:r w:rsidRPr="00737851">
      <w:rPr>
        <w:rFonts w:ascii="Century" w:eastAsia="Calibri" w:hAnsi="Century"/>
        <w:b/>
        <w:color w:val="000000"/>
        <w:spacing w:val="20"/>
        <w:sz w:val="16"/>
        <w:lang w:val="en-US" w:eastAsia="ar-SA"/>
      </w:rPr>
      <w:t>©</w:t>
    </w:r>
    <w:r w:rsidRPr="00737851">
      <w:rPr>
        <w:rFonts w:ascii="Century" w:eastAsia="Calibri" w:hAnsi="Century"/>
        <w:b/>
        <w:color w:val="000000"/>
        <w:spacing w:val="20"/>
        <w:sz w:val="16"/>
        <w:lang w:val="en-US" w:eastAsia="ar-SA"/>
      </w:rPr>
      <w:tab/>
    </w:r>
    <w:r w:rsidRPr="00737851">
      <w:rPr>
        <w:rFonts w:ascii="Century" w:eastAsia="Calibri" w:hAnsi="Century"/>
        <w:b/>
        <w:bCs/>
        <w:spacing w:val="20"/>
        <w:sz w:val="16"/>
        <w:szCs w:val="16"/>
        <w:lang w:val="en-US" w:eastAsia="ar-SA"/>
      </w:rPr>
      <w:t>World Organisation for Animal Health</w:t>
    </w:r>
    <w:r w:rsidRPr="00737851">
      <w:rPr>
        <w:rFonts w:ascii="Century" w:eastAsia="Calibri" w:hAnsi="Century"/>
        <w:b/>
        <w:color w:val="000000"/>
        <w:spacing w:val="20"/>
        <w:w w:val="120"/>
        <w:sz w:val="16"/>
        <w:lang w:val="en-US" w:eastAsia="ar-SA"/>
      </w:rPr>
      <w:t xml:space="preserve"> (OIE), 201</w:t>
    </w:r>
    <w:r>
      <w:rPr>
        <w:rFonts w:ascii="Century" w:eastAsia="Calibri" w:hAnsi="Century"/>
        <w:b/>
        <w:color w:val="000000"/>
        <w:spacing w:val="20"/>
        <w:w w:val="120"/>
        <w:sz w:val="16"/>
        <w:lang w:val="en-US" w:eastAsia="ar-SA"/>
      </w:rPr>
      <w:t>9</w:t>
    </w:r>
  </w:p>
  <w:p w14:paraId="6BB143F3" w14:textId="77777777" w:rsidR="001942A9" w:rsidRPr="00737851" w:rsidRDefault="001942A9" w:rsidP="001041C6">
    <w:pPr>
      <w:widowControl w:val="0"/>
      <w:pBdr>
        <w:top w:val="single" w:sz="1" w:space="4" w:color="000000"/>
      </w:pBdr>
      <w:tabs>
        <w:tab w:val="left" w:pos="283"/>
      </w:tabs>
      <w:suppressAutoHyphens/>
      <w:spacing w:before="1" w:after="60" w:line="276" w:lineRule="auto"/>
      <w:ind w:left="283" w:right="1" w:firstLine="1"/>
      <w:jc w:val="both"/>
      <w:rPr>
        <w:rFonts w:ascii="Century" w:eastAsia="Calibri" w:hAnsi="Century"/>
        <w:spacing w:val="20"/>
        <w:sz w:val="16"/>
        <w:szCs w:val="16"/>
        <w:lang w:val="en-IE" w:eastAsia="ar-SA"/>
      </w:rPr>
    </w:pPr>
    <w:r w:rsidRPr="00737851">
      <w:rPr>
        <w:rFonts w:ascii="Century" w:eastAsia="Calibri" w:hAnsi="Century"/>
        <w:spacing w:val="20"/>
        <w:sz w:val="16"/>
        <w:szCs w:val="16"/>
        <w:lang w:val="en-IE" w:eastAsia="ar-SA"/>
      </w:rPr>
      <w:t xml:space="preserve">This document has been prepared by specialists convened by the </w:t>
    </w:r>
    <w:r w:rsidRPr="00737851">
      <w:rPr>
        <w:rFonts w:ascii="Century" w:eastAsia="Calibri" w:hAnsi="Century"/>
        <w:spacing w:val="20"/>
        <w:sz w:val="16"/>
        <w:szCs w:val="16"/>
        <w:lang w:val="en-US" w:eastAsia="ar-SA"/>
      </w:rPr>
      <w:t>World Organisation for Animal Health</w:t>
    </w:r>
    <w:r w:rsidRPr="00737851">
      <w:rPr>
        <w:rFonts w:ascii="Century" w:eastAsia="Calibri" w:hAnsi="Century"/>
        <w:spacing w:val="20"/>
        <w:sz w:val="16"/>
        <w:szCs w:val="16"/>
        <w:lang w:val="en-IE" w:eastAsia="ar-SA"/>
      </w:rPr>
      <w:t xml:space="preserve"> (OIE). Pending adoption by the World Assembly of Delegates, </w:t>
    </w:r>
    <w:r w:rsidRPr="00737851">
      <w:rPr>
        <w:rFonts w:ascii="Century" w:eastAsia="Calibri" w:hAnsi="Century"/>
        <w:spacing w:val="20"/>
        <w:sz w:val="16"/>
        <w:szCs w:val="16"/>
        <w:lang w:val="en-US" w:eastAsia="ar-SA"/>
      </w:rPr>
      <w:t>the</w:t>
    </w:r>
    <w:r w:rsidRPr="00737851">
      <w:rPr>
        <w:rFonts w:ascii="Century" w:eastAsia="Calibri" w:hAnsi="Century"/>
        <w:spacing w:val="20"/>
        <w:sz w:val="16"/>
        <w:szCs w:val="16"/>
        <w:lang w:val="en-IE" w:eastAsia="ar-SA"/>
      </w:rPr>
      <w:t xml:space="preserve"> views expressed herein can only be construed as those of these specialists.</w:t>
    </w:r>
  </w:p>
  <w:p w14:paraId="0A88B7BE" w14:textId="77777777" w:rsidR="001942A9" w:rsidRPr="00737851" w:rsidRDefault="001942A9" w:rsidP="001041C6">
    <w:pPr>
      <w:widowControl w:val="0"/>
      <w:suppressAutoHyphens/>
      <w:spacing w:after="60" w:line="276" w:lineRule="auto"/>
      <w:ind w:left="283"/>
      <w:jc w:val="both"/>
      <w:rPr>
        <w:rFonts w:ascii="Century" w:eastAsia="Calibri" w:hAnsi="Century"/>
        <w:spacing w:val="20"/>
        <w:sz w:val="16"/>
        <w:szCs w:val="16"/>
        <w:lang w:val="en-US" w:eastAsia="ar-SA"/>
      </w:rPr>
    </w:pPr>
    <w:r w:rsidRPr="00737851">
      <w:rPr>
        <w:rFonts w:ascii="Century" w:eastAsia="Calibri" w:hAnsi="Century"/>
        <w:spacing w:val="20"/>
        <w:sz w:val="16"/>
        <w:szCs w:val="16"/>
        <w:lang w:val="en-US" w:eastAsia="ar-SA"/>
      </w:rPr>
      <w:t xml:space="preserve">All OIE publications are protected by international copyright law. Extracts may be copied, reproduced, translated, adapted or published in journals, documents, books, electronic media and any other medium destined for the public, for information, educational or commercial purposes, provided prior written permission has been granted by the OIE. </w:t>
    </w:r>
  </w:p>
  <w:p w14:paraId="39FDAE3E" w14:textId="77777777" w:rsidR="001942A9" w:rsidRPr="00737851" w:rsidRDefault="001942A9" w:rsidP="001041C6">
    <w:pPr>
      <w:widowControl w:val="0"/>
      <w:suppressAutoHyphens/>
      <w:spacing w:after="60" w:line="276" w:lineRule="auto"/>
      <w:ind w:left="283"/>
      <w:jc w:val="both"/>
      <w:rPr>
        <w:rFonts w:ascii="Century" w:eastAsia="Calibri" w:hAnsi="Century"/>
        <w:spacing w:val="20"/>
        <w:sz w:val="16"/>
        <w:szCs w:val="16"/>
        <w:lang w:val="en-US" w:eastAsia="ar-SA"/>
      </w:rPr>
    </w:pPr>
    <w:r w:rsidRPr="00737851">
      <w:rPr>
        <w:rFonts w:ascii="Century" w:eastAsia="Calibri" w:hAnsi="Century"/>
        <w:spacing w:val="20"/>
        <w:sz w:val="16"/>
        <w:szCs w:val="16"/>
        <w:lang w:val="en-US" w:eastAsia="ar-SA"/>
      </w:rPr>
      <w:t>The designations and denominations employed and the presentation of the material in this publication do not imply the expression of any opinion whatsoever on the part of the OIE concerning the legal status of any country, territory, city or area or of its authorities, or concerning the delimitation of its frontiers and boundaries.</w:t>
    </w:r>
  </w:p>
  <w:p w14:paraId="54125F88" w14:textId="77777777" w:rsidR="001942A9" w:rsidRPr="00737851" w:rsidRDefault="001942A9" w:rsidP="001041C6">
    <w:pPr>
      <w:widowControl w:val="0"/>
      <w:suppressAutoHyphens/>
      <w:spacing w:after="60" w:line="276" w:lineRule="auto"/>
      <w:ind w:left="283"/>
      <w:jc w:val="both"/>
      <w:rPr>
        <w:rFonts w:ascii="Century" w:eastAsia="Calibri" w:hAnsi="Century"/>
        <w:spacing w:val="20"/>
        <w:sz w:val="16"/>
        <w:szCs w:val="16"/>
        <w:lang w:val="en-US" w:eastAsia="ar-SA"/>
      </w:rPr>
    </w:pPr>
    <w:r w:rsidRPr="00737851">
      <w:rPr>
        <w:rFonts w:ascii="Century" w:eastAsia="Calibri" w:hAnsi="Century"/>
        <w:spacing w:val="20"/>
        <w:sz w:val="16"/>
        <w:szCs w:val="16"/>
        <w:lang w:val="en-US" w:eastAsia="ar-SA"/>
      </w:rPr>
      <w:t>The views expressed in signed articles are solely the responsibility of the authors. The mention of specific companies or products of manufacturers, whether or not these have been patented, does not imply that these have been endorsed or recommended by the OIE in preference to others of a similar nature that are not mentioned.</w:t>
    </w:r>
  </w:p>
  <w:p w14:paraId="5A51B359" w14:textId="77777777" w:rsidR="001942A9" w:rsidRPr="004C573D" w:rsidRDefault="001942A9" w:rsidP="001041C6">
    <w:pPr>
      <w:pStyle w:val="a8"/>
      <w:rPr>
        <w:lang w:val="en-US"/>
      </w:rPr>
    </w:pPr>
  </w:p>
  <w:p w14:paraId="2ED0EE8B" w14:textId="205C2037" w:rsidR="001942A9" w:rsidRPr="001041C6" w:rsidRDefault="001942A9" w:rsidP="001041C6">
    <w:pPr>
      <w:pStyle w:val="a8"/>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8545A" w14:textId="77777777" w:rsidR="001942A9" w:rsidRDefault="001942A9" w:rsidP="00CD3C3E">
      <w:pPr>
        <w:spacing w:after="0" w:line="240" w:lineRule="auto"/>
      </w:pPr>
      <w:r>
        <w:separator/>
      </w:r>
    </w:p>
  </w:footnote>
  <w:footnote w:type="continuationSeparator" w:id="0">
    <w:p w14:paraId="7D3A7270" w14:textId="77777777" w:rsidR="001942A9" w:rsidRDefault="001942A9" w:rsidP="00CD3C3E">
      <w:pPr>
        <w:spacing w:after="0" w:line="240" w:lineRule="auto"/>
      </w:pPr>
      <w:r>
        <w:continuationSeparator/>
      </w:r>
    </w:p>
  </w:footnote>
  <w:footnote w:id="1">
    <w:p w14:paraId="4039DCD1" w14:textId="77777777" w:rsidR="001942A9" w:rsidRPr="004B2E54" w:rsidRDefault="001942A9" w:rsidP="00C26CFD">
      <w:pPr>
        <w:pStyle w:val="af4"/>
        <w:ind w:left="567" w:hanging="567"/>
        <w:rPr>
          <w:sz w:val="18"/>
          <w:szCs w:val="18"/>
          <w:lang w:val="en-IE"/>
        </w:rPr>
      </w:pPr>
      <w:r w:rsidRPr="000A2E34">
        <w:rPr>
          <w:rStyle w:val="af6"/>
          <w:sz w:val="18"/>
          <w:szCs w:val="18"/>
        </w:rPr>
        <w:footnoteRef/>
      </w:r>
      <w:r w:rsidRPr="000A2E34">
        <w:rPr>
          <w:sz w:val="18"/>
          <w:szCs w:val="18"/>
        </w:rPr>
        <w:t xml:space="preserve"> </w:t>
      </w:r>
      <w:r w:rsidRPr="004B2E54">
        <w:rPr>
          <w:sz w:val="18"/>
          <w:szCs w:val="18"/>
          <w:lang w:val="en-IE"/>
        </w:rPr>
        <w:tab/>
        <w:t xml:space="preserve">PCR: </w:t>
      </w:r>
      <w:r w:rsidRPr="000A2E34">
        <w:rPr>
          <w:sz w:val="18"/>
          <w:szCs w:val="18"/>
        </w:rPr>
        <w:t>polymerase chain reaction</w:t>
      </w:r>
    </w:p>
  </w:footnote>
  <w:footnote w:id="2">
    <w:p w14:paraId="534336EC" w14:textId="77777777" w:rsidR="001942A9" w:rsidRPr="004B2E54" w:rsidRDefault="001942A9" w:rsidP="00C26CFD">
      <w:pPr>
        <w:pStyle w:val="af4"/>
        <w:ind w:left="567" w:hanging="567"/>
        <w:rPr>
          <w:sz w:val="18"/>
          <w:szCs w:val="18"/>
          <w:lang w:val="en-IE"/>
        </w:rPr>
      </w:pPr>
      <w:r w:rsidRPr="000A2E34">
        <w:rPr>
          <w:rStyle w:val="af6"/>
          <w:sz w:val="18"/>
          <w:szCs w:val="18"/>
        </w:rPr>
        <w:footnoteRef/>
      </w:r>
      <w:r w:rsidRPr="000A2E34">
        <w:rPr>
          <w:sz w:val="18"/>
          <w:szCs w:val="18"/>
        </w:rPr>
        <w:t xml:space="preserve"> </w:t>
      </w:r>
      <w:r w:rsidRPr="004B2E54">
        <w:rPr>
          <w:sz w:val="18"/>
          <w:szCs w:val="18"/>
          <w:lang w:val="en-IE"/>
        </w:rPr>
        <w:tab/>
        <w:t xml:space="preserve">LAMP: </w:t>
      </w:r>
      <w:r w:rsidRPr="000A2E34">
        <w:rPr>
          <w:rFonts w:eastAsia="Calibri"/>
          <w:sz w:val="18"/>
          <w:szCs w:val="18"/>
        </w:rPr>
        <w:t>loop-mediated isothermal amplification</w:t>
      </w:r>
    </w:p>
  </w:footnote>
  <w:footnote w:id="3">
    <w:p w14:paraId="549EEC0D" w14:textId="77777777" w:rsidR="001942A9" w:rsidRPr="004A6286" w:rsidRDefault="001942A9" w:rsidP="00C26CFD">
      <w:pPr>
        <w:pStyle w:val="af4"/>
        <w:ind w:left="567" w:hanging="567"/>
        <w:rPr>
          <w:sz w:val="18"/>
          <w:szCs w:val="18"/>
          <w:lang w:val="en-IE"/>
        </w:rPr>
      </w:pPr>
      <w:r w:rsidRPr="004A6286">
        <w:rPr>
          <w:rStyle w:val="af6"/>
          <w:sz w:val="18"/>
          <w:szCs w:val="18"/>
        </w:rPr>
        <w:footnoteRef/>
      </w:r>
      <w:r w:rsidRPr="004A6286">
        <w:rPr>
          <w:sz w:val="18"/>
          <w:szCs w:val="18"/>
        </w:rPr>
        <w:t xml:space="preserve"> </w:t>
      </w:r>
      <w:r w:rsidRPr="004A6286">
        <w:rPr>
          <w:sz w:val="18"/>
          <w:szCs w:val="18"/>
          <w:lang w:val="en-IE"/>
        </w:rPr>
        <w:tab/>
        <w:t xml:space="preserve">IFAT: </w:t>
      </w:r>
      <w:r w:rsidRPr="004A6286">
        <w:rPr>
          <w:sz w:val="18"/>
          <w:szCs w:val="18"/>
        </w:rPr>
        <w:t xml:space="preserve">indirect </w:t>
      </w:r>
      <w:r w:rsidRPr="004A6286">
        <w:rPr>
          <w:sz w:val="18"/>
          <w:szCs w:val="18"/>
          <w:lang w:val="en-IE" w:bidi="en-US"/>
        </w:rPr>
        <w:t>immunofluorescent antibody test</w:t>
      </w:r>
    </w:p>
  </w:footnote>
  <w:footnote w:id="4">
    <w:p w14:paraId="180BF97C" w14:textId="77777777" w:rsidR="001942A9" w:rsidRPr="00A239A2" w:rsidRDefault="001942A9" w:rsidP="00C7266C">
      <w:pPr>
        <w:pStyle w:val="af4"/>
        <w:rPr>
          <w:szCs w:val="24"/>
        </w:rPr>
      </w:pPr>
      <w:r>
        <w:rPr>
          <w:rStyle w:val="af6"/>
        </w:rPr>
        <w:footnoteRef/>
      </w:r>
      <w:r>
        <w:t xml:space="preserve"> </w:t>
      </w:r>
      <w:r w:rsidRPr="00E13C0A">
        <w:rPr>
          <w:rFonts w:ascii="Arial" w:hAnsi="Arial" w:cs="Arial"/>
          <w:sz w:val="16"/>
          <w:szCs w:val="16"/>
        </w:rPr>
        <w:t>For the purposes of this paper, some terms are italicised to indicate that they have a defined meaning in the Aquatic Code</w:t>
      </w:r>
      <w:r w:rsidRPr="00A239A2">
        <w:rPr>
          <w:szCs w:val="24"/>
        </w:rPr>
        <w:t xml:space="preserve"> </w:t>
      </w:r>
    </w:p>
  </w:footnote>
  <w:footnote w:id="5">
    <w:p w14:paraId="1E6ECB63" w14:textId="77777777" w:rsidR="001942A9" w:rsidRPr="002D6F5F" w:rsidRDefault="001942A9" w:rsidP="00C7266C">
      <w:pPr>
        <w:pStyle w:val="af4"/>
        <w:ind w:left="426" w:hanging="426"/>
        <w:jc w:val="both"/>
        <w:rPr>
          <w:rFonts w:ascii="Arial" w:hAnsi="Arial" w:cs="Arial"/>
          <w:sz w:val="16"/>
          <w:szCs w:val="16"/>
        </w:rPr>
      </w:pPr>
      <w:r w:rsidRPr="007027B7">
        <w:rPr>
          <w:rStyle w:val="af6"/>
        </w:rPr>
        <w:footnoteRef/>
      </w:r>
      <w:r>
        <w:tab/>
      </w:r>
      <w:r w:rsidRPr="002D6F5F">
        <w:rPr>
          <w:rFonts w:ascii="Arial" w:hAnsi="Arial" w:cs="Arial"/>
          <w:sz w:val="16"/>
          <w:szCs w:val="16"/>
        </w:rPr>
        <w:t xml:space="preserve">Basic Biosecurity Conditions is a defined term in the OIE </w:t>
      </w:r>
      <w:r w:rsidRPr="002D6F5F">
        <w:rPr>
          <w:rFonts w:ascii="Arial" w:hAnsi="Arial" w:cs="Arial"/>
          <w:i/>
          <w:sz w:val="16"/>
          <w:szCs w:val="16"/>
        </w:rPr>
        <w:t xml:space="preserve">Aquatic Code </w:t>
      </w:r>
      <w:r w:rsidRPr="002D6F5F">
        <w:rPr>
          <w:rFonts w:ascii="Arial" w:hAnsi="Arial" w:cs="Arial"/>
          <w:sz w:val="16"/>
          <w:szCs w:val="16"/>
        </w:rPr>
        <w:t xml:space="preserve">which means: </w:t>
      </w:r>
    </w:p>
    <w:p w14:paraId="1B7D576E" w14:textId="77777777" w:rsidR="001942A9" w:rsidRPr="002D6F5F" w:rsidRDefault="001942A9" w:rsidP="00C7266C">
      <w:pPr>
        <w:pStyle w:val="af4"/>
        <w:ind w:left="426"/>
        <w:jc w:val="both"/>
        <w:rPr>
          <w:rFonts w:ascii="Arial" w:hAnsi="Arial" w:cs="Arial"/>
          <w:i/>
          <w:sz w:val="16"/>
          <w:szCs w:val="16"/>
        </w:rPr>
      </w:pPr>
      <w:r w:rsidRPr="002D6F5F">
        <w:rPr>
          <w:rFonts w:ascii="Arial" w:hAnsi="Arial" w:cs="Arial"/>
          <w:sz w:val="16"/>
          <w:szCs w:val="16"/>
        </w:rPr>
        <w:t>“</w:t>
      </w:r>
      <w:r w:rsidRPr="002D6F5F">
        <w:rPr>
          <w:rFonts w:ascii="Arial" w:hAnsi="Arial" w:cs="Arial"/>
          <w:i/>
          <w:sz w:val="16"/>
          <w:szCs w:val="16"/>
        </w:rPr>
        <w:t>a set of conditions applying to a particular disease, and a particular zone or country, required to ensure adequate disease security, such as:</w:t>
      </w:r>
    </w:p>
    <w:p w14:paraId="328FCEDC" w14:textId="77777777" w:rsidR="001942A9" w:rsidRPr="002D6F5F" w:rsidRDefault="001942A9" w:rsidP="00C7266C">
      <w:pPr>
        <w:pStyle w:val="af4"/>
        <w:ind w:left="851" w:hanging="425"/>
        <w:jc w:val="both"/>
        <w:rPr>
          <w:rFonts w:ascii="Arial" w:hAnsi="Arial" w:cs="Arial"/>
          <w:i/>
          <w:sz w:val="16"/>
          <w:szCs w:val="16"/>
        </w:rPr>
      </w:pPr>
      <w:r w:rsidRPr="002D6F5F">
        <w:rPr>
          <w:rFonts w:ascii="Arial" w:hAnsi="Arial" w:cs="Arial"/>
          <w:i/>
          <w:sz w:val="16"/>
          <w:szCs w:val="16"/>
        </w:rPr>
        <w:t>‒</w:t>
      </w:r>
      <w:r w:rsidRPr="002D6F5F">
        <w:rPr>
          <w:rFonts w:ascii="Arial" w:hAnsi="Arial" w:cs="Arial"/>
          <w:i/>
          <w:sz w:val="16"/>
          <w:szCs w:val="16"/>
        </w:rPr>
        <w:tab/>
        <w:t>the disease, including suspicion of the disease, is compulsorily notifiable to the Competent Authority; and</w:t>
      </w:r>
    </w:p>
    <w:p w14:paraId="51FF94BA" w14:textId="77777777" w:rsidR="001942A9" w:rsidRPr="002D6F5F" w:rsidRDefault="001942A9" w:rsidP="00C7266C">
      <w:pPr>
        <w:pStyle w:val="af4"/>
        <w:ind w:left="851" w:hanging="425"/>
        <w:jc w:val="both"/>
        <w:rPr>
          <w:rFonts w:ascii="Arial" w:hAnsi="Arial" w:cs="Arial"/>
          <w:i/>
          <w:sz w:val="16"/>
          <w:szCs w:val="16"/>
        </w:rPr>
      </w:pPr>
      <w:r w:rsidRPr="002D6F5F">
        <w:rPr>
          <w:rFonts w:ascii="Arial" w:hAnsi="Arial" w:cs="Arial"/>
          <w:i/>
          <w:sz w:val="16"/>
          <w:szCs w:val="16"/>
        </w:rPr>
        <w:t>‒</w:t>
      </w:r>
      <w:r w:rsidRPr="002D6F5F">
        <w:rPr>
          <w:rFonts w:ascii="Arial" w:hAnsi="Arial" w:cs="Arial"/>
          <w:i/>
          <w:sz w:val="16"/>
          <w:szCs w:val="16"/>
        </w:rPr>
        <w:tab/>
        <w:t>an early detection system is in place within the zone or country; and</w:t>
      </w:r>
    </w:p>
    <w:p w14:paraId="54F9965C" w14:textId="77777777" w:rsidR="001942A9" w:rsidRPr="002D6F5F" w:rsidRDefault="001942A9" w:rsidP="00C7266C">
      <w:pPr>
        <w:pStyle w:val="af4"/>
        <w:ind w:left="851" w:hanging="425"/>
        <w:jc w:val="both"/>
        <w:rPr>
          <w:sz w:val="16"/>
          <w:szCs w:val="16"/>
          <w:lang w:val="en-AU"/>
        </w:rPr>
      </w:pPr>
      <w:r w:rsidRPr="002D6F5F">
        <w:rPr>
          <w:rFonts w:ascii="Arial" w:hAnsi="Arial" w:cs="Arial"/>
          <w:i/>
          <w:sz w:val="16"/>
          <w:szCs w:val="16"/>
        </w:rPr>
        <w:t>‒</w:t>
      </w:r>
      <w:r w:rsidRPr="002D6F5F">
        <w:rPr>
          <w:rFonts w:ascii="Arial" w:hAnsi="Arial" w:cs="Arial"/>
          <w:i/>
          <w:sz w:val="16"/>
          <w:szCs w:val="16"/>
        </w:rPr>
        <w:tab/>
        <w:t>import requirements to prevent the introduction of disease into the country or zone, as outlined in the Aquatic Code, are in place.</w:t>
      </w:r>
      <w:r w:rsidRPr="002D6F5F">
        <w:rPr>
          <w:rFonts w:ascii="Arial" w:hAnsi="Arial" w:cs="Arial"/>
          <w:sz w:val="16"/>
          <w:szCs w:val="16"/>
        </w:rPr>
        <w:t>”</w:t>
      </w:r>
    </w:p>
  </w:footnote>
  <w:footnote w:id="6">
    <w:p w14:paraId="060A2BC1" w14:textId="77777777" w:rsidR="001942A9" w:rsidRPr="002D6F5F" w:rsidRDefault="001942A9" w:rsidP="00C7266C">
      <w:pPr>
        <w:pStyle w:val="af4"/>
        <w:keepLines/>
        <w:ind w:left="426" w:hanging="426"/>
        <w:jc w:val="both"/>
        <w:rPr>
          <w:rFonts w:ascii="Arial" w:hAnsi="Arial" w:cs="Arial"/>
          <w:sz w:val="16"/>
          <w:szCs w:val="16"/>
        </w:rPr>
      </w:pPr>
      <w:r>
        <w:rPr>
          <w:rStyle w:val="af6"/>
        </w:rPr>
        <w:footnoteRef/>
      </w:r>
      <w:r>
        <w:tab/>
      </w:r>
      <w:r w:rsidRPr="002D6F5F">
        <w:rPr>
          <w:rFonts w:ascii="Arial" w:hAnsi="Arial" w:cs="Arial"/>
          <w:i/>
          <w:sz w:val="16"/>
          <w:szCs w:val="16"/>
        </w:rPr>
        <w:t>Early detection system</w:t>
      </w:r>
      <w:r w:rsidRPr="002D6F5F">
        <w:rPr>
          <w:rFonts w:ascii="Arial" w:hAnsi="Arial" w:cs="Arial"/>
          <w:sz w:val="16"/>
          <w:szCs w:val="16"/>
        </w:rPr>
        <w:t xml:space="preserve"> is a defined term in the OIE </w:t>
      </w:r>
      <w:r w:rsidRPr="00DC5199">
        <w:rPr>
          <w:rFonts w:ascii="Arial" w:hAnsi="Arial" w:cs="Arial"/>
          <w:i/>
          <w:sz w:val="16"/>
          <w:szCs w:val="16"/>
        </w:rPr>
        <w:t xml:space="preserve">Aquatic Code </w:t>
      </w:r>
      <w:r w:rsidRPr="002D6F5F">
        <w:rPr>
          <w:rFonts w:ascii="Arial" w:hAnsi="Arial" w:cs="Arial"/>
          <w:sz w:val="16"/>
          <w:szCs w:val="16"/>
        </w:rPr>
        <w:t>which means: an efficient system for ensuring the rapid recognition of signs that are suspicious of a listed disease, or an emerging disease situation, or unexplained mortality, in aquatic animals in an aquaculture establishment or in the wild, and the rapid communication of the event to the Competent Authority, with the aim of activating diagnostic investigation by the Aquatic Animal Health Services with minimal delay. Such a system will include the following characteristics:</w:t>
      </w:r>
    </w:p>
    <w:p w14:paraId="4F3D46E8" w14:textId="77777777" w:rsidR="001942A9" w:rsidRPr="002D6F5F" w:rsidRDefault="001942A9" w:rsidP="00C7266C">
      <w:pPr>
        <w:pStyle w:val="af4"/>
        <w:keepLines/>
        <w:ind w:left="851" w:hanging="425"/>
        <w:jc w:val="both"/>
        <w:rPr>
          <w:rFonts w:ascii="Arial" w:hAnsi="Arial" w:cs="Arial"/>
          <w:sz w:val="16"/>
          <w:szCs w:val="16"/>
        </w:rPr>
      </w:pPr>
      <w:r w:rsidRPr="002D6F5F">
        <w:rPr>
          <w:rFonts w:ascii="Arial" w:hAnsi="Arial" w:cs="Arial"/>
          <w:sz w:val="16"/>
          <w:szCs w:val="16"/>
        </w:rPr>
        <w:t>‒</w:t>
      </w:r>
      <w:r w:rsidRPr="002D6F5F">
        <w:rPr>
          <w:rFonts w:ascii="Arial" w:hAnsi="Arial" w:cs="Arial"/>
          <w:sz w:val="16"/>
          <w:szCs w:val="16"/>
        </w:rPr>
        <w:tab/>
        <w:t>broad awareness, e.g. among the personnel employed at aquaculture establishments or involved in processing, of the characteristic signs of the listed diseases and emerging diseases;</w:t>
      </w:r>
    </w:p>
    <w:p w14:paraId="7CD60A2B" w14:textId="77777777" w:rsidR="001942A9" w:rsidRPr="002D6F5F" w:rsidRDefault="001942A9" w:rsidP="00C7266C">
      <w:pPr>
        <w:pStyle w:val="af4"/>
        <w:keepLines/>
        <w:ind w:left="851" w:hanging="425"/>
        <w:jc w:val="both"/>
        <w:rPr>
          <w:rFonts w:ascii="Arial" w:hAnsi="Arial" w:cs="Arial"/>
          <w:sz w:val="16"/>
          <w:szCs w:val="16"/>
        </w:rPr>
      </w:pPr>
      <w:r w:rsidRPr="002D6F5F">
        <w:rPr>
          <w:rFonts w:ascii="Arial" w:hAnsi="Arial" w:cs="Arial"/>
          <w:sz w:val="16"/>
          <w:szCs w:val="16"/>
        </w:rPr>
        <w:t>‒</w:t>
      </w:r>
      <w:r w:rsidRPr="002D6F5F">
        <w:rPr>
          <w:rFonts w:ascii="Arial" w:hAnsi="Arial" w:cs="Arial"/>
          <w:sz w:val="16"/>
          <w:szCs w:val="16"/>
        </w:rPr>
        <w:tab/>
        <w:t>veterinarians or aquatic animal health professionals trained in recognising and reporting suspicions of disease occurrence;</w:t>
      </w:r>
    </w:p>
    <w:p w14:paraId="3A51164C" w14:textId="77777777" w:rsidR="001942A9" w:rsidRPr="002D6F5F" w:rsidRDefault="001942A9" w:rsidP="00C7266C">
      <w:pPr>
        <w:pStyle w:val="af4"/>
        <w:keepLines/>
        <w:ind w:left="851" w:hanging="425"/>
        <w:jc w:val="both"/>
        <w:rPr>
          <w:rFonts w:ascii="Arial" w:hAnsi="Arial" w:cs="Arial"/>
          <w:sz w:val="16"/>
          <w:szCs w:val="16"/>
        </w:rPr>
      </w:pPr>
      <w:r w:rsidRPr="002D6F5F">
        <w:rPr>
          <w:rFonts w:ascii="Arial" w:hAnsi="Arial" w:cs="Arial"/>
          <w:sz w:val="16"/>
          <w:szCs w:val="16"/>
        </w:rPr>
        <w:t>‒</w:t>
      </w:r>
      <w:r w:rsidRPr="002D6F5F">
        <w:rPr>
          <w:rFonts w:ascii="Arial" w:hAnsi="Arial" w:cs="Arial"/>
          <w:sz w:val="16"/>
          <w:szCs w:val="16"/>
        </w:rPr>
        <w:tab/>
        <w:t>ability of the Aquatic Animal Health Services to undertake rapid and effective disease investigation based on a national chain of command;</w:t>
      </w:r>
    </w:p>
    <w:p w14:paraId="53D1330E" w14:textId="77777777" w:rsidR="001942A9" w:rsidRPr="002D6F5F" w:rsidRDefault="001942A9" w:rsidP="00C7266C">
      <w:pPr>
        <w:pStyle w:val="af4"/>
        <w:keepLines/>
        <w:ind w:left="851" w:hanging="425"/>
        <w:jc w:val="both"/>
        <w:rPr>
          <w:rFonts w:ascii="Arial" w:hAnsi="Arial" w:cs="Arial"/>
          <w:sz w:val="16"/>
          <w:szCs w:val="16"/>
        </w:rPr>
      </w:pPr>
      <w:r w:rsidRPr="002D6F5F">
        <w:rPr>
          <w:rFonts w:ascii="Arial" w:hAnsi="Arial" w:cs="Arial"/>
          <w:sz w:val="16"/>
          <w:szCs w:val="16"/>
        </w:rPr>
        <w:t>‒</w:t>
      </w:r>
      <w:r w:rsidRPr="002D6F5F">
        <w:rPr>
          <w:rFonts w:ascii="Arial" w:hAnsi="Arial" w:cs="Arial"/>
          <w:sz w:val="16"/>
          <w:szCs w:val="16"/>
        </w:rPr>
        <w:tab/>
        <w:t>access by the Aquatic Animal Health Services to laboratories with the facilities for diagnosing and differentiating listed diseases and emerging diseases;</w:t>
      </w:r>
    </w:p>
    <w:p w14:paraId="1BA08AF0" w14:textId="77777777" w:rsidR="001942A9" w:rsidRPr="002D6F5F" w:rsidRDefault="001942A9" w:rsidP="00C7266C">
      <w:pPr>
        <w:pStyle w:val="af4"/>
        <w:keepLines/>
        <w:ind w:left="851" w:hanging="425"/>
        <w:jc w:val="both"/>
        <w:rPr>
          <w:rFonts w:ascii="Arial" w:hAnsi="Arial" w:cs="Arial"/>
          <w:sz w:val="16"/>
          <w:szCs w:val="16"/>
        </w:rPr>
      </w:pPr>
      <w:r w:rsidRPr="002D6F5F">
        <w:rPr>
          <w:rFonts w:ascii="Arial" w:hAnsi="Arial" w:cs="Arial"/>
          <w:sz w:val="16"/>
          <w:szCs w:val="16"/>
        </w:rPr>
        <w:t>‒</w:t>
      </w:r>
      <w:r w:rsidRPr="002D6F5F">
        <w:rPr>
          <w:rFonts w:ascii="Arial" w:hAnsi="Arial" w:cs="Arial"/>
          <w:sz w:val="16"/>
          <w:szCs w:val="16"/>
        </w:rPr>
        <w:tab/>
        <w:t>the legal obligation of private veterinarians or aquatic animal health professionals to report suspicions of disease occurrence to the Competent Authority.</w:t>
      </w:r>
    </w:p>
  </w:footnote>
  <w:footnote w:id="7">
    <w:p w14:paraId="78FECD69" w14:textId="77777777" w:rsidR="001942A9" w:rsidRPr="0030755C" w:rsidRDefault="001942A9" w:rsidP="00C7266C">
      <w:pPr>
        <w:pStyle w:val="af4"/>
        <w:rPr>
          <w:rFonts w:ascii="Arial" w:hAnsi="Arial" w:cs="Arial"/>
          <w:sz w:val="18"/>
          <w:szCs w:val="18"/>
          <w:lang w:val="en-AU"/>
        </w:rPr>
      </w:pPr>
      <w:r>
        <w:rPr>
          <w:rStyle w:val="af6"/>
        </w:rPr>
        <w:footnoteRef/>
      </w:r>
      <w:r>
        <w:t xml:space="preserve"> </w:t>
      </w:r>
      <w:hyperlink r:id="rId1" w:history="1">
        <w:r w:rsidRPr="001F3351">
          <w:rPr>
            <w:rStyle w:val="aa"/>
            <w:rFonts w:ascii="Arial" w:hAnsi="Arial" w:cs="Arial"/>
            <w:sz w:val="16"/>
            <w:szCs w:val="16"/>
          </w:rPr>
          <w:t>http://www.oie.int/fileadmin/Home/eng/Animal_Health_in_the_World/docs/pdf/Self-declarations/EN_Procedure_self_declaration.pdf</w:t>
        </w:r>
      </w:hyperlink>
      <w:r w:rsidRPr="001F3351">
        <w:rPr>
          <w:rFonts w:ascii="Arial" w:hAnsi="Arial" w:cs="Arial"/>
          <w:sz w:val="16"/>
          <w:szCs w:val="16"/>
        </w:rPr>
        <w:t xml:space="preserve"> </w:t>
      </w:r>
    </w:p>
  </w:footnote>
  <w:footnote w:id="8">
    <w:p w14:paraId="42C92EF3" w14:textId="77777777" w:rsidR="001942A9" w:rsidRPr="00577FF0" w:rsidRDefault="001942A9" w:rsidP="00C7266C">
      <w:pPr>
        <w:pStyle w:val="af4"/>
        <w:ind w:left="425" w:hanging="425"/>
        <w:rPr>
          <w:rFonts w:ascii="Arial" w:hAnsi="Arial" w:cs="Arial"/>
          <w:sz w:val="16"/>
          <w:szCs w:val="16"/>
        </w:rPr>
      </w:pPr>
      <w:r w:rsidRPr="00245231">
        <w:rPr>
          <w:rStyle w:val="af6"/>
          <w:rFonts w:ascii="Arial" w:hAnsi="Arial" w:cs="Arial"/>
          <w:sz w:val="16"/>
          <w:szCs w:val="16"/>
        </w:rPr>
        <w:footnoteRef/>
      </w:r>
      <w:r w:rsidRPr="00245231">
        <w:rPr>
          <w:rFonts w:ascii="Arial" w:hAnsi="Arial" w:cs="Arial"/>
          <w:sz w:val="16"/>
          <w:szCs w:val="16"/>
        </w:rPr>
        <w:t xml:space="preserve"> </w:t>
      </w:r>
      <w:r w:rsidRPr="00577FF0">
        <w:rPr>
          <w:rFonts w:ascii="Arial" w:hAnsi="Arial" w:cs="Arial"/>
          <w:sz w:val="16"/>
          <w:szCs w:val="16"/>
        </w:rPr>
        <w:tab/>
        <w:t>For example transboundary commodities.</w:t>
      </w:r>
    </w:p>
  </w:footnote>
  <w:footnote w:id="9">
    <w:p w14:paraId="3DD920C1" w14:textId="77777777" w:rsidR="001942A9" w:rsidRPr="00B13D17" w:rsidRDefault="001942A9" w:rsidP="00C7266C">
      <w:pPr>
        <w:pStyle w:val="af4"/>
        <w:ind w:left="425" w:hanging="425"/>
        <w:rPr>
          <w:rFonts w:ascii="Arial" w:hAnsi="Arial" w:cs="Arial"/>
          <w:sz w:val="16"/>
          <w:szCs w:val="16"/>
        </w:rPr>
      </w:pPr>
      <w:r w:rsidRPr="00DF4CC0">
        <w:rPr>
          <w:rStyle w:val="af6"/>
          <w:rFonts w:ascii="Arial" w:hAnsi="Arial" w:cs="Arial"/>
          <w:sz w:val="16"/>
          <w:szCs w:val="16"/>
        </w:rPr>
        <w:footnoteRef/>
      </w:r>
      <w:r w:rsidRPr="00DF4CC0">
        <w:rPr>
          <w:rFonts w:ascii="Arial" w:hAnsi="Arial" w:cs="Arial"/>
          <w:sz w:val="16"/>
          <w:szCs w:val="16"/>
        </w:rPr>
        <w:t xml:space="preserve"> </w:t>
      </w:r>
      <w:r w:rsidRPr="00B13D17">
        <w:rPr>
          <w:rFonts w:ascii="Arial" w:hAnsi="Arial" w:cs="Arial"/>
          <w:sz w:val="16"/>
          <w:szCs w:val="16"/>
        </w:rPr>
        <w:tab/>
        <w:t>For example transboundary commodities.</w:t>
      </w:r>
    </w:p>
  </w:footnote>
  <w:footnote w:id="10">
    <w:p w14:paraId="08A91B6E" w14:textId="77777777" w:rsidR="001942A9" w:rsidRPr="00B13D17" w:rsidRDefault="001942A9" w:rsidP="00C7266C">
      <w:pPr>
        <w:pStyle w:val="af4"/>
        <w:ind w:left="425" w:hanging="425"/>
        <w:rPr>
          <w:rFonts w:ascii="Arial" w:hAnsi="Arial" w:cs="Arial"/>
          <w:sz w:val="16"/>
          <w:szCs w:val="16"/>
        </w:rPr>
      </w:pPr>
      <w:r w:rsidRPr="006D25BE">
        <w:rPr>
          <w:rStyle w:val="af6"/>
          <w:rFonts w:ascii="Arial" w:hAnsi="Arial" w:cs="Arial"/>
          <w:sz w:val="16"/>
          <w:szCs w:val="16"/>
        </w:rPr>
        <w:footnoteRef/>
      </w:r>
      <w:r w:rsidRPr="00B13D17">
        <w:rPr>
          <w:rFonts w:ascii="Arial" w:hAnsi="Arial" w:cs="Arial"/>
          <w:sz w:val="16"/>
          <w:szCs w:val="16"/>
        </w:rPr>
        <w:tab/>
        <w:t>For example transboundary commodities.</w:t>
      </w:r>
    </w:p>
  </w:footnote>
  <w:footnote w:id="11">
    <w:p w14:paraId="5E6D681B" w14:textId="77777777" w:rsidR="001942A9" w:rsidRPr="00B13D17" w:rsidRDefault="001942A9" w:rsidP="00C7266C">
      <w:pPr>
        <w:pStyle w:val="af4"/>
        <w:ind w:left="425" w:hanging="425"/>
        <w:rPr>
          <w:rFonts w:ascii="Arial" w:hAnsi="Arial" w:cs="Arial"/>
          <w:sz w:val="16"/>
          <w:szCs w:val="16"/>
        </w:rPr>
      </w:pPr>
      <w:r w:rsidRPr="006D25BE">
        <w:rPr>
          <w:rStyle w:val="af6"/>
          <w:rFonts w:ascii="Arial" w:hAnsi="Arial" w:cs="Arial"/>
          <w:sz w:val="16"/>
          <w:szCs w:val="16"/>
        </w:rPr>
        <w:footnoteRef/>
      </w:r>
      <w:r w:rsidRPr="006D25BE">
        <w:rPr>
          <w:rFonts w:ascii="Arial" w:hAnsi="Arial" w:cs="Arial"/>
          <w:sz w:val="16"/>
          <w:szCs w:val="16"/>
        </w:rPr>
        <w:t xml:space="preserve"> </w:t>
      </w:r>
      <w:r w:rsidRPr="00B13D17">
        <w:rPr>
          <w:rFonts w:ascii="Arial" w:hAnsi="Arial" w:cs="Arial"/>
          <w:sz w:val="16"/>
          <w:szCs w:val="16"/>
        </w:rPr>
        <w:tab/>
        <w:t>For example transboundary commodities.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C8ADC" w14:textId="66696CB7" w:rsidR="001942A9" w:rsidRPr="00D34E50" w:rsidRDefault="000667F3" w:rsidP="00D34E50">
    <w:pPr>
      <w:pStyle w:val="a6"/>
      <w:spacing w:after="480"/>
      <w:rPr>
        <w:rFonts w:ascii="Arial" w:hAnsi="Arial" w:cs="Arial"/>
        <w:sz w:val="18"/>
        <w:szCs w:val="18"/>
      </w:rPr>
    </w:pPr>
    <w:r>
      <w:rPr>
        <w:noProof/>
      </w:rPr>
      <w:pict w14:anchorId="7ED257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3" o:spid="_x0000_s4098" type="#_x0000_t136" style="position:absolute;margin-left:0;margin-top:0;width:572.65pt;height:63.6pt;rotation:315;z-index:-25165107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CE7006">
      <w:rPr>
        <w:rFonts w:ascii="Arial" w:hAnsi="Arial" w:cs="Arial"/>
        <w:sz w:val="18"/>
        <w:szCs w:val="18"/>
      </w:rPr>
      <w:fldChar w:fldCharType="begin"/>
    </w:r>
    <w:r w:rsidR="001942A9" w:rsidRPr="00CE7006">
      <w:rPr>
        <w:rFonts w:ascii="Arial" w:hAnsi="Arial" w:cs="Arial"/>
        <w:sz w:val="18"/>
        <w:szCs w:val="18"/>
      </w:rPr>
      <w:instrText>PAGE   \* MERGEFORMAT</w:instrText>
    </w:r>
    <w:r w:rsidR="001942A9" w:rsidRPr="00CE7006">
      <w:rPr>
        <w:rFonts w:ascii="Arial" w:hAnsi="Arial" w:cs="Arial"/>
        <w:sz w:val="18"/>
        <w:szCs w:val="18"/>
      </w:rPr>
      <w:fldChar w:fldCharType="separate"/>
    </w:r>
    <w:r w:rsidRPr="000667F3">
      <w:rPr>
        <w:rFonts w:ascii="Arial" w:hAnsi="Arial" w:cs="Arial"/>
        <w:noProof/>
        <w:sz w:val="18"/>
        <w:szCs w:val="18"/>
        <w:lang w:val="fr-FR"/>
      </w:rPr>
      <w:t>2</w:t>
    </w:r>
    <w:r w:rsidR="001942A9" w:rsidRPr="00CE7006">
      <w:rPr>
        <w:rFonts w:ascii="Arial" w:hAnsi="Arial" w:cs="Arial"/>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E092" w14:textId="62157AE8" w:rsidR="001942A9" w:rsidRPr="00D34E50" w:rsidRDefault="000667F3" w:rsidP="00D34E50">
    <w:pPr>
      <w:pStyle w:val="a6"/>
      <w:spacing w:after="480"/>
      <w:jc w:val="right"/>
      <w:rPr>
        <w:rFonts w:ascii="Arial" w:hAnsi="Arial" w:cs="Arial"/>
        <w:sz w:val="18"/>
        <w:szCs w:val="18"/>
      </w:rPr>
    </w:pPr>
    <w:r>
      <w:rPr>
        <w:noProof/>
      </w:rPr>
      <w:pict w14:anchorId="0DA084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4" o:spid="_x0000_s4099" type="#_x0000_t136" style="position:absolute;left:0;text-align:left;margin-left:0;margin-top:0;width:572.65pt;height:63.6pt;rotation:315;z-index:-25164902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CE7006">
      <w:rPr>
        <w:rFonts w:ascii="Arial" w:hAnsi="Arial" w:cs="Arial"/>
        <w:sz w:val="18"/>
        <w:szCs w:val="18"/>
      </w:rPr>
      <w:fldChar w:fldCharType="begin"/>
    </w:r>
    <w:r w:rsidR="001942A9" w:rsidRPr="00CE7006">
      <w:rPr>
        <w:rFonts w:ascii="Arial" w:hAnsi="Arial" w:cs="Arial"/>
        <w:sz w:val="18"/>
        <w:szCs w:val="18"/>
      </w:rPr>
      <w:instrText>PAGE   \* MERGEFORMAT</w:instrText>
    </w:r>
    <w:r w:rsidR="001942A9" w:rsidRPr="00CE7006">
      <w:rPr>
        <w:rFonts w:ascii="Arial" w:hAnsi="Arial" w:cs="Arial"/>
        <w:sz w:val="18"/>
        <w:szCs w:val="18"/>
      </w:rPr>
      <w:fldChar w:fldCharType="separate"/>
    </w:r>
    <w:r w:rsidR="0088343B" w:rsidRPr="0088343B">
      <w:rPr>
        <w:rFonts w:ascii="Arial" w:hAnsi="Arial" w:cs="Arial"/>
        <w:noProof/>
        <w:sz w:val="18"/>
        <w:szCs w:val="18"/>
        <w:lang w:val="fr-FR"/>
      </w:rPr>
      <w:t>3</w:t>
    </w:r>
    <w:r w:rsidR="001942A9" w:rsidRPr="00CE7006">
      <w:rPr>
        <w:rFonts w:ascii="Arial" w:hAnsi="Arial" w:cs="Arial"/>
        <w:sz w:val="18"/>
        <w:szCs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E7D7C" w14:textId="7A038CEE" w:rsidR="0099352B" w:rsidRDefault="000667F3">
    <w:pPr>
      <w:pStyle w:val="a6"/>
    </w:pPr>
    <w:r>
      <w:rPr>
        <w:noProof/>
      </w:rPr>
      <w:pict w14:anchorId="30C469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2" o:spid="_x0000_s4097" type="#_x0000_t136" style="position:absolute;margin-left:0;margin-top:0;width:572.65pt;height:63.6pt;rotation:315;z-index:-25165312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827EE" w14:textId="62776AF4" w:rsidR="0099352B" w:rsidRDefault="000667F3">
    <w:pPr>
      <w:pStyle w:val="a6"/>
    </w:pPr>
    <w:r>
      <w:rPr>
        <w:noProof/>
      </w:rPr>
      <w:pict w14:anchorId="46AC7E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6" o:spid="_x0000_s4101" type="#_x0000_t136" style="position:absolute;margin-left:0;margin-top:0;width:572.65pt;height:63.6pt;rotation:315;z-index:-25164492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AC891" w14:textId="6A8B618E" w:rsidR="0099352B" w:rsidRDefault="000667F3">
    <w:pPr>
      <w:pStyle w:val="a6"/>
    </w:pPr>
    <w:r>
      <w:rPr>
        <w:noProof/>
      </w:rPr>
      <w:pict w14:anchorId="76C123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7" o:spid="_x0000_s4102" type="#_x0000_t136" style="position:absolute;margin-left:0;margin-top:0;width:572.65pt;height:63.6pt;rotation:315;z-index:-25164288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39134" w14:textId="14C5EBD7" w:rsidR="0099352B" w:rsidRDefault="000667F3">
    <w:pPr>
      <w:pStyle w:val="a6"/>
    </w:pPr>
    <w:r>
      <w:rPr>
        <w:noProof/>
      </w:rPr>
      <w:pict w14:anchorId="167800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5" o:spid="_x0000_s4100" type="#_x0000_t136" style="position:absolute;margin-left:0;margin-top:0;width:572.65pt;height:63.6pt;rotation:315;z-index:-25164697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890AD" w14:textId="2CEED40A" w:rsidR="001942A9" w:rsidRDefault="000667F3" w:rsidP="007B3D5C">
    <w:pPr>
      <w:tabs>
        <w:tab w:val="center" w:pos="4536"/>
        <w:tab w:val="right" w:pos="9073"/>
      </w:tabs>
      <w:overflowPunct w:val="0"/>
      <w:autoSpaceDE w:val="0"/>
      <w:autoSpaceDN w:val="0"/>
      <w:adjustRightInd w:val="0"/>
      <w:spacing w:after="480"/>
      <w:textAlignment w:val="baseline"/>
    </w:pPr>
    <w:r>
      <w:rPr>
        <w:noProof/>
      </w:rPr>
      <w:pict w14:anchorId="505D78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9" o:spid="_x0000_s4104" type="#_x0000_t136" style="position:absolute;margin-left:0;margin-top:0;width:572.65pt;height:63.6pt;rotation:315;z-index:-25163878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30</w:t>
    </w:r>
    <w:r w:rsidR="001942A9" w:rsidRPr="006E4078">
      <w:rPr>
        <w:rFonts w:ascii="Arial" w:hAnsi="Arial" w:cs="Arial"/>
        <w:noProof/>
        <w:sz w:val="18"/>
        <w:szCs w:val="18"/>
        <w:lang w:eastAsia="fr-F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0F8AA" w14:textId="00F46C42" w:rsidR="001942A9" w:rsidRDefault="000667F3" w:rsidP="007B3D5C">
    <w:pPr>
      <w:tabs>
        <w:tab w:val="center" w:pos="4536"/>
        <w:tab w:val="right" w:pos="9073"/>
      </w:tabs>
      <w:overflowPunct w:val="0"/>
      <w:autoSpaceDE w:val="0"/>
      <w:autoSpaceDN w:val="0"/>
      <w:adjustRightInd w:val="0"/>
      <w:spacing w:after="480"/>
      <w:jc w:val="right"/>
      <w:textAlignment w:val="baseline"/>
    </w:pPr>
    <w:r>
      <w:rPr>
        <w:noProof/>
      </w:rPr>
      <w:pict w14:anchorId="3EFCBD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0" o:spid="_x0000_s4105" type="#_x0000_t136" style="position:absolute;left:0;text-align:left;margin-left:0;margin-top:0;width:572.65pt;height:63.6pt;rotation:315;z-index:-25163673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31</w:t>
    </w:r>
    <w:r w:rsidR="001942A9" w:rsidRPr="006E4078">
      <w:rPr>
        <w:rFonts w:ascii="Arial" w:hAnsi="Arial" w:cs="Arial"/>
        <w:noProof/>
        <w:sz w:val="18"/>
        <w:szCs w:val="18"/>
        <w:lang w:eastAsia="fr-F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8113A" w14:textId="64DE23F6" w:rsidR="001942A9" w:rsidRDefault="000667F3">
    <w:pPr>
      <w:pStyle w:val="a6"/>
    </w:pPr>
    <w:r>
      <w:rPr>
        <w:noProof/>
      </w:rPr>
      <w:pict w14:anchorId="2897DB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78" o:spid="_x0000_s4103" type="#_x0000_t136" style="position:absolute;margin-left:0;margin-top:0;width:572.65pt;height:63.6pt;rotation:315;z-index:-25164083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4AD69" w14:textId="1A19F2FB" w:rsidR="001942A9" w:rsidRDefault="000667F3" w:rsidP="007B3D5C">
    <w:pPr>
      <w:tabs>
        <w:tab w:val="center" w:pos="4536"/>
        <w:tab w:val="right" w:pos="9073"/>
      </w:tabs>
      <w:overflowPunct w:val="0"/>
      <w:autoSpaceDE w:val="0"/>
      <w:autoSpaceDN w:val="0"/>
      <w:adjustRightInd w:val="0"/>
      <w:spacing w:after="480"/>
      <w:textAlignment w:val="baseline"/>
    </w:pPr>
    <w:r>
      <w:rPr>
        <w:noProof/>
      </w:rPr>
      <w:pict w14:anchorId="082BF9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2" o:spid="_x0000_s4107" type="#_x0000_t136" style="position:absolute;margin-left:0;margin-top:0;width:572.65pt;height:63.6pt;rotation:315;z-index:-25163264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44</w:t>
    </w:r>
    <w:r w:rsidR="001942A9" w:rsidRPr="006E4078">
      <w:rPr>
        <w:rFonts w:ascii="Arial" w:hAnsi="Arial" w:cs="Arial"/>
        <w:noProof/>
        <w:sz w:val="18"/>
        <w:szCs w:val="18"/>
        <w:lang w:eastAsia="fr-FR"/>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485FD" w14:textId="301D9A41" w:rsidR="001942A9" w:rsidRPr="0002169F" w:rsidRDefault="000667F3" w:rsidP="007B3D5C">
    <w:pPr>
      <w:tabs>
        <w:tab w:val="center" w:pos="4536"/>
        <w:tab w:val="right" w:pos="9073"/>
      </w:tabs>
      <w:overflowPunct w:val="0"/>
      <w:autoSpaceDE w:val="0"/>
      <w:autoSpaceDN w:val="0"/>
      <w:adjustRightInd w:val="0"/>
      <w:spacing w:after="480"/>
      <w:jc w:val="right"/>
      <w:textAlignment w:val="baseline"/>
    </w:pPr>
    <w:r>
      <w:rPr>
        <w:noProof/>
      </w:rPr>
      <w:pict w14:anchorId="7A3721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3" o:spid="_x0000_s4108" type="#_x0000_t136" style="position:absolute;left:0;text-align:left;margin-left:0;margin-top:0;width:572.65pt;height:63.6pt;rotation:315;z-index:-25163059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45</w:t>
    </w:r>
    <w:r w:rsidR="001942A9" w:rsidRPr="006E4078">
      <w:rPr>
        <w:rFonts w:ascii="Arial" w:hAnsi="Arial" w:cs="Arial"/>
        <w:noProof/>
        <w:sz w:val="18"/>
        <w:szCs w:val="18"/>
        <w:lang w:eastAsia="fr-FR"/>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26199" w14:textId="793F659F" w:rsidR="0099352B" w:rsidRDefault="000667F3">
    <w:pPr>
      <w:pStyle w:val="a6"/>
    </w:pPr>
    <w:r>
      <w:rPr>
        <w:noProof/>
      </w:rPr>
      <w:pict w14:anchorId="174CD2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1" o:spid="_x0000_s4106" type="#_x0000_t136" style="position:absolute;margin-left:0;margin-top:0;width:572.65pt;height:63.6pt;rotation:315;z-index:-25163468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C7310" w14:textId="0F2F8A9E" w:rsidR="001942A9" w:rsidRDefault="000667F3" w:rsidP="00A1774B">
    <w:pPr>
      <w:tabs>
        <w:tab w:val="center" w:pos="4536"/>
        <w:tab w:val="left" w:pos="6820"/>
        <w:tab w:val="right" w:pos="9073"/>
        <w:tab w:val="right" w:pos="9360"/>
      </w:tabs>
      <w:overflowPunct w:val="0"/>
      <w:autoSpaceDE w:val="0"/>
      <w:autoSpaceDN w:val="0"/>
      <w:adjustRightInd w:val="0"/>
      <w:spacing w:after="480"/>
      <w:textAlignment w:val="baseline"/>
    </w:pPr>
    <w:r>
      <w:rPr>
        <w:noProof/>
      </w:rPr>
      <w:pict w14:anchorId="35EE39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5" o:spid="_x0000_s4110" type="#_x0000_t136" style="position:absolute;margin-left:0;margin-top:0;width:572.65pt;height:63.6pt;rotation:315;z-index:-25162649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46</w:t>
    </w:r>
    <w:r w:rsidR="001942A9" w:rsidRPr="006E4078">
      <w:rPr>
        <w:rFonts w:ascii="Arial" w:hAnsi="Arial" w:cs="Arial"/>
        <w:noProof/>
        <w:sz w:val="18"/>
        <w:szCs w:val="18"/>
        <w:lang w:eastAsia="fr-FR"/>
      </w:rP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BFEFC" w14:textId="3D48F7CD" w:rsidR="001942A9" w:rsidRDefault="000667F3" w:rsidP="007B3D5C">
    <w:pPr>
      <w:tabs>
        <w:tab w:val="center" w:pos="4536"/>
        <w:tab w:val="right" w:pos="9073"/>
      </w:tabs>
      <w:overflowPunct w:val="0"/>
      <w:autoSpaceDE w:val="0"/>
      <w:autoSpaceDN w:val="0"/>
      <w:adjustRightInd w:val="0"/>
      <w:spacing w:after="480"/>
      <w:jc w:val="right"/>
      <w:textAlignment w:val="baseline"/>
    </w:pPr>
    <w:r>
      <w:rPr>
        <w:noProof/>
      </w:rPr>
      <w:pict w14:anchorId="6931F9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6" o:spid="_x0000_s4111" type="#_x0000_t136" style="position:absolute;left:0;text-align:left;margin-left:0;margin-top:0;width:572.65pt;height:63.6pt;rotation:315;z-index:-25162444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47</w:t>
    </w:r>
    <w:r w:rsidR="001942A9" w:rsidRPr="006E4078">
      <w:rPr>
        <w:rFonts w:ascii="Arial" w:hAnsi="Arial" w:cs="Arial"/>
        <w:noProof/>
        <w:sz w:val="18"/>
        <w:szCs w:val="18"/>
        <w:lang w:eastAsia="fr-FR"/>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5CFAE" w14:textId="7B94626A" w:rsidR="001942A9" w:rsidRDefault="000667F3">
    <w:pPr>
      <w:pStyle w:val="a6"/>
    </w:pPr>
    <w:r>
      <w:rPr>
        <w:noProof/>
      </w:rPr>
      <w:pict w14:anchorId="06295A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4" o:spid="_x0000_s4109" type="#_x0000_t136" style="position:absolute;margin-left:0;margin-top:0;width:572.65pt;height:63.6pt;rotation:315;z-index:-25162854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76E5E" w14:textId="25BAB084" w:rsidR="0099352B" w:rsidRDefault="000667F3">
    <w:pPr>
      <w:pStyle w:val="a6"/>
    </w:pPr>
    <w:r>
      <w:rPr>
        <w:noProof/>
      </w:rPr>
      <w:pict w14:anchorId="7DC265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8" o:spid="_x0000_s4113" type="#_x0000_t136" style="position:absolute;margin-left:0;margin-top:0;width:572.65pt;height:63.6pt;rotation:315;z-index:-25162035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D40E0" w14:textId="5BF82F6E" w:rsidR="001942A9" w:rsidRDefault="000667F3" w:rsidP="00A1774B">
    <w:pPr>
      <w:tabs>
        <w:tab w:val="center" w:pos="4536"/>
        <w:tab w:val="left" w:pos="6820"/>
        <w:tab w:val="right" w:pos="9073"/>
        <w:tab w:val="right" w:pos="9360"/>
      </w:tabs>
      <w:overflowPunct w:val="0"/>
      <w:autoSpaceDE w:val="0"/>
      <w:autoSpaceDN w:val="0"/>
      <w:adjustRightInd w:val="0"/>
      <w:spacing w:after="480"/>
      <w:textAlignment w:val="baseline"/>
    </w:pPr>
    <w:r>
      <w:rPr>
        <w:noProof/>
      </w:rPr>
      <w:pict w14:anchorId="337CF6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9" o:spid="_x0000_s4114" type="#_x0000_t136" style="position:absolute;margin-left:0;margin-top:0;width:572.65pt;height:63.6pt;rotation:315;z-index:-25161830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Pr>
        <w:rFonts w:ascii="Arial" w:hAnsi="Arial" w:cs="Arial"/>
        <w:sz w:val="18"/>
        <w:szCs w:val="18"/>
        <w:lang w:eastAsia="fr-FR"/>
      </w:rPr>
      <w:tab/>
    </w:r>
    <w:r w:rsidR="001942A9">
      <w:rPr>
        <w:rFonts w:ascii="Arial" w:hAnsi="Arial" w:cs="Arial"/>
        <w:sz w:val="18"/>
        <w:szCs w:val="18"/>
        <w:lang w:eastAsia="fr-FR"/>
      </w:rPr>
      <w:tab/>
    </w:r>
    <w:r w:rsidR="001942A9">
      <w:rPr>
        <w:rFonts w:ascii="Arial" w:hAnsi="Arial" w:cs="Arial"/>
        <w:sz w:val="18"/>
        <w:szCs w:val="18"/>
        <w:lang w:eastAsia="fr-FR"/>
      </w:rPr>
      <w:tab/>
    </w:r>
    <w:r w:rsidR="001942A9">
      <w:rPr>
        <w:rFonts w:ascii="Arial" w:hAnsi="Arial" w:cs="Arial"/>
        <w:sz w:val="18"/>
        <w:szCs w:val="18"/>
        <w:lang w:eastAsia="fr-FR"/>
      </w:rPr>
      <w:tab/>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53</w:t>
    </w:r>
    <w:r w:rsidR="001942A9" w:rsidRPr="006E4078">
      <w:rPr>
        <w:rFonts w:ascii="Arial" w:hAnsi="Arial" w:cs="Arial"/>
        <w:noProof/>
        <w:sz w:val="18"/>
        <w:szCs w:val="18"/>
        <w:lang w:eastAsia="fr-FR"/>
      </w:rP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1BB52" w14:textId="26834261" w:rsidR="0099352B" w:rsidRDefault="000667F3">
    <w:pPr>
      <w:pStyle w:val="a6"/>
    </w:pPr>
    <w:r>
      <w:rPr>
        <w:noProof/>
      </w:rPr>
      <w:pict w14:anchorId="14D410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87" o:spid="_x0000_s4112" type="#_x0000_t136" style="position:absolute;margin-left:0;margin-top:0;width:572.65pt;height:63.6pt;rotation:315;z-index:-25162240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AF06E" w14:textId="4CCA52D2" w:rsidR="0099352B" w:rsidRDefault="000667F3">
    <w:pPr>
      <w:pStyle w:val="a6"/>
    </w:pPr>
    <w:r>
      <w:rPr>
        <w:noProof/>
      </w:rPr>
      <w:pict w14:anchorId="4AC6EE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1" o:spid="_x0000_s4116" type="#_x0000_t136" style="position:absolute;margin-left:0;margin-top:0;width:572.65pt;height:63.6pt;rotation:315;z-index:-25161420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2310" w14:textId="3B39D978" w:rsidR="001942A9" w:rsidRPr="000E0A30" w:rsidRDefault="000667F3" w:rsidP="007B3D5C">
    <w:pPr>
      <w:tabs>
        <w:tab w:val="center" w:pos="4536"/>
        <w:tab w:val="right" w:pos="9073"/>
      </w:tabs>
      <w:overflowPunct w:val="0"/>
      <w:adjustRightInd w:val="0"/>
      <w:spacing w:after="480"/>
      <w:jc w:val="right"/>
      <w:textAlignment w:val="baseline"/>
      <w:rPr>
        <w:rFonts w:ascii="Arial" w:hAnsi="Arial" w:cs="Arial"/>
      </w:rPr>
    </w:pPr>
    <w:r>
      <w:rPr>
        <w:noProof/>
      </w:rPr>
      <w:pict w14:anchorId="40FCBF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2" o:spid="_x0000_s4117" type="#_x0000_t136" style="position:absolute;left:0;text-align:left;margin-left:0;margin-top:0;width:572.65pt;height:63.6pt;rotation:315;z-index:-25161216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0E0A30">
      <w:rPr>
        <w:rFonts w:ascii="Arial" w:hAnsi="Arial" w:cs="Arial"/>
        <w:sz w:val="18"/>
        <w:szCs w:val="18"/>
        <w:lang w:eastAsia="fr-FR"/>
      </w:rPr>
      <w:fldChar w:fldCharType="begin"/>
    </w:r>
    <w:r w:rsidR="001942A9" w:rsidRPr="000E0A30">
      <w:rPr>
        <w:rFonts w:ascii="Arial" w:hAnsi="Arial" w:cs="Arial"/>
        <w:sz w:val="18"/>
        <w:szCs w:val="18"/>
        <w:lang w:eastAsia="fr-FR"/>
      </w:rPr>
      <w:instrText xml:space="preserve"> PAGE   \* MERGEFORMAT </w:instrText>
    </w:r>
    <w:r w:rsidR="001942A9" w:rsidRPr="000E0A30">
      <w:rPr>
        <w:rFonts w:ascii="Arial" w:hAnsi="Arial" w:cs="Arial"/>
        <w:sz w:val="18"/>
        <w:szCs w:val="18"/>
        <w:lang w:eastAsia="fr-FR"/>
      </w:rPr>
      <w:fldChar w:fldCharType="separate"/>
    </w:r>
    <w:r w:rsidR="0099352B">
      <w:rPr>
        <w:rFonts w:ascii="Arial" w:hAnsi="Arial" w:cs="Arial"/>
        <w:noProof/>
        <w:sz w:val="18"/>
        <w:szCs w:val="18"/>
        <w:lang w:eastAsia="fr-FR"/>
      </w:rPr>
      <w:t>55</w:t>
    </w:r>
    <w:r w:rsidR="001942A9" w:rsidRPr="000E0A30">
      <w:rPr>
        <w:rFonts w:ascii="Arial" w:hAnsi="Arial" w:cs="Arial"/>
        <w:noProof/>
        <w:sz w:val="18"/>
        <w:szCs w:val="18"/>
        <w:lang w:eastAsia="fr-FR"/>
      </w:rPr>
      <w:fldChar w:fldCharType="end"/>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B2AD4" w14:textId="4F5D094C" w:rsidR="0099352B" w:rsidRDefault="000667F3">
    <w:pPr>
      <w:pStyle w:val="a6"/>
    </w:pPr>
    <w:r>
      <w:rPr>
        <w:noProof/>
      </w:rPr>
      <w:pict w14:anchorId="5A8F87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0" o:spid="_x0000_s4115" type="#_x0000_t136" style="position:absolute;margin-left:0;margin-top:0;width:572.65pt;height:63.6pt;rotation:315;z-index:-25161625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B2622" w14:textId="2129E07B" w:rsidR="001942A9" w:rsidRPr="000E0A30" w:rsidRDefault="000667F3" w:rsidP="0076436B">
    <w:pPr>
      <w:pStyle w:val="a6"/>
      <w:tabs>
        <w:tab w:val="left" w:pos="8277"/>
      </w:tabs>
      <w:spacing w:after="480"/>
    </w:pPr>
    <w:r>
      <w:rPr>
        <w:noProof/>
      </w:rPr>
      <w:pict w14:anchorId="31122B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4" o:spid="_x0000_s4119" type="#_x0000_t136" style="position:absolute;margin-left:0;margin-top:0;width:572.65pt;height:63.6pt;rotation:315;z-index:-25160806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3512BE">
      <w:rPr>
        <w:rFonts w:ascii="Arial" w:hAnsi="Arial" w:cs="Arial"/>
        <w:sz w:val="18"/>
        <w:szCs w:val="18"/>
      </w:rPr>
      <w:fldChar w:fldCharType="begin"/>
    </w:r>
    <w:r w:rsidR="001942A9" w:rsidRPr="003512BE">
      <w:rPr>
        <w:rFonts w:ascii="Arial" w:hAnsi="Arial" w:cs="Arial"/>
        <w:sz w:val="18"/>
        <w:szCs w:val="18"/>
      </w:rPr>
      <w:instrText>PAGE   \* MERGEFORMAT</w:instrText>
    </w:r>
    <w:r w:rsidR="001942A9" w:rsidRPr="003512BE">
      <w:rPr>
        <w:rFonts w:ascii="Arial" w:hAnsi="Arial" w:cs="Arial"/>
        <w:sz w:val="18"/>
        <w:szCs w:val="18"/>
      </w:rPr>
      <w:fldChar w:fldCharType="separate"/>
    </w:r>
    <w:r w:rsidR="0099352B">
      <w:rPr>
        <w:rFonts w:ascii="Arial" w:hAnsi="Arial" w:cs="Arial"/>
        <w:noProof/>
        <w:sz w:val="18"/>
        <w:szCs w:val="18"/>
      </w:rPr>
      <w:t>78</w:t>
    </w:r>
    <w:r w:rsidR="001942A9" w:rsidRPr="003512BE">
      <w:rPr>
        <w:rFonts w:ascii="Arial" w:hAnsi="Arial" w:cs="Arial"/>
        <w:sz w:val="18"/>
        <w:szCs w:val="18"/>
      </w:rP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52CF4" w14:textId="76189B9F" w:rsidR="001942A9" w:rsidRDefault="000667F3" w:rsidP="00C7266C">
    <w:pPr>
      <w:pStyle w:val="a6"/>
      <w:tabs>
        <w:tab w:val="left" w:pos="8277"/>
      </w:tabs>
      <w:spacing w:after="480"/>
      <w:jc w:val="right"/>
    </w:pPr>
    <w:r>
      <w:rPr>
        <w:noProof/>
      </w:rPr>
      <w:pict w14:anchorId="24EEBE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5" o:spid="_x0000_s4120" type="#_x0000_t136" style="position:absolute;left:0;text-align:left;margin-left:0;margin-top:0;width:572.65pt;height:63.6pt;rotation:315;z-index:-25160601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3512BE">
      <w:rPr>
        <w:rFonts w:ascii="Arial" w:hAnsi="Arial" w:cs="Arial"/>
        <w:sz w:val="18"/>
        <w:szCs w:val="18"/>
      </w:rPr>
      <w:fldChar w:fldCharType="begin"/>
    </w:r>
    <w:r w:rsidR="001942A9" w:rsidRPr="003512BE">
      <w:rPr>
        <w:rFonts w:ascii="Arial" w:hAnsi="Arial" w:cs="Arial"/>
        <w:sz w:val="18"/>
        <w:szCs w:val="18"/>
      </w:rPr>
      <w:instrText>PAGE   \* MERGEFORMAT</w:instrText>
    </w:r>
    <w:r w:rsidR="001942A9" w:rsidRPr="003512BE">
      <w:rPr>
        <w:rFonts w:ascii="Arial" w:hAnsi="Arial" w:cs="Arial"/>
        <w:sz w:val="18"/>
        <w:szCs w:val="18"/>
      </w:rPr>
      <w:fldChar w:fldCharType="separate"/>
    </w:r>
    <w:r w:rsidR="0099352B">
      <w:rPr>
        <w:rFonts w:ascii="Arial" w:hAnsi="Arial" w:cs="Arial"/>
        <w:noProof/>
        <w:sz w:val="18"/>
        <w:szCs w:val="18"/>
      </w:rPr>
      <w:t>77</w:t>
    </w:r>
    <w:r w:rsidR="001942A9" w:rsidRPr="003512BE">
      <w:rPr>
        <w:rFonts w:ascii="Arial" w:hAnsi="Arial" w:cs="Arial"/>
        <w:sz w:val="18"/>
        <w:szCs w:val="18"/>
      </w:rP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C149F" w14:textId="65E0C848" w:rsidR="001942A9" w:rsidRDefault="000667F3">
    <w:pPr>
      <w:pStyle w:val="a6"/>
    </w:pPr>
    <w:r>
      <w:rPr>
        <w:noProof/>
      </w:rPr>
      <w:pict w14:anchorId="1D086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3" o:spid="_x0000_s4118" type="#_x0000_t136" style="position:absolute;margin-left:0;margin-top:0;width:572.65pt;height:63.6pt;rotation:315;z-index:-25161011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B407E" w14:textId="36075F3C" w:rsidR="001942A9" w:rsidRDefault="000667F3">
    <w:pPr>
      <w:pStyle w:val="a6"/>
    </w:pPr>
    <w:r>
      <w:rPr>
        <w:noProof/>
      </w:rPr>
      <w:pict w14:anchorId="43C6A0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7" o:spid="_x0000_s4122" type="#_x0000_t136" style="position:absolute;margin-left:0;margin-top:0;width:572.65pt;height:63.6pt;rotation:315;z-index:-25160192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438E9" w14:textId="6C7B41C4" w:rsidR="001942A9" w:rsidRPr="000E0A30" w:rsidRDefault="000667F3" w:rsidP="00C7266C">
    <w:pPr>
      <w:tabs>
        <w:tab w:val="center" w:pos="4536"/>
        <w:tab w:val="right" w:pos="9073"/>
      </w:tabs>
      <w:overflowPunct w:val="0"/>
      <w:adjustRightInd w:val="0"/>
      <w:spacing w:after="480"/>
      <w:jc w:val="right"/>
      <w:textAlignment w:val="baseline"/>
      <w:rPr>
        <w:rFonts w:ascii="Arial" w:hAnsi="Arial" w:cs="Arial"/>
      </w:rPr>
    </w:pPr>
    <w:r>
      <w:rPr>
        <w:noProof/>
      </w:rPr>
      <w:pict w14:anchorId="6F3557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8" o:spid="_x0000_s4123" type="#_x0000_t136" style="position:absolute;left:0;text-align:left;margin-left:0;margin-top:0;width:572.65pt;height:63.6pt;rotation:315;z-index:-25159987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0E0A30">
      <w:rPr>
        <w:rFonts w:ascii="Arial" w:hAnsi="Arial" w:cs="Arial"/>
        <w:sz w:val="18"/>
        <w:szCs w:val="18"/>
        <w:lang w:eastAsia="fr-FR"/>
      </w:rPr>
      <w:fldChar w:fldCharType="begin"/>
    </w:r>
    <w:r w:rsidR="001942A9" w:rsidRPr="000E0A30">
      <w:rPr>
        <w:rFonts w:ascii="Arial" w:hAnsi="Arial" w:cs="Arial"/>
        <w:sz w:val="18"/>
        <w:szCs w:val="18"/>
        <w:lang w:eastAsia="fr-FR"/>
      </w:rPr>
      <w:instrText xml:space="preserve"> PAGE   \* MERGEFORMAT </w:instrText>
    </w:r>
    <w:r w:rsidR="001942A9" w:rsidRPr="000E0A30">
      <w:rPr>
        <w:rFonts w:ascii="Arial" w:hAnsi="Arial" w:cs="Arial"/>
        <w:sz w:val="18"/>
        <w:szCs w:val="18"/>
        <w:lang w:eastAsia="fr-FR"/>
      </w:rPr>
      <w:fldChar w:fldCharType="separate"/>
    </w:r>
    <w:r w:rsidR="0099352B">
      <w:rPr>
        <w:rFonts w:ascii="Arial" w:hAnsi="Arial" w:cs="Arial"/>
        <w:noProof/>
        <w:sz w:val="18"/>
        <w:szCs w:val="18"/>
        <w:lang w:eastAsia="fr-FR"/>
      </w:rPr>
      <w:t>81</w:t>
    </w:r>
    <w:r w:rsidR="001942A9" w:rsidRPr="000E0A30">
      <w:rPr>
        <w:rFonts w:ascii="Arial" w:hAnsi="Arial" w:cs="Arial"/>
        <w:noProof/>
        <w:sz w:val="18"/>
        <w:szCs w:val="18"/>
        <w:lang w:eastAsia="fr-FR"/>
      </w:rPr>
      <w:fldChar w:fldCharType="end"/>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E6D82" w14:textId="2C92AD6F" w:rsidR="001942A9" w:rsidRDefault="000667F3">
    <w:pPr>
      <w:pStyle w:val="a6"/>
    </w:pPr>
    <w:r>
      <w:rPr>
        <w:noProof/>
      </w:rPr>
      <w:pict w14:anchorId="68D0C7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6" o:spid="_x0000_s4121" type="#_x0000_t136" style="position:absolute;margin-left:0;margin-top:0;width:572.65pt;height:63.6pt;rotation:315;z-index:-25160396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AF3E6" w14:textId="1FEEBF91" w:rsidR="001942A9" w:rsidRPr="00BC0328" w:rsidRDefault="000667F3" w:rsidP="00C7266C">
    <w:pPr>
      <w:pStyle w:val="a6"/>
      <w:spacing w:after="480"/>
      <w:rPr>
        <w:rFonts w:ascii="Arial" w:hAnsi="Arial" w:cs="Arial"/>
        <w:sz w:val="18"/>
        <w:szCs w:val="18"/>
      </w:rPr>
    </w:pPr>
    <w:r>
      <w:rPr>
        <w:noProof/>
      </w:rPr>
      <w:pict w14:anchorId="471231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0" o:spid="_x0000_s4125" type="#_x0000_t136" style="position:absolute;margin-left:0;margin-top:0;width:572.65pt;height:63.6pt;rotation:315;z-index:-25159577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90</w:t>
    </w:r>
    <w:r w:rsidR="001942A9" w:rsidRPr="00BC0328">
      <w:rPr>
        <w:rFonts w:ascii="Arial" w:hAnsi="Arial" w:cs="Arial"/>
        <w:sz w:val="18"/>
        <w:szCs w:val="18"/>
      </w:rPr>
      <w:fldChar w:fldCharType="end"/>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BF82" w14:textId="51665E63" w:rsidR="001942A9" w:rsidRPr="00BC0328" w:rsidRDefault="000667F3" w:rsidP="00C7266C">
    <w:pPr>
      <w:pStyle w:val="a6"/>
      <w:spacing w:after="480"/>
      <w:jc w:val="right"/>
      <w:rPr>
        <w:rFonts w:ascii="Arial" w:hAnsi="Arial" w:cs="Arial"/>
        <w:sz w:val="18"/>
        <w:szCs w:val="18"/>
      </w:rPr>
    </w:pPr>
    <w:r>
      <w:rPr>
        <w:noProof/>
      </w:rPr>
      <w:pict w14:anchorId="3AB51E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1" o:spid="_x0000_s4126" type="#_x0000_t136" style="position:absolute;left:0;text-align:left;margin-left:0;margin-top:0;width:572.65pt;height:63.6pt;rotation:315;z-index:-25159372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89</w:t>
    </w:r>
    <w:r w:rsidR="001942A9" w:rsidRPr="00BC0328">
      <w:rPr>
        <w:rFonts w:ascii="Arial" w:hAnsi="Arial" w:cs="Arial"/>
        <w:sz w:val="18"/>
        <w:szCs w:val="18"/>
      </w:rPr>
      <w:fldChar w:fldCharType="end"/>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AE013" w14:textId="4BB8C3EE" w:rsidR="001942A9" w:rsidRPr="00BC0328" w:rsidRDefault="000667F3" w:rsidP="00C7266C">
    <w:pPr>
      <w:pStyle w:val="a6"/>
      <w:spacing w:after="480"/>
      <w:jc w:val="right"/>
      <w:rPr>
        <w:rFonts w:ascii="Arial" w:hAnsi="Arial" w:cs="Arial"/>
        <w:sz w:val="18"/>
        <w:szCs w:val="18"/>
      </w:rPr>
    </w:pPr>
    <w:r>
      <w:rPr>
        <w:noProof/>
      </w:rPr>
      <w:pict w14:anchorId="5DD83D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799" o:spid="_x0000_s4124" type="#_x0000_t136" style="position:absolute;left:0;text-align:left;margin-left:0;margin-top:0;width:572.65pt;height:63.6pt;rotation:315;z-index:-25159782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83</w:t>
    </w:r>
    <w:r w:rsidR="001942A9" w:rsidRPr="00BC0328">
      <w:rPr>
        <w:rFonts w:ascii="Arial" w:hAnsi="Arial" w:cs="Arial"/>
        <w:sz w:val="18"/>
        <w:szCs w:val="18"/>
      </w:rPr>
      <w:fldChar w:fldCharType="end"/>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30612" w14:textId="77A1ACD2" w:rsidR="001942A9" w:rsidRPr="0086774A" w:rsidRDefault="000667F3" w:rsidP="00C7266C">
    <w:pPr>
      <w:pStyle w:val="a6"/>
      <w:spacing w:after="480"/>
      <w:rPr>
        <w:rFonts w:ascii="Arial" w:hAnsi="Arial" w:cs="Arial"/>
        <w:sz w:val="18"/>
        <w:szCs w:val="18"/>
      </w:rPr>
    </w:pPr>
    <w:r>
      <w:rPr>
        <w:noProof/>
      </w:rPr>
      <w:pict w14:anchorId="4D4BFF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3" o:spid="_x0000_s4128" type="#_x0000_t136" style="position:absolute;margin-left:0;margin-top:0;width:572.65pt;height:63.6pt;rotation:315;z-index:-25158963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99352B">
      <w:rPr>
        <w:rFonts w:ascii="Arial" w:hAnsi="Arial" w:cs="Arial"/>
        <w:noProof/>
        <w:sz w:val="18"/>
        <w:szCs w:val="18"/>
      </w:rPr>
      <w:t>102</w:t>
    </w:r>
    <w:r w:rsidR="001942A9" w:rsidRPr="00AD147D">
      <w:rPr>
        <w:rFonts w:ascii="Arial" w:hAnsi="Arial" w:cs="Arial"/>
        <w:sz w:val="18"/>
        <w:szCs w:val="18"/>
      </w:rPr>
      <w:fldChar w:fldCharType="end"/>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37BDB" w14:textId="2E194B6E" w:rsidR="001942A9" w:rsidRPr="00D80093" w:rsidRDefault="000667F3" w:rsidP="00C7266C">
    <w:pPr>
      <w:pStyle w:val="a6"/>
      <w:spacing w:after="480"/>
      <w:jc w:val="right"/>
      <w:rPr>
        <w:rFonts w:ascii="Arial" w:hAnsi="Arial" w:cs="Arial"/>
        <w:sz w:val="18"/>
        <w:szCs w:val="18"/>
      </w:rPr>
    </w:pPr>
    <w:r>
      <w:rPr>
        <w:noProof/>
      </w:rPr>
      <w:pict w14:anchorId="54ADE4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4" o:spid="_x0000_s4129" type="#_x0000_t136" style="position:absolute;left:0;text-align:left;margin-left:0;margin-top:0;width:572.65pt;height:63.6pt;rotation:315;z-index:-25158758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99352B">
      <w:rPr>
        <w:rFonts w:ascii="Arial" w:hAnsi="Arial" w:cs="Arial"/>
        <w:noProof/>
        <w:sz w:val="18"/>
        <w:szCs w:val="18"/>
      </w:rPr>
      <w:t>103</w:t>
    </w:r>
    <w:r w:rsidR="001942A9" w:rsidRPr="00AD147D">
      <w:rPr>
        <w:rFonts w:ascii="Arial" w:hAnsi="Arial" w:cs="Arial"/>
        <w:sz w:val="18"/>
        <w:szCs w:val="18"/>
      </w:rPr>
      <w:fldChar w:fldCharType="end"/>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5EDE4" w14:textId="274BD462" w:rsidR="001942A9" w:rsidRPr="008125E8" w:rsidRDefault="000667F3" w:rsidP="00C7266C">
    <w:pPr>
      <w:pStyle w:val="a6"/>
      <w:spacing w:after="480"/>
      <w:jc w:val="right"/>
      <w:rPr>
        <w:rFonts w:ascii="Arial" w:hAnsi="Arial" w:cs="Arial"/>
        <w:sz w:val="18"/>
        <w:szCs w:val="18"/>
      </w:rPr>
    </w:pPr>
    <w:r>
      <w:rPr>
        <w:noProof/>
      </w:rPr>
      <w:pict w14:anchorId="57A9C7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2" o:spid="_x0000_s4127" type="#_x0000_t136" style="position:absolute;left:0;text-align:left;margin-left:0;margin-top:0;width:572.65pt;height:63.6pt;rotation:315;z-index:-25159168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99352B">
      <w:rPr>
        <w:rFonts w:ascii="Arial" w:hAnsi="Arial" w:cs="Arial"/>
        <w:noProof/>
        <w:sz w:val="18"/>
        <w:szCs w:val="18"/>
      </w:rPr>
      <w:t>91</w:t>
    </w:r>
    <w:r w:rsidR="001942A9" w:rsidRPr="00AD147D">
      <w:rPr>
        <w:rFonts w:ascii="Arial" w:hAnsi="Arial" w:cs="Arial"/>
        <w:sz w:val="18"/>
        <w:szCs w:val="18"/>
      </w:rPr>
      <w:fldChar w:fldCharType="end"/>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A5312" w14:textId="28658C26" w:rsidR="001942A9" w:rsidRPr="0082230E" w:rsidRDefault="000667F3" w:rsidP="00C7266C">
    <w:pPr>
      <w:pStyle w:val="a6"/>
      <w:spacing w:after="480"/>
      <w:rPr>
        <w:rFonts w:ascii="Arial" w:hAnsi="Arial" w:cs="Arial"/>
        <w:sz w:val="18"/>
        <w:szCs w:val="18"/>
      </w:rPr>
    </w:pPr>
    <w:r>
      <w:rPr>
        <w:noProof/>
      </w:rPr>
      <w:pict w14:anchorId="3B9D9B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6" o:spid="_x0000_s4131" type="#_x0000_t136" style="position:absolute;margin-left:0;margin-top:0;width:572.65pt;height:63.6pt;rotation:315;z-index:-25158348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110</w:t>
    </w:r>
    <w:r w:rsidR="001942A9" w:rsidRPr="00BC0328">
      <w:rPr>
        <w:rFonts w:ascii="Arial" w:hAnsi="Arial" w:cs="Arial"/>
        <w:sz w:val="18"/>
        <w:szCs w:val="18"/>
      </w:rPr>
      <w:fldChar w:fldCharType="end"/>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F8102" w14:textId="6BDE720A" w:rsidR="001942A9" w:rsidRPr="0082230E" w:rsidRDefault="000667F3" w:rsidP="00C7266C">
    <w:pPr>
      <w:pStyle w:val="a6"/>
      <w:spacing w:after="480"/>
      <w:jc w:val="right"/>
      <w:rPr>
        <w:rFonts w:ascii="Arial" w:hAnsi="Arial" w:cs="Arial"/>
        <w:sz w:val="18"/>
        <w:szCs w:val="18"/>
      </w:rPr>
    </w:pPr>
    <w:r>
      <w:rPr>
        <w:noProof/>
      </w:rPr>
      <w:pict w14:anchorId="201BF6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7" o:spid="_x0000_s4132" type="#_x0000_t136" style="position:absolute;left:0;text-align:left;margin-left:0;margin-top:0;width:572.65pt;height:63.6pt;rotation:315;z-index:-25158144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111</w:t>
    </w:r>
    <w:r w:rsidR="001942A9" w:rsidRPr="00BC0328">
      <w:rPr>
        <w:rFonts w:ascii="Arial" w:hAnsi="Arial" w:cs="Arial"/>
        <w:sz w:val="18"/>
        <w:szCs w:val="18"/>
      </w:rPr>
      <w:fldChar w:fldCharType="end"/>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F6DC6" w14:textId="4BBBA986" w:rsidR="001942A9" w:rsidRPr="0082230E" w:rsidRDefault="000667F3" w:rsidP="00C7266C">
    <w:pPr>
      <w:pStyle w:val="a6"/>
      <w:spacing w:after="480"/>
      <w:jc w:val="right"/>
      <w:rPr>
        <w:rFonts w:ascii="Arial" w:hAnsi="Arial" w:cs="Arial"/>
        <w:sz w:val="18"/>
        <w:szCs w:val="18"/>
      </w:rPr>
    </w:pPr>
    <w:r>
      <w:rPr>
        <w:noProof/>
      </w:rPr>
      <w:pict w14:anchorId="7FE33D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5" o:spid="_x0000_s4130" type="#_x0000_t136" style="position:absolute;left:0;text-align:left;margin-left:0;margin-top:0;width:572.65pt;height:63.6pt;rotation:315;z-index:-25158553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105</w:t>
    </w:r>
    <w:r w:rsidR="001942A9" w:rsidRPr="00BC0328">
      <w:rPr>
        <w:rFonts w:ascii="Arial" w:hAnsi="Arial" w:cs="Arial"/>
        <w:sz w:val="18"/>
        <w:szCs w:val="18"/>
      </w:rPr>
      <w:fldChar w:fldCharType="end"/>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BF6DF" w14:textId="4A6B87E2" w:rsidR="001942A9" w:rsidRPr="00B8567F" w:rsidRDefault="000667F3" w:rsidP="00C7266C">
    <w:pPr>
      <w:pStyle w:val="a6"/>
      <w:spacing w:after="480"/>
      <w:rPr>
        <w:rFonts w:ascii="Arial" w:hAnsi="Arial" w:cs="Arial"/>
        <w:sz w:val="18"/>
        <w:szCs w:val="18"/>
      </w:rPr>
    </w:pPr>
    <w:r>
      <w:rPr>
        <w:noProof/>
      </w:rPr>
      <w:pict w14:anchorId="4A4169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9" o:spid="_x0000_s4134" type="#_x0000_t136" style="position:absolute;margin-left:0;margin-top:0;width:572.65pt;height:63.6pt;rotation:315;z-index:-25157734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1942A9">
      <w:rPr>
        <w:rFonts w:ascii="Arial" w:hAnsi="Arial" w:cs="Arial"/>
        <w:noProof/>
        <w:sz w:val="18"/>
        <w:szCs w:val="18"/>
      </w:rPr>
      <w:t>180</w:t>
    </w:r>
    <w:r w:rsidR="001942A9" w:rsidRPr="00AD147D">
      <w:rPr>
        <w:rFonts w:ascii="Arial" w:hAnsi="Arial" w:cs="Arial"/>
        <w:sz w:val="18"/>
        <w:szCs w:val="18"/>
      </w:rPr>
      <w:fldChar w:fldCharType="end"/>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C8455" w14:textId="37C7A20C" w:rsidR="001942A9" w:rsidRPr="00B8567F" w:rsidRDefault="000667F3" w:rsidP="00C7266C">
    <w:pPr>
      <w:pStyle w:val="a6"/>
      <w:spacing w:after="480"/>
      <w:rPr>
        <w:rFonts w:ascii="Arial" w:hAnsi="Arial" w:cs="Arial"/>
        <w:sz w:val="18"/>
        <w:szCs w:val="18"/>
      </w:rPr>
    </w:pPr>
    <w:r>
      <w:rPr>
        <w:noProof/>
      </w:rPr>
      <w:pict w14:anchorId="6E791F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0" o:spid="_x0000_s4135" type="#_x0000_t136" style="position:absolute;margin-left:0;margin-top:0;width:572.65pt;height:63.6pt;rotation:315;z-index:-25157529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1942A9">
      <w:rPr>
        <w:rFonts w:ascii="Arial" w:hAnsi="Arial" w:cs="Arial"/>
        <w:noProof/>
        <w:sz w:val="18"/>
        <w:szCs w:val="18"/>
      </w:rPr>
      <w:t>179</w:t>
    </w:r>
    <w:r w:rsidR="001942A9" w:rsidRPr="00AD147D">
      <w:rPr>
        <w:rFonts w:ascii="Arial" w:hAnsi="Arial" w:cs="Arial"/>
        <w:sz w:val="18"/>
        <w:szCs w:val="18"/>
      </w:rPr>
      <w:fldChar w:fldCharType="end"/>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B1067" w14:textId="55B8C26B" w:rsidR="001942A9" w:rsidRPr="009F1AE5" w:rsidRDefault="000667F3" w:rsidP="00C7266C">
    <w:pPr>
      <w:pStyle w:val="a6"/>
      <w:spacing w:after="480"/>
      <w:rPr>
        <w:rFonts w:ascii="Arial" w:hAnsi="Arial" w:cs="Arial"/>
        <w:sz w:val="18"/>
        <w:szCs w:val="18"/>
      </w:rPr>
    </w:pPr>
    <w:r>
      <w:rPr>
        <w:noProof/>
      </w:rPr>
      <w:pict w14:anchorId="647774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08" o:spid="_x0000_s4133" type="#_x0000_t136" style="position:absolute;margin-left:0;margin-top:0;width:572.65pt;height:63.6pt;rotation:315;z-index:-25157939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99352B">
      <w:rPr>
        <w:rFonts w:ascii="Arial" w:hAnsi="Arial" w:cs="Arial"/>
        <w:noProof/>
        <w:sz w:val="18"/>
        <w:szCs w:val="18"/>
      </w:rPr>
      <w:t>112</w:t>
    </w:r>
    <w:r w:rsidR="001942A9" w:rsidRPr="00AD147D">
      <w:rPr>
        <w:rFonts w:ascii="Arial" w:hAnsi="Arial" w:cs="Arial"/>
        <w:sz w:val="18"/>
        <w:szCs w:val="18"/>
      </w:rPr>
      <w:fldChar w:fldCharType="end"/>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F82A0" w14:textId="22BCB986" w:rsidR="001942A9" w:rsidRPr="00792FAA" w:rsidRDefault="000667F3" w:rsidP="00C7266C">
    <w:pPr>
      <w:pStyle w:val="a6"/>
      <w:spacing w:after="480"/>
      <w:rPr>
        <w:rFonts w:ascii="Arial" w:hAnsi="Arial" w:cs="Arial"/>
        <w:sz w:val="18"/>
        <w:szCs w:val="18"/>
      </w:rPr>
    </w:pPr>
    <w:r>
      <w:rPr>
        <w:noProof/>
      </w:rPr>
      <w:pict w14:anchorId="4FCDBC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2" o:spid="_x0000_s4137" type="#_x0000_t136" style="position:absolute;margin-left:0;margin-top:0;width:572.65pt;height:63.6pt;rotation:315;z-index:-25157120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99352B">
      <w:rPr>
        <w:rFonts w:ascii="Arial" w:hAnsi="Arial" w:cs="Arial"/>
        <w:noProof/>
        <w:sz w:val="18"/>
        <w:szCs w:val="18"/>
      </w:rPr>
      <w:t>118</w:t>
    </w:r>
    <w:r w:rsidR="001942A9" w:rsidRPr="00AD147D">
      <w:rPr>
        <w:rFonts w:ascii="Arial" w:hAnsi="Arial" w:cs="Arial"/>
        <w:sz w:val="18"/>
        <w:szCs w:val="18"/>
      </w:rPr>
      <w:fldChar w:fldCharType="end"/>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08526" w14:textId="58D41C24" w:rsidR="001942A9" w:rsidRPr="00792FAA" w:rsidRDefault="000667F3" w:rsidP="00C7266C">
    <w:pPr>
      <w:pStyle w:val="a6"/>
      <w:spacing w:after="480"/>
      <w:jc w:val="right"/>
      <w:rPr>
        <w:rFonts w:ascii="Arial" w:hAnsi="Arial" w:cs="Arial"/>
        <w:sz w:val="18"/>
        <w:szCs w:val="18"/>
      </w:rPr>
    </w:pPr>
    <w:r>
      <w:rPr>
        <w:noProof/>
      </w:rPr>
      <w:pict w14:anchorId="31C7CB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3" o:spid="_x0000_s4138" type="#_x0000_t136" style="position:absolute;left:0;text-align:left;margin-left:0;margin-top:0;width:572.65pt;height:63.6pt;rotation:315;z-index:-25156915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99352B">
      <w:rPr>
        <w:rFonts w:ascii="Arial" w:hAnsi="Arial" w:cs="Arial"/>
        <w:noProof/>
        <w:sz w:val="18"/>
        <w:szCs w:val="18"/>
      </w:rPr>
      <w:t>119</w:t>
    </w:r>
    <w:r w:rsidR="001942A9" w:rsidRPr="00AD147D">
      <w:rPr>
        <w:rFonts w:ascii="Arial" w:hAnsi="Arial" w:cs="Arial"/>
        <w:sz w:val="18"/>
        <w:szCs w:val="18"/>
      </w:rPr>
      <w:fldChar w:fldCharType="end"/>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26A1B" w14:textId="30B459D4" w:rsidR="001942A9" w:rsidRPr="008125E8" w:rsidRDefault="000667F3" w:rsidP="00C7266C">
    <w:pPr>
      <w:pStyle w:val="a6"/>
      <w:spacing w:after="480"/>
      <w:rPr>
        <w:rFonts w:ascii="Arial" w:hAnsi="Arial" w:cs="Arial"/>
        <w:sz w:val="18"/>
        <w:szCs w:val="18"/>
      </w:rPr>
    </w:pPr>
    <w:r>
      <w:rPr>
        <w:noProof/>
      </w:rPr>
      <w:pict w14:anchorId="52E831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1" o:spid="_x0000_s4136" type="#_x0000_t136" style="position:absolute;margin-left:0;margin-top:0;width:572.65pt;height:63.6pt;rotation:315;z-index:-25157324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D147D">
      <w:rPr>
        <w:rFonts w:ascii="Arial" w:hAnsi="Arial" w:cs="Arial"/>
        <w:sz w:val="18"/>
        <w:szCs w:val="18"/>
      </w:rPr>
      <w:fldChar w:fldCharType="begin"/>
    </w:r>
    <w:r w:rsidR="001942A9" w:rsidRPr="00AD147D">
      <w:rPr>
        <w:rFonts w:ascii="Arial" w:hAnsi="Arial" w:cs="Arial"/>
        <w:sz w:val="18"/>
        <w:szCs w:val="18"/>
      </w:rPr>
      <w:instrText>PAGE   \* MERGEFORMAT</w:instrText>
    </w:r>
    <w:r w:rsidR="001942A9" w:rsidRPr="00AD147D">
      <w:rPr>
        <w:rFonts w:ascii="Arial" w:hAnsi="Arial" w:cs="Arial"/>
        <w:sz w:val="18"/>
        <w:szCs w:val="18"/>
      </w:rPr>
      <w:fldChar w:fldCharType="separate"/>
    </w:r>
    <w:r w:rsidR="001942A9">
      <w:rPr>
        <w:rFonts w:ascii="Arial" w:hAnsi="Arial" w:cs="Arial"/>
        <w:noProof/>
        <w:sz w:val="18"/>
        <w:szCs w:val="18"/>
      </w:rPr>
      <w:t>132</w:t>
    </w:r>
    <w:r w:rsidR="001942A9" w:rsidRPr="00AD147D">
      <w:rPr>
        <w:rFonts w:ascii="Arial" w:hAnsi="Arial" w:cs="Arial"/>
        <w:sz w:val="18"/>
        <w:szCs w:val="18"/>
      </w:rPr>
      <w:fldChar w:fldCharType="end"/>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E0B79" w14:textId="3C680D5C" w:rsidR="001942A9" w:rsidRPr="005D0BAB" w:rsidRDefault="000667F3" w:rsidP="00C7266C">
    <w:pPr>
      <w:pStyle w:val="a6"/>
      <w:spacing w:after="480"/>
      <w:rPr>
        <w:rFonts w:ascii="Arial" w:hAnsi="Arial" w:cs="Arial"/>
        <w:sz w:val="18"/>
        <w:szCs w:val="18"/>
      </w:rPr>
    </w:pPr>
    <w:r>
      <w:rPr>
        <w:noProof/>
      </w:rPr>
      <w:pict w14:anchorId="6458C4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5" o:spid="_x0000_s4140" type="#_x0000_t136" style="position:absolute;margin-left:0;margin-top:0;width:572.65pt;height:63.6pt;rotation:315;z-index:-25156505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5D0BAB">
      <w:rPr>
        <w:rFonts w:ascii="Arial" w:hAnsi="Arial" w:cs="Arial"/>
        <w:sz w:val="18"/>
        <w:szCs w:val="18"/>
      </w:rPr>
      <w:fldChar w:fldCharType="begin"/>
    </w:r>
    <w:r w:rsidR="001942A9" w:rsidRPr="005D0BAB">
      <w:rPr>
        <w:rFonts w:ascii="Arial" w:hAnsi="Arial" w:cs="Arial"/>
        <w:sz w:val="18"/>
        <w:szCs w:val="18"/>
      </w:rPr>
      <w:instrText>PAGE   \* MERGEFORMAT</w:instrText>
    </w:r>
    <w:r w:rsidR="001942A9" w:rsidRPr="005D0BAB">
      <w:rPr>
        <w:rFonts w:ascii="Arial" w:hAnsi="Arial" w:cs="Arial"/>
        <w:sz w:val="18"/>
        <w:szCs w:val="18"/>
      </w:rPr>
      <w:fldChar w:fldCharType="separate"/>
    </w:r>
    <w:r w:rsidR="0099352B">
      <w:rPr>
        <w:rFonts w:ascii="Arial" w:hAnsi="Arial" w:cs="Arial"/>
        <w:noProof/>
        <w:sz w:val="18"/>
        <w:szCs w:val="18"/>
      </w:rPr>
      <w:t>126</w:t>
    </w:r>
    <w:r w:rsidR="001942A9" w:rsidRPr="005D0BAB">
      <w:rPr>
        <w:rFonts w:ascii="Arial" w:hAnsi="Arial" w:cs="Arial"/>
        <w:sz w:val="18"/>
        <w:szCs w:val="18"/>
      </w:rPr>
      <w:fldChar w:fldCharType="end"/>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5FBCA" w14:textId="72C001F5" w:rsidR="001942A9" w:rsidRPr="005D0BAB" w:rsidRDefault="000667F3" w:rsidP="00C7266C">
    <w:pPr>
      <w:pStyle w:val="a6"/>
      <w:spacing w:after="480"/>
      <w:jc w:val="right"/>
      <w:rPr>
        <w:rFonts w:ascii="Arial" w:hAnsi="Arial" w:cs="Arial"/>
        <w:sz w:val="18"/>
        <w:szCs w:val="18"/>
      </w:rPr>
    </w:pPr>
    <w:r>
      <w:rPr>
        <w:noProof/>
      </w:rPr>
      <w:pict w14:anchorId="47FA92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6" o:spid="_x0000_s4141" type="#_x0000_t136" style="position:absolute;left:0;text-align:left;margin-left:0;margin-top:0;width:572.65pt;height:63.6pt;rotation:315;z-index:-25156300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5D0BAB">
      <w:rPr>
        <w:rFonts w:ascii="Arial" w:hAnsi="Arial" w:cs="Arial"/>
        <w:sz w:val="18"/>
        <w:szCs w:val="18"/>
      </w:rPr>
      <w:fldChar w:fldCharType="begin"/>
    </w:r>
    <w:r w:rsidR="001942A9" w:rsidRPr="005D0BAB">
      <w:rPr>
        <w:rFonts w:ascii="Arial" w:hAnsi="Arial" w:cs="Arial"/>
        <w:sz w:val="18"/>
        <w:szCs w:val="18"/>
      </w:rPr>
      <w:instrText>PAGE   \* MERGEFORMAT</w:instrText>
    </w:r>
    <w:r w:rsidR="001942A9" w:rsidRPr="005D0BAB">
      <w:rPr>
        <w:rFonts w:ascii="Arial" w:hAnsi="Arial" w:cs="Arial"/>
        <w:sz w:val="18"/>
        <w:szCs w:val="18"/>
      </w:rPr>
      <w:fldChar w:fldCharType="separate"/>
    </w:r>
    <w:r w:rsidR="0099352B">
      <w:rPr>
        <w:rFonts w:ascii="Arial" w:hAnsi="Arial" w:cs="Arial"/>
        <w:noProof/>
        <w:sz w:val="18"/>
        <w:szCs w:val="18"/>
      </w:rPr>
      <w:t>127</w:t>
    </w:r>
    <w:r w:rsidR="001942A9" w:rsidRPr="005D0BAB">
      <w:rPr>
        <w:rFonts w:ascii="Arial" w:hAnsi="Arial" w:cs="Arial"/>
        <w:sz w:val="18"/>
        <w:szCs w:val="18"/>
      </w:rPr>
      <w:fldChar w:fldCharType="end"/>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A79AF" w14:textId="1ECDC98A" w:rsidR="001942A9" w:rsidRPr="005D0BAB" w:rsidRDefault="000667F3" w:rsidP="00C7266C">
    <w:pPr>
      <w:pStyle w:val="a6"/>
      <w:spacing w:after="480"/>
      <w:jc w:val="right"/>
      <w:rPr>
        <w:rFonts w:ascii="Arial" w:hAnsi="Arial" w:cs="Arial"/>
        <w:sz w:val="18"/>
        <w:szCs w:val="18"/>
      </w:rPr>
    </w:pPr>
    <w:r>
      <w:rPr>
        <w:noProof/>
      </w:rPr>
      <w:pict w14:anchorId="0D4157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4" o:spid="_x0000_s4139" type="#_x0000_t136" style="position:absolute;left:0;text-align:left;margin-left:0;margin-top:0;width:572.65pt;height:63.6pt;rotation:315;z-index:-25156710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5D0BAB">
      <w:rPr>
        <w:rFonts w:ascii="Arial" w:hAnsi="Arial" w:cs="Arial"/>
        <w:sz w:val="18"/>
        <w:szCs w:val="18"/>
      </w:rPr>
      <w:fldChar w:fldCharType="begin"/>
    </w:r>
    <w:r w:rsidR="001942A9" w:rsidRPr="005D0BAB">
      <w:rPr>
        <w:rFonts w:ascii="Arial" w:hAnsi="Arial" w:cs="Arial"/>
        <w:sz w:val="18"/>
        <w:szCs w:val="18"/>
      </w:rPr>
      <w:instrText>PAGE   \* MERGEFORMAT</w:instrText>
    </w:r>
    <w:r w:rsidR="001942A9" w:rsidRPr="005D0BAB">
      <w:rPr>
        <w:rFonts w:ascii="Arial" w:hAnsi="Arial" w:cs="Arial"/>
        <w:sz w:val="18"/>
        <w:szCs w:val="18"/>
      </w:rPr>
      <w:fldChar w:fldCharType="separate"/>
    </w:r>
    <w:r w:rsidR="0099352B">
      <w:rPr>
        <w:rFonts w:ascii="Arial" w:hAnsi="Arial" w:cs="Arial"/>
        <w:noProof/>
        <w:sz w:val="18"/>
        <w:szCs w:val="18"/>
      </w:rPr>
      <w:t>121</w:t>
    </w:r>
    <w:r w:rsidR="001942A9" w:rsidRPr="005D0BAB">
      <w:rPr>
        <w:rFonts w:ascii="Arial" w:hAnsi="Arial" w:cs="Arial"/>
        <w:sz w:val="18"/>
        <w:szCs w:val="18"/>
      </w:rPr>
      <w:fldChar w:fldCharType="end"/>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08F9B" w14:textId="182BC84E" w:rsidR="001942A9" w:rsidRDefault="000667F3">
    <w:pPr>
      <w:pStyle w:val="a6"/>
    </w:pPr>
    <w:r>
      <w:rPr>
        <w:noProof/>
      </w:rPr>
      <w:pict w14:anchorId="565F1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8" o:spid="_x0000_s4143" type="#_x0000_t136" style="position:absolute;margin-left:0;margin-top:0;width:572.65pt;height:63.6pt;rotation:315;z-index:-25155891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F658E" w14:textId="1D74C08F" w:rsidR="001942A9" w:rsidRDefault="000667F3">
    <w:pPr>
      <w:pStyle w:val="a6"/>
    </w:pPr>
    <w:r>
      <w:rPr>
        <w:noProof/>
      </w:rPr>
      <w:pict w14:anchorId="020BE5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9" o:spid="_x0000_s4144" type="#_x0000_t136" style="position:absolute;margin-left:0;margin-top:0;width:572.65pt;height:63.6pt;rotation:315;z-index:-25155686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0AD55" w14:textId="0196515F" w:rsidR="001942A9" w:rsidRPr="005D0BAB" w:rsidRDefault="000667F3" w:rsidP="00C7266C">
    <w:pPr>
      <w:pStyle w:val="a6"/>
      <w:spacing w:after="480"/>
      <w:rPr>
        <w:rFonts w:ascii="Arial" w:hAnsi="Arial" w:cs="Arial"/>
        <w:sz w:val="18"/>
        <w:szCs w:val="18"/>
      </w:rPr>
    </w:pPr>
    <w:r>
      <w:rPr>
        <w:noProof/>
      </w:rPr>
      <w:pict w14:anchorId="341AC2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17" o:spid="_x0000_s4142" type="#_x0000_t136" style="position:absolute;margin-left:0;margin-top:0;width:572.65pt;height:63.6pt;rotation:315;z-index:-25156096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5D0BAB">
      <w:rPr>
        <w:rFonts w:ascii="Arial" w:hAnsi="Arial" w:cs="Arial"/>
        <w:sz w:val="18"/>
        <w:szCs w:val="18"/>
      </w:rPr>
      <w:fldChar w:fldCharType="begin"/>
    </w:r>
    <w:r w:rsidR="001942A9" w:rsidRPr="005D0BAB">
      <w:rPr>
        <w:rFonts w:ascii="Arial" w:hAnsi="Arial" w:cs="Arial"/>
        <w:sz w:val="18"/>
        <w:szCs w:val="18"/>
      </w:rPr>
      <w:instrText>PAGE   \* MERGEFORMAT</w:instrText>
    </w:r>
    <w:r w:rsidR="001942A9" w:rsidRPr="005D0BAB">
      <w:rPr>
        <w:rFonts w:ascii="Arial" w:hAnsi="Arial" w:cs="Arial"/>
        <w:sz w:val="18"/>
        <w:szCs w:val="18"/>
      </w:rPr>
      <w:fldChar w:fldCharType="separate"/>
    </w:r>
    <w:r w:rsidR="0099352B">
      <w:rPr>
        <w:rFonts w:ascii="Arial" w:hAnsi="Arial" w:cs="Arial"/>
        <w:noProof/>
        <w:sz w:val="18"/>
        <w:szCs w:val="18"/>
      </w:rPr>
      <w:t>128</w:t>
    </w:r>
    <w:r w:rsidR="001942A9" w:rsidRPr="005D0BAB">
      <w:rPr>
        <w:rFonts w:ascii="Arial" w:hAnsi="Arial" w:cs="Arial"/>
        <w:sz w:val="18"/>
        <w:szCs w:val="18"/>
      </w:rPr>
      <w:fldChar w:fldCharType="end"/>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BD350" w14:textId="55EAADEC" w:rsidR="001942A9" w:rsidRPr="005D0BAB" w:rsidRDefault="000667F3" w:rsidP="00C7266C">
    <w:pPr>
      <w:pStyle w:val="a6"/>
      <w:spacing w:after="480"/>
      <w:rPr>
        <w:rFonts w:ascii="Arial" w:hAnsi="Arial" w:cs="Arial"/>
        <w:sz w:val="18"/>
        <w:szCs w:val="18"/>
      </w:rPr>
    </w:pPr>
    <w:r>
      <w:rPr>
        <w:noProof/>
      </w:rPr>
      <w:pict w14:anchorId="1F8BEC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1" o:spid="_x0000_s4146" type="#_x0000_t136" style="position:absolute;margin-left:0;margin-top:0;width:572.65pt;height:63.6pt;rotation:315;z-index:-25155276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5D0BAB">
      <w:rPr>
        <w:rFonts w:ascii="Arial" w:hAnsi="Arial" w:cs="Arial"/>
        <w:sz w:val="18"/>
        <w:szCs w:val="18"/>
      </w:rPr>
      <w:fldChar w:fldCharType="begin"/>
    </w:r>
    <w:r w:rsidR="001942A9" w:rsidRPr="005D0BAB">
      <w:rPr>
        <w:rFonts w:ascii="Arial" w:hAnsi="Arial" w:cs="Arial"/>
        <w:sz w:val="18"/>
        <w:szCs w:val="18"/>
      </w:rPr>
      <w:instrText>PAGE   \* MERGEFORMAT</w:instrText>
    </w:r>
    <w:r w:rsidR="001942A9" w:rsidRPr="005D0BAB">
      <w:rPr>
        <w:rFonts w:ascii="Arial" w:hAnsi="Arial" w:cs="Arial"/>
        <w:sz w:val="18"/>
        <w:szCs w:val="18"/>
      </w:rPr>
      <w:fldChar w:fldCharType="separate"/>
    </w:r>
    <w:r w:rsidR="0099352B">
      <w:rPr>
        <w:rFonts w:ascii="Arial" w:hAnsi="Arial" w:cs="Arial"/>
        <w:noProof/>
        <w:sz w:val="18"/>
        <w:szCs w:val="18"/>
      </w:rPr>
      <w:t>138</w:t>
    </w:r>
    <w:r w:rsidR="001942A9" w:rsidRPr="005D0BAB">
      <w:rPr>
        <w:rFonts w:ascii="Arial" w:hAnsi="Arial" w:cs="Arial"/>
        <w:sz w:val="18"/>
        <w:szCs w:val="18"/>
      </w:rPr>
      <w:fldChar w:fldCharType="end"/>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1994E" w14:textId="6991D0EC" w:rsidR="001942A9" w:rsidRPr="005D0BAB" w:rsidRDefault="000667F3" w:rsidP="00C7266C">
    <w:pPr>
      <w:pStyle w:val="a6"/>
      <w:spacing w:after="480"/>
      <w:jc w:val="right"/>
      <w:rPr>
        <w:rFonts w:ascii="Arial" w:hAnsi="Arial" w:cs="Arial"/>
        <w:sz w:val="18"/>
        <w:szCs w:val="18"/>
      </w:rPr>
    </w:pPr>
    <w:r>
      <w:rPr>
        <w:noProof/>
      </w:rPr>
      <w:pict w14:anchorId="58B9C3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2" o:spid="_x0000_s4147" type="#_x0000_t136" style="position:absolute;left:0;text-align:left;margin-left:0;margin-top:0;width:572.65pt;height:63.6pt;rotation:315;z-index:-25155072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5D0BAB">
      <w:rPr>
        <w:rFonts w:ascii="Arial" w:hAnsi="Arial" w:cs="Arial"/>
        <w:sz w:val="18"/>
        <w:szCs w:val="18"/>
      </w:rPr>
      <w:fldChar w:fldCharType="begin"/>
    </w:r>
    <w:r w:rsidR="001942A9" w:rsidRPr="005D0BAB">
      <w:rPr>
        <w:rFonts w:ascii="Arial" w:hAnsi="Arial" w:cs="Arial"/>
        <w:sz w:val="18"/>
        <w:szCs w:val="18"/>
      </w:rPr>
      <w:instrText>PAGE   \* MERGEFORMAT</w:instrText>
    </w:r>
    <w:r w:rsidR="001942A9" w:rsidRPr="005D0BAB">
      <w:rPr>
        <w:rFonts w:ascii="Arial" w:hAnsi="Arial" w:cs="Arial"/>
        <w:sz w:val="18"/>
        <w:szCs w:val="18"/>
      </w:rPr>
      <w:fldChar w:fldCharType="separate"/>
    </w:r>
    <w:r w:rsidR="0099352B">
      <w:rPr>
        <w:rFonts w:ascii="Arial" w:hAnsi="Arial" w:cs="Arial"/>
        <w:noProof/>
        <w:sz w:val="18"/>
        <w:szCs w:val="18"/>
      </w:rPr>
      <w:t>139</w:t>
    </w:r>
    <w:r w:rsidR="001942A9" w:rsidRPr="005D0BAB">
      <w:rPr>
        <w:rFonts w:ascii="Arial" w:hAnsi="Arial" w:cs="Arial"/>
        <w:sz w:val="18"/>
        <w:szCs w:val="18"/>
      </w:rPr>
      <w:fldChar w:fldCharType="end"/>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8C29F" w14:textId="0A452DC5" w:rsidR="001942A9" w:rsidRDefault="000667F3">
    <w:pPr>
      <w:pStyle w:val="a6"/>
    </w:pPr>
    <w:r>
      <w:rPr>
        <w:noProof/>
      </w:rPr>
      <w:pict w14:anchorId="0B4C54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0" o:spid="_x0000_s4145" type="#_x0000_t136" style="position:absolute;margin-left:0;margin-top:0;width:572.65pt;height:63.6pt;rotation:315;z-index:-25155481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FAEA0" w14:textId="7E874880" w:rsidR="001942A9" w:rsidRPr="00436026" w:rsidRDefault="000667F3" w:rsidP="00C7266C">
    <w:pPr>
      <w:pStyle w:val="a6"/>
      <w:spacing w:after="480"/>
      <w:rPr>
        <w:rFonts w:ascii="Arial" w:hAnsi="Arial" w:cs="Arial"/>
        <w:sz w:val="18"/>
        <w:szCs w:val="18"/>
      </w:rPr>
    </w:pPr>
    <w:r>
      <w:rPr>
        <w:noProof/>
      </w:rPr>
      <w:pict w14:anchorId="2F2A22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4" o:spid="_x0000_s4149" type="#_x0000_t136" style="position:absolute;margin-left:0;margin-top:0;width:572.65pt;height:63.6pt;rotation:315;z-index:-25154662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150</w:t>
    </w:r>
    <w:r w:rsidR="001942A9" w:rsidRPr="00BC0328">
      <w:rPr>
        <w:rFonts w:ascii="Arial" w:hAnsi="Arial" w:cs="Arial"/>
        <w:sz w:val="18"/>
        <w:szCs w:val="18"/>
      </w:rPr>
      <w:fldChar w:fldCharType="end"/>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4D2CA" w14:textId="10DC1868" w:rsidR="001942A9" w:rsidRPr="00436026" w:rsidRDefault="000667F3" w:rsidP="00C7266C">
    <w:pPr>
      <w:pStyle w:val="a6"/>
      <w:spacing w:after="480"/>
      <w:jc w:val="right"/>
      <w:rPr>
        <w:rFonts w:ascii="Arial" w:hAnsi="Arial" w:cs="Arial"/>
        <w:sz w:val="18"/>
        <w:szCs w:val="18"/>
      </w:rPr>
    </w:pPr>
    <w:r>
      <w:rPr>
        <w:noProof/>
      </w:rPr>
      <w:pict w14:anchorId="58CB78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5" o:spid="_x0000_s4150" type="#_x0000_t136" style="position:absolute;left:0;text-align:left;margin-left:0;margin-top:0;width:572.65pt;height:63.6pt;rotation:315;z-index:-25154457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151</w:t>
    </w:r>
    <w:r w:rsidR="001942A9" w:rsidRPr="00BC0328">
      <w:rPr>
        <w:rFonts w:ascii="Arial" w:hAnsi="Arial" w:cs="Arial"/>
        <w:sz w:val="18"/>
        <w:szCs w:val="18"/>
      </w:rPr>
      <w:fldChar w:fldCharType="end"/>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8B531" w14:textId="6DFE442C" w:rsidR="001942A9" w:rsidRPr="00436026" w:rsidRDefault="000667F3" w:rsidP="00C7266C">
    <w:pPr>
      <w:pStyle w:val="a6"/>
      <w:spacing w:after="480"/>
      <w:jc w:val="right"/>
      <w:rPr>
        <w:rFonts w:ascii="Arial" w:hAnsi="Arial" w:cs="Arial"/>
        <w:sz w:val="18"/>
        <w:szCs w:val="18"/>
      </w:rPr>
    </w:pPr>
    <w:r>
      <w:rPr>
        <w:noProof/>
      </w:rPr>
      <w:pict w14:anchorId="025410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3" o:spid="_x0000_s4148" type="#_x0000_t136" style="position:absolute;left:0;text-align:left;margin-left:0;margin-top:0;width:572.65pt;height:63.6pt;rotation:315;z-index:-25154867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141</w:t>
    </w:r>
    <w:r w:rsidR="001942A9" w:rsidRPr="00BC0328">
      <w:rPr>
        <w:rFonts w:ascii="Arial" w:hAnsi="Arial" w:cs="Arial"/>
        <w:sz w:val="18"/>
        <w:szCs w:val="18"/>
      </w:rPr>
      <w:fldChar w:fldCharType="end"/>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A149D" w14:textId="50DBF5F4" w:rsidR="001942A9" w:rsidRPr="00C4589D" w:rsidRDefault="000667F3">
    <w:pPr>
      <w:pStyle w:val="a6"/>
      <w:rPr>
        <w:rFonts w:ascii="Arial" w:hAnsi="Arial"/>
        <w:sz w:val="18"/>
      </w:rPr>
    </w:pPr>
    <w:r>
      <w:rPr>
        <w:noProof/>
      </w:rPr>
      <w:pict w14:anchorId="7FEA0C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7" o:spid="_x0000_s4152" type="#_x0000_t136" style="position:absolute;margin-left:0;margin-top:0;width:572.65pt;height:63.6pt;rotation:315;z-index:-25154048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67468" w14:textId="23FA5A14" w:rsidR="001942A9" w:rsidRPr="00C4589D" w:rsidRDefault="000667F3">
    <w:pPr>
      <w:pStyle w:val="a6"/>
      <w:rPr>
        <w:rFonts w:ascii="Arial" w:hAnsi="Arial"/>
        <w:sz w:val="18"/>
      </w:rPr>
    </w:pPr>
    <w:r>
      <w:rPr>
        <w:noProof/>
      </w:rPr>
      <w:pict w14:anchorId="595B70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8" o:spid="_x0000_s4153" type="#_x0000_t136" style="position:absolute;margin-left:0;margin-top:0;width:572.65pt;height:63.6pt;rotation:315;z-index:-25153843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D55F3" w14:textId="6B5F4E70" w:rsidR="001942A9" w:rsidRPr="00436026" w:rsidRDefault="000667F3" w:rsidP="00C7266C">
    <w:pPr>
      <w:pStyle w:val="a6"/>
      <w:spacing w:after="480"/>
      <w:rPr>
        <w:rFonts w:ascii="Arial" w:hAnsi="Arial" w:cs="Arial"/>
        <w:sz w:val="18"/>
        <w:szCs w:val="18"/>
      </w:rPr>
    </w:pPr>
    <w:r>
      <w:rPr>
        <w:noProof/>
      </w:rPr>
      <w:pict w14:anchorId="6A2D6A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6" o:spid="_x0000_s4151" type="#_x0000_t136" style="position:absolute;margin-left:0;margin-top:0;width:572.65pt;height:63.6pt;rotation:315;z-index:-25154252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152</w:t>
    </w:r>
    <w:r w:rsidR="001942A9" w:rsidRPr="00BC0328">
      <w:rPr>
        <w:rFonts w:ascii="Arial" w:hAnsi="Arial" w:cs="Arial"/>
        <w:sz w:val="18"/>
        <w:szCs w:val="18"/>
      </w:rPr>
      <w:fldChar w:fldCharType="end"/>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17E3C" w14:textId="0E8CB787" w:rsidR="001942A9" w:rsidRPr="00436026" w:rsidRDefault="000667F3" w:rsidP="00C7266C">
    <w:pPr>
      <w:pStyle w:val="a6"/>
      <w:spacing w:after="480"/>
      <w:rPr>
        <w:rFonts w:ascii="Arial" w:hAnsi="Arial" w:cs="Arial"/>
        <w:sz w:val="18"/>
        <w:szCs w:val="18"/>
      </w:rPr>
    </w:pPr>
    <w:r>
      <w:rPr>
        <w:noProof/>
      </w:rPr>
      <w:pict w14:anchorId="42FD68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0" o:spid="_x0000_s4155" type="#_x0000_t136" style="position:absolute;margin-left:0;margin-top:0;width:572.65pt;height:63.6pt;rotation:315;z-index:-25153433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164</w:t>
    </w:r>
    <w:r w:rsidR="001942A9" w:rsidRPr="00BC0328">
      <w:rPr>
        <w:rFonts w:ascii="Arial" w:hAnsi="Arial" w:cs="Arial"/>
        <w:sz w:val="18"/>
        <w:szCs w:val="18"/>
      </w:rPr>
      <w:fldChar w:fldCharType="end"/>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66D4E" w14:textId="53915D7C" w:rsidR="001942A9" w:rsidRPr="00436026" w:rsidRDefault="000667F3" w:rsidP="00C7266C">
    <w:pPr>
      <w:pStyle w:val="a6"/>
      <w:spacing w:after="480"/>
      <w:jc w:val="right"/>
      <w:rPr>
        <w:rFonts w:ascii="Arial" w:hAnsi="Arial" w:cs="Arial"/>
        <w:sz w:val="18"/>
        <w:szCs w:val="18"/>
      </w:rPr>
    </w:pPr>
    <w:r>
      <w:rPr>
        <w:noProof/>
      </w:rPr>
      <w:pict w14:anchorId="0C0C6B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1" o:spid="_x0000_s4156" type="#_x0000_t136" style="position:absolute;left:0;text-align:left;margin-left:0;margin-top:0;width:572.65pt;height:63.6pt;rotation:315;z-index:-25153228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BC0328">
      <w:rPr>
        <w:rFonts w:ascii="Arial" w:hAnsi="Arial" w:cs="Arial"/>
        <w:sz w:val="18"/>
        <w:szCs w:val="18"/>
      </w:rPr>
      <w:fldChar w:fldCharType="begin"/>
    </w:r>
    <w:r w:rsidR="001942A9" w:rsidRPr="00BC0328">
      <w:rPr>
        <w:rFonts w:ascii="Arial" w:hAnsi="Arial" w:cs="Arial"/>
        <w:sz w:val="18"/>
        <w:szCs w:val="18"/>
      </w:rPr>
      <w:instrText>PAGE   \* MERGEFORMAT</w:instrText>
    </w:r>
    <w:r w:rsidR="001942A9" w:rsidRPr="00BC0328">
      <w:rPr>
        <w:rFonts w:ascii="Arial" w:hAnsi="Arial" w:cs="Arial"/>
        <w:sz w:val="18"/>
        <w:szCs w:val="18"/>
      </w:rPr>
      <w:fldChar w:fldCharType="separate"/>
    </w:r>
    <w:r w:rsidR="0099352B">
      <w:rPr>
        <w:rFonts w:ascii="Arial" w:hAnsi="Arial" w:cs="Arial"/>
        <w:noProof/>
        <w:sz w:val="18"/>
        <w:szCs w:val="18"/>
      </w:rPr>
      <w:t>165</w:t>
    </w:r>
    <w:r w:rsidR="001942A9" w:rsidRPr="00BC0328">
      <w:rPr>
        <w:rFonts w:ascii="Arial" w:hAnsi="Arial" w:cs="Arial"/>
        <w:sz w:val="18"/>
        <w:szCs w:val="18"/>
      </w:rPr>
      <w:fldChar w:fldCharType="end"/>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3FD85" w14:textId="6CFB913F" w:rsidR="001942A9" w:rsidRPr="00C4589D" w:rsidRDefault="000667F3">
    <w:pPr>
      <w:pStyle w:val="a6"/>
      <w:rPr>
        <w:rFonts w:ascii="Arial" w:hAnsi="Arial"/>
        <w:sz w:val="18"/>
      </w:rPr>
    </w:pPr>
    <w:r>
      <w:rPr>
        <w:noProof/>
      </w:rPr>
      <w:pict w14:anchorId="4B71EF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29" o:spid="_x0000_s4154" type="#_x0000_t136" style="position:absolute;margin-left:0;margin-top:0;width:572.65pt;height:63.6pt;rotation:315;z-index:-25153638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F43F2" w14:textId="52E9D677" w:rsidR="001942A9" w:rsidRDefault="000667F3" w:rsidP="00C7266C">
    <w:pPr>
      <w:tabs>
        <w:tab w:val="center" w:pos="4536"/>
        <w:tab w:val="right" w:pos="9073"/>
      </w:tabs>
      <w:overflowPunct w:val="0"/>
      <w:autoSpaceDE w:val="0"/>
      <w:autoSpaceDN w:val="0"/>
      <w:adjustRightInd w:val="0"/>
      <w:spacing w:after="480"/>
      <w:textAlignment w:val="baseline"/>
    </w:pPr>
    <w:r>
      <w:rPr>
        <w:noProof/>
      </w:rPr>
      <w:pict w14:anchorId="1989B4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3" o:spid="_x0000_s4158" type="#_x0000_t136" style="position:absolute;margin-left:0;margin-top:0;width:572.65pt;height:63.6pt;rotation:315;z-index:-25152819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170</w:t>
    </w:r>
    <w:r w:rsidR="001942A9" w:rsidRPr="006E4078">
      <w:rPr>
        <w:rFonts w:ascii="Arial" w:hAnsi="Arial" w:cs="Arial"/>
        <w:noProof/>
        <w:sz w:val="18"/>
        <w:szCs w:val="18"/>
        <w:lang w:eastAsia="fr-FR"/>
      </w:rPr>
      <w:fldChar w:fldCharType="end"/>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A021EE" w14:textId="613C63E6" w:rsidR="001942A9" w:rsidRPr="006502AF" w:rsidRDefault="000667F3" w:rsidP="00C7266C">
    <w:pPr>
      <w:tabs>
        <w:tab w:val="center" w:pos="4536"/>
        <w:tab w:val="right" w:pos="9073"/>
      </w:tabs>
      <w:overflowPunct w:val="0"/>
      <w:autoSpaceDE w:val="0"/>
      <w:autoSpaceDN w:val="0"/>
      <w:adjustRightInd w:val="0"/>
      <w:spacing w:after="480"/>
      <w:jc w:val="right"/>
      <w:textAlignment w:val="baseline"/>
    </w:pPr>
    <w:r>
      <w:rPr>
        <w:noProof/>
      </w:rPr>
      <w:pict w14:anchorId="386A4D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4" o:spid="_x0000_s4159" type="#_x0000_t136" style="position:absolute;left:0;text-align:left;margin-left:0;margin-top:0;width:572.65pt;height:63.6pt;rotation:315;z-index:-25152614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169</w:t>
    </w:r>
    <w:r w:rsidR="001942A9" w:rsidRPr="006E4078">
      <w:rPr>
        <w:rFonts w:ascii="Arial" w:hAnsi="Arial" w:cs="Arial"/>
        <w:noProof/>
        <w:sz w:val="18"/>
        <w:szCs w:val="18"/>
        <w:lang w:eastAsia="fr-FR"/>
      </w:rPr>
      <w:fldChar w:fldCharType="end"/>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D5C0E" w14:textId="5E2B77E0" w:rsidR="0099352B" w:rsidRDefault="000667F3">
    <w:pPr>
      <w:pStyle w:val="a6"/>
    </w:pPr>
    <w:r>
      <w:rPr>
        <w:noProof/>
      </w:rPr>
      <w:pict w14:anchorId="6BA2C3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2" o:spid="_x0000_s4157" type="#_x0000_t136" style="position:absolute;margin-left:0;margin-top:0;width:572.65pt;height:63.6pt;rotation:315;z-index:-25153024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55338" w14:textId="2DD37E2F" w:rsidR="001942A9" w:rsidRPr="000020BA" w:rsidRDefault="000667F3" w:rsidP="00C7266C">
    <w:pPr>
      <w:tabs>
        <w:tab w:val="right" w:pos="9073"/>
      </w:tabs>
      <w:overflowPunct w:val="0"/>
      <w:autoSpaceDE w:val="0"/>
      <w:autoSpaceDN w:val="0"/>
      <w:adjustRightInd w:val="0"/>
      <w:spacing w:after="240"/>
      <w:textAlignment w:val="baseline"/>
    </w:pPr>
    <w:r>
      <w:rPr>
        <w:noProof/>
      </w:rPr>
      <w:pict w14:anchorId="35197C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6" o:spid="_x0000_s4161" type="#_x0000_t136" style="position:absolute;margin-left:0;margin-top:0;width:572.65pt;height:63.6pt;rotation:315;z-index:-25152204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Pr>
        <w:rFonts w:ascii="Arial" w:eastAsia="SimSun" w:hAnsi="Arial" w:cs="Arial"/>
        <w:i/>
        <w:noProof/>
        <w:sz w:val="18"/>
        <w:szCs w:val="18"/>
        <w:bdr w:val="nil"/>
        <w:lang w:eastAsia="zh-CN"/>
      </w:rPr>
      <w:tab/>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172</w:t>
    </w:r>
    <w:r w:rsidR="001942A9" w:rsidRPr="006E4078">
      <w:rPr>
        <w:rFonts w:ascii="Arial" w:hAnsi="Arial" w:cs="Arial"/>
        <w:noProof/>
        <w:sz w:val="18"/>
        <w:szCs w:val="18"/>
        <w:lang w:eastAsia="fr-FR"/>
      </w:rPr>
      <w:fldChar w:fldCharType="end"/>
    </w:r>
    <w:r w:rsidR="001942A9">
      <w:rPr>
        <w:rFonts w:ascii="Arial" w:hAnsi="Arial" w:cs="Arial"/>
        <w:noProof/>
        <w:sz w:val="18"/>
        <w:szCs w:val="18"/>
        <w:lang w:eastAsia="fr-FR"/>
      </w:rPr>
      <w:tab/>
    </w:r>
    <w:r w:rsidR="001942A9" w:rsidRPr="00AE6207">
      <w:rPr>
        <w:rFonts w:ascii="Arial" w:eastAsia="Calibri" w:hAnsi="Arial" w:cs="Arial"/>
        <w:noProof/>
        <w:sz w:val="18"/>
        <w:szCs w:val="18"/>
        <w:bdr w:val="nil"/>
      </w:rPr>
      <w:t>November 2018-September 2019</w: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792F9" w14:textId="1D881CE8" w:rsidR="001942A9" w:rsidRDefault="000667F3" w:rsidP="00C7266C">
    <w:pPr>
      <w:tabs>
        <w:tab w:val="right" w:pos="9073"/>
      </w:tabs>
      <w:overflowPunct w:val="0"/>
      <w:autoSpaceDE w:val="0"/>
      <w:autoSpaceDN w:val="0"/>
      <w:adjustRightInd w:val="0"/>
      <w:spacing w:after="240"/>
      <w:textAlignment w:val="baseline"/>
    </w:pPr>
    <w:r>
      <w:rPr>
        <w:noProof/>
      </w:rPr>
      <w:pict w14:anchorId="39A582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7" o:spid="_x0000_s4162" type="#_x0000_t136" style="position:absolute;margin-left:0;margin-top:0;width:572.65pt;height:63.6pt;rotation:315;z-index:-25152000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AE6207">
      <w:rPr>
        <w:rFonts w:ascii="Arial" w:eastAsia="Calibri" w:hAnsi="Arial" w:cs="Arial"/>
        <w:noProof/>
        <w:sz w:val="18"/>
        <w:szCs w:val="18"/>
        <w:bdr w:val="nil"/>
      </w:rPr>
      <w:t>November 2018-September 2019</w:t>
    </w:r>
    <w:r w:rsidR="001942A9">
      <w:rPr>
        <w:rFonts w:ascii="Arial" w:eastAsia="Calibri" w:hAnsi="Arial" w:cs="Arial"/>
        <w:noProof/>
        <w:sz w:val="18"/>
        <w:szCs w:val="18"/>
        <w:bdr w:val="nil"/>
      </w:rPr>
      <w:tab/>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173</w:t>
    </w:r>
    <w:r w:rsidR="001942A9" w:rsidRPr="006E4078">
      <w:rPr>
        <w:rFonts w:ascii="Arial" w:hAnsi="Arial" w:cs="Arial"/>
        <w:noProof/>
        <w:sz w:val="18"/>
        <w:szCs w:val="18"/>
        <w:lang w:eastAsia="fr-FR"/>
      </w:rPr>
      <w:fldChar w:fldCharType="end"/>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98E65" w14:textId="23FE2F9F" w:rsidR="0099352B" w:rsidRDefault="000667F3">
    <w:pPr>
      <w:pStyle w:val="a6"/>
    </w:pPr>
    <w:r>
      <w:rPr>
        <w:noProof/>
      </w:rPr>
      <w:pict w14:anchorId="0C90A4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5" o:spid="_x0000_s4160" type="#_x0000_t136" style="position:absolute;margin-left:0;margin-top:0;width:572.65pt;height:63.6pt;rotation:315;z-index:-25152409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CCE59" w14:textId="082A691E" w:rsidR="001942A9" w:rsidRPr="00333B4F" w:rsidRDefault="000667F3" w:rsidP="00C7266C">
    <w:pPr>
      <w:pStyle w:val="a8"/>
      <w:tabs>
        <w:tab w:val="clear" w:pos="4513"/>
        <w:tab w:val="right" w:pos="14034"/>
      </w:tabs>
      <w:rPr>
        <w:i/>
        <w:lang w:val="en-US"/>
      </w:rPr>
    </w:pPr>
    <w:r>
      <w:rPr>
        <w:noProof/>
      </w:rPr>
      <w:pict w14:anchorId="5DE07D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9" o:spid="_x0000_s4164" type="#_x0000_t136" style="position:absolute;margin-left:0;margin-top:0;width:572.65pt;height:63.6pt;rotation:315;z-index:-25151590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D54756">
      <w:rPr>
        <w:rFonts w:ascii="Arial" w:hAnsi="Arial" w:cs="Arial"/>
        <w:sz w:val="18"/>
        <w:szCs w:val="18"/>
      </w:rPr>
      <w:fldChar w:fldCharType="begin"/>
    </w:r>
    <w:r w:rsidR="001942A9" w:rsidRPr="00D54756">
      <w:rPr>
        <w:rFonts w:ascii="Arial" w:hAnsi="Arial" w:cs="Arial"/>
        <w:sz w:val="18"/>
        <w:szCs w:val="18"/>
        <w:lang w:val="en-US"/>
      </w:rPr>
      <w:instrText>PAGE   \* MERGEFORMAT</w:instrText>
    </w:r>
    <w:r w:rsidR="001942A9" w:rsidRPr="00D54756">
      <w:rPr>
        <w:rFonts w:ascii="Arial" w:hAnsi="Arial" w:cs="Arial"/>
        <w:sz w:val="18"/>
        <w:szCs w:val="18"/>
      </w:rPr>
      <w:fldChar w:fldCharType="separate"/>
    </w:r>
    <w:r w:rsidR="001942A9">
      <w:rPr>
        <w:rFonts w:ascii="Arial" w:hAnsi="Arial" w:cs="Arial"/>
        <w:noProof/>
        <w:sz w:val="18"/>
        <w:szCs w:val="18"/>
        <w:lang w:val="en-US"/>
      </w:rPr>
      <w:t>6</w:t>
    </w:r>
    <w:r w:rsidR="001942A9" w:rsidRPr="00D54756">
      <w:rPr>
        <w:rFonts w:ascii="Arial" w:hAnsi="Arial" w:cs="Arial"/>
        <w:sz w:val="18"/>
        <w:szCs w:val="18"/>
      </w:rPr>
      <w:fldChar w:fldCharType="end"/>
    </w:r>
    <w:r w:rsidR="001942A9">
      <w:rPr>
        <w:rFonts w:ascii="Arial" w:hAnsi="Arial" w:cs="Arial"/>
        <w:sz w:val="18"/>
        <w:szCs w:val="18"/>
      </w:rPr>
      <w:tab/>
    </w:r>
    <w:r w:rsidR="001942A9" w:rsidRPr="00320B18">
      <w:rPr>
        <w:rFonts w:ascii="Arial" w:hAnsi="Arial" w:cs="Arial"/>
        <w:i/>
        <w:noProof/>
        <w:sz w:val="18"/>
        <w:szCs w:val="18"/>
        <w:bdr w:val="nil"/>
      </w:rPr>
      <w:t>OIE</w:t>
    </w:r>
    <w:r w:rsidR="001942A9" w:rsidRPr="00320B18">
      <w:rPr>
        <w:rFonts w:ascii="Arial" w:hAnsi="Arial" w:cs="Arial"/>
        <w:noProof/>
        <w:sz w:val="18"/>
        <w:szCs w:val="18"/>
        <w:bdr w:val="nil"/>
      </w:rPr>
      <w:t xml:space="preserve"> ad hoc</w:t>
    </w:r>
    <w:r w:rsidR="001942A9" w:rsidRPr="00320B18">
      <w:rPr>
        <w:rFonts w:ascii="Arial" w:hAnsi="Arial" w:cs="Arial"/>
        <w:i/>
        <w:noProof/>
        <w:sz w:val="18"/>
        <w:szCs w:val="18"/>
        <w:bdr w:val="nil"/>
      </w:rPr>
      <w:t xml:space="preserve"> Group on </w:t>
    </w:r>
    <w:r w:rsidR="001942A9">
      <w:rPr>
        <w:rFonts w:ascii="Arial" w:hAnsi="Arial" w:cs="Arial"/>
        <w:i/>
        <w:noProof/>
        <w:sz w:val="18"/>
        <w:szCs w:val="18"/>
        <w:bdr w:val="nil"/>
      </w:rPr>
      <w:t>S</w:t>
    </w:r>
    <w:r w:rsidR="001942A9" w:rsidRPr="00320B18">
      <w:rPr>
        <w:rFonts w:ascii="Arial" w:hAnsi="Arial" w:cs="Arial"/>
        <w:i/>
        <w:noProof/>
        <w:sz w:val="18"/>
        <w:szCs w:val="18"/>
        <w:bdr w:val="nil"/>
      </w:rPr>
      <w:t xml:space="preserve">usceptibility of </w:t>
    </w:r>
    <w:r w:rsidR="001942A9">
      <w:rPr>
        <w:rFonts w:ascii="Arial" w:hAnsi="Arial" w:cs="Arial"/>
        <w:i/>
        <w:noProof/>
        <w:sz w:val="18"/>
        <w:szCs w:val="18"/>
        <w:bdr w:val="nil"/>
      </w:rPr>
      <w:t>F</w:t>
    </w:r>
    <w:r w:rsidR="001942A9" w:rsidRPr="00320B18">
      <w:rPr>
        <w:rFonts w:ascii="Arial" w:hAnsi="Arial" w:cs="Arial"/>
        <w:i/>
        <w:noProof/>
        <w:sz w:val="18"/>
        <w:szCs w:val="18"/>
        <w:bdr w:val="nil"/>
      </w:rPr>
      <w:t xml:space="preserve">ish </w:t>
    </w:r>
    <w:r w:rsidR="001942A9">
      <w:rPr>
        <w:rFonts w:ascii="Arial" w:hAnsi="Arial" w:cs="Arial"/>
        <w:i/>
        <w:noProof/>
        <w:sz w:val="18"/>
        <w:szCs w:val="18"/>
        <w:bdr w:val="nil"/>
      </w:rPr>
      <w:t>S</w:t>
    </w:r>
    <w:r w:rsidR="001942A9" w:rsidRPr="00320B18">
      <w:rPr>
        <w:rFonts w:ascii="Arial" w:hAnsi="Arial" w:cs="Arial"/>
        <w:i/>
        <w:noProof/>
        <w:sz w:val="18"/>
        <w:szCs w:val="18"/>
        <w:bdr w:val="nil"/>
      </w:rPr>
      <w:t xml:space="preserve">pecies to </w:t>
    </w:r>
    <w:r w:rsidR="001942A9">
      <w:rPr>
        <w:rFonts w:ascii="Arial" w:hAnsi="Arial" w:cs="Arial"/>
        <w:i/>
        <w:noProof/>
        <w:sz w:val="18"/>
        <w:szCs w:val="18"/>
        <w:bdr w:val="nil"/>
      </w:rPr>
      <w:t>I</w:t>
    </w:r>
    <w:r w:rsidR="001942A9" w:rsidRPr="00320B18">
      <w:rPr>
        <w:rFonts w:ascii="Arial" w:hAnsi="Arial" w:cs="Arial"/>
        <w:i/>
        <w:noProof/>
        <w:sz w:val="18"/>
        <w:szCs w:val="18"/>
        <w:bdr w:val="nil"/>
      </w:rPr>
      <w:t xml:space="preserve">nfection with OIE </w:t>
    </w:r>
    <w:r w:rsidR="001942A9">
      <w:rPr>
        <w:rFonts w:ascii="Arial" w:hAnsi="Arial" w:cs="Arial"/>
        <w:i/>
        <w:noProof/>
        <w:sz w:val="18"/>
        <w:szCs w:val="18"/>
        <w:bdr w:val="nil"/>
      </w:rPr>
      <w:t>L</w:t>
    </w:r>
    <w:r w:rsidR="001942A9" w:rsidRPr="00320B18">
      <w:rPr>
        <w:rFonts w:ascii="Arial" w:hAnsi="Arial" w:cs="Arial"/>
        <w:i/>
        <w:noProof/>
        <w:sz w:val="18"/>
        <w:szCs w:val="18"/>
        <w:bdr w:val="nil"/>
      </w:rPr>
      <w:t xml:space="preserve">isted </w:t>
    </w:r>
    <w:r w:rsidR="001942A9">
      <w:rPr>
        <w:rFonts w:ascii="Arial" w:hAnsi="Arial" w:cs="Arial"/>
        <w:i/>
        <w:noProof/>
        <w:sz w:val="18"/>
        <w:szCs w:val="18"/>
        <w:bdr w:val="nil"/>
      </w:rPr>
      <w:t>D</w:t>
    </w:r>
    <w:r w:rsidR="001942A9" w:rsidRPr="00320B18">
      <w:rPr>
        <w:rFonts w:ascii="Arial" w:hAnsi="Arial" w:cs="Arial"/>
        <w:i/>
        <w:noProof/>
        <w:sz w:val="18"/>
        <w:szCs w:val="18"/>
        <w:bdr w:val="nil"/>
      </w:rPr>
      <w:t>iseases/</w:t>
    </w:r>
    <w:r w:rsidR="001942A9">
      <w:rPr>
        <w:rFonts w:ascii="Arial" w:hAnsi="Arial" w:cs="Arial"/>
        <w:i/>
        <w:noProof/>
        <w:sz w:val="18"/>
        <w:szCs w:val="18"/>
        <w:bdr w:val="nil"/>
      </w:rPr>
      <w:t>May</w:t>
    </w:r>
    <w:r w:rsidR="001942A9" w:rsidRPr="00320B18">
      <w:rPr>
        <w:rFonts w:ascii="Arial" w:hAnsi="Arial" w:cs="Arial"/>
        <w:i/>
        <w:noProof/>
        <w:sz w:val="18"/>
        <w:szCs w:val="18"/>
        <w:bdr w:val="nil"/>
      </w:rPr>
      <w:t xml:space="preserve"> 201</w:t>
    </w:r>
    <w:r w:rsidR="001942A9">
      <w:rPr>
        <w:rFonts w:ascii="Arial" w:hAnsi="Arial" w:cs="Arial"/>
        <w:i/>
        <w:noProof/>
        <w:sz w:val="18"/>
        <w:szCs w:val="18"/>
        <w:bdr w:val="nil"/>
      </w:rPr>
      <w:t>8</w: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0FB0A" w14:textId="368468C4" w:rsidR="001942A9" w:rsidRPr="00AE6207" w:rsidRDefault="000667F3" w:rsidP="00C7266C">
    <w:pPr>
      <w:pStyle w:val="a6"/>
    </w:pPr>
    <w:r>
      <w:rPr>
        <w:noProof/>
      </w:rPr>
      <w:pict w14:anchorId="1E0EBD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0" o:spid="_x0000_s4165" type="#_x0000_t136" style="position:absolute;margin-left:0;margin-top:0;width:572.65pt;height:63.6pt;rotation:315;z-index:-25151385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D35F3" w14:textId="4FE4D119" w:rsidR="001942A9" w:rsidRPr="000020BA" w:rsidRDefault="000667F3" w:rsidP="00C7266C">
    <w:pPr>
      <w:pStyle w:val="a6"/>
    </w:pPr>
    <w:r>
      <w:rPr>
        <w:noProof/>
      </w:rPr>
      <w:pict w14:anchorId="13FF9A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38" o:spid="_x0000_s4163" type="#_x0000_t136" style="position:absolute;margin-left:0;margin-top:0;width:572.65pt;height:63.6pt;rotation:315;z-index:-25151795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8C052" w14:textId="1476888A" w:rsidR="001942A9" w:rsidRPr="00333B4F" w:rsidRDefault="000667F3" w:rsidP="00A26A4C">
    <w:pPr>
      <w:pStyle w:val="a8"/>
      <w:tabs>
        <w:tab w:val="clear" w:pos="4513"/>
        <w:tab w:val="clear" w:pos="9026"/>
        <w:tab w:val="right" w:pos="14034"/>
      </w:tabs>
      <w:ind w:left="1440" w:hanging="1440"/>
      <w:rPr>
        <w:i/>
        <w:lang w:val="en-US"/>
      </w:rPr>
    </w:pPr>
    <w:r>
      <w:rPr>
        <w:noProof/>
      </w:rPr>
      <w:pict w14:anchorId="010413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2" o:spid="_x0000_s4167" type="#_x0000_t136" style="position:absolute;left:0;text-align:left;margin-left:0;margin-top:0;width:572.65pt;height:63.6pt;rotation:315;z-index:-25150976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D54756">
      <w:rPr>
        <w:rFonts w:ascii="Arial" w:hAnsi="Arial" w:cs="Arial"/>
        <w:sz w:val="18"/>
        <w:szCs w:val="18"/>
      </w:rPr>
      <w:fldChar w:fldCharType="begin"/>
    </w:r>
    <w:r w:rsidR="001942A9" w:rsidRPr="00D54756">
      <w:rPr>
        <w:rFonts w:ascii="Arial" w:hAnsi="Arial" w:cs="Arial"/>
        <w:sz w:val="18"/>
        <w:szCs w:val="18"/>
        <w:lang w:val="en-US"/>
      </w:rPr>
      <w:instrText>PAGE   \* MERGEFORMAT</w:instrText>
    </w:r>
    <w:r w:rsidR="001942A9" w:rsidRPr="00D54756">
      <w:rPr>
        <w:rFonts w:ascii="Arial" w:hAnsi="Arial" w:cs="Arial"/>
        <w:sz w:val="18"/>
        <w:szCs w:val="18"/>
      </w:rPr>
      <w:fldChar w:fldCharType="separate"/>
    </w:r>
    <w:r w:rsidR="0099352B">
      <w:rPr>
        <w:rFonts w:ascii="Arial" w:hAnsi="Arial" w:cs="Arial"/>
        <w:noProof/>
        <w:sz w:val="18"/>
        <w:szCs w:val="18"/>
        <w:lang w:val="en-US"/>
      </w:rPr>
      <w:t>186</w:t>
    </w:r>
    <w:r w:rsidR="001942A9" w:rsidRPr="00D54756">
      <w:rPr>
        <w:rFonts w:ascii="Arial" w:hAnsi="Arial" w:cs="Arial"/>
        <w:sz w:val="18"/>
        <w:szCs w:val="18"/>
      </w:rPr>
      <w:fldChar w:fldCharType="end"/>
    </w:r>
    <w:r w:rsidR="001942A9">
      <w:rPr>
        <w:rFonts w:ascii="Arial" w:hAnsi="Arial" w:cs="Arial"/>
        <w:sz w:val="18"/>
        <w:szCs w:val="18"/>
      </w:rPr>
      <w:tab/>
    </w:r>
    <w:r w:rsidR="001942A9">
      <w:rPr>
        <w:rFonts w:ascii="Arial" w:hAnsi="Arial" w:cs="Arial"/>
        <w:sz w:val="18"/>
        <w:szCs w:val="18"/>
      </w:rPr>
      <w:tab/>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Pr>
        <w:rFonts w:ascii="Arial" w:eastAsia="Calibri" w:hAnsi="Arial" w:cs="Arial"/>
        <w:noProof/>
        <w:sz w:val="18"/>
        <w:szCs w:val="18"/>
        <w:bdr w:val="nil"/>
      </w:rPr>
      <w:tab/>
    </w:r>
    <w:r w:rsidR="001942A9" w:rsidRPr="00AE6207">
      <w:rPr>
        <w:rFonts w:ascii="Arial" w:eastAsia="Calibri" w:hAnsi="Arial" w:cs="Arial"/>
        <w:noProof/>
        <w:sz w:val="18"/>
        <w:szCs w:val="18"/>
        <w:bdr w:val="nil"/>
      </w:rPr>
      <w:t>November 2018-September 2019</w: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5FF86" w14:textId="2B54CB87" w:rsidR="001942A9" w:rsidRPr="00AE6207" w:rsidRDefault="000667F3" w:rsidP="00C7266C">
    <w:pPr>
      <w:tabs>
        <w:tab w:val="right" w:pos="14034"/>
      </w:tabs>
      <w:overflowPunct w:val="0"/>
      <w:autoSpaceDE w:val="0"/>
      <w:autoSpaceDN w:val="0"/>
      <w:adjustRightInd w:val="0"/>
      <w:spacing w:after="240"/>
      <w:textAlignment w:val="baseline"/>
    </w:pPr>
    <w:r>
      <w:rPr>
        <w:noProof/>
      </w:rPr>
      <w:pict w14:anchorId="6040A7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3" o:spid="_x0000_s4168" type="#_x0000_t136" style="position:absolute;margin-left:0;margin-top:0;width:572.65pt;height:63.6pt;rotation:315;z-index:-25150771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AE6207">
      <w:rPr>
        <w:rFonts w:ascii="Arial" w:eastAsia="Calibri" w:hAnsi="Arial" w:cs="Arial"/>
        <w:noProof/>
        <w:sz w:val="18"/>
        <w:szCs w:val="18"/>
        <w:bdr w:val="nil"/>
      </w:rPr>
      <w:t>November 2018-September 2019</w:t>
    </w:r>
    <w:r w:rsidR="001942A9">
      <w:rPr>
        <w:rFonts w:ascii="Arial" w:eastAsia="Calibri" w:hAnsi="Arial" w:cs="Arial"/>
        <w:noProof/>
        <w:sz w:val="18"/>
        <w:szCs w:val="18"/>
        <w:bdr w:val="nil"/>
      </w:rPr>
      <w:tab/>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187</w:t>
    </w:r>
    <w:r w:rsidR="001942A9" w:rsidRPr="006E4078">
      <w:rPr>
        <w:rFonts w:ascii="Arial" w:hAnsi="Arial" w:cs="Arial"/>
        <w:noProof/>
        <w:sz w:val="18"/>
        <w:szCs w:val="18"/>
        <w:lang w:eastAsia="fr-FR"/>
      </w:rPr>
      <w:fldChar w:fldCharType="end"/>
    </w: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4AE0C" w14:textId="791DA0EA" w:rsidR="001942A9" w:rsidRDefault="000667F3" w:rsidP="00C7266C">
    <w:pPr>
      <w:tabs>
        <w:tab w:val="right" w:pos="14034"/>
      </w:tabs>
      <w:overflowPunct w:val="0"/>
      <w:autoSpaceDE w:val="0"/>
      <w:autoSpaceDN w:val="0"/>
      <w:adjustRightInd w:val="0"/>
      <w:spacing w:after="240"/>
      <w:textAlignment w:val="baseline"/>
    </w:pPr>
    <w:r>
      <w:rPr>
        <w:noProof/>
      </w:rPr>
      <w:pict w14:anchorId="033DE8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1" o:spid="_x0000_s4166" type="#_x0000_t136" style="position:absolute;margin-left:0;margin-top:0;width:572.65pt;height:63.6pt;rotation:315;z-index:-25151180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AE6207">
      <w:rPr>
        <w:rFonts w:ascii="Arial" w:eastAsia="Calibri" w:hAnsi="Arial" w:cs="Arial"/>
        <w:noProof/>
        <w:sz w:val="18"/>
        <w:szCs w:val="18"/>
        <w:bdr w:val="nil"/>
      </w:rPr>
      <w:t>November 2018-September 2019</w:t>
    </w:r>
    <w:r w:rsidR="001942A9">
      <w:rPr>
        <w:rFonts w:ascii="Arial" w:eastAsia="Calibri" w:hAnsi="Arial" w:cs="Arial"/>
        <w:noProof/>
        <w:sz w:val="18"/>
        <w:szCs w:val="18"/>
        <w:bdr w:val="nil"/>
      </w:rPr>
      <w:tab/>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175</w:t>
    </w:r>
    <w:r w:rsidR="001942A9" w:rsidRPr="006E4078">
      <w:rPr>
        <w:rFonts w:ascii="Arial" w:hAnsi="Arial" w:cs="Arial"/>
        <w:noProof/>
        <w:sz w:val="18"/>
        <w:szCs w:val="18"/>
        <w:lang w:eastAsia="fr-FR"/>
      </w:rPr>
      <w:fldChar w:fldCharType="end"/>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F5AF0" w14:textId="0C29B7D3" w:rsidR="001942A9" w:rsidRDefault="000667F3" w:rsidP="00C7266C">
    <w:pPr>
      <w:tabs>
        <w:tab w:val="right" w:pos="9073"/>
      </w:tabs>
      <w:overflowPunct w:val="0"/>
      <w:autoSpaceDE w:val="0"/>
      <w:autoSpaceDN w:val="0"/>
      <w:adjustRightInd w:val="0"/>
      <w:spacing w:after="240"/>
      <w:textAlignment w:val="baseline"/>
    </w:pPr>
    <w:r>
      <w:rPr>
        <w:noProof/>
      </w:rPr>
      <w:pict w14:anchorId="27DAB3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5" o:spid="_x0000_s4170" type="#_x0000_t136" style="position:absolute;margin-left:0;margin-top:0;width:572.65pt;height:63.6pt;rotation:315;z-index:-25150361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Pr>
        <w:rFonts w:ascii="Arial" w:eastAsia="SimSun" w:hAnsi="Arial" w:cs="Arial"/>
        <w:i/>
        <w:noProof/>
        <w:sz w:val="18"/>
        <w:szCs w:val="18"/>
        <w:bdr w:val="nil"/>
        <w:lang w:eastAsia="zh-CN"/>
      </w:rPr>
      <w:tab/>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192</w:t>
    </w:r>
    <w:r w:rsidR="001942A9" w:rsidRPr="006E4078">
      <w:rPr>
        <w:rFonts w:ascii="Arial" w:hAnsi="Arial" w:cs="Arial"/>
        <w:noProof/>
        <w:sz w:val="18"/>
        <w:szCs w:val="18"/>
        <w:lang w:eastAsia="fr-FR"/>
      </w:rPr>
      <w:fldChar w:fldCharType="end"/>
    </w:r>
    <w:r w:rsidR="001942A9">
      <w:rPr>
        <w:rFonts w:ascii="Arial" w:hAnsi="Arial" w:cs="Arial"/>
        <w:noProof/>
        <w:sz w:val="18"/>
        <w:szCs w:val="18"/>
        <w:lang w:eastAsia="fr-FR"/>
      </w:rPr>
      <w:tab/>
    </w:r>
    <w:r w:rsidR="001942A9" w:rsidRPr="00AE6207">
      <w:rPr>
        <w:rFonts w:ascii="Arial" w:eastAsia="Calibri" w:hAnsi="Arial" w:cs="Arial"/>
        <w:noProof/>
        <w:sz w:val="18"/>
        <w:szCs w:val="18"/>
        <w:bdr w:val="nil"/>
      </w:rPr>
      <w:t>November 2018-September 2019</w:t>
    </w: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79873" w14:textId="526CB9F3" w:rsidR="001942A9" w:rsidRDefault="000667F3" w:rsidP="00C7266C">
    <w:pPr>
      <w:tabs>
        <w:tab w:val="right" w:pos="9356"/>
      </w:tabs>
      <w:overflowPunct w:val="0"/>
      <w:autoSpaceDE w:val="0"/>
      <w:autoSpaceDN w:val="0"/>
      <w:adjustRightInd w:val="0"/>
      <w:spacing w:after="240"/>
      <w:textAlignment w:val="baseline"/>
    </w:pPr>
    <w:r>
      <w:rPr>
        <w:noProof/>
      </w:rPr>
      <w:pict w14:anchorId="4E05DF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6" o:spid="_x0000_s4171" type="#_x0000_t136" style="position:absolute;margin-left:0;margin-top:0;width:572.65pt;height:63.6pt;rotation:315;z-index:-25150156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AE6207">
      <w:rPr>
        <w:rFonts w:ascii="Arial" w:eastAsia="Calibri" w:hAnsi="Arial" w:cs="Arial"/>
        <w:noProof/>
        <w:sz w:val="18"/>
        <w:szCs w:val="18"/>
        <w:bdr w:val="nil"/>
      </w:rPr>
      <w:t>November 2018-September 2019</w:t>
    </w:r>
    <w:r w:rsidR="001942A9">
      <w:rPr>
        <w:rFonts w:ascii="Arial" w:eastAsia="Calibri" w:hAnsi="Arial" w:cs="Arial"/>
        <w:noProof/>
        <w:sz w:val="18"/>
        <w:szCs w:val="18"/>
        <w:bdr w:val="nil"/>
      </w:rPr>
      <w:tab/>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193</w:t>
    </w:r>
    <w:r w:rsidR="001942A9" w:rsidRPr="006E4078">
      <w:rPr>
        <w:rFonts w:ascii="Arial" w:hAnsi="Arial" w:cs="Arial"/>
        <w:noProof/>
        <w:sz w:val="18"/>
        <w:szCs w:val="18"/>
        <w:lang w:eastAsia="fr-FR"/>
      </w:rPr>
      <w:fldChar w:fldCharType="end"/>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232E7" w14:textId="1A969073" w:rsidR="001942A9" w:rsidRPr="000020BA" w:rsidRDefault="000667F3" w:rsidP="00C7266C">
    <w:pPr>
      <w:tabs>
        <w:tab w:val="right" w:pos="9073"/>
      </w:tabs>
      <w:overflowPunct w:val="0"/>
      <w:autoSpaceDE w:val="0"/>
      <w:autoSpaceDN w:val="0"/>
      <w:adjustRightInd w:val="0"/>
      <w:spacing w:after="240"/>
      <w:textAlignment w:val="baseline"/>
    </w:pPr>
    <w:r>
      <w:rPr>
        <w:noProof/>
      </w:rPr>
      <w:pict w14:anchorId="752EAC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4" o:spid="_x0000_s4169" type="#_x0000_t136" style="position:absolute;margin-left:0;margin-top:0;width:572.65pt;height:63.6pt;rotation:315;z-index:-25150566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Pr>
        <w:rFonts w:ascii="Arial" w:eastAsia="SimSun" w:hAnsi="Arial" w:cs="Arial"/>
        <w:i/>
        <w:noProof/>
        <w:sz w:val="18"/>
        <w:szCs w:val="18"/>
        <w:bdr w:val="nil"/>
        <w:lang w:eastAsia="zh-CN"/>
      </w:rPr>
      <w:tab/>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188</w:t>
    </w:r>
    <w:r w:rsidR="001942A9" w:rsidRPr="006E4078">
      <w:rPr>
        <w:rFonts w:ascii="Arial" w:hAnsi="Arial" w:cs="Arial"/>
        <w:noProof/>
        <w:sz w:val="18"/>
        <w:szCs w:val="18"/>
        <w:lang w:eastAsia="fr-FR"/>
      </w:rPr>
      <w:fldChar w:fldCharType="end"/>
    </w:r>
    <w:r w:rsidR="001942A9">
      <w:rPr>
        <w:rFonts w:ascii="Arial" w:hAnsi="Arial" w:cs="Arial"/>
        <w:noProof/>
        <w:sz w:val="18"/>
        <w:szCs w:val="18"/>
        <w:lang w:eastAsia="fr-FR"/>
      </w:rPr>
      <w:tab/>
    </w:r>
    <w:r w:rsidR="001942A9" w:rsidRPr="00AE6207">
      <w:rPr>
        <w:rFonts w:ascii="Arial" w:eastAsia="Calibri" w:hAnsi="Arial" w:cs="Arial"/>
        <w:noProof/>
        <w:sz w:val="18"/>
        <w:szCs w:val="18"/>
        <w:bdr w:val="nil"/>
      </w:rPr>
      <w:t>November 2018-September 2019</w: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3E893" w14:textId="512932B5" w:rsidR="0099352B" w:rsidRDefault="000667F3">
    <w:pPr>
      <w:pStyle w:val="a6"/>
    </w:pPr>
    <w:r>
      <w:rPr>
        <w:noProof/>
      </w:rPr>
      <w:pict w14:anchorId="5966A0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8" o:spid="_x0000_s4173" type="#_x0000_t136" style="position:absolute;margin-left:0;margin-top:0;width:572.65pt;height:63.6pt;rotation:315;z-index:-25149747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DED7D" w14:textId="4DBC43B9" w:rsidR="0099352B" w:rsidRDefault="000667F3">
    <w:pPr>
      <w:pStyle w:val="a6"/>
    </w:pPr>
    <w:r>
      <w:rPr>
        <w:noProof/>
      </w:rPr>
      <w:pict w14:anchorId="7B3F7D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9" o:spid="_x0000_s4174" type="#_x0000_t136" style="position:absolute;margin-left:0;margin-top:0;width:572.65pt;height:63.6pt;rotation:315;z-index:-25149542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BC2DA" w14:textId="0888A330" w:rsidR="001942A9" w:rsidRPr="00D403F5" w:rsidRDefault="000667F3" w:rsidP="00D403F5">
    <w:pPr>
      <w:tabs>
        <w:tab w:val="right" w:pos="9356"/>
      </w:tabs>
      <w:overflowPunct w:val="0"/>
      <w:autoSpaceDE w:val="0"/>
      <w:autoSpaceDN w:val="0"/>
      <w:adjustRightInd w:val="0"/>
      <w:spacing w:after="240"/>
      <w:textAlignment w:val="baseline"/>
    </w:pPr>
    <w:r>
      <w:rPr>
        <w:noProof/>
      </w:rPr>
      <w:pict w14:anchorId="4B7CA9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47" o:spid="_x0000_s4172" type="#_x0000_t136" style="position:absolute;margin-left:0;margin-top:0;width:572.65pt;height:63.6pt;rotation:315;z-index:-25149952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AE6207">
      <w:rPr>
        <w:rFonts w:ascii="Arial" w:eastAsia="Calibri" w:hAnsi="Arial" w:cs="Arial"/>
        <w:noProof/>
        <w:sz w:val="18"/>
        <w:szCs w:val="18"/>
        <w:bdr w:val="nil"/>
      </w:rPr>
      <w:t>November 2018-September 2019</w:t>
    </w:r>
    <w:r w:rsidR="001942A9">
      <w:rPr>
        <w:rFonts w:ascii="Arial" w:eastAsia="Calibri" w:hAnsi="Arial" w:cs="Arial"/>
        <w:noProof/>
        <w:sz w:val="18"/>
        <w:szCs w:val="18"/>
        <w:bdr w:val="nil"/>
      </w:rPr>
      <w:tab/>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195</w:t>
    </w:r>
    <w:r w:rsidR="001942A9" w:rsidRPr="006E4078">
      <w:rPr>
        <w:rFonts w:ascii="Arial" w:hAnsi="Arial" w:cs="Arial"/>
        <w:noProof/>
        <w:sz w:val="18"/>
        <w:szCs w:val="18"/>
        <w:lang w:eastAsia="fr-FR"/>
      </w:rPr>
      <w:fldChar w:fldCharType="end"/>
    </w: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1A76E" w14:textId="609811BE" w:rsidR="001942A9" w:rsidRPr="00D6163A" w:rsidRDefault="000667F3" w:rsidP="00C7266C">
    <w:pPr>
      <w:pStyle w:val="a6"/>
    </w:pPr>
    <w:r>
      <w:rPr>
        <w:noProof/>
      </w:rPr>
      <w:pict w14:anchorId="44287E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1" o:spid="_x0000_s4176" type="#_x0000_t136" style="position:absolute;margin-left:0;margin-top:0;width:572.65pt;height:63.6pt;rotation:315;z-index:-25149132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C11FA" w14:textId="2B30BFD2" w:rsidR="0099352B" w:rsidRDefault="000667F3">
    <w:pPr>
      <w:pStyle w:val="a6"/>
    </w:pPr>
    <w:r>
      <w:rPr>
        <w:noProof/>
      </w:rPr>
      <w:pict w14:anchorId="26A88C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2" o:spid="_x0000_s4177" type="#_x0000_t136" style="position:absolute;margin-left:0;margin-top:0;width:572.65pt;height:63.6pt;rotation:315;z-index:-25148928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25EBE" w14:textId="67F1DCBC" w:rsidR="0099352B" w:rsidRDefault="000667F3">
    <w:pPr>
      <w:pStyle w:val="a6"/>
    </w:pPr>
    <w:r>
      <w:rPr>
        <w:noProof/>
      </w:rPr>
      <w:pict w14:anchorId="160564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0" o:spid="_x0000_s4175" type="#_x0000_t136" style="position:absolute;margin-left:0;margin-top:0;width:572.65pt;height:63.6pt;rotation:315;z-index:-25149337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6722B" w14:textId="3CD48873" w:rsidR="001942A9" w:rsidRDefault="000667F3" w:rsidP="00C7266C">
    <w:pPr>
      <w:tabs>
        <w:tab w:val="right" w:pos="9073"/>
      </w:tabs>
      <w:overflowPunct w:val="0"/>
      <w:autoSpaceDE w:val="0"/>
      <w:autoSpaceDN w:val="0"/>
      <w:adjustRightInd w:val="0"/>
      <w:spacing w:after="240"/>
      <w:textAlignment w:val="baseline"/>
    </w:pPr>
    <w:r>
      <w:rPr>
        <w:noProof/>
      </w:rPr>
      <w:pict w14:anchorId="000AE3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4" o:spid="_x0000_s4179" type="#_x0000_t136" style="position:absolute;margin-left:0;margin-top:0;width:572.65pt;height:63.6pt;rotation:315;z-index:-25148518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Pr>
        <w:rFonts w:ascii="Arial" w:eastAsia="SimSun" w:hAnsi="Arial" w:cs="Arial"/>
        <w:i/>
        <w:noProof/>
        <w:sz w:val="18"/>
        <w:szCs w:val="18"/>
        <w:bdr w:val="nil"/>
        <w:lang w:eastAsia="zh-CN"/>
      </w:rPr>
      <w:tab/>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1942A9">
      <w:rPr>
        <w:rFonts w:ascii="Arial" w:hAnsi="Arial" w:cs="Arial"/>
        <w:noProof/>
        <w:sz w:val="18"/>
        <w:szCs w:val="18"/>
        <w:lang w:eastAsia="fr-FR"/>
      </w:rPr>
      <w:t>194</w:t>
    </w:r>
    <w:r w:rsidR="001942A9" w:rsidRPr="006E4078">
      <w:rPr>
        <w:rFonts w:ascii="Arial" w:hAnsi="Arial" w:cs="Arial"/>
        <w:noProof/>
        <w:sz w:val="18"/>
        <w:szCs w:val="18"/>
        <w:lang w:eastAsia="fr-FR"/>
      </w:rPr>
      <w:fldChar w:fldCharType="end"/>
    </w:r>
    <w:r w:rsidR="001942A9">
      <w:rPr>
        <w:rFonts w:ascii="Arial" w:hAnsi="Arial" w:cs="Arial"/>
        <w:noProof/>
        <w:sz w:val="18"/>
        <w:szCs w:val="18"/>
        <w:lang w:eastAsia="fr-FR"/>
      </w:rPr>
      <w:tab/>
    </w:r>
    <w:r w:rsidR="001942A9" w:rsidRPr="00AE6207">
      <w:rPr>
        <w:rFonts w:ascii="Arial" w:eastAsia="Calibri" w:hAnsi="Arial" w:cs="Arial"/>
        <w:noProof/>
        <w:sz w:val="18"/>
        <w:szCs w:val="18"/>
        <w:bdr w:val="nil"/>
      </w:rPr>
      <w:t>November 2018-September 2019</w:t>
    </w: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A7B89" w14:textId="1E3BFB88" w:rsidR="001942A9" w:rsidRDefault="000667F3" w:rsidP="00C7266C">
    <w:pPr>
      <w:tabs>
        <w:tab w:val="right" w:pos="9356"/>
      </w:tabs>
      <w:overflowPunct w:val="0"/>
      <w:autoSpaceDE w:val="0"/>
      <w:autoSpaceDN w:val="0"/>
      <w:adjustRightInd w:val="0"/>
      <w:spacing w:after="240"/>
      <w:textAlignment w:val="baseline"/>
    </w:pPr>
    <w:r>
      <w:rPr>
        <w:noProof/>
      </w:rPr>
      <w:pict w14:anchorId="175475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5" o:spid="_x0000_s4180" type="#_x0000_t136" style="position:absolute;margin-left:0;margin-top:0;width:572.65pt;height:63.6pt;rotation:315;z-index:-25148313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AE6207">
      <w:rPr>
        <w:rFonts w:ascii="Arial" w:eastAsia="SimSun" w:hAnsi="Arial" w:cs="Arial"/>
        <w:i/>
        <w:noProof/>
        <w:sz w:val="18"/>
        <w:szCs w:val="18"/>
        <w:bdr w:val="nil"/>
        <w:lang w:eastAsia="zh-CN"/>
      </w:rPr>
      <w:t>OIE ad hoc Group on Susceptibility of fish species to infection with OIE listed diseases/</w:t>
    </w:r>
    <w:r w:rsidR="001942A9">
      <w:rPr>
        <w:rFonts w:ascii="Arial" w:eastAsia="SimSun" w:hAnsi="Arial" w:cs="Arial"/>
        <w:i/>
        <w:noProof/>
        <w:sz w:val="18"/>
        <w:szCs w:val="18"/>
        <w:bdr w:val="nil"/>
        <w:lang w:eastAsia="zh-CN"/>
      </w:rPr>
      <w:br/>
    </w:r>
    <w:r w:rsidR="001942A9" w:rsidRPr="00AE6207">
      <w:rPr>
        <w:rFonts w:ascii="Arial" w:eastAsia="Calibri" w:hAnsi="Arial" w:cs="Arial"/>
        <w:noProof/>
        <w:sz w:val="18"/>
        <w:szCs w:val="18"/>
        <w:bdr w:val="nil"/>
      </w:rPr>
      <w:t>November 2018-September 2019</w:t>
    </w:r>
    <w:r w:rsidR="001942A9">
      <w:rPr>
        <w:rFonts w:ascii="Arial" w:eastAsia="Calibri" w:hAnsi="Arial" w:cs="Arial"/>
        <w:noProof/>
        <w:sz w:val="18"/>
        <w:szCs w:val="18"/>
        <w:bdr w:val="nil"/>
      </w:rPr>
      <w:tab/>
    </w:r>
    <w:r w:rsidR="001942A9" w:rsidRPr="006E4078">
      <w:rPr>
        <w:rFonts w:ascii="Arial" w:hAnsi="Arial" w:cs="Arial"/>
        <w:sz w:val="18"/>
        <w:szCs w:val="18"/>
        <w:lang w:eastAsia="fr-FR"/>
      </w:rPr>
      <w:fldChar w:fldCharType="begin"/>
    </w:r>
    <w:r w:rsidR="001942A9" w:rsidRPr="006E4078">
      <w:rPr>
        <w:rFonts w:ascii="Arial" w:hAnsi="Arial" w:cs="Arial"/>
        <w:sz w:val="18"/>
        <w:szCs w:val="18"/>
        <w:lang w:eastAsia="fr-FR"/>
      </w:rPr>
      <w:instrText xml:space="preserve"> PAGE   \* MERGEFORMAT </w:instrText>
    </w:r>
    <w:r w:rsidR="001942A9" w:rsidRPr="006E4078">
      <w:rPr>
        <w:rFonts w:ascii="Arial" w:hAnsi="Arial" w:cs="Arial"/>
        <w:sz w:val="18"/>
        <w:szCs w:val="18"/>
        <w:lang w:eastAsia="fr-FR"/>
      </w:rPr>
      <w:fldChar w:fldCharType="separate"/>
    </w:r>
    <w:r w:rsidR="0099352B">
      <w:rPr>
        <w:rFonts w:ascii="Arial" w:hAnsi="Arial" w:cs="Arial"/>
        <w:noProof/>
        <w:sz w:val="18"/>
        <w:szCs w:val="18"/>
        <w:lang w:eastAsia="fr-FR"/>
      </w:rPr>
      <w:t>197</w:t>
    </w:r>
    <w:r w:rsidR="001942A9" w:rsidRPr="006E4078">
      <w:rPr>
        <w:rFonts w:ascii="Arial" w:hAnsi="Arial" w:cs="Arial"/>
        <w:noProof/>
        <w:sz w:val="18"/>
        <w:szCs w:val="18"/>
        <w:lang w:eastAsia="fr-FR"/>
      </w:rPr>
      <w:fldChar w:fldCharType="end"/>
    </w: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CA1A0" w14:textId="3BBE3374" w:rsidR="0099352B" w:rsidRDefault="000667F3">
    <w:pPr>
      <w:pStyle w:val="a6"/>
    </w:pPr>
    <w:r>
      <w:rPr>
        <w:noProof/>
      </w:rPr>
      <w:pict w14:anchorId="6B01B6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3" o:spid="_x0000_s4178" type="#_x0000_t136" style="position:absolute;margin-left:0;margin-top:0;width:572.65pt;height:63.6pt;rotation:315;z-index:-25148723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048BC" w14:textId="5D21C5D5" w:rsidR="001942A9" w:rsidRPr="00D1621C" w:rsidRDefault="000667F3" w:rsidP="00C7266C">
    <w:pPr>
      <w:pStyle w:val="a6"/>
      <w:spacing w:after="480"/>
      <w:rPr>
        <w:rFonts w:ascii="Arial" w:hAnsi="Arial" w:cs="Arial"/>
        <w:sz w:val="18"/>
        <w:szCs w:val="18"/>
      </w:rPr>
    </w:pPr>
    <w:r>
      <w:rPr>
        <w:noProof/>
      </w:rPr>
      <w:pict w14:anchorId="7428D2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7" o:spid="_x0000_s4182" type="#_x0000_t136" style="position:absolute;margin-left:0;margin-top:0;width:572.65pt;height:63.6pt;rotation:315;z-index:-25147904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CE7006">
      <w:rPr>
        <w:rFonts w:ascii="Arial" w:hAnsi="Arial" w:cs="Arial"/>
        <w:sz w:val="18"/>
        <w:szCs w:val="18"/>
      </w:rPr>
      <w:fldChar w:fldCharType="begin"/>
    </w:r>
    <w:r w:rsidR="001942A9" w:rsidRPr="00CE7006">
      <w:rPr>
        <w:rFonts w:ascii="Arial" w:hAnsi="Arial" w:cs="Arial"/>
        <w:sz w:val="18"/>
        <w:szCs w:val="18"/>
      </w:rPr>
      <w:instrText>PAGE   \* MERGEFORMAT</w:instrText>
    </w:r>
    <w:r w:rsidR="001942A9" w:rsidRPr="00CE7006">
      <w:rPr>
        <w:rFonts w:ascii="Arial" w:hAnsi="Arial" w:cs="Arial"/>
        <w:sz w:val="18"/>
        <w:szCs w:val="18"/>
      </w:rPr>
      <w:fldChar w:fldCharType="separate"/>
    </w:r>
    <w:r w:rsidR="0099352B" w:rsidRPr="0099352B">
      <w:rPr>
        <w:rFonts w:ascii="Arial" w:hAnsi="Arial" w:cs="Arial"/>
        <w:noProof/>
        <w:sz w:val="18"/>
        <w:szCs w:val="18"/>
        <w:lang w:val="fr-FR"/>
      </w:rPr>
      <w:t>200</w:t>
    </w:r>
    <w:r w:rsidR="001942A9" w:rsidRPr="00CE7006">
      <w:rPr>
        <w:rFonts w:ascii="Arial" w:hAnsi="Arial" w:cs="Arial"/>
        <w:sz w:val="18"/>
        <w:szCs w:val="18"/>
      </w:rPr>
      <w:fldChar w:fldCharType="end"/>
    </w: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B9EF6" w14:textId="10512BB3" w:rsidR="001942A9" w:rsidRPr="00D1621C" w:rsidRDefault="000667F3" w:rsidP="00C7266C">
    <w:pPr>
      <w:pStyle w:val="a6"/>
      <w:spacing w:after="480"/>
      <w:jc w:val="right"/>
      <w:rPr>
        <w:rFonts w:ascii="Arial" w:hAnsi="Arial" w:cs="Arial"/>
        <w:sz w:val="18"/>
        <w:szCs w:val="18"/>
      </w:rPr>
    </w:pPr>
    <w:r>
      <w:rPr>
        <w:noProof/>
      </w:rPr>
      <w:pict w14:anchorId="462B90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8" o:spid="_x0000_s4183" type="#_x0000_t136" style="position:absolute;left:0;text-align:left;margin-left:0;margin-top:0;width:572.65pt;height:63.6pt;rotation:315;z-index:-25147699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CE7006">
      <w:rPr>
        <w:rFonts w:ascii="Arial" w:hAnsi="Arial" w:cs="Arial"/>
        <w:sz w:val="18"/>
        <w:szCs w:val="18"/>
      </w:rPr>
      <w:fldChar w:fldCharType="begin"/>
    </w:r>
    <w:r w:rsidR="001942A9" w:rsidRPr="00CE7006">
      <w:rPr>
        <w:rFonts w:ascii="Arial" w:hAnsi="Arial" w:cs="Arial"/>
        <w:sz w:val="18"/>
        <w:szCs w:val="18"/>
      </w:rPr>
      <w:instrText>PAGE   \* MERGEFORMAT</w:instrText>
    </w:r>
    <w:r w:rsidR="001942A9" w:rsidRPr="00CE7006">
      <w:rPr>
        <w:rFonts w:ascii="Arial" w:hAnsi="Arial" w:cs="Arial"/>
        <w:sz w:val="18"/>
        <w:szCs w:val="18"/>
      </w:rPr>
      <w:fldChar w:fldCharType="separate"/>
    </w:r>
    <w:r w:rsidR="0099352B" w:rsidRPr="0099352B">
      <w:rPr>
        <w:rFonts w:ascii="Arial" w:hAnsi="Arial" w:cs="Arial"/>
        <w:noProof/>
        <w:sz w:val="18"/>
        <w:szCs w:val="18"/>
        <w:lang w:val="fr-FR"/>
      </w:rPr>
      <w:t>199</w:t>
    </w:r>
    <w:r w:rsidR="001942A9" w:rsidRPr="00CE7006">
      <w:rPr>
        <w:rFonts w:ascii="Arial" w:hAnsi="Arial" w:cs="Arial"/>
        <w:sz w:val="18"/>
        <w:szCs w:val="18"/>
      </w:rPr>
      <w:fldChar w:fldCharType="end"/>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D6526" w14:textId="2A3EBF87" w:rsidR="0099352B" w:rsidRDefault="000667F3">
    <w:pPr>
      <w:pStyle w:val="a6"/>
    </w:pPr>
    <w:r>
      <w:rPr>
        <w:noProof/>
      </w:rPr>
      <w:pict w14:anchorId="2FB768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6" o:spid="_x0000_s4181" type="#_x0000_t136" style="position:absolute;margin-left:0;margin-top:0;width:572.65pt;height:63.6pt;rotation:315;z-index:-25148108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3D5C7" w14:textId="7BFAA7BE" w:rsidR="001942A9" w:rsidRPr="001444FC" w:rsidRDefault="000667F3" w:rsidP="00C7266C">
    <w:pPr>
      <w:pStyle w:val="a6"/>
      <w:spacing w:after="480"/>
      <w:rPr>
        <w:rFonts w:ascii="Arial" w:hAnsi="Arial" w:cs="Arial"/>
        <w:sz w:val="18"/>
        <w:szCs w:val="18"/>
      </w:rPr>
    </w:pPr>
    <w:r>
      <w:rPr>
        <w:noProof/>
      </w:rPr>
      <w:pict w14:anchorId="2BB93A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0" o:spid="_x0000_s4185" type="#_x0000_t136" style="position:absolute;margin-left:0;margin-top:0;width:572.65pt;height:63.6pt;rotation:315;z-index:-25147289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CE7006">
      <w:rPr>
        <w:rFonts w:ascii="Arial" w:hAnsi="Arial" w:cs="Arial"/>
        <w:sz w:val="18"/>
        <w:szCs w:val="18"/>
      </w:rPr>
      <w:fldChar w:fldCharType="begin"/>
    </w:r>
    <w:r w:rsidR="001942A9" w:rsidRPr="00CE7006">
      <w:rPr>
        <w:rFonts w:ascii="Arial" w:hAnsi="Arial" w:cs="Arial"/>
        <w:sz w:val="18"/>
        <w:szCs w:val="18"/>
      </w:rPr>
      <w:instrText>PAGE   \* MERGEFORMAT</w:instrText>
    </w:r>
    <w:r w:rsidR="001942A9" w:rsidRPr="00CE7006">
      <w:rPr>
        <w:rFonts w:ascii="Arial" w:hAnsi="Arial" w:cs="Arial"/>
        <w:sz w:val="18"/>
        <w:szCs w:val="18"/>
      </w:rPr>
      <w:fldChar w:fldCharType="separate"/>
    </w:r>
    <w:r w:rsidR="0099352B" w:rsidRPr="0099352B">
      <w:rPr>
        <w:rFonts w:ascii="Arial" w:hAnsi="Arial" w:cs="Arial"/>
        <w:noProof/>
        <w:sz w:val="18"/>
        <w:szCs w:val="18"/>
        <w:lang w:val="fr-FR"/>
      </w:rPr>
      <w:t>202</w:t>
    </w:r>
    <w:r w:rsidR="001942A9" w:rsidRPr="00CE7006">
      <w:rPr>
        <w:rFonts w:ascii="Arial" w:hAnsi="Arial" w:cs="Arial"/>
        <w:sz w:val="18"/>
        <w:szCs w:val="18"/>
      </w:rPr>
      <w:fldChar w:fldCharType="end"/>
    </w: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0B8CE" w14:textId="17A140AB" w:rsidR="001942A9" w:rsidRPr="00A7444D" w:rsidRDefault="000667F3" w:rsidP="001041C6">
    <w:pPr>
      <w:pStyle w:val="a8"/>
      <w:tabs>
        <w:tab w:val="clear" w:pos="4513"/>
        <w:tab w:val="clear" w:pos="9026"/>
        <w:tab w:val="right" w:pos="13892"/>
      </w:tabs>
      <w:rPr>
        <w:i/>
        <w:lang w:val="en-US"/>
      </w:rPr>
    </w:pPr>
    <w:r>
      <w:rPr>
        <w:noProof/>
      </w:rPr>
      <w:pict w14:anchorId="7E6C31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1" o:spid="_x0000_s4186" type="#_x0000_t136" style="position:absolute;margin-left:0;margin-top:0;width:572.65pt;height:63.6pt;rotation:315;z-index:-25147084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Pr>
        <w:rFonts w:ascii="Arial" w:hAnsi="Arial" w:cs="Arial"/>
        <w:i/>
        <w:noProof/>
        <w:sz w:val="18"/>
        <w:szCs w:val="18"/>
        <w:bdr w:val="nil"/>
      </w:rPr>
      <w:tab/>
    </w:r>
    <w:r w:rsidR="001942A9" w:rsidRPr="00D54756">
      <w:rPr>
        <w:rFonts w:ascii="Arial" w:hAnsi="Arial" w:cs="Arial"/>
        <w:sz w:val="18"/>
        <w:szCs w:val="18"/>
      </w:rPr>
      <w:fldChar w:fldCharType="begin"/>
    </w:r>
    <w:r w:rsidR="001942A9" w:rsidRPr="00D54756">
      <w:rPr>
        <w:rFonts w:ascii="Arial" w:hAnsi="Arial" w:cs="Arial"/>
        <w:sz w:val="18"/>
        <w:szCs w:val="18"/>
        <w:lang w:val="en-US"/>
      </w:rPr>
      <w:instrText>PAGE   \* MERGEFORMAT</w:instrText>
    </w:r>
    <w:r w:rsidR="001942A9" w:rsidRPr="00D54756">
      <w:rPr>
        <w:rFonts w:ascii="Arial" w:hAnsi="Arial" w:cs="Arial"/>
        <w:sz w:val="18"/>
        <w:szCs w:val="18"/>
      </w:rPr>
      <w:fldChar w:fldCharType="separate"/>
    </w:r>
    <w:r w:rsidR="0099352B">
      <w:rPr>
        <w:rFonts w:ascii="Arial" w:hAnsi="Arial" w:cs="Arial"/>
        <w:noProof/>
        <w:sz w:val="18"/>
        <w:szCs w:val="18"/>
        <w:lang w:val="en-US"/>
      </w:rPr>
      <w:t>201</w:t>
    </w:r>
    <w:r w:rsidR="001942A9" w:rsidRPr="00D54756">
      <w:rPr>
        <w:rFonts w:ascii="Arial" w:hAnsi="Arial" w:cs="Arial"/>
        <w:sz w:val="18"/>
        <w:szCs w:val="18"/>
      </w:rPr>
      <w:fldChar w:fldCharType="end"/>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61C1F" w14:textId="47D7935E" w:rsidR="001942A9" w:rsidRDefault="000667F3">
    <w:pPr>
      <w:pStyle w:val="a6"/>
    </w:pPr>
    <w:r>
      <w:rPr>
        <w:noProof/>
      </w:rPr>
      <w:pict w14:anchorId="45A436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59" o:spid="_x0000_s4184" type="#_x0000_t136" style="position:absolute;margin-left:0;margin-top:0;width:572.65pt;height:63.6pt;rotation:315;z-index:-25147494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98444" w14:textId="2D73A6D6" w:rsidR="001942A9" w:rsidRPr="003304A1" w:rsidRDefault="000667F3" w:rsidP="00C7266C">
    <w:pPr>
      <w:pStyle w:val="a6"/>
      <w:spacing w:after="480"/>
      <w:rPr>
        <w:rFonts w:ascii="Arial" w:hAnsi="Arial" w:cs="Arial"/>
        <w:sz w:val="18"/>
        <w:szCs w:val="18"/>
      </w:rPr>
    </w:pPr>
    <w:r>
      <w:rPr>
        <w:noProof/>
      </w:rPr>
      <w:pict w14:anchorId="04A79E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3" o:spid="_x0000_s4188" type="#_x0000_t136" style="position:absolute;margin-left:0;margin-top:0;width:572.65pt;height:63.6pt;rotation:315;z-index:-251466752;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CE7006">
      <w:rPr>
        <w:rFonts w:ascii="Arial" w:hAnsi="Arial" w:cs="Arial"/>
        <w:sz w:val="18"/>
        <w:szCs w:val="18"/>
      </w:rPr>
      <w:fldChar w:fldCharType="begin"/>
    </w:r>
    <w:r w:rsidR="001942A9" w:rsidRPr="00CE7006">
      <w:rPr>
        <w:rFonts w:ascii="Arial" w:hAnsi="Arial" w:cs="Arial"/>
        <w:sz w:val="18"/>
        <w:szCs w:val="18"/>
      </w:rPr>
      <w:instrText>PAGE   \* MERGEFORMAT</w:instrText>
    </w:r>
    <w:r w:rsidR="001942A9" w:rsidRPr="00CE7006">
      <w:rPr>
        <w:rFonts w:ascii="Arial" w:hAnsi="Arial" w:cs="Arial"/>
        <w:sz w:val="18"/>
        <w:szCs w:val="18"/>
      </w:rPr>
      <w:fldChar w:fldCharType="separate"/>
    </w:r>
    <w:r w:rsidR="0099352B" w:rsidRPr="0099352B">
      <w:rPr>
        <w:rFonts w:ascii="Arial" w:hAnsi="Arial" w:cs="Arial"/>
        <w:noProof/>
        <w:sz w:val="18"/>
        <w:szCs w:val="18"/>
        <w:lang w:val="fr-FR"/>
      </w:rPr>
      <w:t>204</w:t>
    </w:r>
    <w:r w:rsidR="001942A9" w:rsidRPr="00CE7006">
      <w:rPr>
        <w:rFonts w:ascii="Arial" w:hAnsi="Arial" w:cs="Arial"/>
        <w:sz w:val="18"/>
        <w:szCs w:val="18"/>
      </w:rPr>
      <w:fldChar w:fldCharType="end"/>
    </w: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1ACE3" w14:textId="0BA2E066" w:rsidR="001942A9" w:rsidRPr="003304A1" w:rsidRDefault="000667F3" w:rsidP="00C7266C">
    <w:pPr>
      <w:tabs>
        <w:tab w:val="center" w:pos="4680"/>
        <w:tab w:val="right" w:pos="9360"/>
      </w:tabs>
      <w:spacing w:after="480" w:line="240" w:lineRule="auto"/>
      <w:jc w:val="right"/>
      <w:rPr>
        <w:rFonts w:ascii="Arial" w:eastAsia="Times New Roman" w:hAnsi="Arial" w:cs="Arial"/>
        <w:sz w:val="18"/>
        <w:szCs w:val="18"/>
      </w:rPr>
    </w:pPr>
    <w:r>
      <w:rPr>
        <w:rFonts w:eastAsiaTheme="minorHAnsi"/>
        <w:noProof/>
      </w:rPr>
      <w:pict w14:anchorId="0E8126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4" o:spid="_x0000_s4189" type="#_x0000_t136" style="position:absolute;left:0;text-align:left;margin-left:0;margin-top:0;width:572.65pt;height:63.6pt;rotation:315;z-index:-251464704;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r w:rsidR="001942A9" w:rsidRPr="003304A1">
      <w:rPr>
        <w:rFonts w:ascii="Arial" w:eastAsia="Times New Roman" w:hAnsi="Arial" w:cs="Arial"/>
        <w:sz w:val="18"/>
        <w:szCs w:val="18"/>
      </w:rPr>
      <w:fldChar w:fldCharType="begin"/>
    </w:r>
    <w:r w:rsidR="001942A9" w:rsidRPr="003304A1">
      <w:rPr>
        <w:rFonts w:ascii="Arial" w:eastAsia="Times New Roman" w:hAnsi="Arial" w:cs="Arial"/>
        <w:sz w:val="18"/>
        <w:szCs w:val="18"/>
      </w:rPr>
      <w:instrText>PAGE   \* MERGEFORMAT</w:instrText>
    </w:r>
    <w:r w:rsidR="001942A9" w:rsidRPr="003304A1">
      <w:rPr>
        <w:rFonts w:ascii="Arial" w:eastAsia="Times New Roman" w:hAnsi="Arial" w:cs="Arial"/>
        <w:sz w:val="18"/>
        <w:szCs w:val="18"/>
      </w:rPr>
      <w:fldChar w:fldCharType="separate"/>
    </w:r>
    <w:r w:rsidR="0099352B" w:rsidRPr="0099352B">
      <w:rPr>
        <w:rFonts w:ascii="Arial" w:eastAsia="Times New Roman" w:hAnsi="Arial" w:cs="Arial"/>
        <w:noProof/>
        <w:sz w:val="18"/>
        <w:szCs w:val="18"/>
        <w:lang w:val="fr-FR"/>
      </w:rPr>
      <w:t>203</w:t>
    </w:r>
    <w:r w:rsidR="001942A9" w:rsidRPr="003304A1">
      <w:rPr>
        <w:rFonts w:ascii="Arial" w:eastAsia="Times New Roman" w:hAnsi="Arial" w:cs="Arial"/>
        <w:sz w:val="18"/>
        <w:szCs w:val="18"/>
      </w:rPr>
      <w:fldChar w:fldCharType="end"/>
    </w: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C7838" w14:textId="2B5697A1" w:rsidR="0099352B" w:rsidRDefault="000667F3">
    <w:pPr>
      <w:pStyle w:val="a6"/>
    </w:pPr>
    <w:r>
      <w:rPr>
        <w:noProof/>
      </w:rPr>
      <w:pict w14:anchorId="57CB3F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2" o:spid="_x0000_s4187" type="#_x0000_t136" style="position:absolute;margin-left:0;margin-top:0;width:572.65pt;height:63.6pt;rotation:315;z-index:-25146880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9A714" w14:textId="109C77D8" w:rsidR="001942A9" w:rsidRPr="001041C6" w:rsidRDefault="000667F3" w:rsidP="001041C6">
    <w:pPr>
      <w:pStyle w:val="a6"/>
    </w:pPr>
    <w:r>
      <w:rPr>
        <w:noProof/>
      </w:rPr>
      <w:pict w14:anchorId="63FA33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6" o:spid="_x0000_s4191" type="#_x0000_t136" style="position:absolute;margin-left:0;margin-top:0;width:572.65pt;height:63.6pt;rotation:315;z-index:-251460608;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0F81D" w14:textId="67F6D05D" w:rsidR="0099352B" w:rsidRDefault="000667F3">
    <w:pPr>
      <w:pStyle w:val="a6"/>
    </w:pPr>
    <w:r>
      <w:rPr>
        <w:noProof/>
      </w:rPr>
      <w:pict w14:anchorId="37342E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7" o:spid="_x0000_s4192" type="#_x0000_t136" style="position:absolute;margin-left:0;margin-top:0;width:572.65pt;height:63.6pt;rotation:315;z-index:-251458560;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4DC3C" w14:textId="6A536F08" w:rsidR="0099352B" w:rsidRDefault="000667F3">
    <w:pPr>
      <w:pStyle w:val="a6"/>
    </w:pPr>
    <w:r>
      <w:rPr>
        <w:noProof/>
      </w:rPr>
      <w:pict w14:anchorId="4FC597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05865" o:spid="_x0000_s4190" type="#_x0000_t136" style="position:absolute;margin-left:0;margin-top:0;width:572.65pt;height:63.6pt;rotation:315;z-index:-251462656;mso-position-horizontal:center;mso-position-horizontal-relative:margin;mso-position-vertical:center;mso-position-vertical-relative:margin" o:allowincell="f" fillcolor="silver" stroked="f">
          <v:fill opacity=".5"/>
          <v:textpath style="font-family:&quot;Arial Black&quot;;font-size:1pt" string="UNOFFICIAL VERSION"/>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8AC8AF94"/>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03B73D0C"/>
    <w:multiLevelType w:val="hybridMultilevel"/>
    <w:tmpl w:val="1F66D95E"/>
    <w:styleLink w:val="List01"/>
    <w:lvl w:ilvl="0" w:tplc="6F78D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67103"/>
    <w:multiLevelType w:val="multilevel"/>
    <w:tmpl w:val="0C090023"/>
    <w:styleLink w:val="a"/>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E9060B6"/>
    <w:multiLevelType w:val="hybridMultilevel"/>
    <w:tmpl w:val="96E8E18C"/>
    <w:lvl w:ilvl="0" w:tplc="9D786F0C">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E64CBD"/>
    <w:multiLevelType w:val="hybridMultilevel"/>
    <w:tmpl w:val="A7DC4B2A"/>
    <w:styleLink w:val="ImportedStyle12"/>
    <w:lvl w:ilvl="0" w:tplc="7D6ADFFE">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5" w15:restartNumberingAfterBreak="0">
    <w:nsid w:val="174E5369"/>
    <w:multiLevelType w:val="hybridMultilevel"/>
    <w:tmpl w:val="ECDC4A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E5231F"/>
    <w:multiLevelType w:val="hybridMultilevel"/>
    <w:tmpl w:val="3F8C4F12"/>
    <w:lvl w:ilvl="0" w:tplc="040C000F">
      <w:start w:val="1"/>
      <w:numFmt w:val="decimal"/>
      <w:lvlText w:val="%1."/>
      <w:lvlJc w:val="left"/>
      <w:pPr>
        <w:ind w:left="719" w:hanging="360"/>
      </w:pPr>
    </w:lvl>
    <w:lvl w:ilvl="1" w:tplc="040C0019" w:tentative="1">
      <w:start w:val="1"/>
      <w:numFmt w:val="lowerLetter"/>
      <w:lvlText w:val="%2."/>
      <w:lvlJc w:val="left"/>
      <w:pPr>
        <w:ind w:left="1439" w:hanging="360"/>
      </w:pPr>
    </w:lvl>
    <w:lvl w:ilvl="2" w:tplc="040C001B" w:tentative="1">
      <w:start w:val="1"/>
      <w:numFmt w:val="lowerRoman"/>
      <w:lvlText w:val="%3."/>
      <w:lvlJc w:val="right"/>
      <w:pPr>
        <w:ind w:left="2159" w:hanging="180"/>
      </w:pPr>
    </w:lvl>
    <w:lvl w:ilvl="3" w:tplc="040C000F" w:tentative="1">
      <w:start w:val="1"/>
      <w:numFmt w:val="decimal"/>
      <w:lvlText w:val="%4."/>
      <w:lvlJc w:val="left"/>
      <w:pPr>
        <w:ind w:left="2879" w:hanging="360"/>
      </w:pPr>
    </w:lvl>
    <w:lvl w:ilvl="4" w:tplc="040C0019" w:tentative="1">
      <w:start w:val="1"/>
      <w:numFmt w:val="lowerLetter"/>
      <w:lvlText w:val="%5."/>
      <w:lvlJc w:val="left"/>
      <w:pPr>
        <w:ind w:left="3599" w:hanging="360"/>
      </w:pPr>
    </w:lvl>
    <w:lvl w:ilvl="5" w:tplc="040C001B" w:tentative="1">
      <w:start w:val="1"/>
      <w:numFmt w:val="lowerRoman"/>
      <w:lvlText w:val="%6."/>
      <w:lvlJc w:val="right"/>
      <w:pPr>
        <w:ind w:left="4319" w:hanging="180"/>
      </w:pPr>
    </w:lvl>
    <w:lvl w:ilvl="6" w:tplc="040C000F" w:tentative="1">
      <w:start w:val="1"/>
      <w:numFmt w:val="decimal"/>
      <w:lvlText w:val="%7."/>
      <w:lvlJc w:val="left"/>
      <w:pPr>
        <w:ind w:left="5039" w:hanging="360"/>
      </w:pPr>
    </w:lvl>
    <w:lvl w:ilvl="7" w:tplc="040C0019" w:tentative="1">
      <w:start w:val="1"/>
      <w:numFmt w:val="lowerLetter"/>
      <w:lvlText w:val="%8."/>
      <w:lvlJc w:val="left"/>
      <w:pPr>
        <w:ind w:left="5759" w:hanging="360"/>
      </w:pPr>
    </w:lvl>
    <w:lvl w:ilvl="8" w:tplc="040C001B" w:tentative="1">
      <w:start w:val="1"/>
      <w:numFmt w:val="lowerRoman"/>
      <w:lvlText w:val="%9."/>
      <w:lvlJc w:val="right"/>
      <w:pPr>
        <w:ind w:left="6479" w:hanging="180"/>
      </w:pPr>
    </w:lvl>
  </w:abstractNum>
  <w:abstractNum w:abstractNumId="7" w15:restartNumberingAfterBreak="0">
    <w:nsid w:val="1F8E4C26"/>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A774386"/>
    <w:multiLevelType w:val="hybridMultilevel"/>
    <w:tmpl w:val="8B0A602A"/>
    <w:styleLink w:val="ImportedStyle42"/>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CE297B"/>
    <w:multiLevelType w:val="hybridMultilevel"/>
    <w:tmpl w:val="1E6461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1A245B5"/>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11" w15:restartNumberingAfterBreak="0">
    <w:nsid w:val="3815319F"/>
    <w:multiLevelType w:val="hybridMultilevel"/>
    <w:tmpl w:val="929AB46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B893474"/>
    <w:multiLevelType w:val="multilevel"/>
    <w:tmpl w:val="1F6AA610"/>
    <w:styleLink w:val="List1"/>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13" w15:restartNumberingAfterBreak="0">
    <w:nsid w:val="420323E6"/>
    <w:multiLevelType w:val="multilevel"/>
    <w:tmpl w:val="D6507216"/>
    <w:styleLink w:val="List0"/>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14" w15:restartNumberingAfterBreak="0">
    <w:nsid w:val="438D441F"/>
    <w:multiLevelType w:val="hybridMultilevel"/>
    <w:tmpl w:val="20AE0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E14926"/>
    <w:multiLevelType w:val="hybridMultilevel"/>
    <w:tmpl w:val="14B6F27E"/>
    <w:styleLink w:val="1ai2"/>
    <w:lvl w:ilvl="0" w:tplc="08090001">
      <w:start w:val="1"/>
      <w:numFmt w:val="bullet"/>
      <w:lvlText w:val=""/>
      <w:lvlJc w:val="left"/>
      <w:pPr>
        <w:ind w:left="1152" w:hanging="360"/>
      </w:pPr>
      <w:rPr>
        <w:rFonts w:ascii="Symbol" w:hAnsi="Symbol" w:hint="default"/>
      </w:rPr>
    </w:lvl>
    <w:lvl w:ilvl="1" w:tplc="08090003">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6" w15:restartNumberingAfterBreak="0">
    <w:nsid w:val="46445226"/>
    <w:multiLevelType w:val="hybridMultilevel"/>
    <w:tmpl w:val="0234E2E2"/>
    <w:styleLink w:val="List11"/>
    <w:lvl w:ilvl="0" w:tplc="E022F4C0">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77749"/>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18" w15:restartNumberingAfterBreak="0">
    <w:nsid w:val="4E612F0D"/>
    <w:multiLevelType w:val="hybridMultilevel"/>
    <w:tmpl w:val="78163FDA"/>
    <w:lvl w:ilvl="0" w:tplc="0C090003">
      <w:start w:val="1"/>
      <w:numFmt w:val="bullet"/>
      <w:lvlText w:val="o"/>
      <w:lvlJc w:val="left"/>
      <w:pPr>
        <w:ind w:left="1571" w:hanging="360"/>
      </w:pPr>
      <w:rPr>
        <w:rFonts w:ascii="Courier New" w:hAnsi="Courier New" w:cs="Courier New"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9" w15:restartNumberingAfterBreak="0">
    <w:nsid w:val="4FD616D5"/>
    <w:multiLevelType w:val="multilevel"/>
    <w:tmpl w:val="3B662D98"/>
    <w:styleLink w:val="List21"/>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20" w15:restartNumberingAfterBreak="0">
    <w:nsid w:val="624B1CB5"/>
    <w:multiLevelType w:val="hybridMultilevel"/>
    <w:tmpl w:val="C3E00B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870E0E"/>
    <w:multiLevelType w:val="hybridMultilevel"/>
    <w:tmpl w:val="B7A82264"/>
    <w:styleLink w:val="ArticleSection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9B340F"/>
    <w:multiLevelType w:val="hybridMultilevel"/>
    <w:tmpl w:val="5BA07CB6"/>
    <w:lvl w:ilvl="0" w:tplc="AEF8EF06">
      <w:start w:val="1"/>
      <w:numFmt w:val="decimal"/>
      <w:pStyle w:val="TitreIntercalaire"/>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15:restartNumberingAfterBreak="0">
    <w:nsid w:val="6A3A13D2"/>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AC00F97"/>
    <w:multiLevelType w:val="hybridMultilevel"/>
    <w:tmpl w:val="8B76B654"/>
    <w:styleLink w:val="ImportedStyle4"/>
    <w:lvl w:ilvl="0" w:tplc="426A47F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5E048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CAC3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ECCE9D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EC23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6F6E6B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E4C037A">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628D2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DB016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6C0B2345"/>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26" w15:restartNumberingAfterBreak="0">
    <w:nsid w:val="6DE13162"/>
    <w:multiLevelType w:val="hybridMultilevel"/>
    <w:tmpl w:val="68003808"/>
    <w:styleLink w:val="List211"/>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43B5B9A"/>
    <w:multiLevelType w:val="hybridMultilevel"/>
    <w:tmpl w:val="F1E8ED00"/>
    <w:styleLink w:val="11111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65C7C47"/>
    <w:multiLevelType w:val="hybridMultilevel"/>
    <w:tmpl w:val="4F6A23C4"/>
    <w:styleLink w:val="ImportedStyle52"/>
    <w:lvl w:ilvl="0" w:tplc="F8A21A04">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9" w15:restartNumberingAfterBreak="0">
    <w:nsid w:val="788B3738"/>
    <w:multiLevelType w:val="hybridMultilevel"/>
    <w:tmpl w:val="2BF6E828"/>
    <w:styleLink w:val="ImportedStyle1"/>
    <w:lvl w:ilvl="0" w:tplc="C3AE74A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7E8F3B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BD5E745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4F6AED6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16FBE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8C6A61D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3FFACA6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466040A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786E86C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30" w15:restartNumberingAfterBreak="0">
    <w:nsid w:val="7BFE1FD9"/>
    <w:multiLevelType w:val="hybridMultilevel"/>
    <w:tmpl w:val="0C124F82"/>
    <w:styleLink w:val="ImportedStyle5"/>
    <w:lvl w:ilvl="0" w:tplc="9528917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23A4EA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89C849E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66E606C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4C3D2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27CAC53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BD7CCC0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7FDA5A8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3684E024">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num w:numId="1">
    <w:abstractNumId w:val="8"/>
  </w:num>
  <w:num w:numId="2">
    <w:abstractNumId w:val="28"/>
  </w:num>
  <w:num w:numId="3">
    <w:abstractNumId w:val="4"/>
  </w:num>
  <w:num w:numId="4">
    <w:abstractNumId w:val="27"/>
  </w:num>
  <w:num w:numId="5">
    <w:abstractNumId w:val="15"/>
  </w:num>
  <w:num w:numId="6">
    <w:abstractNumId w:val="21"/>
  </w:num>
  <w:num w:numId="7">
    <w:abstractNumId w:val="1"/>
  </w:num>
  <w:num w:numId="8">
    <w:abstractNumId w:val="16"/>
  </w:num>
  <w:num w:numId="9">
    <w:abstractNumId w:val="26"/>
  </w:num>
  <w:num w:numId="10">
    <w:abstractNumId w:val="24"/>
  </w:num>
  <w:num w:numId="11">
    <w:abstractNumId w:val="30"/>
  </w:num>
  <w:num w:numId="12">
    <w:abstractNumId w:val="29"/>
  </w:num>
  <w:num w:numId="13">
    <w:abstractNumId w:val="0"/>
  </w:num>
  <w:num w:numId="14">
    <w:abstractNumId w:val="23"/>
  </w:num>
  <w:num w:numId="15">
    <w:abstractNumId w:val="7"/>
  </w:num>
  <w:num w:numId="16">
    <w:abstractNumId w:val="2"/>
  </w:num>
  <w:num w:numId="17">
    <w:abstractNumId w:val="13"/>
  </w:num>
  <w:num w:numId="18">
    <w:abstractNumId w:val="12"/>
  </w:num>
  <w:num w:numId="19">
    <w:abstractNumId w:val="19"/>
  </w:num>
  <w:num w:numId="20">
    <w:abstractNumId w:val="22"/>
  </w:num>
  <w:num w:numId="21">
    <w:abstractNumId w:val="20"/>
  </w:num>
  <w:num w:numId="22">
    <w:abstractNumId w:val="9"/>
  </w:num>
  <w:num w:numId="23">
    <w:abstractNumId w:val="3"/>
  </w:num>
  <w:num w:numId="24">
    <w:abstractNumId w:val="6"/>
  </w:num>
  <w:num w:numId="25">
    <w:abstractNumId w:val="17"/>
  </w:num>
  <w:num w:numId="26">
    <w:abstractNumId w:val="10"/>
  </w:num>
  <w:num w:numId="27">
    <w:abstractNumId w:val="18"/>
  </w:num>
  <w:num w:numId="28">
    <w:abstractNumId w:val="11"/>
  </w:num>
  <w:num w:numId="29">
    <w:abstractNumId w:val="14"/>
  </w:num>
  <w:num w:numId="30">
    <w:abstractNumId w:val="25"/>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720"/>
  <w:hyphenationZone w:val="425"/>
  <w:evenAndOddHeaders/>
  <w:characterSpacingControl w:val="doNotCompress"/>
  <w:hdrShapeDefaults>
    <o:shapedefaults v:ext="edit" spidmax="4193"/>
    <o:shapelayout v:ext="edit">
      <o:idmap v:ext="edit" data="4"/>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421"/>
    <w:rsid w:val="000034FC"/>
    <w:rsid w:val="000117F1"/>
    <w:rsid w:val="00012625"/>
    <w:rsid w:val="00016B76"/>
    <w:rsid w:val="0001719A"/>
    <w:rsid w:val="00017B2B"/>
    <w:rsid w:val="00020B84"/>
    <w:rsid w:val="00026F65"/>
    <w:rsid w:val="0004108F"/>
    <w:rsid w:val="000413B1"/>
    <w:rsid w:val="0004407C"/>
    <w:rsid w:val="0004728D"/>
    <w:rsid w:val="0005091E"/>
    <w:rsid w:val="00054758"/>
    <w:rsid w:val="00057E1E"/>
    <w:rsid w:val="00066135"/>
    <w:rsid w:val="000667F3"/>
    <w:rsid w:val="000671DF"/>
    <w:rsid w:val="0006792F"/>
    <w:rsid w:val="00067CA6"/>
    <w:rsid w:val="00070176"/>
    <w:rsid w:val="0007187C"/>
    <w:rsid w:val="000762C4"/>
    <w:rsid w:val="00077380"/>
    <w:rsid w:val="00080C5D"/>
    <w:rsid w:val="00083B4F"/>
    <w:rsid w:val="00086353"/>
    <w:rsid w:val="00093E4E"/>
    <w:rsid w:val="00095716"/>
    <w:rsid w:val="000A5667"/>
    <w:rsid w:val="000A7713"/>
    <w:rsid w:val="000B185E"/>
    <w:rsid w:val="000B38E2"/>
    <w:rsid w:val="000D7776"/>
    <w:rsid w:val="000E0A30"/>
    <w:rsid w:val="000E2421"/>
    <w:rsid w:val="000E3DBB"/>
    <w:rsid w:val="000E42DF"/>
    <w:rsid w:val="000E7D93"/>
    <w:rsid w:val="000F1548"/>
    <w:rsid w:val="000F3FA4"/>
    <w:rsid w:val="000F724D"/>
    <w:rsid w:val="00100F86"/>
    <w:rsid w:val="00101F2F"/>
    <w:rsid w:val="001041C6"/>
    <w:rsid w:val="00110FCB"/>
    <w:rsid w:val="00121B8E"/>
    <w:rsid w:val="001323BE"/>
    <w:rsid w:val="001354D1"/>
    <w:rsid w:val="00144123"/>
    <w:rsid w:val="001506FC"/>
    <w:rsid w:val="001554AE"/>
    <w:rsid w:val="00155BC2"/>
    <w:rsid w:val="0016574A"/>
    <w:rsid w:val="00171C2E"/>
    <w:rsid w:val="001865CC"/>
    <w:rsid w:val="00187DBD"/>
    <w:rsid w:val="0019040F"/>
    <w:rsid w:val="00190B91"/>
    <w:rsid w:val="00191F08"/>
    <w:rsid w:val="001933AA"/>
    <w:rsid w:val="001942A9"/>
    <w:rsid w:val="001A3C13"/>
    <w:rsid w:val="001A5EB1"/>
    <w:rsid w:val="001C603D"/>
    <w:rsid w:val="001D555D"/>
    <w:rsid w:val="001D7CD4"/>
    <w:rsid w:val="001E1550"/>
    <w:rsid w:val="001E18EE"/>
    <w:rsid w:val="001E2B93"/>
    <w:rsid w:val="001F1650"/>
    <w:rsid w:val="001F30BE"/>
    <w:rsid w:val="001F399B"/>
    <w:rsid w:val="00207020"/>
    <w:rsid w:val="002100A8"/>
    <w:rsid w:val="0021711E"/>
    <w:rsid w:val="0022395F"/>
    <w:rsid w:val="00223EA8"/>
    <w:rsid w:val="00224044"/>
    <w:rsid w:val="002311FA"/>
    <w:rsid w:val="00234B77"/>
    <w:rsid w:val="00234F5A"/>
    <w:rsid w:val="00235E0F"/>
    <w:rsid w:val="00237544"/>
    <w:rsid w:val="00240100"/>
    <w:rsid w:val="00240E5E"/>
    <w:rsid w:val="00240F70"/>
    <w:rsid w:val="00242312"/>
    <w:rsid w:val="0024286A"/>
    <w:rsid w:val="002511FB"/>
    <w:rsid w:val="00263D4E"/>
    <w:rsid w:val="0026432A"/>
    <w:rsid w:val="00266A99"/>
    <w:rsid w:val="002751A4"/>
    <w:rsid w:val="00280BA3"/>
    <w:rsid w:val="00285EB3"/>
    <w:rsid w:val="002A2019"/>
    <w:rsid w:val="002A4991"/>
    <w:rsid w:val="002C0234"/>
    <w:rsid w:val="002C1067"/>
    <w:rsid w:val="002C1987"/>
    <w:rsid w:val="002C6F16"/>
    <w:rsid w:val="002E5D14"/>
    <w:rsid w:val="002F4157"/>
    <w:rsid w:val="002F61F4"/>
    <w:rsid w:val="002F6911"/>
    <w:rsid w:val="002F7BD6"/>
    <w:rsid w:val="0030178B"/>
    <w:rsid w:val="00302BCE"/>
    <w:rsid w:val="00305CCF"/>
    <w:rsid w:val="0030642C"/>
    <w:rsid w:val="0033077B"/>
    <w:rsid w:val="00331390"/>
    <w:rsid w:val="00332B43"/>
    <w:rsid w:val="00334FB6"/>
    <w:rsid w:val="003373CA"/>
    <w:rsid w:val="00343780"/>
    <w:rsid w:val="00343896"/>
    <w:rsid w:val="00351147"/>
    <w:rsid w:val="003532F7"/>
    <w:rsid w:val="00355AF2"/>
    <w:rsid w:val="0035722A"/>
    <w:rsid w:val="003623DC"/>
    <w:rsid w:val="00367DCD"/>
    <w:rsid w:val="00372836"/>
    <w:rsid w:val="0037582B"/>
    <w:rsid w:val="00381D1E"/>
    <w:rsid w:val="0038372B"/>
    <w:rsid w:val="0038697B"/>
    <w:rsid w:val="00392C50"/>
    <w:rsid w:val="003943BC"/>
    <w:rsid w:val="00394620"/>
    <w:rsid w:val="003A131E"/>
    <w:rsid w:val="003A15F3"/>
    <w:rsid w:val="003B0010"/>
    <w:rsid w:val="003B4F47"/>
    <w:rsid w:val="003C282F"/>
    <w:rsid w:val="003C29CD"/>
    <w:rsid w:val="003C3C5B"/>
    <w:rsid w:val="003D2B52"/>
    <w:rsid w:val="003D7D4A"/>
    <w:rsid w:val="003E1BAD"/>
    <w:rsid w:val="003E1F47"/>
    <w:rsid w:val="003E3775"/>
    <w:rsid w:val="003E791E"/>
    <w:rsid w:val="003F0272"/>
    <w:rsid w:val="003F08F5"/>
    <w:rsid w:val="003F1891"/>
    <w:rsid w:val="003F2676"/>
    <w:rsid w:val="003F6A96"/>
    <w:rsid w:val="00413548"/>
    <w:rsid w:val="00416455"/>
    <w:rsid w:val="00424717"/>
    <w:rsid w:val="004268AF"/>
    <w:rsid w:val="00437328"/>
    <w:rsid w:val="00444A59"/>
    <w:rsid w:val="004548BB"/>
    <w:rsid w:val="004554D2"/>
    <w:rsid w:val="00456872"/>
    <w:rsid w:val="004617BD"/>
    <w:rsid w:val="00463EB7"/>
    <w:rsid w:val="00472B9C"/>
    <w:rsid w:val="00473A5C"/>
    <w:rsid w:val="00484582"/>
    <w:rsid w:val="004913DE"/>
    <w:rsid w:val="00497B34"/>
    <w:rsid w:val="004A029F"/>
    <w:rsid w:val="004A3A30"/>
    <w:rsid w:val="004A3E56"/>
    <w:rsid w:val="004A475D"/>
    <w:rsid w:val="004A4A1D"/>
    <w:rsid w:val="004A5678"/>
    <w:rsid w:val="004B0921"/>
    <w:rsid w:val="004B1810"/>
    <w:rsid w:val="004B4D69"/>
    <w:rsid w:val="004B5592"/>
    <w:rsid w:val="004B7419"/>
    <w:rsid w:val="004D130C"/>
    <w:rsid w:val="004D57EC"/>
    <w:rsid w:val="004D5A25"/>
    <w:rsid w:val="004F0152"/>
    <w:rsid w:val="004F0DF6"/>
    <w:rsid w:val="004F38AB"/>
    <w:rsid w:val="004F4B18"/>
    <w:rsid w:val="00500A02"/>
    <w:rsid w:val="00504F49"/>
    <w:rsid w:val="00522108"/>
    <w:rsid w:val="00524ED1"/>
    <w:rsid w:val="00533999"/>
    <w:rsid w:val="005341A7"/>
    <w:rsid w:val="005678CE"/>
    <w:rsid w:val="005701BA"/>
    <w:rsid w:val="00571C64"/>
    <w:rsid w:val="00575C8F"/>
    <w:rsid w:val="005771B6"/>
    <w:rsid w:val="00577730"/>
    <w:rsid w:val="00580A38"/>
    <w:rsid w:val="005865CE"/>
    <w:rsid w:val="00592BAD"/>
    <w:rsid w:val="005A3A21"/>
    <w:rsid w:val="005B6ED4"/>
    <w:rsid w:val="005C513A"/>
    <w:rsid w:val="005C588D"/>
    <w:rsid w:val="005D0B17"/>
    <w:rsid w:val="005D1D40"/>
    <w:rsid w:val="005D361B"/>
    <w:rsid w:val="005D72DF"/>
    <w:rsid w:val="005D749E"/>
    <w:rsid w:val="005D7FBC"/>
    <w:rsid w:val="005E2D78"/>
    <w:rsid w:val="005E744B"/>
    <w:rsid w:val="005F18B2"/>
    <w:rsid w:val="005F3C74"/>
    <w:rsid w:val="00602AAB"/>
    <w:rsid w:val="00612AF2"/>
    <w:rsid w:val="006237A8"/>
    <w:rsid w:val="00632D34"/>
    <w:rsid w:val="006330D8"/>
    <w:rsid w:val="00640B0E"/>
    <w:rsid w:val="00644BAF"/>
    <w:rsid w:val="00647187"/>
    <w:rsid w:val="00647E03"/>
    <w:rsid w:val="00650A0E"/>
    <w:rsid w:val="006519F6"/>
    <w:rsid w:val="00652B4E"/>
    <w:rsid w:val="006620D7"/>
    <w:rsid w:val="0066583B"/>
    <w:rsid w:val="006658F5"/>
    <w:rsid w:val="006677C0"/>
    <w:rsid w:val="0066791E"/>
    <w:rsid w:val="006705DD"/>
    <w:rsid w:val="00672A0C"/>
    <w:rsid w:val="006758BA"/>
    <w:rsid w:val="00680B1A"/>
    <w:rsid w:val="00686B4E"/>
    <w:rsid w:val="00686BC9"/>
    <w:rsid w:val="00691978"/>
    <w:rsid w:val="00691E13"/>
    <w:rsid w:val="006957B7"/>
    <w:rsid w:val="006A01BB"/>
    <w:rsid w:val="006B0A65"/>
    <w:rsid w:val="006B3A6E"/>
    <w:rsid w:val="006C00E4"/>
    <w:rsid w:val="006C0C89"/>
    <w:rsid w:val="006C62A1"/>
    <w:rsid w:val="006C70CB"/>
    <w:rsid w:val="006D4B86"/>
    <w:rsid w:val="006D69D9"/>
    <w:rsid w:val="006E0A68"/>
    <w:rsid w:val="006E1160"/>
    <w:rsid w:val="006E25F7"/>
    <w:rsid w:val="006F3889"/>
    <w:rsid w:val="006F6FE7"/>
    <w:rsid w:val="00700112"/>
    <w:rsid w:val="007002A0"/>
    <w:rsid w:val="00701627"/>
    <w:rsid w:val="00705F4B"/>
    <w:rsid w:val="00710E88"/>
    <w:rsid w:val="00714677"/>
    <w:rsid w:val="0071712D"/>
    <w:rsid w:val="00717774"/>
    <w:rsid w:val="007334BF"/>
    <w:rsid w:val="00741F33"/>
    <w:rsid w:val="00742671"/>
    <w:rsid w:val="0075280E"/>
    <w:rsid w:val="0076436B"/>
    <w:rsid w:val="0076758B"/>
    <w:rsid w:val="00770F2D"/>
    <w:rsid w:val="0077247D"/>
    <w:rsid w:val="007866D9"/>
    <w:rsid w:val="00786D8A"/>
    <w:rsid w:val="00787B61"/>
    <w:rsid w:val="00787B78"/>
    <w:rsid w:val="00793BC8"/>
    <w:rsid w:val="00796F27"/>
    <w:rsid w:val="007A3223"/>
    <w:rsid w:val="007B0BC7"/>
    <w:rsid w:val="007B1EF0"/>
    <w:rsid w:val="007B3D5C"/>
    <w:rsid w:val="007B576C"/>
    <w:rsid w:val="007B6F09"/>
    <w:rsid w:val="007C15FF"/>
    <w:rsid w:val="007C20C6"/>
    <w:rsid w:val="007C3935"/>
    <w:rsid w:val="007C3DA6"/>
    <w:rsid w:val="007C7792"/>
    <w:rsid w:val="007D1A19"/>
    <w:rsid w:val="007D47FE"/>
    <w:rsid w:val="007D7E19"/>
    <w:rsid w:val="007E2420"/>
    <w:rsid w:val="007E2ADC"/>
    <w:rsid w:val="007E5BF0"/>
    <w:rsid w:val="007F03D3"/>
    <w:rsid w:val="007F0EFF"/>
    <w:rsid w:val="007F2550"/>
    <w:rsid w:val="007F61E3"/>
    <w:rsid w:val="007F6E86"/>
    <w:rsid w:val="007F6F85"/>
    <w:rsid w:val="00804255"/>
    <w:rsid w:val="00804DF6"/>
    <w:rsid w:val="00805261"/>
    <w:rsid w:val="008163CC"/>
    <w:rsid w:val="0082176A"/>
    <w:rsid w:val="008300D4"/>
    <w:rsid w:val="008304E2"/>
    <w:rsid w:val="0083540B"/>
    <w:rsid w:val="0084243B"/>
    <w:rsid w:val="008427EE"/>
    <w:rsid w:val="00844148"/>
    <w:rsid w:val="00850464"/>
    <w:rsid w:val="0085126B"/>
    <w:rsid w:val="008531BD"/>
    <w:rsid w:val="00863AFE"/>
    <w:rsid w:val="00870E16"/>
    <w:rsid w:val="00872C69"/>
    <w:rsid w:val="00877D58"/>
    <w:rsid w:val="00882233"/>
    <w:rsid w:val="00883002"/>
    <w:rsid w:val="0088343B"/>
    <w:rsid w:val="00884DFA"/>
    <w:rsid w:val="008979C1"/>
    <w:rsid w:val="008B24DB"/>
    <w:rsid w:val="008B33A9"/>
    <w:rsid w:val="008B6DE8"/>
    <w:rsid w:val="008C06D4"/>
    <w:rsid w:val="008C0B26"/>
    <w:rsid w:val="008C1658"/>
    <w:rsid w:val="008C1B60"/>
    <w:rsid w:val="008C4406"/>
    <w:rsid w:val="008C4FA0"/>
    <w:rsid w:val="008D3F82"/>
    <w:rsid w:val="008D4AFB"/>
    <w:rsid w:val="008E096B"/>
    <w:rsid w:val="008F3452"/>
    <w:rsid w:val="008F7D5A"/>
    <w:rsid w:val="00900896"/>
    <w:rsid w:val="00906453"/>
    <w:rsid w:val="00906AA9"/>
    <w:rsid w:val="00910ED6"/>
    <w:rsid w:val="00913F57"/>
    <w:rsid w:val="009158BC"/>
    <w:rsid w:val="00923C13"/>
    <w:rsid w:val="00926F34"/>
    <w:rsid w:val="009346B1"/>
    <w:rsid w:val="009358C3"/>
    <w:rsid w:val="00936F09"/>
    <w:rsid w:val="00942591"/>
    <w:rsid w:val="00943E71"/>
    <w:rsid w:val="009441B0"/>
    <w:rsid w:val="00946C59"/>
    <w:rsid w:val="009513E3"/>
    <w:rsid w:val="00951667"/>
    <w:rsid w:val="00951F46"/>
    <w:rsid w:val="0095701F"/>
    <w:rsid w:val="009623A4"/>
    <w:rsid w:val="009658BE"/>
    <w:rsid w:val="00967845"/>
    <w:rsid w:val="009709E4"/>
    <w:rsid w:val="009730E2"/>
    <w:rsid w:val="009748FC"/>
    <w:rsid w:val="0098299B"/>
    <w:rsid w:val="00983DC1"/>
    <w:rsid w:val="0099139A"/>
    <w:rsid w:val="0099352B"/>
    <w:rsid w:val="00996141"/>
    <w:rsid w:val="009972E7"/>
    <w:rsid w:val="009B5F43"/>
    <w:rsid w:val="009B746E"/>
    <w:rsid w:val="009B77A1"/>
    <w:rsid w:val="009C0CEE"/>
    <w:rsid w:val="009C7436"/>
    <w:rsid w:val="009D3364"/>
    <w:rsid w:val="009E3149"/>
    <w:rsid w:val="009E4E4E"/>
    <w:rsid w:val="009E509E"/>
    <w:rsid w:val="009F65FD"/>
    <w:rsid w:val="00A06C09"/>
    <w:rsid w:val="00A07C8D"/>
    <w:rsid w:val="00A1774B"/>
    <w:rsid w:val="00A22F25"/>
    <w:rsid w:val="00A253F1"/>
    <w:rsid w:val="00A255B5"/>
    <w:rsid w:val="00A25DEB"/>
    <w:rsid w:val="00A26A4C"/>
    <w:rsid w:val="00A30E18"/>
    <w:rsid w:val="00A32023"/>
    <w:rsid w:val="00A40772"/>
    <w:rsid w:val="00A40927"/>
    <w:rsid w:val="00A40F8D"/>
    <w:rsid w:val="00A42112"/>
    <w:rsid w:val="00A46DAE"/>
    <w:rsid w:val="00A52F0D"/>
    <w:rsid w:val="00A54359"/>
    <w:rsid w:val="00A60806"/>
    <w:rsid w:val="00A63C15"/>
    <w:rsid w:val="00A81706"/>
    <w:rsid w:val="00A970F4"/>
    <w:rsid w:val="00A97A75"/>
    <w:rsid w:val="00AA1F64"/>
    <w:rsid w:val="00AA59BD"/>
    <w:rsid w:val="00AB313C"/>
    <w:rsid w:val="00AC5582"/>
    <w:rsid w:val="00AC68A7"/>
    <w:rsid w:val="00AD2E9D"/>
    <w:rsid w:val="00AD5D08"/>
    <w:rsid w:val="00AD7B8D"/>
    <w:rsid w:val="00AE39A7"/>
    <w:rsid w:val="00AE439D"/>
    <w:rsid w:val="00AE4864"/>
    <w:rsid w:val="00AF1A30"/>
    <w:rsid w:val="00B02830"/>
    <w:rsid w:val="00B06195"/>
    <w:rsid w:val="00B12EB3"/>
    <w:rsid w:val="00B133A0"/>
    <w:rsid w:val="00B20045"/>
    <w:rsid w:val="00B21617"/>
    <w:rsid w:val="00B22EF7"/>
    <w:rsid w:val="00B33290"/>
    <w:rsid w:val="00B40B75"/>
    <w:rsid w:val="00B427F2"/>
    <w:rsid w:val="00B463C4"/>
    <w:rsid w:val="00B53DE6"/>
    <w:rsid w:val="00B54EB2"/>
    <w:rsid w:val="00B556AB"/>
    <w:rsid w:val="00B602F9"/>
    <w:rsid w:val="00B62972"/>
    <w:rsid w:val="00B63342"/>
    <w:rsid w:val="00B64169"/>
    <w:rsid w:val="00B7014C"/>
    <w:rsid w:val="00B738B0"/>
    <w:rsid w:val="00B7670B"/>
    <w:rsid w:val="00B86D48"/>
    <w:rsid w:val="00B95F64"/>
    <w:rsid w:val="00BA338C"/>
    <w:rsid w:val="00BA5823"/>
    <w:rsid w:val="00BB2A3E"/>
    <w:rsid w:val="00BB5882"/>
    <w:rsid w:val="00BC1CA3"/>
    <w:rsid w:val="00BC2F28"/>
    <w:rsid w:val="00BC7ED1"/>
    <w:rsid w:val="00BD4AF6"/>
    <w:rsid w:val="00BD5DC9"/>
    <w:rsid w:val="00BD75E9"/>
    <w:rsid w:val="00BD79C8"/>
    <w:rsid w:val="00BE7356"/>
    <w:rsid w:val="00BF14CE"/>
    <w:rsid w:val="00C003DB"/>
    <w:rsid w:val="00C01B6F"/>
    <w:rsid w:val="00C1045C"/>
    <w:rsid w:val="00C13A8B"/>
    <w:rsid w:val="00C14944"/>
    <w:rsid w:val="00C1618C"/>
    <w:rsid w:val="00C16307"/>
    <w:rsid w:val="00C23F4E"/>
    <w:rsid w:val="00C26CFD"/>
    <w:rsid w:val="00C271DD"/>
    <w:rsid w:val="00C346D6"/>
    <w:rsid w:val="00C35532"/>
    <w:rsid w:val="00C37611"/>
    <w:rsid w:val="00C376B0"/>
    <w:rsid w:val="00C565F8"/>
    <w:rsid w:val="00C57977"/>
    <w:rsid w:val="00C611A7"/>
    <w:rsid w:val="00C62966"/>
    <w:rsid w:val="00C7266C"/>
    <w:rsid w:val="00C72BDC"/>
    <w:rsid w:val="00C82323"/>
    <w:rsid w:val="00C8540A"/>
    <w:rsid w:val="00C931F1"/>
    <w:rsid w:val="00C93482"/>
    <w:rsid w:val="00C95B5B"/>
    <w:rsid w:val="00CA5DA5"/>
    <w:rsid w:val="00CB0D5A"/>
    <w:rsid w:val="00CB1128"/>
    <w:rsid w:val="00CB5896"/>
    <w:rsid w:val="00CC3B54"/>
    <w:rsid w:val="00CD3C3E"/>
    <w:rsid w:val="00CD70B0"/>
    <w:rsid w:val="00CE0103"/>
    <w:rsid w:val="00CE355B"/>
    <w:rsid w:val="00CE4421"/>
    <w:rsid w:val="00CF0456"/>
    <w:rsid w:val="00CF3400"/>
    <w:rsid w:val="00CF55AA"/>
    <w:rsid w:val="00D0029F"/>
    <w:rsid w:val="00D06E72"/>
    <w:rsid w:val="00D15122"/>
    <w:rsid w:val="00D174D6"/>
    <w:rsid w:val="00D175F0"/>
    <w:rsid w:val="00D22598"/>
    <w:rsid w:val="00D26F07"/>
    <w:rsid w:val="00D27622"/>
    <w:rsid w:val="00D3025E"/>
    <w:rsid w:val="00D310DD"/>
    <w:rsid w:val="00D315C5"/>
    <w:rsid w:val="00D34E50"/>
    <w:rsid w:val="00D403F5"/>
    <w:rsid w:val="00D405A3"/>
    <w:rsid w:val="00D43CC9"/>
    <w:rsid w:val="00D51D3F"/>
    <w:rsid w:val="00D5430E"/>
    <w:rsid w:val="00D56F32"/>
    <w:rsid w:val="00D57F19"/>
    <w:rsid w:val="00D73B1E"/>
    <w:rsid w:val="00D75E1F"/>
    <w:rsid w:val="00D80F46"/>
    <w:rsid w:val="00D81D4C"/>
    <w:rsid w:val="00D823A9"/>
    <w:rsid w:val="00D82AD5"/>
    <w:rsid w:val="00D910F2"/>
    <w:rsid w:val="00D9466B"/>
    <w:rsid w:val="00D96B10"/>
    <w:rsid w:val="00DA18FD"/>
    <w:rsid w:val="00DA1AF8"/>
    <w:rsid w:val="00DA1C1F"/>
    <w:rsid w:val="00DA3C26"/>
    <w:rsid w:val="00DA45D0"/>
    <w:rsid w:val="00DA5DC0"/>
    <w:rsid w:val="00DB0A38"/>
    <w:rsid w:val="00DB2AF1"/>
    <w:rsid w:val="00DB49F8"/>
    <w:rsid w:val="00DC1FFC"/>
    <w:rsid w:val="00DC4ACF"/>
    <w:rsid w:val="00DC6005"/>
    <w:rsid w:val="00DD29CD"/>
    <w:rsid w:val="00DD5838"/>
    <w:rsid w:val="00DE4CE0"/>
    <w:rsid w:val="00DF5A98"/>
    <w:rsid w:val="00DF7F52"/>
    <w:rsid w:val="00E17EAD"/>
    <w:rsid w:val="00E205AE"/>
    <w:rsid w:val="00E22526"/>
    <w:rsid w:val="00E230FF"/>
    <w:rsid w:val="00E34DAF"/>
    <w:rsid w:val="00E43989"/>
    <w:rsid w:val="00E56B1E"/>
    <w:rsid w:val="00E670D6"/>
    <w:rsid w:val="00E758CD"/>
    <w:rsid w:val="00E80F34"/>
    <w:rsid w:val="00E81E4D"/>
    <w:rsid w:val="00E92CD3"/>
    <w:rsid w:val="00E94CFB"/>
    <w:rsid w:val="00EA02A9"/>
    <w:rsid w:val="00EA40F3"/>
    <w:rsid w:val="00EA6B7E"/>
    <w:rsid w:val="00EB578B"/>
    <w:rsid w:val="00ED0108"/>
    <w:rsid w:val="00ED54F0"/>
    <w:rsid w:val="00EE6A11"/>
    <w:rsid w:val="00EF124F"/>
    <w:rsid w:val="00EF6FB5"/>
    <w:rsid w:val="00EF7CA5"/>
    <w:rsid w:val="00F02247"/>
    <w:rsid w:val="00F04E72"/>
    <w:rsid w:val="00F0540B"/>
    <w:rsid w:val="00F05D46"/>
    <w:rsid w:val="00F06A8C"/>
    <w:rsid w:val="00F1259F"/>
    <w:rsid w:val="00F15B6A"/>
    <w:rsid w:val="00F16E21"/>
    <w:rsid w:val="00F17C15"/>
    <w:rsid w:val="00F208A7"/>
    <w:rsid w:val="00F20A41"/>
    <w:rsid w:val="00F228FD"/>
    <w:rsid w:val="00F250EC"/>
    <w:rsid w:val="00F25A8B"/>
    <w:rsid w:val="00F26ECB"/>
    <w:rsid w:val="00F31125"/>
    <w:rsid w:val="00F36F79"/>
    <w:rsid w:val="00F6700F"/>
    <w:rsid w:val="00F70439"/>
    <w:rsid w:val="00F706C2"/>
    <w:rsid w:val="00F7094C"/>
    <w:rsid w:val="00F71CC3"/>
    <w:rsid w:val="00F746E4"/>
    <w:rsid w:val="00F77100"/>
    <w:rsid w:val="00F930C4"/>
    <w:rsid w:val="00F94218"/>
    <w:rsid w:val="00F9645D"/>
    <w:rsid w:val="00FA2D37"/>
    <w:rsid w:val="00FA5260"/>
    <w:rsid w:val="00FA5A21"/>
    <w:rsid w:val="00FB4929"/>
    <w:rsid w:val="00FB5B8B"/>
    <w:rsid w:val="00FB6FBC"/>
    <w:rsid w:val="00FC083C"/>
    <w:rsid w:val="00FC47F2"/>
    <w:rsid w:val="00FC4AEA"/>
    <w:rsid w:val="00FC5920"/>
    <w:rsid w:val="00FD2EE7"/>
    <w:rsid w:val="00FD4BD4"/>
    <w:rsid w:val="00FD6E92"/>
    <w:rsid w:val="00FE7404"/>
    <w:rsid w:val="00FF0220"/>
    <w:rsid w:val="00FF5A8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metricconverter"/>
  <w:shapeDefaults>
    <o:shapedefaults v:ext="edit" spidmax="4193"/>
    <o:shapelayout v:ext="edit">
      <o:idmap v:ext="edit" data="1"/>
    </o:shapelayout>
  </w:shapeDefaults>
  <w:decimalSymbol w:val="."/>
  <w:listSeparator w:val=","/>
  <w14:docId w14:val="108B871C"/>
  <w15:docId w15:val="{86A4D5AB-FA07-4995-BE26-313585B2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34"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5280E"/>
  </w:style>
  <w:style w:type="paragraph" w:styleId="1">
    <w:name w:val="heading 1"/>
    <w:basedOn w:val="a0"/>
    <w:next w:val="a0"/>
    <w:link w:val="10"/>
    <w:uiPriority w:val="9"/>
    <w:qFormat/>
    <w:rsid w:val="007B3D5C"/>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8C1658"/>
    <w:pPr>
      <w:tabs>
        <w:tab w:val="num" w:pos="360"/>
      </w:tabs>
      <w:spacing w:after="240" w:line="240" w:lineRule="auto"/>
      <w:ind w:left="850" w:hanging="425"/>
      <w:outlineLvl w:val="1"/>
    </w:pPr>
    <w:rPr>
      <w:rFonts w:ascii="Ottawa" w:eastAsia="Times New Roman" w:hAnsi="Ottawa" w:cs="Times New Roman"/>
      <w:b/>
      <w:bCs/>
      <w:iCs/>
      <w:sz w:val="21"/>
      <w:szCs w:val="28"/>
    </w:rPr>
  </w:style>
  <w:style w:type="paragraph" w:styleId="3">
    <w:name w:val="heading 3"/>
    <w:basedOn w:val="a0"/>
    <w:next w:val="a0"/>
    <w:link w:val="30"/>
    <w:uiPriority w:val="9"/>
    <w:unhideWhenUsed/>
    <w:qFormat/>
    <w:rsid w:val="007B3D5C"/>
    <w:pPr>
      <w:keepNext/>
      <w:keepLines/>
      <w:spacing w:before="40" w:after="0" w:line="240" w:lineRule="auto"/>
      <w:ind w:left="720" w:hanging="432"/>
      <w:outlineLvl w:val="2"/>
    </w:pPr>
    <w:rPr>
      <w:rFonts w:asciiTheme="majorHAnsi" w:eastAsiaTheme="majorEastAsia" w:hAnsiTheme="majorHAnsi" w:cstheme="majorBidi"/>
      <w:color w:val="1F3763" w:themeColor="accent1" w:themeShade="7F"/>
      <w:sz w:val="24"/>
      <w:szCs w:val="24"/>
    </w:rPr>
  </w:style>
  <w:style w:type="paragraph" w:styleId="40">
    <w:name w:val="heading 4"/>
    <w:basedOn w:val="a0"/>
    <w:next w:val="a0"/>
    <w:link w:val="41"/>
    <w:unhideWhenUsed/>
    <w:qFormat/>
    <w:rsid w:val="007B3D5C"/>
    <w:pPr>
      <w:keepNext/>
      <w:keepLines/>
      <w:spacing w:before="40" w:after="0" w:line="240" w:lineRule="auto"/>
      <w:ind w:left="864" w:hanging="144"/>
      <w:outlineLvl w:val="3"/>
    </w:pPr>
    <w:rPr>
      <w:rFonts w:asciiTheme="majorHAnsi" w:eastAsiaTheme="majorEastAsia" w:hAnsiTheme="majorHAnsi" w:cstheme="majorBidi"/>
      <w:i/>
      <w:iCs/>
      <w:color w:val="2F5496" w:themeColor="accent1" w:themeShade="BF"/>
      <w:sz w:val="24"/>
      <w:szCs w:val="24"/>
    </w:rPr>
  </w:style>
  <w:style w:type="paragraph" w:styleId="5">
    <w:name w:val="heading 5"/>
    <w:basedOn w:val="a0"/>
    <w:next w:val="a0"/>
    <w:link w:val="50"/>
    <w:unhideWhenUsed/>
    <w:qFormat/>
    <w:rsid w:val="007B3D5C"/>
    <w:pPr>
      <w:keepNext/>
      <w:keepLines/>
      <w:spacing w:before="40" w:after="0" w:line="240" w:lineRule="auto"/>
      <w:ind w:left="1008" w:hanging="432"/>
      <w:outlineLvl w:val="4"/>
    </w:pPr>
    <w:rPr>
      <w:rFonts w:asciiTheme="majorHAnsi" w:eastAsiaTheme="majorEastAsia" w:hAnsiTheme="majorHAnsi" w:cstheme="majorBidi"/>
      <w:color w:val="2F5496" w:themeColor="accent1" w:themeShade="BF"/>
      <w:sz w:val="24"/>
      <w:szCs w:val="24"/>
    </w:rPr>
  </w:style>
  <w:style w:type="paragraph" w:styleId="6">
    <w:name w:val="heading 6"/>
    <w:basedOn w:val="a0"/>
    <w:next w:val="a0"/>
    <w:link w:val="60"/>
    <w:qFormat/>
    <w:rsid w:val="007B3D5C"/>
    <w:pPr>
      <w:keepNext/>
      <w:keepLines/>
      <w:spacing w:before="40" w:after="0" w:line="240" w:lineRule="auto"/>
      <w:ind w:left="1152" w:hanging="432"/>
      <w:outlineLvl w:val="5"/>
    </w:pPr>
    <w:rPr>
      <w:rFonts w:asciiTheme="majorHAnsi" w:eastAsiaTheme="majorEastAsia" w:hAnsiTheme="majorHAnsi" w:cstheme="majorBidi"/>
      <w:color w:val="1F3763" w:themeColor="accent1" w:themeShade="7F"/>
      <w:sz w:val="24"/>
      <w:szCs w:val="24"/>
    </w:rPr>
  </w:style>
  <w:style w:type="paragraph" w:styleId="7">
    <w:name w:val="heading 7"/>
    <w:basedOn w:val="a0"/>
    <w:next w:val="a0"/>
    <w:link w:val="70"/>
    <w:qFormat/>
    <w:rsid w:val="007B3D5C"/>
    <w:pPr>
      <w:keepNext/>
      <w:keepLines/>
      <w:spacing w:before="40" w:after="0" w:line="240" w:lineRule="auto"/>
      <w:ind w:left="1296" w:hanging="288"/>
      <w:outlineLvl w:val="6"/>
    </w:pPr>
    <w:rPr>
      <w:rFonts w:asciiTheme="majorHAnsi" w:eastAsiaTheme="majorEastAsia" w:hAnsiTheme="majorHAnsi" w:cstheme="majorBidi"/>
      <w:i/>
      <w:iCs/>
      <w:color w:val="1F3763" w:themeColor="accent1" w:themeShade="7F"/>
      <w:sz w:val="24"/>
      <w:szCs w:val="24"/>
    </w:rPr>
  </w:style>
  <w:style w:type="paragraph" w:styleId="8">
    <w:name w:val="heading 8"/>
    <w:aliases w:val="figure"/>
    <w:basedOn w:val="a0"/>
    <w:next w:val="a0"/>
    <w:link w:val="80"/>
    <w:qFormat/>
    <w:rsid w:val="007B3D5C"/>
    <w:pPr>
      <w:keepNext/>
      <w:keepLines/>
      <w:spacing w:before="40" w:after="0" w:line="240" w:lineRule="auto"/>
      <w:ind w:left="1440" w:hanging="432"/>
      <w:outlineLvl w:val="7"/>
    </w:pPr>
    <w:rPr>
      <w:rFonts w:asciiTheme="majorHAnsi" w:eastAsiaTheme="majorEastAsia" w:hAnsiTheme="majorHAnsi" w:cstheme="majorBidi"/>
      <w:color w:val="272727" w:themeColor="text1" w:themeTint="D8"/>
      <w:sz w:val="21"/>
      <w:szCs w:val="21"/>
    </w:rPr>
  </w:style>
  <w:style w:type="paragraph" w:styleId="9">
    <w:name w:val="heading 9"/>
    <w:aliases w:val="table"/>
    <w:basedOn w:val="a0"/>
    <w:next w:val="a0"/>
    <w:link w:val="90"/>
    <w:qFormat/>
    <w:rsid w:val="007B3D5C"/>
    <w:pPr>
      <w:keepNext/>
      <w:keepLines/>
      <w:spacing w:before="40" w:after="0" w:line="240" w:lineRule="auto"/>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CD3C3E"/>
    <w:pPr>
      <w:ind w:left="720"/>
      <w:contextualSpacing/>
    </w:pPr>
  </w:style>
  <w:style w:type="paragraph" w:styleId="a6">
    <w:name w:val="header"/>
    <w:aliases w:val="Header Char1 Char,Header Char Char Char, Car Char Char Char, Car Car Char Char Char, Car Car Car Char Char Char, Car Car Car Car Car Char Char Char Car,Heading 1 Char Car1, Car Char17 Car1,Car Char Char Char,Car Char17 Car1, C, Car,En-tête1"/>
    <w:basedOn w:val="a0"/>
    <w:link w:val="a7"/>
    <w:uiPriority w:val="99"/>
    <w:unhideWhenUsed/>
    <w:rsid w:val="00CD3C3E"/>
    <w:pPr>
      <w:tabs>
        <w:tab w:val="center" w:pos="4513"/>
        <w:tab w:val="right" w:pos="9026"/>
      </w:tabs>
      <w:spacing w:after="0" w:line="240" w:lineRule="auto"/>
    </w:pPr>
  </w:style>
  <w:style w:type="character" w:customStyle="1" w:styleId="a7">
    <w:name w:val="頁首 字元"/>
    <w:aliases w:val="Header Char1 Char 字元,Header Char Char Char 字元, Car Char Char Char 字元, Car Car Char Char Char 字元, Car Car Car Char Char Char 字元, Car Car Car Car Car Char Char Char Car 字元,Heading 1 Char Car1 字元, Car Char17 Car1 字元,Car Char Char Char 字元, C 字元"/>
    <w:basedOn w:val="a1"/>
    <w:link w:val="a6"/>
    <w:uiPriority w:val="99"/>
    <w:rsid w:val="00CD3C3E"/>
  </w:style>
  <w:style w:type="paragraph" w:styleId="a8">
    <w:name w:val="footer"/>
    <w:aliases w:val=" Car Car Car Car Car, Car Car Car Car,Car Car Car Car Car,Car Car Car Car"/>
    <w:basedOn w:val="a0"/>
    <w:link w:val="a9"/>
    <w:uiPriority w:val="99"/>
    <w:unhideWhenUsed/>
    <w:rsid w:val="00CD3C3E"/>
    <w:pPr>
      <w:tabs>
        <w:tab w:val="center" w:pos="4513"/>
        <w:tab w:val="right" w:pos="9026"/>
      </w:tabs>
      <w:spacing w:after="0" w:line="240" w:lineRule="auto"/>
    </w:pPr>
  </w:style>
  <w:style w:type="character" w:customStyle="1" w:styleId="a9">
    <w:name w:val="頁尾 字元"/>
    <w:aliases w:val=" Car Car Car Car Car 字元, Car Car Car Car 字元,Car Car Car Car Car 字元,Car Car Car Car 字元"/>
    <w:basedOn w:val="a1"/>
    <w:link w:val="a8"/>
    <w:uiPriority w:val="99"/>
    <w:rsid w:val="00CD3C3E"/>
  </w:style>
  <w:style w:type="character" w:styleId="aa">
    <w:name w:val="Hyperlink"/>
    <w:basedOn w:val="a1"/>
    <w:uiPriority w:val="99"/>
    <w:unhideWhenUsed/>
    <w:rsid w:val="00DA3C26"/>
    <w:rPr>
      <w:color w:val="0563C1" w:themeColor="hyperlink"/>
      <w:u w:val="single"/>
    </w:rPr>
  </w:style>
  <w:style w:type="character" w:customStyle="1" w:styleId="UnresolvedMention1">
    <w:name w:val="Unresolved Mention1"/>
    <w:basedOn w:val="a1"/>
    <w:uiPriority w:val="99"/>
    <w:semiHidden/>
    <w:unhideWhenUsed/>
    <w:rsid w:val="00DA3C26"/>
    <w:rPr>
      <w:color w:val="605E5C"/>
      <w:shd w:val="clear" w:color="auto" w:fill="E1DFDD"/>
    </w:rPr>
  </w:style>
  <w:style w:type="paragraph" w:styleId="Web">
    <w:name w:val="Normal (Web)"/>
    <w:aliases w:val=" webb,webb"/>
    <w:basedOn w:val="a0"/>
    <w:uiPriority w:val="34"/>
    <w:unhideWhenUsed/>
    <w:rsid w:val="006C62A1"/>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pBase">
    <w:name w:val="p_Base"/>
    <w:next w:val="a0"/>
    <w:rsid w:val="006C62A1"/>
    <w:pPr>
      <w:pBdr>
        <w:top w:val="nil"/>
        <w:left w:val="nil"/>
        <w:bottom w:val="nil"/>
        <w:right w:val="nil"/>
        <w:between w:val="nil"/>
        <w:bar w:val="nil"/>
      </w:pBdr>
      <w:spacing w:after="240" w:line="200" w:lineRule="atLeast"/>
      <w:ind w:left="425" w:hanging="425"/>
      <w:jc w:val="both"/>
    </w:pPr>
    <w:rPr>
      <w:rFonts w:ascii="Arial" w:eastAsia="Arial Unicode MS" w:hAnsi="Arial Unicode MS" w:cs="Arial Unicode MS"/>
      <w:b/>
      <w:bCs/>
      <w:color w:val="000000"/>
      <w:sz w:val="20"/>
      <w:szCs w:val="20"/>
      <w:u w:color="000000"/>
      <w:bdr w:val="nil"/>
      <w:lang w:val="en-US" w:eastAsia="en-GB"/>
    </w:rPr>
  </w:style>
  <w:style w:type="paragraph" w:customStyle="1" w:styleId="para2">
    <w:name w:val="para 2."/>
    <w:link w:val="para2Car"/>
    <w:qFormat/>
    <w:rsid w:val="006C62A1"/>
    <w:pPr>
      <w:pBdr>
        <w:top w:val="nil"/>
        <w:left w:val="nil"/>
        <w:bottom w:val="nil"/>
        <w:right w:val="nil"/>
        <w:between w:val="nil"/>
        <w:bar w:val="nil"/>
      </w:pBdr>
      <w:spacing w:after="240" w:line="240" w:lineRule="auto"/>
      <w:ind w:left="992" w:hanging="567"/>
      <w:jc w:val="both"/>
    </w:pPr>
    <w:rPr>
      <w:rFonts w:ascii="Arial" w:eastAsia="Arial Unicode MS" w:hAnsi="Arial Unicode MS" w:cs="Arial Unicode MS"/>
      <w:b/>
      <w:bCs/>
      <w:color w:val="000000"/>
      <w:sz w:val="18"/>
      <w:szCs w:val="18"/>
      <w:u w:color="000000"/>
      <w:bdr w:val="nil"/>
      <w:lang w:val="en-US" w:eastAsia="en-GB"/>
    </w:rPr>
  </w:style>
  <w:style w:type="character" w:customStyle="1" w:styleId="para2Car">
    <w:name w:val="para 2. Car"/>
    <w:link w:val="para2"/>
    <w:rsid w:val="006C62A1"/>
    <w:rPr>
      <w:rFonts w:ascii="Arial" w:eastAsia="Arial Unicode MS" w:hAnsi="Arial Unicode MS" w:cs="Arial Unicode MS"/>
      <w:b/>
      <w:bCs/>
      <w:color w:val="000000"/>
      <w:sz w:val="18"/>
      <w:szCs w:val="18"/>
      <w:u w:color="000000"/>
      <w:bdr w:val="nil"/>
      <w:lang w:val="en-US" w:eastAsia="en-GB"/>
    </w:rPr>
  </w:style>
  <w:style w:type="paragraph" w:styleId="ab">
    <w:name w:val="Balloon Text"/>
    <w:basedOn w:val="a0"/>
    <w:link w:val="ac"/>
    <w:uiPriority w:val="99"/>
    <w:unhideWhenUsed/>
    <w:rsid w:val="00C003DB"/>
    <w:pPr>
      <w:spacing w:after="0" w:line="240" w:lineRule="auto"/>
    </w:pPr>
    <w:rPr>
      <w:rFonts w:ascii="Segoe UI" w:hAnsi="Segoe UI" w:cs="Segoe UI"/>
      <w:sz w:val="18"/>
      <w:szCs w:val="18"/>
    </w:rPr>
  </w:style>
  <w:style w:type="character" w:customStyle="1" w:styleId="ac">
    <w:name w:val="註解方塊文字 字元"/>
    <w:basedOn w:val="a1"/>
    <w:link w:val="ab"/>
    <w:uiPriority w:val="99"/>
    <w:rsid w:val="00C003DB"/>
    <w:rPr>
      <w:rFonts w:ascii="Segoe UI" w:hAnsi="Segoe UI" w:cs="Segoe UI"/>
      <w:sz w:val="18"/>
      <w:szCs w:val="18"/>
    </w:rPr>
  </w:style>
  <w:style w:type="paragraph" w:customStyle="1" w:styleId="Default">
    <w:name w:val="Default"/>
    <w:rsid w:val="00484582"/>
    <w:pPr>
      <w:autoSpaceDE w:val="0"/>
      <w:autoSpaceDN w:val="0"/>
      <w:adjustRightInd w:val="0"/>
      <w:spacing w:after="0" w:line="240" w:lineRule="auto"/>
    </w:pPr>
    <w:rPr>
      <w:rFonts w:ascii="Arial" w:eastAsia="Calibri" w:hAnsi="Arial" w:cs="Arial"/>
      <w:color w:val="000000"/>
      <w:sz w:val="24"/>
      <w:szCs w:val="24"/>
      <w:lang w:val="en-AU"/>
    </w:rPr>
  </w:style>
  <w:style w:type="character" w:styleId="ad">
    <w:name w:val="annotation reference"/>
    <w:basedOn w:val="a1"/>
    <w:uiPriority w:val="99"/>
    <w:unhideWhenUsed/>
    <w:rsid w:val="00121B8E"/>
    <w:rPr>
      <w:sz w:val="16"/>
      <w:szCs w:val="16"/>
    </w:rPr>
  </w:style>
  <w:style w:type="paragraph" w:styleId="ae">
    <w:name w:val="annotation text"/>
    <w:basedOn w:val="a0"/>
    <w:link w:val="af"/>
    <w:uiPriority w:val="99"/>
    <w:unhideWhenUsed/>
    <w:rsid w:val="00121B8E"/>
    <w:pPr>
      <w:spacing w:line="240" w:lineRule="auto"/>
    </w:pPr>
    <w:rPr>
      <w:sz w:val="20"/>
      <w:szCs w:val="20"/>
    </w:rPr>
  </w:style>
  <w:style w:type="character" w:customStyle="1" w:styleId="af">
    <w:name w:val="註解文字 字元"/>
    <w:basedOn w:val="a1"/>
    <w:link w:val="ae"/>
    <w:uiPriority w:val="99"/>
    <w:rsid w:val="00121B8E"/>
    <w:rPr>
      <w:sz w:val="20"/>
      <w:szCs w:val="20"/>
    </w:rPr>
  </w:style>
  <w:style w:type="paragraph" w:styleId="af0">
    <w:name w:val="annotation subject"/>
    <w:basedOn w:val="ae"/>
    <w:next w:val="ae"/>
    <w:link w:val="af1"/>
    <w:uiPriority w:val="99"/>
    <w:unhideWhenUsed/>
    <w:rsid w:val="00121B8E"/>
    <w:rPr>
      <w:b/>
      <w:bCs/>
    </w:rPr>
  </w:style>
  <w:style w:type="character" w:customStyle="1" w:styleId="af1">
    <w:name w:val="註解主旨 字元"/>
    <w:basedOn w:val="af"/>
    <w:link w:val="af0"/>
    <w:uiPriority w:val="99"/>
    <w:rsid w:val="00121B8E"/>
    <w:rPr>
      <w:b/>
      <w:bCs/>
      <w:sz w:val="20"/>
      <w:szCs w:val="20"/>
    </w:rPr>
  </w:style>
  <w:style w:type="paragraph" w:customStyle="1" w:styleId="para11">
    <w:name w:val="para 1.1."/>
    <w:basedOn w:val="a0"/>
    <w:link w:val="para11Car"/>
    <w:uiPriority w:val="99"/>
    <w:rsid w:val="00C01B6F"/>
    <w:pPr>
      <w:spacing w:after="240" w:line="240" w:lineRule="auto"/>
      <w:ind w:left="709"/>
      <w:jc w:val="both"/>
    </w:pPr>
    <w:rPr>
      <w:rFonts w:ascii="Times New Roman" w:eastAsia="MS Mincho" w:hAnsi="Times New Roman" w:cs="Times New Roman"/>
      <w:sz w:val="20"/>
      <w:szCs w:val="20"/>
      <w:lang w:eastAsia="da-DK"/>
    </w:rPr>
  </w:style>
  <w:style w:type="character" w:customStyle="1" w:styleId="para11Car">
    <w:name w:val="para 1.1. Car"/>
    <w:link w:val="para11"/>
    <w:uiPriority w:val="99"/>
    <w:locked/>
    <w:rsid w:val="00C01B6F"/>
    <w:rPr>
      <w:rFonts w:ascii="Times New Roman" w:eastAsia="MS Mincho" w:hAnsi="Times New Roman" w:cs="Times New Roman"/>
      <w:sz w:val="20"/>
      <w:szCs w:val="20"/>
      <w:lang w:eastAsia="da-DK"/>
    </w:rPr>
  </w:style>
  <w:style w:type="table" w:customStyle="1" w:styleId="GridTable4-Accent11">
    <w:name w:val="Grid Table 4 - Accent 11"/>
    <w:basedOn w:val="a2"/>
    <w:uiPriority w:val="49"/>
    <w:rsid w:val="001E18EE"/>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20">
    <w:name w:val="標題 2 字元"/>
    <w:basedOn w:val="a1"/>
    <w:link w:val="2"/>
    <w:uiPriority w:val="9"/>
    <w:rsid w:val="008C1658"/>
    <w:rPr>
      <w:rFonts w:ascii="Ottawa" w:eastAsia="Times New Roman" w:hAnsi="Ottawa" w:cs="Times New Roman"/>
      <w:b/>
      <w:bCs/>
      <w:iCs/>
      <w:sz w:val="21"/>
      <w:szCs w:val="28"/>
    </w:rPr>
  </w:style>
  <w:style w:type="paragraph" w:customStyle="1" w:styleId="bodytext">
    <w:name w:val="bodytext"/>
    <w:basedOn w:val="a0"/>
    <w:rsid w:val="008C1658"/>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table" w:styleId="af2">
    <w:name w:val="Table Grid"/>
    <w:basedOn w:val="a2"/>
    <w:uiPriority w:val="59"/>
    <w:rsid w:val="00003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清單段落 字元"/>
    <w:basedOn w:val="a1"/>
    <w:link w:val="a4"/>
    <w:uiPriority w:val="34"/>
    <w:rsid w:val="00D910F2"/>
  </w:style>
  <w:style w:type="paragraph" w:customStyle="1" w:styleId="Style2heading">
    <w:name w:val="Style2 heading"/>
    <w:basedOn w:val="a0"/>
    <w:link w:val="Style2headingChar"/>
    <w:qFormat/>
    <w:rsid w:val="00FF5A86"/>
    <w:pPr>
      <w:tabs>
        <w:tab w:val="left" w:pos="567"/>
      </w:tabs>
      <w:spacing w:after="240" w:line="240" w:lineRule="auto"/>
      <w:ind w:left="720"/>
    </w:pPr>
    <w:rPr>
      <w:rFonts w:ascii="Times New Roman" w:eastAsia="Times New Roman" w:hAnsi="Times New Roman" w:cs="Times New Roman"/>
      <w:b/>
      <w:sz w:val="20"/>
      <w:szCs w:val="20"/>
      <w:lang w:val="x-none" w:eastAsia="fr-FR"/>
    </w:rPr>
  </w:style>
  <w:style w:type="character" w:customStyle="1" w:styleId="Style2headingChar">
    <w:name w:val="Style2 heading Char"/>
    <w:link w:val="Style2heading"/>
    <w:rsid w:val="00FF5A86"/>
    <w:rPr>
      <w:rFonts w:ascii="Times New Roman" w:eastAsia="Times New Roman" w:hAnsi="Times New Roman" w:cs="Times New Roman"/>
      <w:b/>
      <w:sz w:val="20"/>
      <w:szCs w:val="20"/>
      <w:lang w:val="x-none" w:eastAsia="fr-FR"/>
    </w:rPr>
  </w:style>
  <w:style w:type="character" w:customStyle="1" w:styleId="UnresolvedMention2">
    <w:name w:val="Unresolved Mention2"/>
    <w:basedOn w:val="a1"/>
    <w:uiPriority w:val="99"/>
    <w:semiHidden/>
    <w:unhideWhenUsed/>
    <w:rsid w:val="00F25A8B"/>
    <w:rPr>
      <w:color w:val="605E5C"/>
      <w:shd w:val="clear" w:color="auto" w:fill="E1DFDD"/>
    </w:rPr>
  </w:style>
  <w:style w:type="character" w:styleId="af3">
    <w:name w:val="FollowedHyperlink"/>
    <w:basedOn w:val="a1"/>
    <w:uiPriority w:val="99"/>
    <w:unhideWhenUsed/>
    <w:rsid w:val="00355AF2"/>
    <w:rPr>
      <w:color w:val="954F72" w:themeColor="followedHyperlink"/>
      <w:u w:val="single"/>
    </w:rPr>
  </w:style>
  <w:style w:type="character" w:customStyle="1" w:styleId="UnresolvedMention3">
    <w:name w:val="Unresolved Mention3"/>
    <w:basedOn w:val="a1"/>
    <w:uiPriority w:val="99"/>
    <w:semiHidden/>
    <w:unhideWhenUsed/>
    <w:rsid w:val="00191F08"/>
    <w:rPr>
      <w:color w:val="605E5C"/>
      <w:shd w:val="clear" w:color="auto" w:fill="E1DFDD"/>
    </w:rPr>
  </w:style>
  <w:style w:type="paragraph" w:customStyle="1" w:styleId="para110">
    <w:name w:val="para1.1."/>
    <w:basedOn w:val="a0"/>
    <w:rsid w:val="00BD79C8"/>
    <w:pPr>
      <w:spacing w:after="240" w:line="240" w:lineRule="auto"/>
      <w:ind w:left="851"/>
      <w:jc w:val="both"/>
    </w:pPr>
    <w:rPr>
      <w:rFonts w:ascii="Times New Roman" w:eastAsia="Times New Roman" w:hAnsi="Times New Roman" w:cs="Times New Roman"/>
      <w:bCs/>
      <w:sz w:val="20"/>
      <w:szCs w:val="20"/>
      <w:lang w:val="en-US" w:eastAsia="fr-FR"/>
    </w:rPr>
  </w:style>
  <w:style w:type="paragraph" w:customStyle="1" w:styleId="11">
    <w:name w:val="1.1."/>
    <w:basedOn w:val="a0"/>
    <w:rsid w:val="00BD79C8"/>
    <w:pPr>
      <w:spacing w:after="240" w:line="240" w:lineRule="auto"/>
      <w:ind w:left="709" w:hanging="425"/>
      <w:jc w:val="both"/>
    </w:pPr>
    <w:rPr>
      <w:rFonts w:ascii="Times New Roman" w:eastAsia="MS Mincho" w:hAnsi="Times New Roman" w:cs="Times New Roman"/>
      <w:b/>
      <w:sz w:val="20"/>
      <w:szCs w:val="20"/>
      <w:lang w:val="da-DK" w:eastAsia="da-DK"/>
    </w:rPr>
  </w:style>
  <w:style w:type="paragraph" w:styleId="af4">
    <w:name w:val="footnote text"/>
    <w:basedOn w:val="a0"/>
    <w:link w:val="af5"/>
    <w:unhideWhenUsed/>
    <w:rsid w:val="00BD79C8"/>
    <w:pPr>
      <w:spacing w:after="0" w:line="240" w:lineRule="auto"/>
    </w:pPr>
    <w:rPr>
      <w:rFonts w:ascii="Times New Roman" w:eastAsia="Times New Roman" w:hAnsi="Times New Roman" w:cs="Times New Roman"/>
      <w:sz w:val="20"/>
      <w:szCs w:val="20"/>
    </w:rPr>
  </w:style>
  <w:style w:type="character" w:customStyle="1" w:styleId="af5">
    <w:name w:val="註腳文字 字元"/>
    <w:basedOn w:val="a1"/>
    <w:link w:val="af4"/>
    <w:rsid w:val="00BD79C8"/>
    <w:rPr>
      <w:rFonts w:ascii="Times New Roman" w:eastAsia="Times New Roman" w:hAnsi="Times New Roman" w:cs="Times New Roman"/>
      <w:sz w:val="20"/>
      <w:szCs w:val="20"/>
    </w:rPr>
  </w:style>
  <w:style w:type="character" w:styleId="af6">
    <w:name w:val="footnote reference"/>
    <w:basedOn w:val="a1"/>
    <w:unhideWhenUsed/>
    <w:rsid w:val="00BD79C8"/>
    <w:rPr>
      <w:vertAlign w:val="superscript"/>
    </w:rPr>
  </w:style>
  <w:style w:type="character" w:styleId="af7">
    <w:name w:val="Strong"/>
    <w:uiPriority w:val="22"/>
    <w:qFormat/>
    <w:rsid w:val="00BD79C8"/>
    <w:rPr>
      <w:b/>
      <w:bCs/>
    </w:rPr>
  </w:style>
  <w:style w:type="paragraph" w:styleId="af8">
    <w:name w:val="Revision"/>
    <w:hidden/>
    <w:uiPriority w:val="99"/>
    <w:semiHidden/>
    <w:rsid w:val="00D57F19"/>
    <w:pPr>
      <w:spacing w:after="0" w:line="240" w:lineRule="auto"/>
    </w:pPr>
  </w:style>
  <w:style w:type="character" w:customStyle="1" w:styleId="10">
    <w:name w:val="標題 1 字元"/>
    <w:basedOn w:val="a1"/>
    <w:link w:val="1"/>
    <w:uiPriority w:val="9"/>
    <w:rsid w:val="007B3D5C"/>
    <w:rPr>
      <w:rFonts w:asciiTheme="majorHAnsi" w:eastAsiaTheme="majorEastAsia" w:hAnsiTheme="majorHAnsi" w:cstheme="majorBidi"/>
      <w:color w:val="2F5496" w:themeColor="accent1" w:themeShade="BF"/>
      <w:sz w:val="32"/>
      <w:szCs w:val="32"/>
    </w:rPr>
  </w:style>
  <w:style w:type="character" w:customStyle="1" w:styleId="30">
    <w:name w:val="標題 3 字元"/>
    <w:basedOn w:val="a1"/>
    <w:link w:val="3"/>
    <w:uiPriority w:val="9"/>
    <w:rsid w:val="007B3D5C"/>
    <w:rPr>
      <w:rFonts w:asciiTheme="majorHAnsi" w:eastAsiaTheme="majorEastAsia" w:hAnsiTheme="majorHAnsi" w:cstheme="majorBidi"/>
      <w:color w:val="1F3763" w:themeColor="accent1" w:themeShade="7F"/>
      <w:sz w:val="24"/>
      <w:szCs w:val="24"/>
    </w:rPr>
  </w:style>
  <w:style w:type="character" w:customStyle="1" w:styleId="41">
    <w:name w:val="標題 4 字元"/>
    <w:basedOn w:val="a1"/>
    <w:link w:val="40"/>
    <w:rsid w:val="007B3D5C"/>
    <w:rPr>
      <w:rFonts w:asciiTheme="majorHAnsi" w:eastAsiaTheme="majorEastAsia" w:hAnsiTheme="majorHAnsi" w:cstheme="majorBidi"/>
      <w:i/>
      <w:iCs/>
      <w:color w:val="2F5496" w:themeColor="accent1" w:themeShade="BF"/>
      <w:sz w:val="24"/>
      <w:szCs w:val="24"/>
    </w:rPr>
  </w:style>
  <w:style w:type="character" w:customStyle="1" w:styleId="50">
    <w:name w:val="標題 5 字元"/>
    <w:basedOn w:val="a1"/>
    <w:link w:val="5"/>
    <w:rsid w:val="007B3D5C"/>
    <w:rPr>
      <w:rFonts w:asciiTheme="majorHAnsi" w:eastAsiaTheme="majorEastAsia" w:hAnsiTheme="majorHAnsi" w:cstheme="majorBidi"/>
      <w:color w:val="2F5496" w:themeColor="accent1" w:themeShade="BF"/>
      <w:sz w:val="24"/>
      <w:szCs w:val="24"/>
    </w:rPr>
  </w:style>
  <w:style w:type="character" w:customStyle="1" w:styleId="60">
    <w:name w:val="標題 6 字元"/>
    <w:basedOn w:val="a1"/>
    <w:link w:val="6"/>
    <w:rsid w:val="007B3D5C"/>
    <w:rPr>
      <w:rFonts w:asciiTheme="majorHAnsi" w:eastAsiaTheme="majorEastAsia" w:hAnsiTheme="majorHAnsi" w:cstheme="majorBidi"/>
      <w:color w:val="1F3763" w:themeColor="accent1" w:themeShade="7F"/>
      <w:sz w:val="24"/>
      <w:szCs w:val="24"/>
    </w:rPr>
  </w:style>
  <w:style w:type="character" w:customStyle="1" w:styleId="70">
    <w:name w:val="標題 7 字元"/>
    <w:basedOn w:val="a1"/>
    <w:link w:val="7"/>
    <w:rsid w:val="007B3D5C"/>
    <w:rPr>
      <w:rFonts w:asciiTheme="majorHAnsi" w:eastAsiaTheme="majorEastAsia" w:hAnsiTheme="majorHAnsi" w:cstheme="majorBidi"/>
      <w:i/>
      <w:iCs/>
      <w:color w:val="1F3763" w:themeColor="accent1" w:themeShade="7F"/>
      <w:sz w:val="24"/>
      <w:szCs w:val="24"/>
    </w:rPr>
  </w:style>
  <w:style w:type="character" w:customStyle="1" w:styleId="80">
    <w:name w:val="標題 8 字元"/>
    <w:aliases w:val="figure 字元"/>
    <w:basedOn w:val="a1"/>
    <w:link w:val="8"/>
    <w:rsid w:val="007B3D5C"/>
    <w:rPr>
      <w:rFonts w:asciiTheme="majorHAnsi" w:eastAsiaTheme="majorEastAsia" w:hAnsiTheme="majorHAnsi" w:cstheme="majorBidi"/>
      <w:color w:val="272727" w:themeColor="text1" w:themeTint="D8"/>
      <w:sz w:val="21"/>
      <w:szCs w:val="21"/>
    </w:rPr>
  </w:style>
  <w:style w:type="character" w:customStyle="1" w:styleId="90">
    <w:name w:val="標題 9 字元"/>
    <w:aliases w:val="table 字元"/>
    <w:basedOn w:val="a1"/>
    <w:link w:val="9"/>
    <w:rsid w:val="007B3D5C"/>
    <w:rPr>
      <w:rFonts w:asciiTheme="majorHAnsi" w:eastAsiaTheme="majorEastAsia" w:hAnsiTheme="majorHAnsi" w:cstheme="majorBidi"/>
      <w:i/>
      <w:iCs/>
      <w:color w:val="272727" w:themeColor="text1" w:themeTint="D8"/>
      <w:sz w:val="21"/>
      <w:szCs w:val="21"/>
    </w:rPr>
  </w:style>
  <w:style w:type="paragraph" w:customStyle="1" w:styleId="BodyA">
    <w:name w:val="Body A"/>
    <w:rsid w:val="007B3D5C"/>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styleId="af9">
    <w:name w:val="Plain Text"/>
    <w:basedOn w:val="a0"/>
    <w:link w:val="afa"/>
    <w:uiPriority w:val="99"/>
    <w:unhideWhenUsed/>
    <w:rsid w:val="007B3D5C"/>
    <w:pPr>
      <w:spacing w:after="0" w:line="240" w:lineRule="auto"/>
    </w:pPr>
    <w:rPr>
      <w:rFonts w:ascii="Calibri" w:eastAsia="Calibri" w:hAnsi="Calibri" w:cs="Consolas"/>
      <w:szCs w:val="21"/>
      <w:lang w:val="en-US"/>
    </w:rPr>
  </w:style>
  <w:style w:type="character" w:customStyle="1" w:styleId="afa">
    <w:name w:val="純文字 字元"/>
    <w:basedOn w:val="a1"/>
    <w:link w:val="af9"/>
    <w:uiPriority w:val="99"/>
    <w:rsid w:val="007B3D5C"/>
    <w:rPr>
      <w:rFonts w:ascii="Calibri" w:eastAsia="Calibri" w:hAnsi="Calibri" w:cs="Consolas"/>
      <w:szCs w:val="21"/>
      <w:lang w:val="en-US"/>
    </w:rPr>
  </w:style>
  <w:style w:type="character" w:customStyle="1" w:styleId="PlainTextChar">
    <w:name w:val="Plain Text Char"/>
    <w:basedOn w:val="a1"/>
    <w:uiPriority w:val="99"/>
    <w:semiHidden/>
    <w:rsid w:val="007B3D5C"/>
    <w:rPr>
      <w:rFonts w:ascii="Consolas" w:eastAsia="Times New Roman" w:hAnsi="Consolas" w:cs="Times New Roman"/>
      <w:sz w:val="21"/>
      <w:szCs w:val="21"/>
      <w:lang w:val="en-GB"/>
    </w:rPr>
  </w:style>
  <w:style w:type="paragraph" w:customStyle="1" w:styleId="Paranumro">
    <w:name w:val="Paranuméro"/>
    <w:basedOn w:val="a0"/>
    <w:link w:val="ParanumroCar1"/>
    <w:rsid w:val="007B3D5C"/>
    <w:pPr>
      <w:spacing w:after="240" w:line="240" w:lineRule="atLeast"/>
      <w:ind w:left="567"/>
      <w:jc w:val="both"/>
    </w:pPr>
    <w:rPr>
      <w:rFonts w:ascii="Century Schoolbook" w:eastAsia="Times New Roman" w:hAnsi="Century Schoolbook" w:cs="Times New Roman"/>
      <w:sz w:val="20"/>
      <w:szCs w:val="20"/>
    </w:rPr>
  </w:style>
  <w:style w:type="character" w:customStyle="1" w:styleId="ParanumroCar1">
    <w:name w:val="Paranuméro Car1"/>
    <w:link w:val="Paranumro"/>
    <w:rsid w:val="007B3D5C"/>
    <w:rPr>
      <w:rFonts w:ascii="Century Schoolbook" w:eastAsia="Times New Roman" w:hAnsi="Century Schoolbook" w:cs="Times New Roman"/>
      <w:sz w:val="20"/>
      <w:szCs w:val="20"/>
    </w:rPr>
  </w:style>
  <w:style w:type="paragraph" w:customStyle="1" w:styleId="style-standard-ouvrage">
    <w:name w:val="style-standard-ouvrage"/>
    <w:basedOn w:val="a0"/>
    <w:rsid w:val="007B3D5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erChar">
    <w:name w:val="Header Char"/>
    <w:basedOn w:val="a1"/>
    <w:uiPriority w:val="99"/>
    <w:rsid w:val="007B3D5C"/>
    <w:rPr>
      <w:rFonts w:ascii="Times New Roman" w:eastAsia="Times New Roman" w:hAnsi="Times New Roman" w:cs="Times New Roman"/>
      <w:sz w:val="24"/>
      <w:szCs w:val="24"/>
      <w:lang w:val="en-GB"/>
    </w:rPr>
  </w:style>
  <w:style w:type="paragraph" w:customStyle="1" w:styleId="12">
    <w:name w:val="1"/>
    <w:basedOn w:val="a0"/>
    <w:link w:val="1Car"/>
    <w:qFormat/>
    <w:rsid w:val="007B3D5C"/>
    <w:pPr>
      <w:widowControl w:val="0"/>
      <w:spacing w:after="240" w:line="240" w:lineRule="auto"/>
      <w:ind w:left="425" w:right="-6" w:hanging="425"/>
      <w:jc w:val="both"/>
    </w:pPr>
    <w:rPr>
      <w:rFonts w:ascii="Arial" w:eastAsia="Arial" w:hAnsi="Arial" w:cs="Arial"/>
      <w:sz w:val="18"/>
      <w:szCs w:val="18"/>
      <w:lang w:val="en-US"/>
    </w:rPr>
  </w:style>
  <w:style w:type="character" w:customStyle="1" w:styleId="1Car">
    <w:name w:val="1 Car"/>
    <w:link w:val="12"/>
    <w:rsid w:val="007B3D5C"/>
    <w:rPr>
      <w:rFonts w:ascii="Arial" w:eastAsia="Arial" w:hAnsi="Arial" w:cs="Arial"/>
      <w:sz w:val="18"/>
      <w:szCs w:val="18"/>
      <w:lang w:val="en-US"/>
    </w:rPr>
  </w:style>
  <w:style w:type="paragraph" w:customStyle="1" w:styleId="Corpstexte">
    <w:name w:val="Corps texte"/>
    <w:basedOn w:val="a0"/>
    <w:rsid w:val="007B3D5C"/>
    <w:pPr>
      <w:spacing w:before="240" w:after="0" w:line="240" w:lineRule="auto"/>
      <w:ind w:firstLine="567"/>
      <w:jc w:val="both"/>
    </w:pPr>
    <w:rPr>
      <w:rFonts w:ascii="Times New Roman" w:eastAsia="Times New Roman" w:hAnsi="Times New Roman" w:cs="Times New Roman"/>
      <w:sz w:val="24"/>
      <w:szCs w:val="24"/>
      <w:lang w:val="fr-FR" w:eastAsia="fr-FR"/>
    </w:rPr>
  </w:style>
  <w:style w:type="paragraph" w:customStyle="1" w:styleId="13">
    <w:name w:val="1."/>
    <w:basedOn w:val="a0"/>
    <w:link w:val="1Car0"/>
    <w:rsid w:val="007B3D5C"/>
    <w:pPr>
      <w:spacing w:after="240" w:line="240" w:lineRule="auto"/>
      <w:ind w:left="284" w:hanging="284"/>
      <w:jc w:val="both"/>
    </w:pPr>
    <w:rPr>
      <w:rFonts w:ascii="Times New Roman" w:eastAsia="MS Mincho" w:hAnsi="Times New Roman" w:cs="Arial"/>
      <w:b/>
      <w:bCs/>
      <w:sz w:val="20"/>
      <w:szCs w:val="20"/>
      <w:lang w:eastAsia="fr-FR"/>
    </w:rPr>
  </w:style>
  <w:style w:type="character" w:customStyle="1" w:styleId="1Car0">
    <w:name w:val="1. Car"/>
    <w:link w:val="13"/>
    <w:locked/>
    <w:rsid w:val="007B3D5C"/>
    <w:rPr>
      <w:rFonts w:ascii="Times New Roman" w:eastAsia="MS Mincho" w:hAnsi="Times New Roman" w:cs="Arial"/>
      <w:b/>
      <w:bCs/>
      <w:sz w:val="20"/>
      <w:szCs w:val="20"/>
      <w:lang w:eastAsia="fr-FR"/>
    </w:rPr>
  </w:style>
  <w:style w:type="character" w:customStyle="1" w:styleId="normaltextrun">
    <w:name w:val="normaltextrun"/>
    <w:basedOn w:val="a1"/>
    <w:rsid w:val="007B3D5C"/>
  </w:style>
  <w:style w:type="character" w:customStyle="1" w:styleId="eop">
    <w:name w:val="eop"/>
    <w:basedOn w:val="a1"/>
    <w:rsid w:val="007B3D5C"/>
  </w:style>
  <w:style w:type="paragraph" w:styleId="afb">
    <w:name w:val="endnote text"/>
    <w:basedOn w:val="a0"/>
    <w:link w:val="afc"/>
    <w:uiPriority w:val="99"/>
    <w:semiHidden/>
    <w:unhideWhenUsed/>
    <w:rsid w:val="007B3D5C"/>
    <w:pPr>
      <w:spacing w:after="0" w:line="240" w:lineRule="auto"/>
    </w:pPr>
    <w:rPr>
      <w:rFonts w:ascii="Times New Roman" w:eastAsia="Times New Roman" w:hAnsi="Times New Roman" w:cs="Times New Roman"/>
      <w:sz w:val="20"/>
      <w:szCs w:val="20"/>
    </w:rPr>
  </w:style>
  <w:style w:type="character" w:customStyle="1" w:styleId="afc">
    <w:name w:val="章節附註文字 字元"/>
    <w:basedOn w:val="a1"/>
    <w:link w:val="afb"/>
    <w:uiPriority w:val="99"/>
    <w:semiHidden/>
    <w:rsid w:val="007B3D5C"/>
    <w:rPr>
      <w:rFonts w:ascii="Times New Roman" w:eastAsia="Times New Roman" w:hAnsi="Times New Roman" w:cs="Times New Roman"/>
      <w:sz w:val="20"/>
      <w:szCs w:val="20"/>
    </w:rPr>
  </w:style>
  <w:style w:type="character" w:styleId="afd">
    <w:name w:val="endnote reference"/>
    <w:uiPriority w:val="99"/>
    <w:unhideWhenUsed/>
    <w:rsid w:val="007B3D5C"/>
    <w:rPr>
      <w:vertAlign w:val="superscript"/>
    </w:rPr>
  </w:style>
  <w:style w:type="character" w:styleId="afe">
    <w:name w:val="Placeholder Text"/>
    <w:uiPriority w:val="99"/>
    <w:semiHidden/>
    <w:rsid w:val="007B3D5C"/>
    <w:rPr>
      <w:color w:val="808080"/>
    </w:rPr>
  </w:style>
  <w:style w:type="paragraph" w:customStyle="1" w:styleId="aff">
    <w:name w:val="a"/>
    <w:basedOn w:val="a0"/>
    <w:link w:val="aCar"/>
    <w:qFormat/>
    <w:rsid w:val="007B3D5C"/>
    <w:pPr>
      <w:widowControl w:val="0"/>
      <w:spacing w:after="240" w:line="254" w:lineRule="auto"/>
      <w:ind w:left="850" w:right="-6" w:hanging="425"/>
      <w:jc w:val="both"/>
    </w:pPr>
    <w:rPr>
      <w:rFonts w:ascii="Arial" w:eastAsia="Arial" w:hAnsi="Arial" w:cs="Arial"/>
      <w:sz w:val="18"/>
      <w:szCs w:val="18"/>
      <w:lang w:val="en-US"/>
    </w:rPr>
  </w:style>
  <w:style w:type="character" w:customStyle="1" w:styleId="aCar">
    <w:name w:val="a Car"/>
    <w:link w:val="aff"/>
    <w:rsid w:val="007B3D5C"/>
    <w:rPr>
      <w:rFonts w:ascii="Arial" w:eastAsia="Arial" w:hAnsi="Arial" w:cs="Arial"/>
      <w:sz w:val="18"/>
      <w:szCs w:val="18"/>
      <w:lang w:val="en-US"/>
    </w:rPr>
  </w:style>
  <w:style w:type="paragraph" w:customStyle="1" w:styleId="i">
    <w:name w:val="i"/>
    <w:basedOn w:val="a0"/>
    <w:link w:val="iCar"/>
    <w:autoRedefine/>
    <w:qFormat/>
    <w:rsid w:val="007B3D5C"/>
    <w:pPr>
      <w:widowControl w:val="0"/>
      <w:tabs>
        <w:tab w:val="left" w:pos="1400"/>
      </w:tabs>
      <w:spacing w:after="180" w:line="240" w:lineRule="auto"/>
      <w:ind w:left="1276" w:hanging="425"/>
      <w:jc w:val="both"/>
    </w:pPr>
    <w:rPr>
      <w:rFonts w:ascii="Arial" w:eastAsia="Arial" w:hAnsi="Arial" w:cs="Arial"/>
      <w:sz w:val="18"/>
      <w:szCs w:val="18"/>
      <w:lang w:val="en-US"/>
    </w:rPr>
  </w:style>
  <w:style w:type="character" w:customStyle="1" w:styleId="iCar">
    <w:name w:val="i Car"/>
    <w:link w:val="i"/>
    <w:rsid w:val="007B3D5C"/>
    <w:rPr>
      <w:rFonts w:ascii="Arial" w:eastAsia="Arial" w:hAnsi="Arial" w:cs="Arial"/>
      <w:sz w:val="18"/>
      <w:szCs w:val="18"/>
      <w:lang w:val="en-US"/>
    </w:rPr>
  </w:style>
  <w:style w:type="paragraph" w:customStyle="1" w:styleId="dictionnaire-intitule-terme">
    <w:name w:val="dictionnaire-intitule-terme"/>
    <w:basedOn w:val="a0"/>
    <w:rsid w:val="007B3D5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ramarge">
    <w:name w:val="Para marge"/>
    <w:basedOn w:val="a0"/>
    <w:rsid w:val="007B3D5C"/>
    <w:pPr>
      <w:spacing w:after="240" w:line="240" w:lineRule="auto"/>
      <w:jc w:val="both"/>
    </w:pPr>
    <w:rPr>
      <w:rFonts w:ascii="Times New Roman" w:eastAsia="Times New Roman" w:hAnsi="Times New Roman" w:cs="Times New Roman"/>
      <w:color w:val="000000"/>
      <w:sz w:val="20"/>
      <w:szCs w:val="24"/>
      <w:lang w:eastAsia="fr-FR"/>
    </w:rPr>
  </w:style>
  <w:style w:type="paragraph" w:customStyle="1" w:styleId="Body">
    <w:name w:val="Body"/>
    <w:rsid w:val="007B3D5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ImportedStyle4">
    <w:name w:val="Imported Style 4"/>
    <w:rsid w:val="007B3D5C"/>
    <w:pPr>
      <w:numPr>
        <w:numId w:val="10"/>
      </w:numPr>
    </w:pPr>
  </w:style>
  <w:style w:type="numbering" w:customStyle="1" w:styleId="ImportedStyle5">
    <w:name w:val="Imported Style 5"/>
    <w:rsid w:val="007B3D5C"/>
    <w:pPr>
      <w:numPr>
        <w:numId w:val="11"/>
      </w:numPr>
    </w:pPr>
  </w:style>
  <w:style w:type="numbering" w:customStyle="1" w:styleId="ImportedStyle1">
    <w:name w:val="Imported Style 1"/>
    <w:rsid w:val="007B3D5C"/>
    <w:pPr>
      <w:numPr>
        <w:numId w:val="12"/>
      </w:numPr>
    </w:pPr>
  </w:style>
  <w:style w:type="paragraph" w:styleId="aff0">
    <w:name w:val="Body Text"/>
    <w:basedOn w:val="a0"/>
    <w:link w:val="aff1"/>
    <w:qFormat/>
    <w:rsid w:val="007B3D5C"/>
    <w:pPr>
      <w:widowControl w:val="0"/>
      <w:autoSpaceDE w:val="0"/>
      <w:autoSpaceDN w:val="0"/>
      <w:spacing w:after="0" w:line="240" w:lineRule="auto"/>
    </w:pPr>
    <w:rPr>
      <w:rFonts w:ascii="Arial" w:eastAsia="Arial" w:hAnsi="Arial" w:cs="Arial"/>
      <w:sz w:val="18"/>
      <w:szCs w:val="18"/>
      <w:lang w:val="en-US"/>
    </w:rPr>
  </w:style>
  <w:style w:type="character" w:customStyle="1" w:styleId="aff1">
    <w:name w:val="本文 字元"/>
    <w:basedOn w:val="a1"/>
    <w:link w:val="aff0"/>
    <w:rsid w:val="007B3D5C"/>
    <w:rPr>
      <w:rFonts w:ascii="Arial" w:eastAsia="Arial" w:hAnsi="Arial" w:cs="Arial"/>
      <w:sz w:val="18"/>
      <w:szCs w:val="18"/>
      <w:lang w:val="en-US"/>
    </w:rPr>
  </w:style>
  <w:style w:type="paragraph" w:customStyle="1" w:styleId="para1">
    <w:name w:val="para 1."/>
    <w:basedOn w:val="13"/>
    <w:link w:val="para1Car"/>
    <w:rsid w:val="007B3D5C"/>
  </w:style>
  <w:style w:type="paragraph" w:customStyle="1" w:styleId="CarCarCar">
    <w:name w:val="Car Car Car"/>
    <w:basedOn w:val="a0"/>
    <w:rsid w:val="007B3D5C"/>
    <w:pPr>
      <w:spacing w:after="0" w:line="240" w:lineRule="auto"/>
    </w:pPr>
    <w:rPr>
      <w:rFonts w:ascii="Arial" w:eastAsia="Times New Roman" w:hAnsi="Arial" w:cs="Times New Roman"/>
      <w:szCs w:val="20"/>
      <w:lang w:val="en-AU"/>
    </w:rPr>
  </w:style>
  <w:style w:type="character" w:customStyle="1" w:styleId="Hyperlink1">
    <w:name w:val="Hyperlink1"/>
    <w:rsid w:val="007B3D5C"/>
    <w:rPr>
      <w:color w:val="000000"/>
      <w:sz w:val="20"/>
      <w:u w:val="single"/>
    </w:rPr>
  </w:style>
  <w:style w:type="paragraph" w:customStyle="1" w:styleId="document-chapitre-libelle">
    <w:name w:val="document-chapitre-libelle"/>
    <w:basedOn w:val="a0"/>
    <w:rsid w:val="007B3D5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ocument-chapitre-intitule">
    <w:name w:val="document-chapitre-intitule"/>
    <w:basedOn w:val="a0"/>
    <w:rsid w:val="007B3D5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ocument-article-libelle">
    <w:name w:val="document-article-libelle"/>
    <w:basedOn w:val="a0"/>
    <w:rsid w:val="007B3D5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ocument-article-intitule">
    <w:name w:val="document-article-intitule"/>
    <w:basedOn w:val="a0"/>
    <w:rsid w:val="007B3D5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ntitule-section">
    <w:name w:val="intitule-section"/>
    <w:basedOn w:val="a0"/>
    <w:rsid w:val="007B3D5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uteurs">
    <w:name w:val="auteurs"/>
    <w:basedOn w:val="a1"/>
    <w:rsid w:val="007B3D5C"/>
  </w:style>
  <w:style w:type="character" w:customStyle="1" w:styleId="nom-revue">
    <w:name w:val="nom-revue"/>
    <w:basedOn w:val="a1"/>
    <w:rsid w:val="007B3D5C"/>
  </w:style>
  <w:style w:type="character" w:customStyle="1" w:styleId="num-revue">
    <w:name w:val="num-revue"/>
    <w:basedOn w:val="a1"/>
    <w:rsid w:val="007B3D5C"/>
  </w:style>
  <w:style w:type="paragraph" w:customStyle="1" w:styleId="paragraph">
    <w:name w:val="paragraph"/>
    <w:basedOn w:val="a0"/>
    <w:rsid w:val="007B3D5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1">
    <w:name w:val="Light List Accent 1"/>
    <w:basedOn w:val="a2"/>
    <w:uiPriority w:val="61"/>
    <w:rsid w:val="007B3D5C"/>
    <w:pPr>
      <w:spacing w:after="0" w:line="240" w:lineRule="auto"/>
    </w:pPr>
    <w:rPr>
      <w:rFonts w:ascii="Calibri" w:eastAsia="Calibri" w:hAnsi="Calibri" w:cs="Times New Roman"/>
      <w:sz w:val="20"/>
      <w:szCs w:val="20"/>
      <w:lang w:val="fr-FR"/>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customStyle="1" w:styleId="xgmail-msolistparagraph">
    <w:name w:val="x_gmail-msolistparagraph"/>
    <w:basedOn w:val="a0"/>
    <w:rsid w:val="007B3D5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msonormal">
    <w:name w:val="x_msonormal"/>
    <w:basedOn w:val="a0"/>
    <w:rsid w:val="007B3D5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titre-liste">
    <w:name w:val="style-titre-liste"/>
    <w:basedOn w:val="a0"/>
    <w:rsid w:val="007B3D5C"/>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Para10">
    <w:name w:val="Para 1"/>
    <w:basedOn w:val="a0"/>
    <w:link w:val="Para1Car0"/>
    <w:rsid w:val="007B3D5C"/>
    <w:pPr>
      <w:spacing w:after="240" w:line="240" w:lineRule="auto"/>
      <w:jc w:val="both"/>
    </w:pPr>
    <w:rPr>
      <w:rFonts w:ascii="Arial" w:eastAsia="Times New Roman" w:hAnsi="Arial" w:cs="Times New Roman"/>
      <w:sz w:val="18"/>
      <w:lang w:val="en-IE" w:bidi="en-US"/>
    </w:rPr>
  </w:style>
  <w:style w:type="character" w:customStyle="1" w:styleId="Para1Car0">
    <w:name w:val="Para 1 Car"/>
    <w:link w:val="Para10"/>
    <w:rsid w:val="007B3D5C"/>
    <w:rPr>
      <w:rFonts w:ascii="Arial" w:eastAsia="Times New Roman" w:hAnsi="Arial" w:cs="Times New Roman"/>
      <w:sz w:val="18"/>
      <w:lang w:val="en-IE" w:bidi="en-US"/>
    </w:rPr>
  </w:style>
  <w:style w:type="paragraph" w:customStyle="1" w:styleId="Chaptertitle">
    <w:name w:val="Chapter title"/>
    <w:basedOn w:val="a0"/>
    <w:link w:val="ChaptertitleCar"/>
    <w:rsid w:val="007B3D5C"/>
    <w:pPr>
      <w:pBdr>
        <w:bottom w:val="single" w:sz="6" w:space="6" w:color="auto"/>
      </w:pBdr>
      <w:spacing w:after="480" w:line="240" w:lineRule="auto"/>
      <w:jc w:val="center"/>
    </w:pPr>
    <w:rPr>
      <w:rFonts w:ascii="Ottawa" w:eastAsia="Times New Roman" w:hAnsi="Ottawa" w:cs="Times New Roman"/>
      <w:bCs/>
      <w:iCs/>
      <w:caps/>
      <w:spacing w:val="40"/>
      <w:sz w:val="24"/>
      <w:szCs w:val="24"/>
      <w:lang w:val="en-US" w:bidi="en-US"/>
    </w:rPr>
  </w:style>
  <w:style w:type="paragraph" w:customStyle="1" w:styleId="Para3">
    <w:name w:val="Para 3"/>
    <w:basedOn w:val="a0"/>
    <w:link w:val="Para3Car"/>
    <w:rsid w:val="007B3D5C"/>
    <w:pPr>
      <w:spacing w:after="240" w:line="240" w:lineRule="auto"/>
      <w:ind w:left="851"/>
      <w:jc w:val="both"/>
    </w:pPr>
    <w:rPr>
      <w:rFonts w:ascii="Arial" w:eastAsia="Times New Roman" w:hAnsi="Arial" w:cs="Times New Roman"/>
      <w:bCs/>
      <w:sz w:val="18"/>
      <w:lang w:val="en-IE"/>
    </w:rPr>
  </w:style>
  <w:style w:type="character" w:customStyle="1" w:styleId="Para3Car">
    <w:name w:val="Para 3 Car"/>
    <w:link w:val="Para3"/>
    <w:rsid w:val="007B3D5C"/>
    <w:rPr>
      <w:rFonts w:ascii="Arial" w:eastAsia="Times New Roman" w:hAnsi="Arial" w:cs="Times New Roman"/>
      <w:bCs/>
      <w:sz w:val="18"/>
      <w:lang w:val="en-IE"/>
    </w:rPr>
  </w:style>
  <w:style w:type="character" w:customStyle="1" w:styleId="ChaptertitleCar">
    <w:name w:val="Chapter title Car"/>
    <w:link w:val="Chaptertitle"/>
    <w:rsid w:val="007B3D5C"/>
    <w:rPr>
      <w:rFonts w:ascii="Ottawa" w:eastAsia="Times New Roman" w:hAnsi="Ottawa" w:cs="Times New Roman"/>
      <w:bCs/>
      <w:iCs/>
      <w:caps/>
      <w:spacing w:val="40"/>
      <w:sz w:val="24"/>
      <w:szCs w:val="24"/>
      <w:lang w:val="en-US" w:bidi="en-US"/>
    </w:rPr>
  </w:style>
  <w:style w:type="paragraph" w:customStyle="1" w:styleId="dictionnaire-definition-terme">
    <w:name w:val="dictionnaire-definition-terme"/>
    <w:basedOn w:val="a0"/>
    <w:rsid w:val="007B3D5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dictionnaire-intitule-terme">
    <w:name w:val="x_dictionnaire-intitule-terme"/>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xdictionnaire-definition-terme">
    <w:name w:val="x_dictionnaire-definition-terme"/>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HeaderChar1">
    <w:name w:val="Header Char1"/>
    <w:aliases w:val="Header Char1 Char Char,Header Char Char Char Char, Car Char Char Char Char, Car Car Char Char Char Char, Car Car Car Char Char Char Char, Car Car Car Car Car Char Char Char Car Char,Heading 1 Char Car1 Char, Car Char17 Car1 Char, C Char"/>
    <w:uiPriority w:val="99"/>
    <w:rsid w:val="007B3D5C"/>
    <w:rPr>
      <w:rFonts w:ascii="Times New Roman" w:eastAsia="Times New Roman" w:hAnsi="Times New Roman" w:cs="Times New Roman"/>
      <w:sz w:val="24"/>
      <w:szCs w:val="24"/>
      <w:lang w:val="en-GB"/>
    </w:rPr>
  </w:style>
  <w:style w:type="table" w:customStyle="1" w:styleId="TableGrid">
    <w:name w:val="TableGrid"/>
    <w:rsid w:val="007B3D5C"/>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character" w:customStyle="1" w:styleId="BalloonTextChar1">
    <w:name w:val="Balloon Text Char1"/>
    <w:uiPriority w:val="99"/>
    <w:semiHidden/>
    <w:rsid w:val="007B3D5C"/>
    <w:rPr>
      <w:rFonts w:ascii="Segoe UI" w:eastAsia="Times New Roman" w:hAnsi="Segoe UI" w:cs="Segoe UI"/>
      <w:sz w:val="18"/>
      <w:szCs w:val="18"/>
      <w:lang w:val="en-GB"/>
    </w:rPr>
  </w:style>
  <w:style w:type="character" w:customStyle="1" w:styleId="CommentSubjectChar1">
    <w:name w:val="Comment Subject Char1"/>
    <w:uiPriority w:val="99"/>
    <w:semiHidden/>
    <w:rsid w:val="007B3D5C"/>
    <w:rPr>
      <w:rFonts w:ascii="Times New Roman" w:eastAsia="Times New Roman" w:hAnsi="Times New Roman" w:cs="Times New Roman"/>
      <w:b/>
      <w:bCs/>
      <w:sz w:val="20"/>
      <w:szCs w:val="20"/>
      <w:lang w:val="en-GB"/>
    </w:rPr>
  </w:style>
  <w:style w:type="character" w:customStyle="1" w:styleId="EndnoteTextChar1">
    <w:name w:val="Endnote Text Char1"/>
    <w:uiPriority w:val="99"/>
    <w:semiHidden/>
    <w:rsid w:val="007B3D5C"/>
    <w:rPr>
      <w:rFonts w:ascii="Times New Roman" w:eastAsia="Times New Roman" w:hAnsi="Times New Roman" w:cs="Times New Roman"/>
      <w:sz w:val="20"/>
      <w:szCs w:val="20"/>
      <w:lang w:val="en-GB"/>
    </w:rPr>
  </w:style>
  <w:style w:type="numbering" w:customStyle="1" w:styleId="Aucuneliste1">
    <w:name w:val="Aucune liste1"/>
    <w:next w:val="a3"/>
    <w:uiPriority w:val="99"/>
    <w:semiHidden/>
    <w:unhideWhenUsed/>
    <w:rsid w:val="007B3D5C"/>
  </w:style>
  <w:style w:type="paragraph" w:customStyle="1" w:styleId="para12">
    <w:name w:val="para 1"/>
    <w:basedOn w:val="a0"/>
    <w:rsid w:val="007B3D5C"/>
    <w:pPr>
      <w:widowControl w:val="0"/>
      <w:suppressAutoHyphens/>
      <w:spacing w:after="240" w:line="240" w:lineRule="auto"/>
      <w:ind w:left="425"/>
      <w:jc w:val="both"/>
    </w:pPr>
    <w:rPr>
      <w:rFonts w:ascii="Bassoon" w:eastAsia="MS Mincho" w:hAnsi="Bassoon" w:cs="Times New Roman"/>
      <w:kern w:val="1"/>
      <w:sz w:val="24"/>
      <w:szCs w:val="20"/>
      <w:lang w:eastAsia="ar-SA"/>
    </w:rPr>
  </w:style>
  <w:style w:type="numbering" w:customStyle="1" w:styleId="Aucuneliste2">
    <w:name w:val="Aucune liste2"/>
    <w:next w:val="a3"/>
    <w:uiPriority w:val="99"/>
    <w:semiHidden/>
    <w:unhideWhenUsed/>
    <w:rsid w:val="007B3D5C"/>
  </w:style>
  <w:style w:type="table" w:customStyle="1" w:styleId="Grilledutableau1">
    <w:name w:val="Grille du tableau1"/>
    <w:basedOn w:val="a2"/>
    <w:next w:val="af2"/>
    <w:rsid w:val="007B3D5C"/>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c-textpic-caption">
    <w:name w:val="csc-textpic-caption"/>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sc-textpic-image">
    <w:name w:val="csc-textpic-image"/>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sc-textpic-firstcol">
    <w:name w:val="csc-textpic-firstcol"/>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sc-textpic-lastcol">
    <w:name w:val="csc-textpic-lastcol"/>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sc-textpic-caption1">
    <w:name w:val="csc-textpic-caption1"/>
    <w:basedOn w:val="a0"/>
    <w:rsid w:val="007B3D5C"/>
    <w:pPr>
      <w:spacing w:before="100" w:beforeAutospacing="1" w:after="100" w:afterAutospacing="1" w:line="240" w:lineRule="auto"/>
      <w:jc w:val="center"/>
    </w:pPr>
    <w:rPr>
      <w:rFonts w:ascii="Times New Roman" w:eastAsia="Times New Roman" w:hAnsi="Times New Roman" w:cs="Times New Roman"/>
      <w:sz w:val="24"/>
      <w:szCs w:val="24"/>
      <w:lang w:val="fr-FR" w:eastAsia="fr-FR"/>
    </w:rPr>
  </w:style>
  <w:style w:type="paragraph" w:customStyle="1" w:styleId="csc-textpic-caption2">
    <w:name w:val="csc-textpic-caption2"/>
    <w:basedOn w:val="a0"/>
    <w:rsid w:val="007B3D5C"/>
    <w:pPr>
      <w:spacing w:before="100" w:beforeAutospacing="1" w:after="100" w:afterAutospacing="1" w:line="240" w:lineRule="auto"/>
      <w:jc w:val="right"/>
    </w:pPr>
    <w:rPr>
      <w:rFonts w:ascii="Times New Roman" w:eastAsia="Times New Roman" w:hAnsi="Times New Roman" w:cs="Times New Roman"/>
      <w:sz w:val="24"/>
      <w:szCs w:val="24"/>
      <w:lang w:val="fr-FR" w:eastAsia="fr-FR"/>
    </w:rPr>
  </w:style>
  <w:style w:type="paragraph" w:customStyle="1" w:styleId="csc-textpic-caption3">
    <w:name w:val="csc-textpic-caption3"/>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sc-textpic-image1">
    <w:name w:val="csc-textpic-image1"/>
    <w:basedOn w:val="a0"/>
    <w:rsid w:val="007B3D5C"/>
    <w:pPr>
      <w:spacing w:before="100" w:beforeAutospacing="1" w:after="100" w:afterAutospacing="1" w:line="240" w:lineRule="auto"/>
      <w:ind w:right="150"/>
    </w:pPr>
    <w:rPr>
      <w:rFonts w:ascii="Times New Roman" w:eastAsia="Times New Roman" w:hAnsi="Times New Roman" w:cs="Times New Roman"/>
      <w:sz w:val="24"/>
      <w:szCs w:val="24"/>
      <w:lang w:val="fr-FR" w:eastAsia="fr-FR"/>
    </w:rPr>
  </w:style>
  <w:style w:type="paragraph" w:customStyle="1" w:styleId="csc-textpic-image2">
    <w:name w:val="csc-textpic-image2"/>
    <w:basedOn w:val="a0"/>
    <w:rsid w:val="007B3D5C"/>
    <w:pPr>
      <w:spacing w:before="100" w:beforeAutospacing="1" w:after="100" w:afterAutospacing="1" w:line="240" w:lineRule="auto"/>
      <w:ind w:right="150"/>
    </w:pPr>
    <w:rPr>
      <w:rFonts w:ascii="Times New Roman" w:eastAsia="Times New Roman" w:hAnsi="Times New Roman" w:cs="Times New Roman"/>
      <w:sz w:val="24"/>
      <w:szCs w:val="24"/>
      <w:lang w:val="fr-FR" w:eastAsia="fr-FR"/>
    </w:rPr>
  </w:style>
  <w:style w:type="paragraph" w:customStyle="1" w:styleId="csc-textpic-image3">
    <w:name w:val="csc-textpic-image3"/>
    <w:basedOn w:val="a0"/>
    <w:rsid w:val="007B3D5C"/>
    <w:pPr>
      <w:spacing w:before="100" w:beforeAutospacing="1" w:after="100" w:afterAutospacing="1" w:line="240" w:lineRule="auto"/>
      <w:ind w:right="150"/>
    </w:pPr>
    <w:rPr>
      <w:rFonts w:ascii="Times New Roman" w:eastAsia="Times New Roman" w:hAnsi="Times New Roman" w:cs="Times New Roman"/>
      <w:sz w:val="24"/>
      <w:szCs w:val="24"/>
      <w:lang w:val="fr-FR" w:eastAsia="fr-FR"/>
    </w:rPr>
  </w:style>
  <w:style w:type="paragraph" w:customStyle="1" w:styleId="csc-textpic-image4">
    <w:name w:val="csc-textpic-image4"/>
    <w:basedOn w:val="a0"/>
    <w:rsid w:val="007B3D5C"/>
    <w:pPr>
      <w:spacing w:before="100" w:beforeAutospacing="1" w:after="100" w:afterAutospacing="1" w:line="240" w:lineRule="auto"/>
      <w:ind w:left="150"/>
    </w:pPr>
    <w:rPr>
      <w:rFonts w:ascii="Times New Roman" w:eastAsia="Times New Roman" w:hAnsi="Times New Roman" w:cs="Times New Roman"/>
      <w:sz w:val="24"/>
      <w:szCs w:val="24"/>
      <w:lang w:val="fr-FR" w:eastAsia="fr-FR"/>
    </w:rPr>
  </w:style>
  <w:style w:type="paragraph" w:customStyle="1" w:styleId="csc-textpic-image5">
    <w:name w:val="csc-textpic-image5"/>
    <w:basedOn w:val="a0"/>
    <w:rsid w:val="007B3D5C"/>
    <w:pPr>
      <w:spacing w:before="100" w:beforeAutospacing="1" w:after="100" w:afterAutospacing="1" w:line="240" w:lineRule="auto"/>
      <w:ind w:left="150"/>
    </w:pPr>
    <w:rPr>
      <w:rFonts w:ascii="Times New Roman" w:eastAsia="Times New Roman" w:hAnsi="Times New Roman" w:cs="Times New Roman"/>
      <w:sz w:val="24"/>
      <w:szCs w:val="24"/>
      <w:lang w:val="fr-FR" w:eastAsia="fr-FR"/>
    </w:rPr>
  </w:style>
  <w:style w:type="paragraph" w:customStyle="1" w:styleId="csc-textpic-image6">
    <w:name w:val="csc-textpic-image6"/>
    <w:basedOn w:val="a0"/>
    <w:rsid w:val="007B3D5C"/>
    <w:pPr>
      <w:spacing w:before="100" w:beforeAutospacing="1" w:after="100" w:afterAutospacing="1" w:line="240" w:lineRule="auto"/>
      <w:ind w:left="150"/>
    </w:pPr>
    <w:rPr>
      <w:rFonts w:ascii="Times New Roman" w:eastAsia="Times New Roman" w:hAnsi="Times New Roman" w:cs="Times New Roman"/>
      <w:sz w:val="24"/>
      <w:szCs w:val="24"/>
      <w:lang w:val="fr-FR" w:eastAsia="fr-FR"/>
    </w:rPr>
  </w:style>
  <w:style w:type="paragraph" w:customStyle="1" w:styleId="csc-textpic-image7">
    <w:name w:val="csc-textpic-image7"/>
    <w:basedOn w:val="a0"/>
    <w:rsid w:val="007B3D5C"/>
    <w:pPr>
      <w:spacing w:before="100" w:beforeAutospacing="1" w:after="100" w:afterAutospacing="1" w:line="240" w:lineRule="auto"/>
      <w:ind w:left="150"/>
    </w:pPr>
    <w:rPr>
      <w:rFonts w:ascii="Times New Roman" w:eastAsia="Times New Roman" w:hAnsi="Times New Roman" w:cs="Times New Roman"/>
      <w:sz w:val="24"/>
      <w:szCs w:val="24"/>
      <w:lang w:val="fr-FR" w:eastAsia="fr-FR"/>
    </w:rPr>
  </w:style>
  <w:style w:type="paragraph" w:customStyle="1" w:styleId="csc-textpic-caption4">
    <w:name w:val="csc-textpic-caption4"/>
    <w:basedOn w:val="a0"/>
    <w:rsid w:val="007B3D5C"/>
    <w:pPr>
      <w:spacing w:after="0" w:line="240" w:lineRule="auto"/>
    </w:pPr>
    <w:rPr>
      <w:rFonts w:ascii="Times New Roman" w:eastAsia="Times New Roman" w:hAnsi="Times New Roman" w:cs="Times New Roman"/>
      <w:sz w:val="24"/>
      <w:szCs w:val="24"/>
      <w:lang w:val="fr-FR" w:eastAsia="fr-FR"/>
    </w:rPr>
  </w:style>
  <w:style w:type="paragraph" w:customStyle="1" w:styleId="csc-textpic-image8">
    <w:name w:val="csc-textpic-image8"/>
    <w:basedOn w:val="a0"/>
    <w:rsid w:val="007B3D5C"/>
    <w:pPr>
      <w:spacing w:before="100" w:beforeAutospacing="1" w:after="75" w:line="240" w:lineRule="auto"/>
    </w:pPr>
    <w:rPr>
      <w:rFonts w:ascii="Times New Roman" w:eastAsia="Times New Roman" w:hAnsi="Times New Roman" w:cs="Times New Roman"/>
      <w:sz w:val="24"/>
      <w:szCs w:val="24"/>
      <w:lang w:val="fr-FR" w:eastAsia="fr-FR"/>
    </w:rPr>
  </w:style>
  <w:style w:type="paragraph" w:customStyle="1" w:styleId="csc-textpic-firstcol1">
    <w:name w:val="csc-textpic-firstcol1"/>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sc-textpic-lastcol1">
    <w:name w:val="csc-textpic-lastcol1"/>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update-note">
    <w:name w:val="update-note"/>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twelve1">
    <w:name w:val="twelve1"/>
    <w:rsid w:val="007B3D5C"/>
    <w:rPr>
      <w:rFonts w:ascii="Arial" w:hAnsi="Arial" w:cs="Arial" w:hint="default"/>
      <w:sz w:val="18"/>
      <w:szCs w:val="18"/>
    </w:rPr>
  </w:style>
  <w:style w:type="paragraph" w:customStyle="1" w:styleId="Para20">
    <w:name w:val="Para 2"/>
    <w:basedOn w:val="a0"/>
    <w:link w:val="Para2Car0"/>
    <w:rsid w:val="007B3D5C"/>
    <w:pPr>
      <w:spacing w:after="240" w:line="240" w:lineRule="auto"/>
      <w:ind w:left="425"/>
      <w:jc w:val="both"/>
    </w:pPr>
    <w:rPr>
      <w:rFonts w:ascii="Arial" w:eastAsia="Times New Roman" w:hAnsi="Arial" w:cs="Times New Roman"/>
      <w:sz w:val="18"/>
      <w:lang w:val="en-IE"/>
    </w:rPr>
  </w:style>
  <w:style w:type="character" w:customStyle="1" w:styleId="Para2Car0">
    <w:name w:val="Para 2 Car"/>
    <w:link w:val="Para20"/>
    <w:rsid w:val="007B3D5C"/>
    <w:rPr>
      <w:rFonts w:ascii="Arial" w:eastAsia="Times New Roman" w:hAnsi="Arial" w:cs="Times New Roman"/>
      <w:sz w:val="18"/>
      <w:lang w:val="en-IE"/>
    </w:rPr>
  </w:style>
  <w:style w:type="paragraph" w:customStyle="1" w:styleId="Parai2">
    <w:name w:val="Para i.2"/>
    <w:basedOn w:val="a0"/>
    <w:link w:val="Parai2Car"/>
    <w:rsid w:val="007B3D5C"/>
    <w:pPr>
      <w:spacing w:after="240" w:line="240" w:lineRule="auto"/>
      <w:ind w:left="850" w:hanging="425"/>
      <w:jc w:val="both"/>
    </w:pPr>
    <w:rPr>
      <w:rFonts w:ascii="Arial" w:eastAsia="Times New Roman" w:hAnsi="Arial" w:cs="Times New Roman"/>
      <w:sz w:val="18"/>
      <w:lang w:val="en-IE"/>
    </w:rPr>
  </w:style>
  <w:style w:type="paragraph" w:customStyle="1" w:styleId="Parai1">
    <w:name w:val="Para i1"/>
    <w:basedOn w:val="Para10"/>
    <w:rsid w:val="007B3D5C"/>
    <w:pPr>
      <w:ind w:left="425" w:hanging="425"/>
    </w:pPr>
    <w:rPr>
      <w:lang w:eastAsia="es-ES"/>
    </w:rPr>
  </w:style>
  <w:style w:type="paragraph" w:styleId="31">
    <w:name w:val="Body Text 3"/>
    <w:basedOn w:val="a0"/>
    <w:link w:val="32"/>
    <w:unhideWhenUsed/>
    <w:rsid w:val="007B3D5C"/>
    <w:pPr>
      <w:spacing w:after="120" w:line="276" w:lineRule="auto"/>
    </w:pPr>
    <w:rPr>
      <w:rFonts w:ascii="Calibri" w:eastAsia="Calibri" w:hAnsi="Calibri" w:cs="Times New Roman"/>
      <w:sz w:val="16"/>
      <w:szCs w:val="16"/>
      <w:lang w:val="x-none"/>
    </w:rPr>
  </w:style>
  <w:style w:type="character" w:customStyle="1" w:styleId="32">
    <w:name w:val="本文 3 字元"/>
    <w:basedOn w:val="a1"/>
    <w:link w:val="31"/>
    <w:rsid w:val="007B3D5C"/>
    <w:rPr>
      <w:rFonts w:ascii="Calibri" w:eastAsia="Calibri" w:hAnsi="Calibri" w:cs="Times New Roman"/>
      <w:sz w:val="16"/>
      <w:szCs w:val="16"/>
      <w:lang w:val="x-none"/>
    </w:rPr>
  </w:style>
  <w:style w:type="character" w:styleId="aff2">
    <w:name w:val="Intense Emphasis"/>
    <w:uiPriority w:val="21"/>
    <w:qFormat/>
    <w:rsid w:val="007B3D5C"/>
    <w:rPr>
      <w:i/>
      <w:iCs/>
      <w:color w:val="auto"/>
      <w:sz w:val="24"/>
      <w:u w:val="single"/>
    </w:rPr>
  </w:style>
  <w:style w:type="paragraph" w:customStyle="1" w:styleId="REF">
    <w:name w:val="REF"/>
    <w:basedOn w:val="Para10"/>
    <w:link w:val="REFTegn"/>
    <w:rsid w:val="007B3D5C"/>
  </w:style>
  <w:style w:type="paragraph" w:customStyle="1" w:styleId="Note">
    <w:name w:val="Note"/>
    <w:basedOn w:val="af4"/>
    <w:rsid w:val="007B3D5C"/>
    <w:pPr>
      <w:widowControl w:val="0"/>
      <w:ind w:left="425" w:hanging="425"/>
      <w:jc w:val="both"/>
    </w:pPr>
    <w:rPr>
      <w:rFonts w:ascii="TradeGothic" w:hAnsi="TradeGothic" w:cs="Arial"/>
      <w:sz w:val="16"/>
      <w:szCs w:val="16"/>
      <w:lang w:val="fr-FR" w:eastAsia="fr-FR"/>
    </w:rPr>
  </w:style>
  <w:style w:type="paragraph" w:customStyle="1" w:styleId="Para4">
    <w:name w:val="Para 4"/>
    <w:basedOn w:val="a0"/>
    <w:link w:val="Para4Car"/>
    <w:rsid w:val="007B3D5C"/>
    <w:pPr>
      <w:spacing w:after="240" w:line="240" w:lineRule="auto"/>
      <w:ind w:left="992"/>
      <w:jc w:val="both"/>
    </w:pPr>
    <w:rPr>
      <w:rFonts w:ascii="Arial" w:eastAsia="Times New Roman" w:hAnsi="Arial" w:cs="Times New Roman"/>
      <w:bCs/>
      <w:sz w:val="18"/>
      <w:lang w:val="en-IE" w:eastAsia="fr-FR"/>
    </w:rPr>
  </w:style>
  <w:style w:type="paragraph" w:customStyle="1" w:styleId="Para5">
    <w:name w:val="Para 5"/>
    <w:basedOn w:val="a0"/>
    <w:rsid w:val="007B3D5C"/>
    <w:pPr>
      <w:spacing w:after="240" w:line="240" w:lineRule="auto"/>
      <w:ind w:left="1134"/>
      <w:jc w:val="both"/>
    </w:pPr>
    <w:rPr>
      <w:rFonts w:ascii="Arial" w:eastAsia="Times New Roman" w:hAnsi="Arial" w:cs="Times New Roman"/>
      <w:bCs/>
      <w:sz w:val="18"/>
      <w:lang w:val="en-IE" w:bidi="en-US"/>
    </w:rPr>
  </w:style>
  <w:style w:type="paragraph" w:customStyle="1" w:styleId="Parai5">
    <w:name w:val="Para i.5"/>
    <w:basedOn w:val="Para5"/>
    <w:link w:val="Parai5Car"/>
    <w:rsid w:val="007B3D5C"/>
    <w:pPr>
      <w:spacing w:after="120"/>
      <w:ind w:left="1559" w:hanging="425"/>
    </w:pPr>
  </w:style>
  <w:style w:type="paragraph" w:customStyle="1" w:styleId="Para6">
    <w:name w:val="Para 6"/>
    <w:basedOn w:val="Parai5"/>
    <w:rsid w:val="007B3D5C"/>
    <w:pPr>
      <w:ind w:firstLine="0"/>
    </w:pPr>
  </w:style>
  <w:style w:type="paragraph" w:customStyle="1" w:styleId="Parai35">
    <w:name w:val="Para i.3.5"/>
    <w:basedOn w:val="Parai5"/>
    <w:rsid w:val="007B3D5C"/>
    <w:pPr>
      <w:tabs>
        <w:tab w:val="left" w:pos="2835"/>
        <w:tab w:val="left" w:pos="4536"/>
      </w:tabs>
      <w:ind w:firstLine="0"/>
    </w:pPr>
  </w:style>
  <w:style w:type="paragraph" w:customStyle="1" w:styleId="paraii35">
    <w:name w:val="para ii.3.5"/>
    <w:basedOn w:val="Parai35"/>
    <w:rsid w:val="007B3D5C"/>
    <w:pPr>
      <w:tabs>
        <w:tab w:val="clear" w:pos="2835"/>
        <w:tab w:val="clear" w:pos="4536"/>
      </w:tabs>
      <w:ind w:left="1984" w:hanging="425"/>
    </w:pPr>
  </w:style>
  <w:style w:type="paragraph" w:customStyle="1" w:styleId="Tablefn">
    <w:name w:val="Table fn"/>
    <w:basedOn w:val="Para10"/>
    <w:rsid w:val="007B3D5C"/>
    <w:pPr>
      <w:spacing w:before="240"/>
      <w:jc w:val="center"/>
    </w:pPr>
    <w:rPr>
      <w:sz w:val="16"/>
    </w:rPr>
  </w:style>
  <w:style w:type="paragraph" w:customStyle="1" w:styleId="TableHead">
    <w:name w:val="Table Head"/>
    <w:basedOn w:val="Para5"/>
    <w:link w:val="TableHeadCar"/>
    <w:rsid w:val="007B3D5C"/>
    <w:pPr>
      <w:spacing w:before="120" w:after="120"/>
      <w:ind w:left="0"/>
      <w:jc w:val="center"/>
    </w:pPr>
    <w:rPr>
      <w:rFonts w:ascii="Ottawa" w:hAnsi="Ottawa"/>
      <w:b/>
    </w:rPr>
  </w:style>
  <w:style w:type="paragraph" w:customStyle="1" w:styleId="Tabletext">
    <w:name w:val="Table text"/>
    <w:basedOn w:val="Para5"/>
    <w:rsid w:val="007B3D5C"/>
    <w:pPr>
      <w:spacing w:before="120" w:after="120"/>
      <w:ind w:left="0"/>
      <w:jc w:val="center"/>
    </w:pPr>
    <w:rPr>
      <w:rFonts w:cs="Arial"/>
    </w:rPr>
  </w:style>
  <w:style w:type="paragraph" w:customStyle="1" w:styleId="Tabletitle">
    <w:name w:val="Table title"/>
    <w:basedOn w:val="Para5"/>
    <w:link w:val="TabletitleCar"/>
    <w:autoRedefine/>
    <w:rsid w:val="006237A8"/>
    <w:pPr>
      <w:ind w:left="0"/>
      <w:jc w:val="center"/>
    </w:pPr>
    <w:rPr>
      <w:rFonts w:ascii="Ottawa" w:hAnsi="Ottawa"/>
      <w:b/>
      <w:i/>
    </w:rPr>
  </w:style>
  <w:style w:type="paragraph" w:customStyle="1" w:styleId="Title5a">
    <w:name w:val="Title 5a"/>
    <w:basedOn w:val="Para5"/>
    <w:link w:val="Title5aCar"/>
    <w:rsid w:val="007B3D5C"/>
    <w:pPr>
      <w:spacing w:before="240" w:after="120"/>
    </w:pPr>
    <w:rPr>
      <w:rFonts w:ascii="Ottawa" w:hAnsi="Ottawa"/>
      <w:i/>
    </w:rPr>
  </w:style>
  <w:style w:type="paragraph" w:customStyle="1" w:styleId="Title6">
    <w:name w:val="Title 6"/>
    <w:basedOn w:val="Para5"/>
    <w:rsid w:val="007B3D5C"/>
    <w:pPr>
      <w:spacing w:after="120"/>
      <w:ind w:left="1559"/>
    </w:pPr>
    <w:rPr>
      <w:rFonts w:ascii="Ottawa" w:hAnsi="Ottawa"/>
      <w:i/>
    </w:rPr>
  </w:style>
  <w:style w:type="paragraph" w:customStyle="1" w:styleId="Buffertext">
    <w:name w:val="Buffer text"/>
    <w:basedOn w:val="Para5"/>
    <w:link w:val="BuffertextCar"/>
    <w:rsid w:val="007B3D5C"/>
    <w:pPr>
      <w:tabs>
        <w:tab w:val="left" w:pos="5670"/>
      </w:tabs>
      <w:spacing w:after="0"/>
    </w:pPr>
    <w:rPr>
      <w:rFonts w:cs="Arial"/>
      <w:lang w:val="pt-BR"/>
    </w:rPr>
  </w:style>
  <w:style w:type="paragraph" w:customStyle="1" w:styleId="buffertextlast">
    <w:name w:val="buffer text last"/>
    <w:basedOn w:val="Buffertext"/>
    <w:link w:val="buffertextlastCar"/>
    <w:rsid w:val="007B3D5C"/>
    <w:pPr>
      <w:spacing w:after="240"/>
    </w:pPr>
    <w:rPr>
      <w:szCs w:val="18"/>
    </w:rPr>
  </w:style>
  <w:style w:type="paragraph" w:customStyle="1" w:styleId="ien-tte">
    <w:name w:val="i en-tête"/>
    <w:basedOn w:val="a6"/>
    <w:rsid w:val="007B3D5C"/>
    <w:pPr>
      <w:tabs>
        <w:tab w:val="clear" w:pos="4513"/>
        <w:tab w:val="clear" w:pos="9026"/>
        <w:tab w:val="center" w:pos="4536"/>
        <w:tab w:val="right" w:pos="9072"/>
      </w:tabs>
      <w:spacing w:after="240"/>
    </w:pPr>
    <w:rPr>
      <w:rFonts w:ascii="Ottawa" w:eastAsia="Times New Roman" w:hAnsi="Ottawa" w:cs="Times New Roman"/>
      <w:sz w:val="18"/>
      <w:lang w:val="en-US" w:bidi="en-US"/>
    </w:rPr>
  </w:style>
  <w:style w:type="character" w:styleId="aff3">
    <w:name w:val="line number"/>
    <w:rsid w:val="007B3D5C"/>
    <w:rPr>
      <w:rFonts w:ascii="Arial" w:hAnsi="Arial"/>
      <w:sz w:val="16"/>
    </w:rPr>
  </w:style>
  <w:style w:type="character" w:styleId="aff4">
    <w:name w:val="Emphasis"/>
    <w:uiPriority w:val="20"/>
    <w:qFormat/>
    <w:rsid w:val="007B3D5C"/>
    <w:rPr>
      <w:i/>
      <w:iCs/>
    </w:rPr>
  </w:style>
  <w:style w:type="paragraph" w:customStyle="1" w:styleId="solutionstext">
    <w:name w:val="solutions text"/>
    <w:basedOn w:val="Para5"/>
    <w:rsid w:val="007B3D5C"/>
    <w:pPr>
      <w:tabs>
        <w:tab w:val="left" w:pos="5670"/>
      </w:tabs>
      <w:spacing w:after="0"/>
      <w:ind w:left="0"/>
    </w:pPr>
    <w:rPr>
      <w:rFonts w:cs="Arial"/>
      <w:lang w:val="pt-BR"/>
    </w:rPr>
  </w:style>
  <w:style w:type="paragraph" w:customStyle="1" w:styleId="Parai6">
    <w:name w:val="Para i.6"/>
    <w:basedOn w:val="Parai5"/>
    <w:qFormat/>
    <w:rsid w:val="007B3D5C"/>
    <w:pPr>
      <w:ind w:left="1984"/>
    </w:pPr>
  </w:style>
  <w:style w:type="paragraph" w:customStyle="1" w:styleId="Para7">
    <w:name w:val="Para 7"/>
    <w:basedOn w:val="Para6"/>
    <w:qFormat/>
    <w:rsid w:val="007B3D5C"/>
    <w:pPr>
      <w:ind w:left="1701"/>
    </w:pPr>
  </w:style>
  <w:style w:type="paragraph" w:customStyle="1" w:styleId="Para7i">
    <w:name w:val="Para 7i"/>
    <w:basedOn w:val="Title6"/>
    <w:qFormat/>
    <w:rsid w:val="007B3D5C"/>
    <w:pPr>
      <w:ind w:left="2126" w:hanging="425"/>
    </w:pPr>
    <w:rPr>
      <w:rFonts w:ascii="Arial" w:hAnsi="Arial" w:cs="Arial"/>
      <w:i w:val="0"/>
      <w:szCs w:val="18"/>
    </w:rPr>
  </w:style>
  <w:style w:type="paragraph" w:customStyle="1" w:styleId="Para5a">
    <w:name w:val="Para 5a"/>
    <w:basedOn w:val="Para5"/>
    <w:qFormat/>
    <w:rsid w:val="007B3D5C"/>
    <w:pPr>
      <w:ind w:left="1418"/>
    </w:pPr>
    <w:rPr>
      <w:lang w:bidi="ar-SA"/>
    </w:rPr>
  </w:style>
  <w:style w:type="paragraph" w:styleId="HTML">
    <w:name w:val="HTML Preformatted"/>
    <w:basedOn w:val="a0"/>
    <w:link w:val="HTML0"/>
    <w:rsid w:val="007B3D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ahoma" w:eastAsia="Times New Roman" w:hAnsi="Tahoma" w:cs="Tahoma"/>
      <w:sz w:val="20"/>
      <w:szCs w:val="20"/>
      <w:lang w:val="en-US" w:bidi="th-TH"/>
    </w:rPr>
  </w:style>
  <w:style w:type="character" w:customStyle="1" w:styleId="HTML0">
    <w:name w:val="HTML 預設格式 字元"/>
    <w:basedOn w:val="a1"/>
    <w:link w:val="HTML"/>
    <w:rsid w:val="007B3D5C"/>
    <w:rPr>
      <w:rFonts w:ascii="Tahoma" w:eastAsia="Times New Roman" w:hAnsi="Tahoma" w:cs="Tahoma"/>
      <w:sz w:val="20"/>
      <w:szCs w:val="20"/>
      <w:lang w:val="en-US" w:bidi="th-TH"/>
    </w:rPr>
  </w:style>
  <w:style w:type="character" w:customStyle="1" w:styleId="CarCar5">
    <w:name w:val="Car Car5"/>
    <w:rsid w:val="007B3D5C"/>
    <w:rPr>
      <w:rFonts w:ascii="Ottawa" w:hAnsi="Ottawa"/>
      <w:b/>
      <w:spacing w:val="-10"/>
      <w:kern w:val="28"/>
      <w:position w:val="6"/>
      <w:sz w:val="22"/>
      <w:szCs w:val="22"/>
      <w:lang w:val="en-US" w:eastAsia="en-US" w:bidi="en-US"/>
    </w:rPr>
  </w:style>
  <w:style w:type="character" w:customStyle="1" w:styleId="CarCar4">
    <w:name w:val="Car Car4"/>
    <w:rsid w:val="007B3D5C"/>
    <w:rPr>
      <w:rFonts w:ascii="TradeGothic Bold" w:hAnsi="TradeGothic Bold"/>
      <w:spacing w:val="-10"/>
      <w:kern w:val="28"/>
      <w:position w:val="6"/>
      <w:sz w:val="21"/>
      <w:szCs w:val="22"/>
      <w:lang w:val="en-US" w:eastAsia="fr-FR" w:bidi="en-US"/>
    </w:rPr>
  </w:style>
  <w:style w:type="character" w:customStyle="1" w:styleId="CarCar3">
    <w:name w:val="Car Car3"/>
    <w:rsid w:val="007B3D5C"/>
    <w:rPr>
      <w:rFonts w:ascii="Ottawa" w:hAnsi="Ottawa"/>
      <w:b/>
      <w:spacing w:val="-4"/>
      <w:kern w:val="28"/>
      <w:sz w:val="19"/>
      <w:szCs w:val="22"/>
      <w:lang w:val="en-US" w:eastAsia="fr-FR" w:bidi="en-US"/>
    </w:rPr>
  </w:style>
  <w:style w:type="character" w:customStyle="1" w:styleId="CarCar2">
    <w:name w:val="Car Car2"/>
    <w:rsid w:val="007B3D5C"/>
    <w:rPr>
      <w:rFonts w:ascii="Ottawa" w:hAnsi="Ottawa"/>
      <w:b/>
      <w:spacing w:val="-4"/>
      <w:kern w:val="28"/>
      <w:sz w:val="18"/>
      <w:szCs w:val="22"/>
      <w:lang w:val="en-US" w:eastAsia="fr-FR" w:bidi="en-US"/>
    </w:rPr>
  </w:style>
  <w:style w:type="character" w:customStyle="1" w:styleId="CarCar1">
    <w:name w:val="Car Car1"/>
    <w:rsid w:val="007B3D5C"/>
    <w:rPr>
      <w:rFonts w:ascii="Ottawa" w:hAnsi="Ottawa"/>
      <w:i/>
      <w:spacing w:val="-4"/>
      <w:kern w:val="28"/>
      <w:sz w:val="18"/>
      <w:lang w:val="en-US" w:eastAsia="en-US" w:bidi="en-US"/>
    </w:rPr>
  </w:style>
  <w:style w:type="paragraph" w:styleId="aff5">
    <w:name w:val="Title"/>
    <w:basedOn w:val="a0"/>
    <w:next w:val="a0"/>
    <w:link w:val="aff6"/>
    <w:qFormat/>
    <w:rsid w:val="007B3D5C"/>
    <w:pPr>
      <w:spacing w:before="240" w:after="240" w:line="240" w:lineRule="auto"/>
      <w:ind w:left="357"/>
      <w:jc w:val="center"/>
    </w:pPr>
    <w:rPr>
      <w:rFonts w:ascii="Rockwell" w:eastAsia="Times New Roman" w:hAnsi="Rockwell" w:cs="Times New Roman"/>
      <w:bCs/>
      <w:iCs/>
      <w:spacing w:val="20"/>
      <w:sz w:val="20"/>
      <w:szCs w:val="60"/>
      <w:lang w:val="en-US" w:bidi="en-US"/>
    </w:rPr>
  </w:style>
  <w:style w:type="character" w:customStyle="1" w:styleId="aff6">
    <w:name w:val="標題 字元"/>
    <w:basedOn w:val="a1"/>
    <w:link w:val="aff5"/>
    <w:rsid w:val="007B3D5C"/>
    <w:rPr>
      <w:rFonts w:ascii="Rockwell" w:eastAsia="Times New Roman" w:hAnsi="Rockwell" w:cs="Times New Roman"/>
      <w:bCs/>
      <w:iCs/>
      <w:spacing w:val="20"/>
      <w:sz w:val="20"/>
      <w:szCs w:val="60"/>
      <w:lang w:val="en-US" w:bidi="en-US"/>
    </w:rPr>
  </w:style>
  <w:style w:type="character" w:customStyle="1" w:styleId="CarCar">
    <w:name w:val="Car Car"/>
    <w:rsid w:val="007B3D5C"/>
    <w:rPr>
      <w:rFonts w:ascii="Rockwell" w:hAnsi="Rockwell"/>
      <w:bCs/>
      <w:iCs/>
      <w:spacing w:val="20"/>
      <w:szCs w:val="60"/>
      <w:lang w:val="en-US" w:eastAsia="en-US" w:bidi="en-US"/>
    </w:rPr>
  </w:style>
  <w:style w:type="character" w:customStyle="1" w:styleId="Text4">
    <w:name w:val="Text 4"/>
    <w:rsid w:val="007B3D5C"/>
    <w:rPr>
      <w:rFonts w:ascii="TradeGothic" w:hAnsi="TradeGothic"/>
      <w:b/>
      <w:bCs/>
      <w:sz w:val="20"/>
      <w:szCs w:val="22"/>
      <w:lang w:val="en-IE" w:eastAsia="fr-FR" w:bidi="ar-SA"/>
    </w:rPr>
  </w:style>
  <w:style w:type="paragraph" w:customStyle="1" w:styleId="Text1">
    <w:name w:val="Text 1"/>
    <w:basedOn w:val="a0"/>
    <w:rsid w:val="007B3D5C"/>
    <w:pPr>
      <w:spacing w:after="240" w:line="240" w:lineRule="auto"/>
      <w:ind w:left="284"/>
      <w:jc w:val="both"/>
    </w:pPr>
    <w:rPr>
      <w:rFonts w:ascii="Garamond" w:eastAsia="Times New Roman" w:hAnsi="Garamond" w:cs="Times New Roman"/>
      <w:szCs w:val="20"/>
      <w:lang w:val="en-IE" w:eastAsia="fr-FR"/>
    </w:rPr>
  </w:style>
  <w:style w:type="character" w:customStyle="1" w:styleId="StyleText1111bulletNonGrasCar">
    <w:name w:val="Style Text 1.1.1.1 bullet + Non Gras Car"/>
    <w:rsid w:val="007B3D5C"/>
    <w:rPr>
      <w:rFonts w:ascii="Garamond" w:hAnsi="Garamond"/>
      <w:bCs/>
      <w:sz w:val="22"/>
      <w:szCs w:val="22"/>
      <w:lang w:val="en-IE" w:eastAsia="fr-FR" w:bidi="ar-SA"/>
    </w:rPr>
  </w:style>
  <w:style w:type="character" w:customStyle="1" w:styleId="Text1111bulletCar">
    <w:name w:val="Text 1.1.1.1 bullet Car"/>
    <w:rsid w:val="007B3D5C"/>
    <w:rPr>
      <w:rFonts w:ascii="Garamond" w:hAnsi="Garamond"/>
      <w:sz w:val="22"/>
      <w:szCs w:val="22"/>
      <w:lang w:val="en-IE" w:eastAsia="fr-FR" w:bidi="ar-SA"/>
    </w:rPr>
  </w:style>
  <w:style w:type="paragraph" w:customStyle="1" w:styleId="Level1">
    <w:name w:val="Level 1"/>
    <w:basedOn w:val="a0"/>
    <w:rsid w:val="007B3D5C"/>
    <w:pPr>
      <w:widowControl w:val="0"/>
      <w:autoSpaceDE w:val="0"/>
      <w:autoSpaceDN w:val="0"/>
      <w:adjustRightInd w:val="0"/>
      <w:spacing w:after="0" w:line="240" w:lineRule="auto"/>
      <w:ind w:left="720" w:hanging="360"/>
    </w:pPr>
    <w:rPr>
      <w:rFonts w:ascii="Times New Roman" w:eastAsia="Times New Roman" w:hAnsi="Times New Roman" w:cs="Times New Roman"/>
      <w:sz w:val="24"/>
      <w:szCs w:val="24"/>
      <w:lang w:val="en-US" w:eastAsia="fr-FR"/>
    </w:rPr>
  </w:style>
  <w:style w:type="character" w:customStyle="1" w:styleId="StyleText1111bulletLatin9ptLatinGrasCar">
    <w:name w:val="Style Text 1.1.1.1 bullet + (Latin) 9 pt (Latin) Gras Car"/>
    <w:link w:val="StyleText1111bulletLatin9ptLatinGras"/>
    <w:rsid w:val="007B3D5C"/>
    <w:rPr>
      <w:rFonts w:ascii="Garamond" w:hAnsi="Garamond"/>
      <w:b/>
      <w:sz w:val="18"/>
      <w:lang w:val="en-IE" w:eastAsia="fr-FR"/>
    </w:rPr>
  </w:style>
  <w:style w:type="paragraph" w:customStyle="1" w:styleId="111">
    <w:name w:val="1.1.1."/>
    <w:basedOn w:val="a0"/>
    <w:rsid w:val="007B3D5C"/>
    <w:pPr>
      <w:spacing w:after="120" w:line="240" w:lineRule="auto"/>
      <w:ind w:left="851" w:hanging="567"/>
      <w:jc w:val="both"/>
    </w:pPr>
    <w:rPr>
      <w:rFonts w:ascii="Ottawa" w:eastAsia="Times New Roman" w:hAnsi="Ottawa" w:cs="Times New Roman"/>
      <w:b/>
      <w:bCs/>
      <w:sz w:val="20"/>
      <w:lang w:eastAsia="fr-FR"/>
    </w:rPr>
  </w:style>
  <w:style w:type="paragraph" w:customStyle="1" w:styleId="i0">
    <w:name w:val="i)"/>
    <w:basedOn w:val="a0"/>
    <w:link w:val="iTegn"/>
    <w:rsid w:val="007B3D5C"/>
    <w:pPr>
      <w:spacing w:after="120" w:line="240" w:lineRule="auto"/>
      <w:ind w:left="1417" w:hanging="425"/>
      <w:jc w:val="both"/>
    </w:pPr>
    <w:rPr>
      <w:rFonts w:ascii="Garamond" w:eastAsia="Times New Roman" w:hAnsi="Garamond" w:cs="Times New Roman"/>
      <w:lang w:eastAsia="fr-FR"/>
    </w:rPr>
  </w:style>
  <w:style w:type="paragraph" w:customStyle="1" w:styleId="solutionstextlast">
    <w:name w:val="solutions text last"/>
    <w:basedOn w:val="solutionstext"/>
    <w:rsid w:val="007B3D5C"/>
    <w:pPr>
      <w:spacing w:after="120"/>
    </w:pPr>
    <w:rPr>
      <w:lang w:val="en-GB"/>
    </w:rPr>
  </w:style>
  <w:style w:type="character" w:customStyle="1" w:styleId="Para5Car">
    <w:name w:val="Para 5 Car"/>
    <w:rsid w:val="007B3D5C"/>
    <w:rPr>
      <w:rFonts w:ascii="Arial" w:hAnsi="Arial"/>
      <w:bCs/>
      <w:sz w:val="18"/>
      <w:szCs w:val="22"/>
      <w:lang w:val="en-IE" w:eastAsia="en-US" w:bidi="en-US"/>
    </w:rPr>
  </w:style>
  <w:style w:type="character" w:customStyle="1" w:styleId="solutionstextCar">
    <w:name w:val="solutions text Car"/>
    <w:rsid w:val="007B3D5C"/>
    <w:rPr>
      <w:rFonts w:ascii="Arial" w:hAnsi="Arial" w:cs="Arial"/>
      <w:bCs/>
      <w:sz w:val="18"/>
      <w:szCs w:val="22"/>
      <w:lang w:val="pt-BR" w:eastAsia="en-US" w:bidi="en-US"/>
    </w:rPr>
  </w:style>
  <w:style w:type="character" w:customStyle="1" w:styleId="solutionstextlastCar">
    <w:name w:val="solutions text last Car"/>
    <w:rsid w:val="007B3D5C"/>
    <w:rPr>
      <w:rFonts w:ascii="Arial" w:hAnsi="Arial" w:cs="Arial"/>
      <w:bCs/>
      <w:sz w:val="18"/>
      <w:szCs w:val="22"/>
      <w:lang w:val="en-GB" w:eastAsia="en-US" w:bidi="en-US"/>
    </w:rPr>
  </w:style>
  <w:style w:type="paragraph" w:customStyle="1" w:styleId="StylePara2Aprs10pt">
    <w:name w:val="Style Para 2 + Après : 10 pt"/>
    <w:basedOn w:val="Para20"/>
    <w:rsid w:val="007B3D5C"/>
    <w:pPr>
      <w:spacing w:after="200"/>
    </w:pPr>
    <w:rPr>
      <w:szCs w:val="20"/>
    </w:rPr>
  </w:style>
  <w:style w:type="paragraph" w:customStyle="1" w:styleId="CarCar1Car">
    <w:name w:val="Car Car1 Car"/>
    <w:basedOn w:val="a0"/>
    <w:rsid w:val="007B3D5C"/>
    <w:pPr>
      <w:spacing w:after="0" w:line="240" w:lineRule="auto"/>
    </w:pPr>
    <w:rPr>
      <w:rFonts w:ascii="Times New Roman" w:eastAsia="Times New Roman" w:hAnsi="Times New Roman" w:cs="Times New Roman"/>
      <w:sz w:val="24"/>
      <w:szCs w:val="24"/>
      <w:lang w:val="pl-PL" w:eastAsia="pl-PL"/>
    </w:rPr>
  </w:style>
  <w:style w:type="paragraph" w:customStyle="1" w:styleId="Reflabnote">
    <w:name w:val="Ref_lab_note"/>
    <w:basedOn w:val="a0"/>
    <w:link w:val="ReflabnoteCar"/>
    <w:rsid w:val="007B3D5C"/>
    <w:pPr>
      <w:spacing w:before="120" w:after="120" w:line="240" w:lineRule="auto"/>
      <w:jc w:val="center"/>
    </w:pPr>
    <w:rPr>
      <w:rFonts w:ascii="Arial" w:eastAsia="Times New Roman" w:hAnsi="Arial" w:cs="Arial"/>
      <w:sz w:val="18"/>
      <w:szCs w:val="18"/>
      <w:lang w:eastAsia="fr-FR"/>
    </w:rPr>
  </w:style>
  <w:style w:type="character" w:customStyle="1" w:styleId="ReflabnoteCar">
    <w:name w:val="Ref_lab_note Car"/>
    <w:link w:val="Reflabnote"/>
    <w:rsid w:val="007B3D5C"/>
    <w:rPr>
      <w:rFonts w:ascii="Arial" w:eastAsia="Times New Roman" w:hAnsi="Arial" w:cs="Arial"/>
      <w:sz w:val="18"/>
      <w:szCs w:val="18"/>
      <w:lang w:eastAsia="fr-FR"/>
    </w:rPr>
  </w:style>
  <w:style w:type="character" w:customStyle="1" w:styleId="jrnl">
    <w:name w:val="jrnl"/>
    <w:basedOn w:val="a1"/>
    <w:rsid w:val="007B3D5C"/>
  </w:style>
  <w:style w:type="paragraph" w:customStyle="1" w:styleId="Base1">
    <w:name w:val="Base1"/>
    <w:rsid w:val="007B3D5C"/>
    <w:pPr>
      <w:spacing w:after="240" w:line="200" w:lineRule="atLeast"/>
      <w:ind w:left="425"/>
      <w:jc w:val="both"/>
    </w:pPr>
    <w:rPr>
      <w:rFonts w:ascii="Arial" w:eastAsia="Times New Roman" w:hAnsi="Arial" w:cs="Times New Roman"/>
      <w:color w:val="000000"/>
      <w:sz w:val="19"/>
      <w:szCs w:val="20"/>
      <w:lang w:val="fr-FR" w:eastAsia="en-GB"/>
    </w:rPr>
  </w:style>
  <w:style w:type="character" w:customStyle="1" w:styleId="st1">
    <w:name w:val="st1"/>
    <w:rsid w:val="007B3D5C"/>
  </w:style>
  <w:style w:type="character" w:customStyle="1" w:styleId="apple-converted-space">
    <w:name w:val="apple-converted-space"/>
    <w:basedOn w:val="a1"/>
    <w:rsid w:val="007B3D5C"/>
  </w:style>
  <w:style w:type="character" w:customStyle="1" w:styleId="Para1Char">
    <w:name w:val="Para 1 Char"/>
    <w:rsid w:val="007B3D5C"/>
    <w:rPr>
      <w:rFonts w:ascii="Arial" w:hAnsi="Arial"/>
      <w:sz w:val="18"/>
      <w:szCs w:val="22"/>
      <w:lang w:val="en-IE" w:eastAsia="en-US" w:bidi="en-US"/>
    </w:rPr>
  </w:style>
  <w:style w:type="character" w:customStyle="1" w:styleId="Para3Char">
    <w:name w:val="Para 3 Char"/>
    <w:rsid w:val="007B3D5C"/>
    <w:rPr>
      <w:rFonts w:ascii="Arial" w:hAnsi="Arial"/>
      <w:bCs/>
      <w:sz w:val="18"/>
      <w:szCs w:val="22"/>
      <w:lang w:val="en-IE" w:eastAsia="en-US" w:bidi="ar-SA"/>
    </w:rPr>
  </w:style>
  <w:style w:type="paragraph" w:customStyle="1" w:styleId="Title2">
    <w:name w:val="Title 2"/>
    <w:basedOn w:val="a0"/>
    <w:qFormat/>
    <w:rsid w:val="007B3D5C"/>
    <w:pPr>
      <w:spacing w:before="240" w:after="240" w:line="240" w:lineRule="auto"/>
      <w:ind w:left="357"/>
      <w:jc w:val="center"/>
    </w:pPr>
    <w:rPr>
      <w:rFonts w:ascii="Arial" w:eastAsia="Times New Roman" w:hAnsi="Arial" w:cs="Times New Roman"/>
      <w:b/>
      <w:bCs/>
      <w:iCs/>
      <w:spacing w:val="20"/>
      <w:szCs w:val="60"/>
      <w:lang w:val="en-US" w:bidi="en-US"/>
    </w:rPr>
  </w:style>
  <w:style w:type="paragraph" w:customStyle="1" w:styleId="StylesolutionstextTradeGothicBoldCentrAvant6ptApr">
    <w:name w:val="Style solutions text + TradeGothic Bold Centré Avant : 6 pt Aprè..."/>
    <w:basedOn w:val="solutionstext"/>
    <w:rsid w:val="007B3D5C"/>
    <w:pPr>
      <w:spacing w:before="120" w:after="120"/>
      <w:jc w:val="center"/>
    </w:pPr>
    <w:rPr>
      <w:rFonts w:ascii="Ottawa" w:hAnsi="Ottawa" w:cs="Times New Roman"/>
      <w:b/>
      <w:bCs w:val="0"/>
      <w:szCs w:val="20"/>
    </w:rPr>
  </w:style>
  <w:style w:type="paragraph" w:customStyle="1" w:styleId="StylesolutionstextTradeGothicBoldCentr">
    <w:name w:val="Style solutions text + TradeGothic Bold Centré"/>
    <w:basedOn w:val="solutionstext"/>
    <w:rsid w:val="007B3D5C"/>
    <w:pPr>
      <w:jc w:val="center"/>
    </w:pPr>
    <w:rPr>
      <w:rFonts w:ascii="Ottawa" w:hAnsi="Ottawa" w:cs="Times New Roman"/>
      <w:bCs w:val="0"/>
      <w:szCs w:val="20"/>
    </w:rPr>
  </w:style>
  <w:style w:type="character" w:customStyle="1" w:styleId="Hyperlink0">
    <w:name w:val="Hyperlink.0"/>
    <w:rsid w:val="007B3D5C"/>
    <w:rPr>
      <w:color w:val="0000FF"/>
      <w:sz w:val="24"/>
      <w:szCs w:val="24"/>
      <w:u w:val="single" w:color="0000FF"/>
      <w:lang w:val="en-US"/>
    </w:rPr>
  </w:style>
  <w:style w:type="character" w:customStyle="1" w:styleId="highlight">
    <w:name w:val="highlight"/>
    <w:basedOn w:val="a1"/>
    <w:rsid w:val="007B3D5C"/>
  </w:style>
  <w:style w:type="character" w:customStyle="1" w:styleId="hps">
    <w:name w:val="hps"/>
    <w:basedOn w:val="a1"/>
    <w:rsid w:val="007B3D5C"/>
  </w:style>
  <w:style w:type="character" w:customStyle="1" w:styleId="longtext1">
    <w:name w:val="long_text1"/>
    <w:rsid w:val="007B3D5C"/>
    <w:rPr>
      <w:sz w:val="20"/>
      <w:szCs w:val="20"/>
    </w:rPr>
  </w:style>
  <w:style w:type="paragraph" w:styleId="aff7">
    <w:name w:val="Block Text"/>
    <w:basedOn w:val="a0"/>
    <w:rsid w:val="007B3D5C"/>
    <w:pPr>
      <w:spacing w:before="160" w:after="120" w:line="240" w:lineRule="auto"/>
      <w:ind w:left="1440" w:right="1440"/>
    </w:pPr>
    <w:rPr>
      <w:rFonts w:ascii="Times New Roman" w:eastAsia="SimSun" w:hAnsi="Times New Roman" w:cs="Times New Roman"/>
      <w:sz w:val="20"/>
      <w:szCs w:val="20"/>
      <w:lang w:val="en-AU" w:eastAsia="zh-CN"/>
    </w:rPr>
  </w:style>
  <w:style w:type="paragraph" w:styleId="21">
    <w:name w:val="Body Text 2"/>
    <w:basedOn w:val="a0"/>
    <w:link w:val="22"/>
    <w:rsid w:val="007B3D5C"/>
    <w:pPr>
      <w:spacing w:before="160" w:after="120" w:line="480" w:lineRule="auto"/>
    </w:pPr>
    <w:rPr>
      <w:rFonts w:ascii="Times New Roman" w:eastAsia="SimSun" w:hAnsi="Times New Roman" w:cs="Times New Roman"/>
      <w:sz w:val="20"/>
      <w:szCs w:val="20"/>
      <w:lang w:val="en-AU" w:eastAsia="zh-CN"/>
    </w:rPr>
  </w:style>
  <w:style w:type="character" w:customStyle="1" w:styleId="22">
    <w:name w:val="本文 2 字元"/>
    <w:basedOn w:val="a1"/>
    <w:link w:val="21"/>
    <w:rsid w:val="007B3D5C"/>
    <w:rPr>
      <w:rFonts w:ascii="Times New Roman" w:eastAsia="SimSun" w:hAnsi="Times New Roman" w:cs="Times New Roman"/>
      <w:sz w:val="20"/>
      <w:szCs w:val="20"/>
      <w:lang w:val="en-AU" w:eastAsia="zh-CN"/>
    </w:rPr>
  </w:style>
  <w:style w:type="paragraph" w:styleId="aff8">
    <w:name w:val="Body Text First Indent"/>
    <w:basedOn w:val="aff0"/>
    <w:link w:val="aff9"/>
    <w:rsid w:val="007B3D5C"/>
    <w:pPr>
      <w:widowControl/>
      <w:autoSpaceDE/>
      <w:autoSpaceDN/>
      <w:spacing w:before="160" w:after="120"/>
      <w:ind w:firstLine="210"/>
    </w:pPr>
    <w:rPr>
      <w:rFonts w:ascii="Times New Roman" w:eastAsia="SimSun" w:hAnsi="Times New Roman" w:cs="Times New Roman"/>
      <w:sz w:val="20"/>
      <w:szCs w:val="20"/>
      <w:lang w:val="en-AU" w:eastAsia="zh-CN"/>
    </w:rPr>
  </w:style>
  <w:style w:type="character" w:customStyle="1" w:styleId="aff9">
    <w:name w:val="本文第一層縮排 字元"/>
    <w:basedOn w:val="aff1"/>
    <w:link w:val="aff8"/>
    <w:rsid w:val="007B3D5C"/>
    <w:rPr>
      <w:rFonts w:ascii="Times New Roman" w:eastAsia="SimSun" w:hAnsi="Times New Roman" w:cs="Times New Roman"/>
      <w:sz w:val="20"/>
      <w:szCs w:val="20"/>
      <w:lang w:val="en-AU" w:eastAsia="zh-CN"/>
    </w:rPr>
  </w:style>
  <w:style w:type="paragraph" w:styleId="affa">
    <w:name w:val="Body Text Indent"/>
    <w:basedOn w:val="a0"/>
    <w:link w:val="affb"/>
    <w:rsid w:val="007B3D5C"/>
    <w:pPr>
      <w:spacing w:before="160" w:after="120" w:line="240" w:lineRule="auto"/>
      <w:ind w:left="283"/>
    </w:pPr>
    <w:rPr>
      <w:rFonts w:ascii="Times New Roman" w:eastAsia="SimSun" w:hAnsi="Times New Roman" w:cs="Times New Roman"/>
      <w:sz w:val="20"/>
      <w:szCs w:val="20"/>
      <w:lang w:val="en-AU" w:eastAsia="zh-CN"/>
    </w:rPr>
  </w:style>
  <w:style w:type="character" w:customStyle="1" w:styleId="affb">
    <w:name w:val="本文縮排 字元"/>
    <w:basedOn w:val="a1"/>
    <w:link w:val="affa"/>
    <w:rsid w:val="007B3D5C"/>
    <w:rPr>
      <w:rFonts w:ascii="Times New Roman" w:eastAsia="SimSun" w:hAnsi="Times New Roman" w:cs="Times New Roman"/>
      <w:sz w:val="20"/>
      <w:szCs w:val="20"/>
      <w:lang w:val="en-AU" w:eastAsia="zh-CN"/>
    </w:rPr>
  </w:style>
  <w:style w:type="paragraph" w:styleId="23">
    <w:name w:val="Body Text First Indent 2"/>
    <w:basedOn w:val="affa"/>
    <w:link w:val="24"/>
    <w:uiPriority w:val="99"/>
    <w:rsid w:val="007B3D5C"/>
    <w:pPr>
      <w:ind w:firstLine="210"/>
    </w:pPr>
  </w:style>
  <w:style w:type="character" w:customStyle="1" w:styleId="24">
    <w:name w:val="本文第一層縮排 2 字元"/>
    <w:basedOn w:val="affb"/>
    <w:link w:val="23"/>
    <w:uiPriority w:val="99"/>
    <w:rsid w:val="007B3D5C"/>
    <w:rPr>
      <w:rFonts w:ascii="Times New Roman" w:eastAsia="SimSun" w:hAnsi="Times New Roman" w:cs="Times New Roman"/>
      <w:sz w:val="20"/>
      <w:szCs w:val="20"/>
      <w:lang w:val="en-AU" w:eastAsia="zh-CN"/>
    </w:rPr>
  </w:style>
  <w:style w:type="paragraph" w:styleId="25">
    <w:name w:val="Body Text Indent 2"/>
    <w:basedOn w:val="a0"/>
    <w:link w:val="26"/>
    <w:rsid w:val="007B3D5C"/>
    <w:pPr>
      <w:spacing w:before="160" w:after="120" w:line="480" w:lineRule="auto"/>
      <w:ind w:left="283"/>
    </w:pPr>
    <w:rPr>
      <w:rFonts w:ascii="Times New Roman" w:eastAsia="SimSun" w:hAnsi="Times New Roman" w:cs="Times New Roman"/>
      <w:sz w:val="20"/>
      <w:szCs w:val="20"/>
      <w:lang w:val="en-AU" w:eastAsia="zh-CN"/>
    </w:rPr>
  </w:style>
  <w:style w:type="character" w:customStyle="1" w:styleId="26">
    <w:name w:val="本文縮排 2 字元"/>
    <w:basedOn w:val="a1"/>
    <w:link w:val="25"/>
    <w:rsid w:val="007B3D5C"/>
    <w:rPr>
      <w:rFonts w:ascii="Times New Roman" w:eastAsia="SimSun" w:hAnsi="Times New Roman" w:cs="Times New Roman"/>
      <w:sz w:val="20"/>
      <w:szCs w:val="20"/>
      <w:lang w:val="en-AU" w:eastAsia="zh-CN"/>
    </w:rPr>
  </w:style>
  <w:style w:type="paragraph" w:styleId="33">
    <w:name w:val="Body Text Indent 3"/>
    <w:basedOn w:val="a0"/>
    <w:link w:val="34"/>
    <w:rsid w:val="007B3D5C"/>
    <w:pPr>
      <w:spacing w:before="160" w:after="120" w:line="240" w:lineRule="auto"/>
      <w:ind w:left="283"/>
    </w:pPr>
    <w:rPr>
      <w:rFonts w:ascii="Times New Roman" w:eastAsia="SimSun" w:hAnsi="Times New Roman" w:cs="Times New Roman"/>
      <w:sz w:val="16"/>
      <w:szCs w:val="16"/>
      <w:lang w:val="en-AU" w:eastAsia="zh-CN"/>
    </w:rPr>
  </w:style>
  <w:style w:type="character" w:customStyle="1" w:styleId="34">
    <w:name w:val="本文縮排 3 字元"/>
    <w:basedOn w:val="a1"/>
    <w:link w:val="33"/>
    <w:rsid w:val="007B3D5C"/>
    <w:rPr>
      <w:rFonts w:ascii="Times New Roman" w:eastAsia="SimSun" w:hAnsi="Times New Roman" w:cs="Times New Roman"/>
      <w:sz w:val="16"/>
      <w:szCs w:val="16"/>
      <w:lang w:val="en-AU" w:eastAsia="zh-CN"/>
    </w:rPr>
  </w:style>
  <w:style w:type="paragraph" w:styleId="affc">
    <w:name w:val="Closing"/>
    <w:basedOn w:val="a0"/>
    <w:link w:val="affd"/>
    <w:rsid w:val="007B3D5C"/>
    <w:pPr>
      <w:spacing w:before="160" w:after="0" w:line="240" w:lineRule="auto"/>
      <w:ind w:left="4252"/>
    </w:pPr>
    <w:rPr>
      <w:rFonts w:ascii="Times New Roman" w:eastAsia="SimSun" w:hAnsi="Times New Roman" w:cs="Times New Roman"/>
      <w:sz w:val="20"/>
      <w:szCs w:val="20"/>
      <w:lang w:val="en-AU" w:eastAsia="zh-CN"/>
    </w:rPr>
  </w:style>
  <w:style w:type="character" w:customStyle="1" w:styleId="affd">
    <w:name w:val="結語 字元"/>
    <w:basedOn w:val="a1"/>
    <w:link w:val="affc"/>
    <w:rsid w:val="007B3D5C"/>
    <w:rPr>
      <w:rFonts w:ascii="Times New Roman" w:eastAsia="SimSun" w:hAnsi="Times New Roman" w:cs="Times New Roman"/>
      <w:sz w:val="20"/>
      <w:szCs w:val="20"/>
      <w:lang w:val="en-AU" w:eastAsia="zh-CN"/>
    </w:rPr>
  </w:style>
  <w:style w:type="paragraph" w:styleId="affe">
    <w:name w:val="Date"/>
    <w:basedOn w:val="a0"/>
    <w:next w:val="a0"/>
    <w:link w:val="afff"/>
    <w:rsid w:val="007B3D5C"/>
    <w:pPr>
      <w:spacing w:before="160" w:after="0" w:line="240" w:lineRule="auto"/>
    </w:pPr>
    <w:rPr>
      <w:rFonts w:ascii="Times New Roman" w:eastAsia="SimSun" w:hAnsi="Times New Roman" w:cs="Times New Roman"/>
      <w:sz w:val="20"/>
      <w:szCs w:val="20"/>
      <w:lang w:val="en-AU" w:eastAsia="zh-CN"/>
    </w:rPr>
  </w:style>
  <w:style w:type="character" w:customStyle="1" w:styleId="afff">
    <w:name w:val="日期 字元"/>
    <w:basedOn w:val="a1"/>
    <w:link w:val="affe"/>
    <w:rsid w:val="007B3D5C"/>
    <w:rPr>
      <w:rFonts w:ascii="Times New Roman" w:eastAsia="SimSun" w:hAnsi="Times New Roman" w:cs="Times New Roman"/>
      <w:sz w:val="20"/>
      <w:szCs w:val="20"/>
      <w:lang w:val="en-AU" w:eastAsia="zh-CN"/>
    </w:rPr>
  </w:style>
  <w:style w:type="paragraph" w:styleId="afff0">
    <w:name w:val="E-mail Signature"/>
    <w:basedOn w:val="a0"/>
    <w:link w:val="afff1"/>
    <w:rsid w:val="007B3D5C"/>
    <w:pPr>
      <w:spacing w:before="160" w:after="0" w:line="240" w:lineRule="auto"/>
    </w:pPr>
    <w:rPr>
      <w:rFonts w:ascii="Times New Roman" w:eastAsia="SimSun" w:hAnsi="Times New Roman" w:cs="Times New Roman"/>
      <w:sz w:val="20"/>
      <w:szCs w:val="20"/>
      <w:lang w:val="en-AU" w:eastAsia="zh-CN"/>
    </w:rPr>
  </w:style>
  <w:style w:type="character" w:customStyle="1" w:styleId="afff1">
    <w:name w:val="電子郵件簽名 字元"/>
    <w:basedOn w:val="a1"/>
    <w:link w:val="afff0"/>
    <w:rsid w:val="007B3D5C"/>
    <w:rPr>
      <w:rFonts w:ascii="Times New Roman" w:eastAsia="SimSun" w:hAnsi="Times New Roman" w:cs="Times New Roman"/>
      <w:sz w:val="20"/>
      <w:szCs w:val="20"/>
      <w:lang w:val="en-AU" w:eastAsia="zh-CN"/>
    </w:rPr>
  </w:style>
  <w:style w:type="paragraph" w:styleId="afff2">
    <w:name w:val="envelope address"/>
    <w:basedOn w:val="a0"/>
    <w:rsid w:val="007B3D5C"/>
    <w:pPr>
      <w:framePr w:w="7920" w:h="1980" w:hRule="exact" w:hSpace="180" w:wrap="auto" w:hAnchor="page" w:xAlign="center" w:yAlign="bottom"/>
      <w:spacing w:before="160" w:after="0" w:line="240" w:lineRule="auto"/>
      <w:ind w:left="2880"/>
    </w:pPr>
    <w:rPr>
      <w:rFonts w:ascii="Arial" w:eastAsia="SimSun" w:hAnsi="Arial" w:cs="Arial"/>
      <w:sz w:val="20"/>
      <w:szCs w:val="20"/>
      <w:lang w:val="en-AU" w:eastAsia="zh-CN"/>
    </w:rPr>
  </w:style>
  <w:style w:type="paragraph" w:styleId="afff3">
    <w:name w:val="envelope return"/>
    <w:basedOn w:val="a0"/>
    <w:rsid w:val="007B3D5C"/>
    <w:pPr>
      <w:spacing w:before="160" w:after="0" w:line="240" w:lineRule="auto"/>
    </w:pPr>
    <w:rPr>
      <w:rFonts w:ascii="Arial" w:eastAsia="SimSun" w:hAnsi="Arial" w:cs="Arial"/>
      <w:sz w:val="20"/>
      <w:szCs w:val="20"/>
      <w:lang w:val="en-AU" w:eastAsia="zh-CN"/>
    </w:rPr>
  </w:style>
  <w:style w:type="character" w:styleId="HTML1">
    <w:name w:val="HTML Acronym"/>
    <w:rsid w:val="007B3D5C"/>
  </w:style>
  <w:style w:type="paragraph" w:styleId="HTML2">
    <w:name w:val="HTML Address"/>
    <w:basedOn w:val="a0"/>
    <w:link w:val="HTML3"/>
    <w:rsid w:val="007B3D5C"/>
    <w:pPr>
      <w:spacing w:before="160" w:after="0" w:line="240" w:lineRule="auto"/>
    </w:pPr>
    <w:rPr>
      <w:rFonts w:ascii="Times New Roman" w:eastAsia="SimSun" w:hAnsi="Times New Roman" w:cs="Times New Roman"/>
      <w:i/>
      <w:iCs/>
      <w:sz w:val="20"/>
      <w:szCs w:val="20"/>
      <w:lang w:val="en-AU" w:eastAsia="zh-CN"/>
    </w:rPr>
  </w:style>
  <w:style w:type="character" w:customStyle="1" w:styleId="HTML3">
    <w:name w:val="HTML 位址 字元"/>
    <w:basedOn w:val="a1"/>
    <w:link w:val="HTML2"/>
    <w:rsid w:val="007B3D5C"/>
    <w:rPr>
      <w:rFonts w:ascii="Times New Roman" w:eastAsia="SimSun" w:hAnsi="Times New Roman" w:cs="Times New Roman"/>
      <w:i/>
      <w:iCs/>
      <w:sz w:val="20"/>
      <w:szCs w:val="20"/>
      <w:lang w:val="en-AU" w:eastAsia="zh-CN"/>
    </w:rPr>
  </w:style>
  <w:style w:type="character" w:styleId="HTML4">
    <w:name w:val="HTML Cite"/>
    <w:rsid w:val="007B3D5C"/>
    <w:rPr>
      <w:i/>
      <w:iCs/>
    </w:rPr>
  </w:style>
  <w:style w:type="character" w:styleId="HTML5">
    <w:name w:val="HTML Code"/>
    <w:rsid w:val="007B3D5C"/>
    <w:rPr>
      <w:rFonts w:ascii="Courier New" w:hAnsi="Courier New" w:cs="Courier New"/>
      <w:sz w:val="20"/>
      <w:szCs w:val="20"/>
    </w:rPr>
  </w:style>
  <w:style w:type="character" w:styleId="HTML6">
    <w:name w:val="HTML Definition"/>
    <w:rsid w:val="007B3D5C"/>
    <w:rPr>
      <w:i/>
      <w:iCs/>
    </w:rPr>
  </w:style>
  <w:style w:type="character" w:styleId="HTML7">
    <w:name w:val="HTML Keyboard"/>
    <w:rsid w:val="007B3D5C"/>
    <w:rPr>
      <w:rFonts w:ascii="Courier New" w:hAnsi="Courier New" w:cs="Courier New"/>
      <w:sz w:val="20"/>
      <w:szCs w:val="20"/>
    </w:rPr>
  </w:style>
  <w:style w:type="character" w:styleId="HTML8">
    <w:name w:val="HTML Sample"/>
    <w:rsid w:val="007B3D5C"/>
    <w:rPr>
      <w:rFonts w:ascii="Courier New" w:hAnsi="Courier New" w:cs="Courier New"/>
    </w:rPr>
  </w:style>
  <w:style w:type="character" w:styleId="HTML9">
    <w:name w:val="HTML Typewriter"/>
    <w:rsid w:val="007B3D5C"/>
    <w:rPr>
      <w:rFonts w:ascii="Courier New" w:hAnsi="Courier New" w:cs="Courier New"/>
      <w:sz w:val="20"/>
      <w:szCs w:val="20"/>
    </w:rPr>
  </w:style>
  <w:style w:type="character" w:styleId="HTMLa">
    <w:name w:val="HTML Variable"/>
    <w:rsid w:val="007B3D5C"/>
    <w:rPr>
      <w:i/>
      <w:iCs/>
    </w:rPr>
  </w:style>
  <w:style w:type="paragraph" w:styleId="afff4">
    <w:name w:val="List"/>
    <w:basedOn w:val="a0"/>
    <w:rsid w:val="007B3D5C"/>
    <w:pPr>
      <w:spacing w:before="160" w:after="0" w:line="240" w:lineRule="auto"/>
      <w:ind w:left="283" w:hanging="283"/>
    </w:pPr>
    <w:rPr>
      <w:rFonts w:ascii="Times New Roman" w:eastAsia="SimSun" w:hAnsi="Times New Roman" w:cs="Times New Roman"/>
      <w:sz w:val="20"/>
      <w:szCs w:val="20"/>
      <w:lang w:val="en-AU" w:eastAsia="zh-CN"/>
    </w:rPr>
  </w:style>
  <w:style w:type="paragraph" w:styleId="27">
    <w:name w:val="List 2"/>
    <w:basedOn w:val="a0"/>
    <w:rsid w:val="007B3D5C"/>
    <w:pPr>
      <w:spacing w:before="160" w:after="0" w:line="240" w:lineRule="auto"/>
      <w:ind w:left="566" w:hanging="283"/>
    </w:pPr>
    <w:rPr>
      <w:rFonts w:ascii="Times New Roman" w:eastAsia="SimSun" w:hAnsi="Times New Roman" w:cs="Times New Roman"/>
      <w:sz w:val="20"/>
      <w:szCs w:val="20"/>
      <w:lang w:val="en-AU" w:eastAsia="zh-CN"/>
    </w:rPr>
  </w:style>
  <w:style w:type="paragraph" w:styleId="35">
    <w:name w:val="List 3"/>
    <w:basedOn w:val="a0"/>
    <w:rsid w:val="007B3D5C"/>
    <w:pPr>
      <w:spacing w:before="160" w:after="0" w:line="240" w:lineRule="auto"/>
      <w:ind w:left="849" w:hanging="283"/>
    </w:pPr>
    <w:rPr>
      <w:rFonts w:ascii="Times New Roman" w:eastAsia="SimSun" w:hAnsi="Times New Roman" w:cs="Times New Roman"/>
      <w:sz w:val="20"/>
      <w:szCs w:val="20"/>
      <w:lang w:val="en-AU" w:eastAsia="zh-CN"/>
    </w:rPr>
  </w:style>
  <w:style w:type="paragraph" w:styleId="42">
    <w:name w:val="List 4"/>
    <w:basedOn w:val="a0"/>
    <w:rsid w:val="007B3D5C"/>
    <w:pPr>
      <w:spacing w:before="160" w:after="0" w:line="240" w:lineRule="auto"/>
      <w:ind w:left="1132" w:hanging="283"/>
    </w:pPr>
    <w:rPr>
      <w:rFonts w:ascii="Times New Roman" w:eastAsia="SimSun" w:hAnsi="Times New Roman" w:cs="Times New Roman"/>
      <w:sz w:val="20"/>
      <w:szCs w:val="20"/>
      <w:lang w:val="en-AU" w:eastAsia="zh-CN"/>
    </w:rPr>
  </w:style>
  <w:style w:type="paragraph" w:styleId="51">
    <w:name w:val="List 5"/>
    <w:basedOn w:val="a0"/>
    <w:rsid w:val="007B3D5C"/>
    <w:pPr>
      <w:spacing w:before="160" w:after="0" w:line="240" w:lineRule="auto"/>
      <w:ind w:left="1415" w:hanging="283"/>
    </w:pPr>
    <w:rPr>
      <w:rFonts w:ascii="Times New Roman" w:eastAsia="SimSun" w:hAnsi="Times New Roman" w:cs="Times New Roman"/>
      <w:sz w:val="20"/>
      <w:szCs w:val="20"/>
      <w:lang w:val="en-AU" w:eastAsia="zh-CN"/>
    </w:rPr>
  </w:style>
  <w:style w:type="paragraph" w:styleId="28">
    <w:name w:val="List Bullet 2"/>
    <w:basedOn w:val="a0"/>
    <w:rsid w:val="007B3D5C"/>
    <w:pPr>
      <w:tabs>
        <w:tab w:val="num" w:pos="1440"/>
        <w:tab w:val="num" w:pos="1492"/>
      </w:tabs>
      <w:spacing w:before="160" w:after="0" w:line="240" w:lineRule="auto"/>
      <w:ind w:left="1440" w:hanging="360"/>
    </w:pPr>
    <w:rPr>
      <w:rFonts w:ascii="Times New Roman" w:eastAsia="SimSun" w:hAnsi="Times New Roman" w:cs="Times New Roman"/>
      <w:sz w:val="20"/>
      <w:szCs w:val="20"/>
      <w:lang w:val="en-AU" w:eastAsia="zh-CN"/>
    </w:rPr>
  </w:style>
  <w:style w:type="paragraph" w:styleId="36">
    <w:name w:val="List Bullet 3"/>
    <w:basedOn w:val="a0"/>
    <w:rsid w:val="007B3D5C"/>
    <w:pPr>
      <w:tabs>
        <w:tab w:val="num" w:pos="432"/>
        <w:tab w:val="num" w:pos="643"/>
      </w:tabs>
      <w:spacing w:before="160" w:after="0" w:line="240" w:lineRule="auto"/>
      <w:ind w:left="432" w:hanging="432"/>
    </w:pPr>
    <w:rPr>
      <w:rFonts w:ascii="Times New Roman" w:eastAsia="SimSun" w:hAnsi="Times New Roman" w:cs="Times New Roman"/>
      <w:sz w:val="20"/>
      <w:szCs w:val="20"/>
      <w:lang w:val="en-AU" w:eastAsia="zh-CN"/>
    </w:rPr>
  </w:style>
  <w:style w:type="paragraph" w:styleId="4">
    <w:name w:val="List Bullet 4"/>
    <w:basedOn w:val="a0"/>
    <w:rsid w:val="007B3D5C"/>
    <w:pPr>
      <w:numPr>
        <w:numId w:val="13"/>
      </w:numPr>
      <w:tabs>
        <w:tab w:val="num" w:pos="926"/>
      </w:tabs>
      <w:spacing w:before="160" w:after="0" w:line="240" w:lineRule="auto"/>
    </w:pPr>
    <w:rPr>
      <w:rFonts w:ascii="Times New Roman" w:eastAsia="SimSun" w:hAnsi="Times New Roman" w:cs="Times New Roman"/>
      <w:sz w:val="20"/>
      <w:szCs w:val="20"/>
      <w:lang w:val="en-AU" w:eastAsia="zh-CN"/>
    </w:rPr>
  </w:style>
  <w:style w:type="paragraph" w:styleId="52">
    <w:name w:val="List Bullet 5"/>
    <w:basedOn w:val="a0"/>
    <w:rsid w:val="007B3D5C"/>
    <w:pPr>
      <w:tabs>
        <w:tab w:val="num" w:pos="450"/>
        <w:tab w:val="num" w:pos="1209"/>
      </w:tabs>
      <w:spacing w:before="160" w:after="0" w:line="240" w:lineRule="auto"/>
      <w:ind w:left="450" w:hanging="450"/>
    </w:pPr>
    <w:rPr>
      <w:rFonts w:ascii="Times New Roman" w:eastAsia="SimSun" w:hAnsi="Times New Roman" w:cs="Times New Roman"/>
      <w:sz w:val="20"/>
      <w:szCs w:val="20"/>
      <w:lang w:val="en-AU" w:eastAsia="zh-CN"/>
    </w:rPr>
  </w:style>
  <w:style w:type="paragraph" w:styleId="afff5">
    <w:name w:val="List Continue"/>
    <w:basedOn w:val="a0"/>
    <w:rsid w:val="007B3D5C"/>
    <w:pPr>
      <w:spacing w:before="160" w:after="120" w:line="240" w:lineRule="auto"/>
      <w:ind w:left="283"/>
    </w:pPr>
    <w:rPr>
      <w:rFonts w:ascii="Times New Roman" w:eastAsia="SimSun" w:hAnsi="Times New Roman" w:cs="Times New Roman"/>
      <w:sz w:val="20"/>
      <w:szCs w:val="20"/>
      <w:lang w:val="en-AU" w:eastAsia="zh-CN"/>
    </w:rPr>
  </w:style>
  <w:style w:type="paragraph" w:styleId="29">
    <w:name w:val="List Continue 2"/>
    <w:basedOn w:val="a0"/>
    <w:rsid w:val="007B3D5C"/>
    <w:pPr>
      <w:spacing w:before="160" w:after="120" w:line="240" w:lineRule="auto"/>
      <w:ind w:left="566"/>
    </w:pPr>
    <w:rPr>
      <w:rFonts w:ascii="Times New Roman" w:eastAsia="SimSun" w:hAnsi="Times New Roman" w:cs="Times New Roman"/>
      <w:sz w:val="20"/>
      <w:szCs w:val="20"/>
      <w:lang w:val="en-AU" w:eastAsia="zh-CN"/>
    </w:rPr>
  </w:style>
  <w:style w:type="paragraph" w:styleId="37">
    <w:name w:val="List Continue 3"/>
    <w:basedOn w:val="a0"/>
    <w:rsid w:val="007B3D5C"/>
    <w:pPr>
      <w:spacing w:before="160" w:after="120" w:line="240" w:lineRule="auto"/>
      <w:ind w:left="849"/>
    </w:pPr>
    <w:rPr>
      <w:rFonts w:ascii="Times New Roman" w:eastAsia="SimSun" w:hAnsi="Times New Roman" w:cs="Times New Roman"/>
      <w:sz w:val="20"/>
      <w:szCs w:val="20"/>
      <w:lang w:val="en-AU" w:eastAsia="zh-CN"/>
    </w:rPr>
  </w:style>
  <w:style w:type="paragraph" w:styleId="43">
    <w:name w:val="List Continue 4"/>
    <w:basedOn w:val="a0"/>
    <w:rsid w:val="007B3D5C"/>
    <w:pPr>
      <w:spacing w:before="160" w:after="120" w:line="240" w:lineRule="auto"/>
      <w:ind w:left="1132"/>
    </w:pPr>
    <w:rPr>
      <w:rFonts w:ascii="Times New Roman" w:eastAsia="SimSun" w:hAnsi="Times New Roman" w:cs="Times New Roman"/>
      <w:sz w:val="20"/>
      <w:szCs w:val="20"/>
      <w:lang w:val="en-AU" w:eastAsia="zh-CN"/>
    </w:rPr>
  </w:style>
  <w:style w:type="paragraph" w:styleId="53">
    <w:name w:val="List Continue 5"/>
    <w:basedOn w:val="a0"/>
    <w:rsid w:val="007B3D5C"/>
    <w:pPr>
      <w:spacing w:before="160" w:after="120" w:line="240" w:lineRule="auto"/>
      <w:ind w:left="1415"/>
    </w:pPr>
    <w:rPr>
      <w:rFonts w:ascii="Times New Roman" w:eastAsia="SimSun" w:hAnsi="Times New Roman" w:cs="Times New Roman"/>
      <w:sz w:val="20"/>
      <w:szCs w:val="20"/>
      <w:lang w:val="en-AU" w:eastAsia="zh-CN"/>
    </w:rPr>
  </w:style>
  <w:style w:type="paragraph" w:styleId="2a">
    <w:name w:val="List Number 2"/>
    <w:basedOn w:val="a0"/>
    <w:rsid w:val="007B3D5C"/>
    <w:pPr>
      <w:tabs>
        <w:tab w:val="num" w:pos="570"/>
        <w:tab w:val="num" w:pos="1492"/>
      </w:tabs>
      <w:spacing w:before="160" w:after="0" w:line="240" w:lineRule="auto"/>
      <w:ind w:left="570" w:hanging="570"/>
    </w:pPr>
    <w:rPr>
      <w:rFonts w:ascii="Times New Roman" w:eastAsia="SimSun" w:hAnsi="Times New Roman" w:cs="Times New Roman"/>
      <w:sz w:val="20"/>
      <w:szCs w:val="20"/>
      <w:lang w:val="en-AU" w:eastAsia="zh-CN"/>
    </w:rPr>
  </w:style>
  <w:style w:type="paragraph" w:styleId="38">
    <w:name w:val="List Number 3"/>
    <w:basedOn w:val="a0"/>
    <w:rsid w:val="007B3D5C"/>
    <w:pPr>
      <w:tabs>
        <w:tab w:val="num" w:pos="432"/>
      </w:tabs>
      <w:spacing w:before="160" w:after="0" w:line="240" w:lineRule="auto"/>
      <w:ind w:left="432" w:hanging="432"/>
    </w:pPr>
    <w:rPr>
      <w:rFonts w:ascii="Times New Roman" w:eastAsia="SimSun" w:hAnsi="Times New Roman" w:cs="Times New Roman"/>
      <w:sz w:val="20"/>
      <w:szCs w:val="20"/>
      <w:lang w:val="en-AU" w:eastAsia="zh-CN"/>
    </w:rPr>
  </w:style>
  <w:style w:type="paragraph" w:styleId="44">
    <w:name w:val="List Number 4"/>
    <w:basedOn w:val="a0"/>
    <w:rsid w:val="007B3D5C"/>
    <w:pPr>
      <w:tabs>
        <w:tab w:val="num" w:pos="432"/>
        <w:tab w:val="num" w:pos="643"/>
      </w:tabs>
      <w:spacing w:before="160" w:after="0" w:line="240" w:lineRule="auto"/>
      <w:ind w:left="432" w:hanging="432"/>
    </w:pPr>
    <w:rPr>
      <w:rFonts w:ascii="Times New Roman" w:eastAsia="SimSun" w:hAnsi="Times New Roman" w:cs="Times New Roman"/>
      <w:sz w:val="20"/>
      <w:szCs w:val="20"/>
      <w:lang w:val="en-AU" w:eastAsia="zh-CN"/>
    </w:rPr>
  </w:style>
  <w:style w:type="paragraph" w:styleId="54">
    <w:name w:val="List Number 5"/>
    <w:basedOn w:val="a0"/>
    <w:rsid w:val="007B3D5C"/>
    <w:pPr>
      <w:tabs>
        <w:tab w:val="num" w:pos="432"/>
        <w:tab w:val="num" w:pos="926"/>
      </w:tabs>
      <w:spacing w:before="160" w:after="0" w:line="240" w:lineRule="auto"/>
      <w:ind w:left="432" w:hanging="432"/>
    </w:pPr>
    <w:rPr>
      <w:rFonts w:ascii="Times New Roman" w:eastAsia="SimSun" w:hAnsi="Times New Roman" w:cs="Times New Roman"/>
      <w:sz w:val="20"/>
      <w:szCs w:val="20"/>
      <w:lang w:val="en-AU" w:eastAsia="zh-CN"/>
    </w:rPr>
  </w:style>
  <w:style w:type="paragraph" w:styleId="afff6">
    <w:name w:val="Message Header"/>
    <w:basedOn w:val="a0"/>
    <w:link w:val="afff7"/>
    <w:rsid w:val="007B3D5C"/>
    <w:pPr>
      <w:pBdr>
        <w:top w:val="single" w:sz="6" w:space="1" w:color="auto"/>
        <w:left w:val="single" w:sz="6" w:space="1" w:color="auto"/>
        <w:bottom w:val="single" w:sz="6" w:space="1" w:color="auto"/>
        <w:right w:val="single" w:sz="6" w:space="1" w:color="auto"/>
      </w:pBdr>
      <w:shd w:val="pct20" w:color="auto" w:fill="auto"/>
      <w:spacing w:before="160" w:after="0" w:line="240" w:lineRule="auto"/>
      <w:ind w:left="1134" w:hanging="1134"/>
    </w:pPr>
    <w:rPr>
      <w:rFonts w:ascii="Arial" w:eastAsia="SimSun" w:hAnsi="Arial" w:cs="Times New Roman"/>
      <w:sz w:val="20"/>
      <w:szCs w:val="20"/>
      <w:lang w:val="en-AU" w:eastAsia="zh-CN"/>
    </w:rPr>
  </w:style>
  <w:style w:type="character" w:customStyle="1" w:styleId="afff7">
    <w:name w:val="訊息欄位名稱 字元"/>
    <w:basedOn w:val="a1"/>
    <w:link w:val="afff6"/>
    <w:rsid w:val="007B3D5C"/>
    <w:rPr>
      <w:rFonts w:ascii="Arial" w:eastAsia="SimSun" w:hAnsi="Arial" w:cs="Times New Roman"/>
      <w:sz w:val="20"/>
      <w:szCs w:val="20"/>
      <w:shd w:val="pct20" w:color="auto" w:fill="auto"/>
      <w:lang w:val="en-AU" w:eastAsia="zh-CN"/>
    </w:rPr>
  </w:style>
  <w:style w:type="paragraph" w:styleId="afff8">
    <w:name w:val="Normal Indent"/>
    <w:basedOn w:val="a0"/>
    <w:rsid w:val="007B3D5C"/>
    <w:pPr>
      <w:spacing w:before="160" w:after="0" w:line="240" w:lineRule="auto"/>
      <w:ind w:left="720"/>
    </w:pPr>
    <w:rPr>
      <w:rFonts w:ascii="Times New Roman" w:eastAsia="SimSun" w:hAnsi="Times New Roman" w:cs="Times New Roman"/>
      <w:sz w:val="20"/>
      <w:szCs w:val="20"/>
      <w:lang w:val="en-AU" w:eastAsia="zh-CN"/>
    </w:rPr>
  </w:style>
  <w:style w:type="paragraph" w:styleId="afff9">
    <w:name w:val="Note Heading"/>
    <w:basedOn w:val="a0"/>
    <w:next w:val="a0"/>
    <w:link w:val="afffa"/>
    <w:rsid w:val="007B3D5C"/>
    <w:pPr>
      <w:spacing w:before="160" w:after="0" w:line="240" w:lineRule="auto"/>
    </w:pPr>
    <w:rPr>
      <w:rFonts w:ascii="Times New Roman" w:eastAsia="SimSun" w:hAnsi="Times New Roman" w:cs="Times New Roman"/>
      <w:sz w:val="20"/>
      <w:szCs w:val="20"/>
      <w:lang w:val="en-AU" w:eastAsia="zh-CN"/>
    </w:rPr>
  </w:style>
  <w:style w:type="character" w:customStyle="1" w:styleId="afffa">
    <w:name w:val="註釋標題 字元"/>
    <w:basedOn w:val="a1"/>
    <w:link w:val="afff9"/>
    <w:rsid w:val="007B3D5C"/>
    <w:rPr>
      <w:rFonts w:ascii="Times New Roman" w:eastAsia="SimSun" w:hAnsi="Times New Roman" w:cs="Times New Roman"/>
      <w:sz w:val="20"/>
      <w:szCs w:val="20"/>
      <w:lang w:val="en-AU" w:eastAsia="zh-CN"/>
    </w:rPr>
  </w:style>
  <w:style w:type="character" w:styleId="afffb">
    <w:name w:val="page number"/>
    <w:rsid w:val="007B3D5C"/>
  </w:style>
  <w:style w:type="paragraph" w:styleId="afffc">
    <w:name w:val="Salutation"/>
    <w:basedOn w:val="a0"/>
    <w:next w:val="a0"/>
    <w:link w:val="afffd"/>
    <w:rsid w:val="007B3D5C"/>
    <w:pPr>
      <w:spacing w:before="160" w:after="0" w:line="240" w:lineRule="auto"/>
    </w:pPr>
    <w:rPr>
      <w:rFonts w:ascii="Times New Roman" w:eastAsia="SimSun" w:hAnsi="Times New Roman" w:cs="Times New Roman"/>
      <w:sz w:val="20"/>
      <w:szCs w:val="20"/>
      <w:lang w:val="en-AU" w:eastAsia="zh-CN"/>
    </w:rPr>
  </w:style>
  <w:style w:type="character" w:customStyle="1" w:styleId="afffd">
    <w:name w:val="問候 字元"/>
    <w:basedOn w:val="a1"/>
    <w:link w:val="afffc"/>
    <w:rsid w:val="007B3D5C"/>
    <w:rPr>
      <w:rFonts w:ascii="Times New Roman" w:eastAsia="SimSun" w:hAnsi="Times New Roman" w:cs="Times New Roman"/>
      <w:sz w:val="20"/>
      <w:szCs w:val="20"/>
      <w:lang w:val="en-AU" w:eastAsia="zh-CN"/>
    </w:rPr>
  </w:style>
  <w:style w:type="paragraph" w:styleId="afffe">
    <w:name w:val="Signature"/>
    <w:basedOn w:val="a0"/>
    <w:link w:val="affff"/>
    <w:rsid w:val="007B3D5C"/>
    <w:pPr>
      <w:spacing w:before="160" w:after="0" w:line="240" w:lineRule="auto"/>
      <w:ind w:left="4252"/>
    </w:pPr>
    <w:rPr>
      <w:rFonts w:ascii="Times New Roman" w:eastAsia="SimSun" w:hAnsi="Times New Roman" w:cs="Times New Roman"/>
      <w:sz w:val="20"/>
      <w:szCs w:val="20"/>
      <w:lang w:val="en-AU" w:eastAsia="zh-CN"/>
    </w:rPr>
  </w:style>
  <w:style w:type="character" w:customStyle="1" w:styleId="affff">
    <w:name w:val="簽名 字元"/>
    <w:basedOn w:val="a1"/>
    <w:link w:val="afffe"/>
    <w:rsid w:val="007B3D5C"/>
    <w:rPr>
      <w:rFonts w:ascii="Times New Roman" w:eastAsia="SimSun" w:hAnsi="Times New Roman" w:cs="Times New Roman"/>
      <w:sz w:val="20"/>
      <w:szCs w:val="20"/>
      <w:lang w:val="en-AU" w:eastAsia="zh-CN"/>
    </w:rPr>
  </w:style>
  <w:style w:type="paragraph" w:styleId="affff0">
    <w:name w:val="Subtitle"/>
    <w:basedOn w:val="a0"/>
    <w:link w:val="affff1"/>
    <w:qFormat/>
    <w:rsid w:val="007B3D5C"/>
    <w:pPr>
      <w:spacing w:before="160" w:after="60" w:line="240" w:lineRule="auto"/>
      <w:jc w:val="center"/>
      <w:outlineLvl w:val="1"/>
    </w:pPr>
    <w:rPr>
      <w:rFonts w:ascii="Arial" w:eastAsia="SimSun" w:hAnsi="Arial" w:cs="Times New Roman"/>
      <w:sz w:val="20"/>
      <w:szCs w:val="20"/>
      <w:lang w:val="en-AU" w:eastAsia="zh-CN"/>
    </w:rPr>
  </w:style>
  <w:style w:type="character" w:customStyle="1" w:styleId="affff1">
    <w:name w:val="副標題 字元"/>
    <w:basedOn w:val="a1"/>
    <w:link w:val="affff0"/>
    <w:rsid w:val="007B3D5C"/>
    <w:rPr>
      <w:rFonts w:ascii="Arial" w:eastAsia="SimSun" w:hAnsi="Arial" w:cs="Times New Roman"/>
      <w:sz w:val="20"/>
      <w:szCs w:val="20"/>
      <w:lang w:val="en-AU" w:eastAsia="zh-CN"/>
    </w:rPr>
  </w:style>
  <w:style w:type="table" w:styleId="3D1">
    <w:name w:val="Table 3D effects 1"/>
    <w:basedOn w:val="a2"/>
    <w:rsid w:val="007B3D5C"/>
    <w:pPr>
      <w:spacing w:after="0" w:line="240" w:lineRule="auto"/>
    </w:pPr>
    <w:rPr>
      <w:rFonts w:ascii="Times New Roman" w:eastAsia="SimSu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2"/>
    <w:rsid w:val="007B3D5C"/>
    <w:pPr>
      <w:spacing w:after="0" w:line="240" w:lineRule="auto"/>
    </w:pPr>
    <w:rPr>
      <w:rFonts w:ascii="Times New Roman" w:eastAsia="SimSu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2"/>
    <w:rsid w:val="007B3D5C"/>
    <w:pPr>
      <w:spacing w:after="0" w:line="240" w:lineRule="auto"/>
    </w:pPr>
    <w:rPr>
      <w:rFonts w:ascii="Times New Roman" w:eastAsia="SimSu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Classic 1"/>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lassic 2"/>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9">
    <w:name w:val="Table Classic 3"/>
    <w:basedOn w:val="a2"/>
    <w:rsid w:val="007B3D5C"/>
    <w:pPr>
      <w:spacing w:after="0" w:line="240" w:lineRule="auto"/>
    </w:pPr>
    <w:rPr>
      <w:rFonts w:ascii="Times New Roman" w:eastAsia="SimSu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5">
    <w:name w:val="Table Colorful 1"/>
    <w:basedOn w:val="a2"/>
    <w:rsid w:val="007B3D5C"/>
    <w:pPr>
      <w:spacing w:after="0" w:line="240" w:lineRule="auto"/>
    </w:pPr>
    <w:rPr>
      <w:rFonts w:ascii="Times New Roman" w:eastAsia="SimSu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c">
    <w:name w:val="Table Colorful 2"/>
    <w:basedOn w:val="a2"/>
    <w:rsid w:val="007B3D5C"/>
    <w:pPr>
      <w:spacing w:after="0" w:line="240" w:lineRule="auto"/>
    </w:pPr>
    <w:rPr>
      <w:rFonts w:ascii="Times New Roman" w:eastAsia="SimSu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a">
    <w:name w:val="Table Colorful 3"/>
    <w:basedOn w:val="a2"/>
    <w:rsid w:val="007B3D5C"/>
    <w:pPr>
      <w:spacing w:after="0" w:line="240" w:lineRule="auto"/>
    </w:pPr>
    <w:rPr>
      <w:rFonts w:ascii="Times New Roman" w:eastAsia="SimSu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olumns 1"/>
    <w:basedOn w:val="a2"/>
    <w:rsid w:val="007B3D5C"/>
    <w:pPr>
      <w:spacing w:after="0" w:line="240" w:lineRule="auto"/>
    </w:pPr>
    <w:rPr>
      <w:rFonts w:ascii="Times New Roman" w:eastAsia="SimSu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2"/>
    <w:rsid w:val="007B3D5C"/>
    <w:pPr>
      <w:spacing w:after="0" w:line="240" w:lineRule="auto"/>
    </w:pPr>
    <w:rPr>
      <w:rFonts w:ascii="Times New Roman" w:eastAsia="SimSu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Columns 3"/>
    <w:basedOn w:val="a2"/>
    <w:rsid w:val="007B3D5C"/>
    <w:pPr>
      <w:spacing w:after="0" w:line="240" w:lineRule="auto"/>
    </w:pPr>
    <w:rPr>
      <w:rFonts w:ascii="Times New Roman" w:eastAsia="SimSu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7B3D5C"/>
    <w:pPr>
      <w:spacing w:after="0" w:line="240" w:lineRule="auto"/>
    </w:pPr>
    <w:rPr>
      <w:rFonts w:ascii="Times New Roman" w:eastAsia="SimSu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rsid w:val="007B3D5C"/>
    <w:pPr>
      <w:spacing w:after="0" w:line="240" w:lineRule="auto"/>
    </w:pPr>
    <w:rPr>
      <w:rFonts w:ascii="Times New Roman" w:eastAsia="SimSu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2">
    <w:name w:val="Table Contemporary"/>
    <w:basedOn w:val="a2"/>
    <w:rsid w:val="007B3D5C"/>
    <w:pPr>
      <w:spacing w:after="0" w:line="240" w:lineRule="auto"/>
    </w:pPr>
    <w:rPr>
      <w:rFonts w:ascii="Times New Roman" w:eastAsia="SimSu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3">
    <w:name w:val="Table Elegant"/>
    <w:basedOn w:val="a2"/>
    <w:rsid w:val="007B3D5C"/>
    <w:pPr>
      <w:spacing w:after="0" w:line="240" w:lineRule="auto"/>
    </w:pPr>
    <w:rPr>
      <w:rFonts w:ascii="Times New Roman" w:eastAsia="SimSu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7">
    <w:name w:val="Table Grid 1"/>
    <w:basedOn w:val="a2"/>
    <w:rsid w:val="007B3D5C"/>
    <w:pPr>
      <w:spacing w:after="0" w:line="240" w:lineRule="auto"/>
    </w:pPr>
    <w:rPr>
      <w:rFonts w:ascii="Times New Roman" w:eastAsia="SimSu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e">
    <w:name w:val="Table Grid 2"/>
    <w:basedOn w:val="a2"/>
    <w:rsid w:val="007B3D5C"/>
    <w:pPr>
      <w:spacing w:after="0" w:line="240" w:lineRule="auto"/>
    </w:pPr>
    <w:rPr>
      <w:rFonts w:ascii="Times New Roman" w:eastAsia="SimSun" w:hAnsi="Times New Roman" w:cs="Times New Roman"/>
      <w:sz w:val="20"/>
      <w:szCs w:val="20"/>
      <w:lang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c">
    <w:name w:val="Table Grid 3"/>
    <w:basedOn w:val="a2"/>
    <w:rsid w:val="007B3D5C"/>
    <w:pPr>
      <w:spacing w:after="0" w:line="240" w:lineRule="auto"/>
    </w:pPr>
    <w:rPr>
      <w:rFonts w:ascii="Times New Roman" w:eastAsia="SimSu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7B3D5C"/>
    <w:pPr>
      <w:spacing w:after="0" w:line="240" w:lineRule="auto"/>
    </w:pPr>
    <w:rPr>
      <w:rFonts w:ascii="Times New Roman" w:eastAsia="SimSu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rsid w:val="007B3D5C"/>
    <w:pPr>
      <w:spacing w:after="0" w:line="240" w:lineRule="auto"/>
    </w:pPr>
    <w:rPr>
      <w:rFonts w:ascii="Times New Roman" w:eastAsia="SimSu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rsid w:val="007B3D5C"/>
    <w:pPr>
      <w:spacing w:after="0" w:line="240" w:lineRule="auto"/>
    </w:pPr>
    <w:rPr>
      <w:rFonts w:ascii="Times New Roman" w:eastAsia="SimSu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List 1"/>
    <w:basedOn w:val="a2"/>
    <w:rsid w:val="007B3D5C"/>
    <w:pPr>
      <w:spacing w:after="0" w:line="240" w:lineRule="auto"/>
    </w:pPr>
    <w:rPr>
      <w:rFonts w:ascii="Times New Roman" w:eastAsia="SimSu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List 2"/>
    <w:basedOn w:val="a2"/>
    <w:rsid w:val="007B3D5C"/>
    <w:pPr>
      <w:spacing w:after="0" w:line="240" w:lineRule="auto"/>
    </w:pPr>
    <w:rPr>
      <w:rFonts w:ascii="Times New Roman" w:eastAsia="SimSu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List 3"/>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rsid w:val="007B3D5C"/>
    <w:pPr>
      <w:spacing w:after="0" w:line="240" w:lineRule="auto"/>
    </w:pPr>
    <w:rPr>
      <w:rFonts w:ascii="Times New Roman" w:eastAsia="SimSu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rsid w:val="007B3D5C"/>
    <w:pPr>
      <w:spacing w:after="0" w:line="240" w:lineRule="auto"/>
    </w:pPr>
    <w:rPr>
      <w:rFonts w:ascii="Times New Roman" w:eastAsia="SimSu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rsid w:val="007B3D5C"/>
    <w:pPr>
      <w:spacing w:after="0" w:line="240" w:lineRule="auto"/>
    </w:pPr>
    <w:rPr>
      <w:rFonts w:ascii="Times New Roman" w:eastAsia="SimSu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rsid w:val="007B3D5C"/>
    <w:pPr>
      <w:spacing w:after="0" w:line="240" w:lineRule="auto"/>
    </w:pPr>
    <w:rPr>
      <w:rFonts w:ascii="Times New Roman" w:eastAsia="SimSu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4">
    <w:name w:val="Table Professional"/>
    <w:basedOn w:val="a2"/>
    <w:rsid w:val="007B3D5C"/>
    <w:pPr>
      <w:spacing w:after="0" w:line="240" w:lineRule="auto"/>
    </w:pPr>
    <w:rPr>
      <w:rFonts w:ascii="Times New Roman" w:eastAsia="SimSu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9">
    <w:name w:val="Table Simple 1"/>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0">
    <w:name w:val="Table Simple 2"/>
    <w:basedOn w:val="a2"/>
    <w:rsid w:val="007B3D5C"/>
    <w:pPr>
      <w:spacing w:after="0" w:line="240" w:lineRule="auto"/>
    </w:pPr>
    <w:rPr>
      <w:rFonts w:ascii="Times New Roman" w:eastAsia="SimSu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2"/>
    <w:rsid w:val="007B3D5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1a">
    <w:name w:val="Table Subtle 1"/>
    <w:basedOn w:val="a2"/>
    <w:rsid w:val="007B3D5C"/>
    <w:pPr>
      <w:spacing w:after="0" w:line="240" w:lineRule="auto"/>
    </w:pPr>
    <w:rPr>
      <w:rFonts w:ascii="Times New Roman" w:eastAsia="SimSu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Subtle 2"/>
    <w:basedOn w:val="a2"/>
    <w:rsid w:val="007B3D5C"/>
    <w:pPr>
      <w:spacing w:after="0" w:line="240" w:lineRule="auto"/>
    </w:pPr>
    <w:rPr>
      <w:rFonts w:ascii="Times New Roman" w:eastAsia="SimSu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5">
    <w:name w:val="Table Theme"/>
    <w:basedOn w:val="a2"/>
    <w:rsid w:val="007B3D5C"/>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2"/>
    <w:rsid w:val="007B3D5C"/>
    <w:pPr>
      <w:spacing w:after="0" w:line="240" w:lineRule="auto"/>
    </w:pPr>
    <w:rPr>
      <w:rFonts w:ascii="Times New Roman" w:eastAsia="SimSu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Web2">
    <w:name w:val="Table Web 2"/>
    <w:basedOn w:val="a2"/>
    <w:rsid w:val="007B3D5C"/>
    <w:pPr>
      <w:spacing w:after="0" w:line="240" w:lineRule="auto"/>
    </w:pPr>
    <w:rPr>
      <w:rFonts w:ascii="Times New Roman" w:eastAsia="SimSu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Web3">
    <w:name w:val="Table Web 3"/>
    <w:basedOn w:val="a2"/>
    <w:rsid w:val="007B3D5C"/>
    <w:pPr>
      <w:spacing w:after="0" w:line="240" w:lineRule="auto"/>
    </w:pPr>
    <w:rPr>
      <w:rFonts w:ascii="Times New Roman" w:eastAsia="SimSu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affff6">
    <w:name w:val="List Bullet"/>
    <w:basedOn w:val="a0"/>
    <w:link w:val="affff7"/>
    <w:rsid w:val="007B3D5C"/>
    <w:pPr>
      <w:tabs>
        <w:tab w:val="num" w:pos="567"/>
        <w:tab w:val="num" w:pos="926"/>
      </w:tabs>
      <w:spacing w:before="160" w:after="0" w:line="240" w:lineRule="auto"/>
      <w:ind w:left="567" w:hanging="357"/>
    </w:pPr>
    <w:rPr>
      <w:rFonts w:ascii="Times New Roman" w:eastAsia="SimSun" w:hAnsi="Times New Roman" w:cs="Times New Roman"/>
      <w:sz w:val="20"/>
      <w:szCs w:val="20"/>
      <w:lang w:val="en-AU" w:eastAsia="zh-CN"/>
    </w:rPr>
  </w:style>
  <w:style w:type="character" w:customStyle="1" w:styleId="affff7">
    <w:name w:val="項目符號 字元"/>
    <w:link w:val="affff6"/>
    <w:locked/>
    <w:rsid w:val="007B3D5C"/>
    <w:rPr>
      <w:rFonts w:ascii="Times New Roman" w:eastAsia="SimSun" w:hAnsi="Times New Roman" w:cs="Times New Roman"/>
      <w:sz w:val="20"/>
      <w:szCs w:val="20"/>
      <w:lang w:val="en-AU" w:eastAsia="zh-CN"/>
    </w:rPr>
  </w:style>
  <w:style w:type="paragraph" w:styleId="1b">
    <w:name w:val="toc 1"/>
    <w:basedOn w:val="a0"/>
    <w:next w:val="a0"/>
    <w:autoRedefine/>
    <w:qFormat/>
    <w:rsid w:val="007B3D5C"/>
    <w:pPr>
      <w:tabs>
        <w:tab w:val="left" w:pos="1200"/>
        <w:tab w:val="right" w:leader="dot" w:pos="8210"/>
      </w:tabs>
      <w:spacing w:before="160" w:after="0" w:line="240" w:lineRule="auto"/>
      <w:ind w:left="1276" w:hanging="1276"/>
    </w:pPr>
    <w:rPr>
      <w:rFonts w:ascii="Times New Roman" w:eastAsia="SimSun" w:hAnsi="Times New Roman" w:cs="Times New Roman"/>
      <w:sz w:val="20"/>
      <w:szCs w:val="20"/>
      <w:lang w:val="en-AU" w:eastAsia="zh-CN"/>
    </w:rPr>
  </w:style>
  <w:style w:type="paragraph" w:styleId="2f2">
    <w:name w:val="toc 2"/>
    <w:basedOn w:val="a0"/>
    <w:next w:val="a0"/>
    <w:autoRedefine/>
    <w:qFormat/>
    <w:rsid w:val="007B3D5C"/>
    <w:pPr>
      <w:spacing w:before="160" w:after="0" w:line="240" w:lineRule="auto"/>
      <w:ind w:left="200"/>
    </w:pPr>
    <w:rPr>
      <w:rFonts w:ascii="Times New Roman" w:eastAsia="SimSun" w:hAnsi="Times New Roman" w:cs="Times New Roman"/>
      <w:sz w:val="20"/>
      <w:szCs w:val="20"/>
      <w:lang w:val="en-AU" w:eastAsia="zh-CN"/>
    </w:rPr>
  </w:style>
  <w:style w:type="numbering" w:styleId="a">
    <w:name w:val="Outline List 3"/>
    <w:basedOn w:val="a3"/>
    <w:rsid w:val="007B3D5C"/>
    <w:pPr>
      <w:numPr>
        <w:numId w:val="16"/>
      </w:numPr>
    </w:pPr>
  </w:style>
  <w:style w:type="numbering" w:styleId="1ai">
    <w:name w:val="Outline List 1"/>
    <w:basedOn w:val="a3"/>
    <w:rsid w:val="007B3D5C"/>
    <w:pPr>
      <w:numPr>
        <w:numId w:val="15"/>
      </w:numPr>
    </w:pPr>
  </w:style>
  <w:style w:type="numbering" w:styleId="111111">
    <w:name w:val="Outline List 2"/>
    <w:basedOn w:val="a3"/>
    <w:rsid w:val="007B3D5C"/>
    <w:pPr>
      <w:numPr>
        <w:numId w:val="14"/>
      </w:numPr>
    </w:pPr>
  </w:style>
  <w:style w:type="paragraph" w:customStyle="1" w:styleId="StyleText1111bulletNonGras">
    <w:name w:val="Style Text 1.1.1.1 bullet + Non Gras"/>
    <w:basedOn w:val="a0"/>
    <w:rsid w:val="007B3D5C"/>
    <w:pPr>
      <w:spacing w:after="240" w:line="240" w:lineRule="auto"/>
      <w:ind w:left="1560" w:hanging="284"/>
      <w:jc w:val="both"/>
    </w:pPr>
    <w:rPr>
      <w:rFonts w:ascii="Garamond" w:eastAsia="Times New Roman" w:hAnsi="Garamond" w:cs="Times New Roman"/>
      <w:bCs/>
      <w:lang w:val="en-IE" w:eastAsia="fr-FR"/>
    </w:rPr>
  </w:style>
  <w:style w:type="paragraph" w:customStyle="1" w:styleId="Level2">
    <w:name w:val="Level 2"/>
    <w:basedOn w:val="a0"/>
    <w:rsid w:val="007B3D5C"/>
    <w:pPr>
      <w:widowControl w:val="0"/>
      <w:autoSpaceDE w:val="0"/>
      <w:autoSpaceDN w:val="0"/>
      <w:adjustRightInd w:val="0"/>
      <w:spacing w:after="0" w:line="240" w:lineRule="auto"/>
      <w:ind w:left="1440" w:hanging="360"/>
    </w:pPr>
    <w:rPr>
      <w:rFonts w:ascii="Times New Roman" w:eastAsia="Times New Roman" w:hAnsi="Times New Roman" w:cs="Times New Roman"/>
      <w:sz w:val="24"/>
      <w:szCs w:val="24"/>
      <w:lang w:val="en-US" w:eastAsia="fr-FR"/>
    </w:rPr>
  </w:style>
  <w:style w:type="paragraph" w:customStyle="1" w:styleId="StyleTablefn9pt">
    <w:name w:val="Style Table fn + 9 pt"/>
    <w:basedOn w:val="Tablefn"/>
    <w:rsid w:val="007B3D5C"/>
  </w:style>
  <w:style w:type="paragraph" w:customStyle="1" w:styleId="parai60">
    <w:name w:val="para i6"/>
    <w:basedOn w:val="Parai35"/>
    <w:rsid w:val="007B3D5C"/>
    <w:pPr>
      <w:ind w:left="1984" w:hanging="425"/>
    </w:pPr>
  </w:style>
  <w:style w:type="paragraph" w:customStyle="1" w:styleId="Titre1">
    <w:name w:val="Titre1"/>
    <w:basedOn w:val="a0"/>
    <w:rsid w:val="007B3D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
    <w:name w:val="desc"/>
    <w:basedOn w:val="a0"/>
    <w:rsid w:val="007B3D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tails">
    <w:name w:val="details"/>
    <w:basedOn w:val="a0"/>
    <w:rsid w:val="007B3D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11">
    <w:name w:val="text1.1."/>
    <w:basedOn w:val="a0"/>
    <w:rsid w:val="007B3D5C"/>
    <w:pPr>
      <w:spacing w:after="240" w:line="240" w:lineRule="auto"/>
      <w:ind w:left="709"/>
      <w:jc w:val="both"/>
    </w:pPr>
    <w:rPr>
      <w:rFonts w:ascii="Garamond" w:eastAsia="Times New Roman" w:hAnsi="Garamond" w:cs="Times New Roman"/>
      <w:szCs w:val="20"/>
      <w:lang w:val="fr-FR" w:eastAsia="fr-FR"/>
    </w:rPr>
  </w:style>
  <w:style w:type="paragraph" w:customStyle="1" w:styleId="StyleTitre5TradeGothicObliqueNonItalique">
    <w:name w:val="Style Titre 5 + TradeGothic Oblique Non Italique"/>
    <w:basedOn w:val="5"/>
    <w:rsid w:val="007B3D5C"/>
    <w:pPr>
      <w:keepNext w:val="0"/>
      <w:keepLines w:val="0"/>
      <w:spacing w:before="0" w:after="120"/>
      <w:ind w:left="992" w:firstLine="0"/>
    </w:pPr>
    <w:rPr>
      <w:rFonts w:ascii="Ottawa" w:eastAsia="Times New Roman" w:hAnsi="Ottawa" w:cs="Times New Roman"/>
      <w:i/>
      <w:color w:val="auto"/>
      <w:sz w:val="18"/>
      <w:szCs w:val="20"/>
      <w:lang w:val="en-US" w:bidi="en-US"/>
    </w:rPr>
  </w:style>
  <w:style w:type="paragraph" w:customStyle="1" w:styleId="StyleTitle5aTradeGothicOblique">
    <w:name w:val="Style Title 5a + TradeGothic Oblique"/>
    <w:basedOn w:val="Title5a"/>
    <w:link w:val="StyleTitle5aTradeGothicObliqueCar"/>
    <w:rsid w:val="007B3D5C"/>
  </w:style>
  <w:style w:type="character" w:customStyle="1" w:styleId="Title5aCar">
    <w:name w:val="Title 5a Car"/>
    <w:link w:val="Title5a"/>
    <w:rsid w:val="007B3D5C"/>
    <w:rPr>
      <w:rFonts w:ascii="Ottawa" w:eastAsia="Times New Roman" w:hAnsi="Ottawa" w:cs="Times New Roman"/>
      <w:bCs/>
      <w:i/>
      <w:sz w:val="18"/>
      <w:lang w:val="en-IE" w:bidi="en-US"/>
    </w:rPr>
  </w:style>
  <w:style w:type="character" w:customStyle="1" w:styleId="StyleTitle5aTradeGothicObliqueCar">
    <w:name w:val="Style Title 5a + TradeGothic Oblique Car"/>
    <w:link w:val="StyleTitle5aTradeGothicOblique"/>
    <w:rsid w:val="007B3D5C"/>
    <w:rPr>
      <w:rFonts w:ascii="Ottawa" w:eastAsia="Times New Roman" w:hAnsi="Ottawa" w:cs="Times New Roman"/>
      <w:bCs/>
      <w:i/>
      <w:sz w:val="18"/>
      <w:lang w:val="en-IE" w:bidi="en-US"/>
    </w:rPr>
  </w:style>
  <w:style w:type="character" w:customStyle="1" w:styleId="CharChar7">
    <w:name w:val="Char Char7"/>
    <w:semiHidden/>
    <w:rsid w:val="007B3D5C"/>
    <w:rPr>
      <w:rFonts w:ascii="Cambria" w:eastAsia="Times New Roman" w:hAnsi="Cambria" w:cs="Times New Roman"/>
      <w:b/>
      <w:bCs/>
      <w:i/>
      <w:iCs/>
      <w:sz w:val="20"/>
      <w:szCs w:val="20"/>
    </w:rPr>
  </w:style>
  <w:style w:type="paragraph" w:customStyle="1" w:styleId="Retraitcorpsdetexte21">
    <w:name w:val="Retrait corps de texte 21"/>
    <w:basedOn w:val="a0"/>
    <w:qFormat/>
    <w:rsid w:val="007B3D5C"/>
    <w:pPr>
      <w:spacing w:before="240" w:after="120" w:line="360" w:lineRule="auto"/>
      <w:ind w:left="1134"/>
      <w:jc w:val="both"/>
    </w:pPr>
    <w:rPr>
      <w:rFonts w:ascii="Garamond" w:eastAsia="Times New Roman" w:hAnsi="Garamond" w:cs="Times New Roman"/>
      <w:lang w:val="en-US" w:bidi="en-US"/>
    </w:rPr>
  </w:style>
  <w:style w:type="paragraph" w:customStyle="1" w:styleId="rtoiles">
    <w:name w:val="r_étoiles"/>
    <w:basedOn w:val="a0"/>
    <w:next w:val="a0"/>
    <w:rsid w:val="007B3D5C"/>
    <w:pPr>
      <w:keepLines/>
      <w:spacing w:before="240" w:after="240" w:line="240" w:lineRule="atLeast"/>
      <w:ind w:left="357" w:hanging="357"/>
      <w:jc w:val="center"/>
    </w:pPr>
    <w:rPr>
      <w:rFonts w:ascii="Calibri" w:eastAsia="Times New Roman" w:hAnsi="Calibri" w:cs="Times New Roman"/>
      <w:sz w:val="20"/>
      <w:szCs w:val="20"/>
      <w:lang w:val="fr-FR" w:eastAsia="fr-FR" w:bidi="en-US"/>
    </w:rPr>
  </w:style>
  <w:style w:type="paragraph" w:customStyle="1" w:styleId="rfrences">
    <w:name w:val="références"/>
    <w:basedOn w:val="a0"/>
    <w:link w:val="rfrencesChar"/>
    <w:rsid w:val="007B3D5C"/>
    <w:pPr>
      <w:spacing w:after="240" w:line="240" w:lineRule="auto"/>
      <w:ind w:left="426" w:hanging="426"/>
      <w:jc w:val="both"/>
    </w:pPr>
    <w:rPr>
      <w:rFonts w:ascii="Garamond" w:eastAsia="Times New Roman" w:hAnsi="Garamond" w:cs="Times New Roman"/>
      <w:lang w:val="fr-FR" w:eastAsia="fr-FR" w:bidi="en-US"/>
    </w:rPr>
  </w:style>
  <w:style w:type="character" w:customStyle="1" w:styleId="None">
    <w:name w:val="None"/>
    <w:rsid w:val="007B3D5C"/>
  </w:style>
  <w:style w:type="paragraph" w:customStyle="1" w:styleId="paramarge0">
    <w:name w:val="para marge"/>
    <w:rsid w:val="007B3D5C"/>
    <w:pPr>
      <w:pBdr>
        <w:top w:val="nil"/>
        <w:left w:val="nil"/>
        <w:bottom w:val="nil"/>
        <w:right w:val="nil"/>
        <w:between w:val="nil"/>
        <w:bar w:val="nil"/>
      </w:pBdr>
      <w:spacing w:after="240" w:line="240" w:lineRule="auto"/>
      <w:jc w:val="both"/>
    </w:pPr>
    <w:rPr>
      <w:rFonts w:ascii="Arial Unicode MS" w:eastAsia="Arial Unicode MS" w:hAnsi="Arial Unicode MS" w:cs="Arial Unicode MS" w:hint="eastAsia"/>
      <w:color w:val="000000"/>
      <w:sz w:val="20"/>
      <w:szCs w:val="20"/>
      <w:u w:color="000000"/>
      <w:bdr w:val="nil"/>
      <w:lang w:val="fr-FR" w:eastAsia="en-GB"/>
    </w:rPr>
  </w:style>
  <w:style w:type="paragraph" w:customStyle="1" w:styleId="Timesbase1">
    <w:name w:val="Times_base 1"/>
    <w:uiPriority w:val="99"/>
    <w:qFormat/>
    <w:rsid w:val="007B3D5C"/>
    <w:pPr>
      <w:pBdr>
        <w:top w:val="nil"/>
        <w:left w:val="nil"/>
        <w:bottom w:val="nil"/>
        <w:right w:val="nil"/>
        <w:between w:val="nil"/>
        <w:bar w:val="nil"/>
      </w:pBdr>
      <w:spacing w:after="240" w:line="276" w:lineRule="auto"/>
      <w:ind w:left="425"/>
      <w:jc w:val="both"/>
    </w:pPr>
    <w:rPr>
      <w:rFonts w:ascii="Calibri" w:eastAsia="Calibri" w:hAnsi="Calibri" w:cs="Calibri"/>
      <w:color w:val="000000"/>
      <w:sz w:val="20"/>
      <w:szCs w:val="20"/>
      <w:u w:color="000000"/>
      <w:bdr w:val="nil"/>
      <w:lang w:val="fr-FR" w:eastAsia="en-GB"/>
    </w:rPr>
  </w:style>
  <w:style w:type="character" w:customStyle="1" w:styleId="Hyperlink10">
    <w:name w:val="Hyperlink.1"/>
    <w:rsid w:val="007B3D5C"/>
    <w:rPr>
      <w:i/>
      <w:iCs/>
      <w:strike/>
      <w:dstrike w:val="0"/>
      <w:sz w:val="20"/>
      <w:szCs w:val="20"/>
      <w:lang w:val="en-US"/>
    </w:rPr>
  </w:style>
  <w:style w:type="numbering" w:customStyle="1" w:styleId="List0">
    <w:name w:val="List 0"/>
    <w:basedOn w:val="ImportedStyle1"/>
    <w:rsid w:val="007B3D5C"/>
    <w:pPr>
      <w:numPr>
        <w:numId w:val="17"/>
      </w:numPr>
    </w:pPr>
  </w:style>
  <w:style w:type="numbering" w:customStyle="1" w:styleId="List1">
    <w:name w:val="List 1"/>
    <w:basedOn w:val="ImportedStyle2"/>
    <w:rsid w:val="007B3D5C"/>
    <w:pPr>
      <w:numPr>
        <w:numId w:val="18"/>
      </w:numPr>
    </w:pPr>
  </w:style>
  <w:style w:type="numbering" w:customStyle="1" w:styleId="ImportedStyle2">
    <w:name w:val="Imported Style 2"/>
    <w:rsid w:val="007B3D5C"/>
  </w:style>
  <w:style w:type="numbering" w:customStyle="1" w:styleId="List21">
    <w:name w:val="List 21"/>
    <w:basedOn w:val="ImportedStyle3"/>
    <w:rsid w:val="007B3D5C"/>
    <w:pPr>
      <w:numPr>
        <w:numId w:val="19"/>
      </w:numPr>
    </w:pPr>
  </w:style>
  <w:style w:type="numbering" w:customStyle="1" w:styleId="ImportedStyle3">
    <w:name w:val="Imported Style 3"/>
    <w:rsid w:val="007B3D5C"/>
  </w:style>
  <w:style w:type="character" w:customStyle="1" w:styleId="CommentTextChar2">
    <w:name w:val="Comment Text Char2"/>
    <w:uiPriority w:val="99"/>
    <w:rsid w:val="007B3D5C"/>
    <w:rPr>
      <w:rFonts w:ascii="Times New Roman" w:eastAsia="Arial Unicode MS" w:hAnsi="Times New Roman" w:cs="Times New Roman"/>
      <w:sz w:val="20"/>
      <w:szCs w:val="20"/>
      <w:bdr w:val="nil"/>
      <w:lang w:val="en-US"/>
    </w:rPr>
  </w:style>
  <w:style w:type="paragraph" w:customStyle="1" w:styleId="WW-Retraitcorpsdetexte2">
    <w:name w:val="WW-Retrait corps de texte 2"/>
    <w:basedOn w:val="a0"/>
    <w:rsid w:val="007B3D5C"/>
    <w:pPr>
      <w:suppressAutoHyphens/>
      <w:spacing w:after="240" w:line="240" w:lineRule="auto"/>
      <w:ind w:left="1701" w:hanging="708"/>
      <w:jc w:val="both"/>
    </w:pPr>
    <w:rPr>
      <w:rFonts w:ascii="Times New Roman" w:eastAsia="Times New Roman" w:hAnsi="Times New Roman" w:cs="Times New Roman"/>
      <w:sz w:val="20"/>
      <w:szCs w:val="20"/>
      <w:lang w:eastAsia="ar-SA"/>
    </w:rPr>
  </w:style>
  <w:style w:type="paragraph" w:customStyle="1" w:styleId="Heading">
    <w:name w:val="Heading"/>
    <w:next w:val="Body"/>
    <w:rsid w:val="007B3D5C"/>
    <w:pPr>
      <w:keepNext/>
      <w:keepLines/>
      <w:pBdr>
        <w:top w:val="nil"/>
        <w:left w:val="nil"/>
        <w:bottom w:val="nil"/>
        <w:right w:val="nil"/>
        <w:between w:val="nil"/>
        <w:bar w:val="nil"/>
      </w:pBdr>
      <w:spacing w:before="240" w:after="0"/>
      <w:outlineLvl w:val="0"/>
    </w:pPr>
    <w:rPr>
      <w:rFonts w:ascii="Calibri Light" w:eastAsia="Calibri Light" w:hAnsi="Calibri Light" w:cs="Calibri Light"/>
      <w:color w:val="2E74B5"/>
      <w:sz w:val="32"/>
      <w:szCs w:val="32"/>
      <w:u w:color="2E74B5"/>
      <w:bdr w:val="nil"/>
      <w:lang w:val="en-US" w:eastAsia="zh-CN"/>
    </w:rPr>
  </w:style>
  <w:style w:type="paragraph" w:customStyle="1" w:styleId="CharCarCharCarCharCar">
    <w:name w:val="Char Car Char Car Char Car"/>
    <w:basedOn w:val="a0"/>
    <w:rsid w:val="007B3D5C"/>
    <w:pPr>
      <w:spacing w:line="240" w:lineRule="exact"/>
    </w:pPr>
    <w:rPr>
      <w:rFonts w:ascii="Tahoma" w:eastAsia="Times New Roman" w:hAnsi="Tahoma" w:cs="Times New Roman"/>
      <w:sz w:val="20"/>
      <w:szCs w:val="20"/>
      <w:lang w:val="en-US"/>
    </w:rPr>
  </w:style>
  <w:style w:type="paragraph" w:customStyle="1" w:styleId="pBase1">
    <w:name w:val="p_Base1"/>
    <w:next w:val="a0"/>
    <w:rsid w:val="007B3D5C"/>
    <w:pPr>
      <w:spacing w:after="240" w:line="240" w:lineRule="auto"/>
      <w:ind w:left="850" w:hanging="425"/>
      <w:jc w:val="both"/>
    </w:pPr>
    <w:rPr>
      <w:rFonts w:ascii="Arial" w:eastAsia="Times New Roman" w:hAnsi="Arial" w:cs="Times New Roman"/>
      <w:color w:val="000000"/>
      <w:sz w:val="19"/>
      <w:szCs w:val="20"/>
      <w:lang w:val="fr-FR" w:eastAsia="en-GB"/>
    </w:rPr>
  </w:style>
  <w:style w:type="paragraph" w:customStyle="1" w:styleId="paramarge2p">
    <w:name w:val="paramarge 2 p"/>
    <w:basedOn w:val="a0"/>
    <w:qFormat/>
    <w:rsid w:val="007B3D5C"/>
    <w:pPr>
      <w:spacing w:after="240" w:line="240" w:lineRule="auto"/>
      <w:ind w:left="425" w:hanging="425"/>
      <w:jc w:val="both"/>
    </w:pPr>
    <w:rPr>
      <w:rFonts w:ascii="Arial" w:eastAsia="Calibri" w:hAnsi="Arial" w:cs="Times New Roman"/>
      <w:sz w:val="18"/>
      <w:lang w:eastAsia="en-GB"/>
    </w:rPr>
  </w:style>
  <w:style w:type="character" w:customStyle="1" w:styleId="para1Car">
    <w:name w:val="para 1. Car"/>
    <w:link w:val="para1"/>
    <w:locked/>
    <w:rsid w:val="007B3D5C"/>
    <w:rPr>
      <w:rFonts w:ascii="Times New Roman" w:eastAsia="MS Mincho" w:hAnsi="Times New Roman" w:cs="Arial"/>
      <w:b/>
      <w:bCs/>
      <w:sz w:val="20"/>
      <w:szCs w:val="20"/>
      <w:lang w:eastAsia="fr-FR"/>
    </w:rPr>
  </w:style>
  <w:style w:type="paragraph" w:customStyle="1" w:styleId="Times">
    <w:name w:val="Times"/>
    <w:uiPriority w:val="99"/>
    <w:qFormat/>
    <w:rsid w:val="007B3D5C"/>
    <w:pPr>
      <w:spacing w:after="240" w:line="240" w:lineRule="auto"/>
      <w:jc w:val="both"/>
    </w:pPr>
    <w:rPr>
      <w:rFonts w:ascii="Times New Roman" w:eastAsia="ヒラギノ角ゴ Pro W3" w:hAnsi="Times New Roman" w:cs="Times New Roman"/>
      <w:color w:val="000000"/>
      <w:sz w:val="20"/>
      <w:szCs w:val="20"/>
      <w:lang w:val="en-US" w:eastAsia="en-GB"/>
    </w:rPr>
  </w:style>
  <w:style w:type="paragraph" w:customStyle="1" w:styleId="sommaire-intitule-chapitre">
    <w:name w:val="sommaire-intitule-chapitre"/>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st">
    <w:name w:val="st"/>
    <w:uiPriority w:val="99"/>
    <w:rsid w:val="007B3D5C"/>
  </w:style>
  <w:style w:type="character" w:customStyle="1" w:styleId="HeaderChar2">
    <w:name w:val="Header Char2"/>
    <w:aliases w:val="Header Char1 Char Char1,Header Char Char Char Char1, Car Char Char Char Char1, Car Car Char Char Char Char1, Car Car Car Char Char Char Char1, Car Car Car Car Car Char Char Char Car Char1,Heading 1 Char Car1 Char1, Car Char17 Car1 Char1"/>
    <w:uiPriority w:val="99"/>
    <w:rsid w:val="007B3D5C"/>
    <w:rPr>
      <w:rFonts w:ascii="Times New Roman" w:eastAsia="Times New Roman" w:hAnsi="Times New Roman" w:cs="Times New Roman"/>
      <w:sz w:val="24"/>
      <w:szCs w:val="24"/>
      <w:lang w:val="en-GB"/>
    </w:rPr>
  </w:style>
  <w:style w:type="paragraph" w:customStyle="1" w:styleId="Article">
    <w:name w:val="Article"/>
    <w:basedOn w:val="a0"/>
    <w:uiPriority w:val="99"/>
    <w:qFormat/>
    <w:rsid w:val="007B3D5C"/>
    <w:pPr>
      <w:widowControl w:val="0"/>
      <w:autoSpaceDE w:val="0"/>
      <w:autoSpaceDN w:val="0"/>
      <w:adjustRightInd w:val="0"/>
      <w:spacing w:after="240" w:line="240" w:lineRule="auto"/>
      <w:jc w:val="center"/>
    </w:pPr>
    <w:rPr>
      <w:rFonts w:ascii="Ottawa" w:eastAsia="Times New Roman" w:hAnsi="Ottawa" w:cs="Ottawa"/>
      <w:spacing w:val="4"/>
      <w:sz w:val="19"/>
      <w:szCs w:val="19"/>
      <w:lang w:val="en-US" w:eastAsia="fr-FR"/>
    </w:rPr>
  </w:style>
  <w:style w:type="paragraph" w:customStyle="1" w:styleId="Base">
    <w:name w:val="Base"/>
    <w:link w:val="BaseCar"/>
    <w:rsid w:val="007B3D5C"/>
    <w:pPr>
      <w:spacing w:after="200" w:line="200" w:lineRule="atLeast"/>
      <w:jc w:val="both"/>
    </w:pPr>
    <w:rPr>
      <w:rFonts w:ascii="Arial" w:eastAsia="Times New Roman" w:hAnsi="Arial" w:cs="Times New Roman"/>
      <w:color w:val="000000"/>
      <w:sz w:val="19"/>
      <w:szCs w:val="20"/>
      <w:lang w:val="fr-FR" w:eastAsia="en-GB"/>
    </w:rPr>
  </w:style>
  <w:style w:type="character" w:customStyle="1" w:styleId="BaseCar">
    <w:name w:val="Base Car"/>
    <w:link w:val="Base"/>
    <w:locked/>
    <w:rsid w:val="007B3D5C"/>
    <w:rPr>
      <w:rFonts w:ascii="Arial" w:eastAsia="Times New Roman" w:hAnsi="Arial" w:cs="Times New Roman"/>
      <w:color w:val="000000"/>
      <w:sz w:val="19"/>
      <w:szCs w:val="20"/>
      <w:lang w:val="fr-FR" w:eastAsia="en-GB"/>
    </w:rPr>
  </w:style>
  <w:style w:type="paragraph" w:customStyle="1" w:styleId="Basegras">
    <w:name w:val="Base gras"/>
    <w:rsid w:val="007B3D5C"/>
    <w:pPr>
      <w:spacing w:after="200" w:line="200" w:lineRule="atLeast"/>
      <w:jc w:val="both"/>
    </w:pPr>
    <w:rPr>
      <w:rFonts w:ascii="Ottawa" w:eastAsia="Times New Roman" w:hAnsi="Ottawa" w:cs="Times New Roman"/>
      <w:b/>
      <w:color w:val="000000"/>
      <w:sz w:val="19"/>
      <w:szCs w:val="20"/>
      <w:lang w:val="fr-FR" w:eastAsia="en-GB"/>
    </w:rPr>
  </w:style>
  <w:style w:type="paragraph" w:customStyle="1" w:styleId="pBase1souligne">
    <w:name w:val="p_Base 1 souligne"/>
    <w:uiPriority w:val="99"/>
    <w:rsid w:val="007B3D5C"/>
    <w:pPr>
      <w:spacing w:after="240" w:line="200" w:lineRule="atLeast"/>
      <w:ind w:left="425" w:hanging="425"/>
      <w:jc w:val="both"/>
    </w:pPr>
    <w:rPr>
      <w:rFonts w:ascii="Arial" w:eastAsia="Times New Roman" w:hAnsi="Arial" w:cs="Times New Roman"/>
      <w:color w:val="000000"/>
      <w:sz w:val="19"/>
      <w:szCs w:val="20"/>
      <w:u w:val="single"/>
      <w:lang w:eastAsia="en-GB"/>
    </w:rPr>
  </w:style>
  <w:style w:type="paragraph" w:customStyle="1" w:styleId="pbase2">
    <w:name w:val="p_base 2"/>
    <w:basedOn w:val="a0"/>
    <w:qFormat/>
    <w:rsid w:val="007B3D5C"/>
    <w:pPr>
      <w:spacing w:after="240" w:line="240" w:lineRule="auto"/>
      <w:ind w:left="1276" w:hanging="425"/>
      <w:jc w:val="both"/>
    </w:pPr>
    <w:rPr>
      <w:rFonts w:ascii="Arial" w:eastAsia="Times New Roman" w:hAnsi="Arial" w:cs="Arial"/>
      <w:color w:val="000000"/>
      <w:sz w:val="19"/>
      <w:szCs w:val="18"/>
      <w:lang w:val="en" w:eastAsia="fr-FR"/>
    </w:rPr>
  </w:style>
  <w:style w:type="character" w:customStyle="1" w:styleId="CommentaireCar1">
    <w:name w:val="Commentaire Car1"/>
    <w:uiPriority w:val="99"/>
    <w:rsid w:val="007B3D5C"/>
    <w:rPr>
      <w:rFonts w:ascii="Calibri" w:eastAsia="Calibri" w:hAnsi="Calibri" w:cs="Times New Roman"/>
      <w:sz w:val="20"/>
      <w:szCs w:val="20"/>
      <w:lang w:val="en-GB"/>
    </w:rPr>
  </w:style>
  <w:style w:type="paragraph" w:customStyle="1" w:styleId="para2base">
    <w:name w:val="para 2. base"/>
    <w:basedOn w:val="a0"/>
    <w:qFormat/>
    <w:rsid w:val="007B3D5C"/>
    <w:pPr>
      <w:spacing w:after="240" w:line="240" w:lineRule="auto"/>
      <w:ind w:left="992"/>
      <w:jc w:val="both"/>
    </w:pPr>
    <w:rPr>
      <w:rFonts w:ascii="Times New Roman" w:eastAsia="Times New Roman" w:hAnsi="Times New Roman" w:cs="Times New Roman"/>
      <w:b/>
      <w:bCs/>
      <w:sz w:val="20"/>
      <w:szCs w:val="24"/>
    </w:rPr>
  </w:style>
  <w:style w:type="paragraph" w:customStyle="1" w:styleId="titre3">
    <w:name w:val="titre3"/>
    <w:basedOn w:val="a0"/>
    <w:rsid w:val="007B3D5C"/>
    <w:pPr>
      <w:spacing w:before="100" w:beforeAutospacing="1" w:after="100" w:afterAutospacing="1" w:line="240" w:lineRule="auto"/>
    </w:pPr>
    <w:rPr>
      <w:rFonts w:ascii="Arial" w:eastAsia="Times New Roman" w:hAnsi="Arial" w:cs="Arial"/>
      <w:b/>
      <w:bCs/>
      <w:i/>
      <w:iCs/>
      <w:color w:val="333333"/>
      <w:lang w:val="fr-FR" w:eastAsia="fr-FR"/>
    </w:rPr>
  </w:style>
  <w:style w:type="paragraph" w:customStyle="1" w:styleId="parai61">
    <w:name w:val="para i.6"/>
    <w:basedOn w:val="Parai35"/>
    <w:rsid w:val="007B3D5C"/>
    <w:pPr>
      <w:tabs>
        <w:tab w:val="clear" w:pos="2835"/>
        <w:tab w:val="clear" w:pos="4536"/>
      </w:tabs>
      <w:ind w:left="1984" w:hanging="425"/>
    </w:pPr>
  </w:style>
  <w:style w:type="character" w:customStyle="1" w:styleId="Policepardfaut1">
    <w:name w:val="Police par défaut1"/>
    <w:rsid w:val="007B3D5C"/>
  </w:style>
  <w:style w:type="character" w:customStyle="1" w:styleId="Car4">
    <w:name w:val="Car4"/>
    <w:rsid w:val="007B3D5C"/>
    <w:rPr>
      <w:rFonts w:ascii="Ottawa" w:hAnsi="Ottawa"/>
      <w:b/>
      <w:sz w:val="22"/>
      <w:szCs w:val="22"/>
      <w:lang w:val="en-US" w:eastAsia="en-US" w:bidi="en-US"/>
    </w:rPr>
  </w:style>
  <w:style w:type="character" w:customStyle="1" w:styleId="Car3">
    <w:name w:val="Car3"/>
    <w:rsid w:val="007B3D5C"/>
    <w:rPr>
      <w:rFonts w:ascii="Ottawa" w:hAnsi="Ottawa"/>
      <w:b/>
      <w:sz w:val="21"/>
      <w:szCs w:val="21"/>
      <w:lang w:val="en-US" w:eastAsia="en-US" w:bidi="en-US"/>
    </w:rPr>
  </w:style>
  <w:style w:type="character" w:customStyle="1" w:styleId="Car2">
    <w:name w:val="Car2"/>
    <w:rsid w:val="007B3D5C"/>
    <w:rPr>
      <w:rFonts w:ascii="Ottawa" w:hAnsi="Ottawa"/>
      <w:b/>
      <w:lang w:val="en-US" w:eastAsia="en-US" w:bidi="en-US"/>
    </w:rPr>
  </w:style>
  <w:style w:type="character" w:customStyle="1" w:styleId="Car1">
    <w:name w:val="Car1"/>
    <w:rsid w:val="007B3D5C"/>
    <w:rPr>
      <w:rFonts w:ascii="Ottawa" w:hAnsi="Ottawa"/>
      <w:b/>
      <w:spacing w:val="-4"/>
      <w:kern w:val="1"/>
      <w:sz w:val="18"/>
      <w:szCs w:val="22"/>
      <w:lang w:val="en-US" w:eastAsia="en-US" w:bidi="en-US"/>
    </w:rPr>
  </w:style>
  <w:style w:type="character" w:customStyle="1" w:styleId="Car">
    <w:name w:val="Car"/>
    <w:rsid w:val="007B3D5C"/>
    <w:rPr>
      <w:rFonts w:ascii="Ottawa" w:hAnsi="Ottawa"/>
      <w:i/>
      <w:spacing w:val="-4"/>
      <w:kern w:val="1"/>
      <w:sz w:val="18"/>
      <w:lang w:val="en-US" w:eastAsia="en-US" w:bidi="en-US"/>
    </w:rPr>
  </w:style>
  <w:style w:type="character" w:customStyle="1" w:styleId="Numrodeligne1">
    <w:name w:val="Numéro de ligne1"/>
    <w:rsid w:val="007B3D5C"/>
    <w:rPr>
      <w:rFonts w:ascii="Arial" w:hAnsi="Arial"/>
      <w:sz w:val="16"/>
    </w:rPr>
  </w:style>
  <w:style w:type="character" w:customStyle="1" w:styleId="Marquedecommentaire1">
    <w:name w:val="Marque de commentaire1"/>
    <w:rsid w:val="007B3D5C"/>
    <w:rPr>
      <w:sz w:val="16"/>
      <w:szCs w:val="16"/>
    </w:rPr>
  </w:style>
  <w:style w:type="character" w:customStyle="1" w:styleId="mathfont">
    <w:name w:val="mathfont"/>
    <w:rsid w:val="007B3D5C"/>
  </w:style>
  <w:style w:type="character" w:customStyle="1" w:styleId="StylePara5TradeGothicObliqueCar">
    <w:name w:val="Style Para 5 + TradeGothic Oblique Car"/>
    <w:rsid w:val="007B3D5C"/>
    <w:rPr>
      <w:rFonts w:ascii="Ottawa" w:hAnsi="Ottawa"/>
      <w:bCs/>
      <w:i/>
      <w:sz w:val="18"/>
      <w:szCs w:val="22"/>
      <w:lang w:val="en-IE" w:eastAsia="en-US" w:bidi="en-US"/>
    </w:rPr>
  </w:style>
  <w:style w:type="character" w:customStyle="1" w:styleId="StyleTitle5aTradeGothicObliqueNonItaliqueCar">
    <w:name w:val="Style Title 5a + TradeGothic Oblique Non Italique Car"/>
    <w:rsid w:val="007B3D5C"/>
    <w:rPr>
      <w:rFonts w:ascii="Ottawa" w:hAnsi="Ottawa"/>
      <w:bCs/>
      <w:i/>
      <w:sz w:val="18"/>
      <w:szCs w:val="22"/>
      <w:lang w:val="en-IE" w:eastAsia="en-US" w:bidi="en-US"/>
    </w:rPr>
  </w:style>
  <w:style w:type="character" w:customStyle="1" w:styleId="Appelnotedebasdep1">
    <w:name w:val="Appel note de bas de p.1"/>
    <w:rsid w:val="007B3D5C"/>
    <w:rPr>
      <w:vertAlign w:val="superscript"/>
    </w:rPr>
  </w:style>
  <w:style w:type="character" w:customStyle="1" w:styleId="Car6">
    <w:name w:val="Car6"/>
    <w:rsid w:val="007B3D5C"/>
    <w:rPr>
      <w:rFonts w:ascii="Calibri" w:hAnsi="Calibri"/>
      <w:sz w:val="22"/>
      <w:szCs w:val="22"/>
      <w:lang w:val="en-US" w:eastAsia="en-US" w:bidi="en-US"/>
    </w:rPr>
  </w:style>
  <w:style w:type="character" w:customStyle="1" w:styleId="Car7">
    <w:name w:val="Car7"/>
    <w:rsid w:val="007B3D5C"/>
    <w:rPr>
      <w:lang w:eastAsia="en-US" w:bidi="en-US"/>
    </w:rPr>
  </w:style>
  <w:style w:type="character" w:customStyle="1" w:styleId="Car5">
    <w:name w:val="Car5"/>
    <w:rsid w:val="007B3D5C"/>
    <w:rPr>
      <w:rFonts w:ascii="Calibri" w:hAnsi="Calibri"/>
      <w:b/>
      <w:bCs/>
      <w:lang w:val="en-US" w:eastAsia="en-US" w:bidi="en-US"/>
    </w:rPr>
  </w:style>
  <w:style w:type="character" w:customStyle="1" w:styleId="nbapihighlight">
    <w:name w:val="nbapihighlight"/>
    <w:rsid w:val="007B3D5C"/>
  </w:style>
  <w:style w:type="character" w:customStyle="1" w:styleId="Puces">
    <w:name w:val="Puces"/>
    <w:rsid w:val="007B3D5C"/>
    <w:rPr>
      <w:rFonts w:ascii="OpenSymbol" w:eastAsia="OpenSymbol" w:hAnsi="OpenSymbol" w:cs="OpenSymbol"/>
    </w:rPr>
  </w:style>
  <w:style w:type="character" w:customStyle="1" w:styleId="Lienhypertextesuivivisit1">
    <w:name w:val="Lien hypertexte suivi visité1"/>
    <w:rsid w:val="007B3D5C"/>
    <w:rPr>
      <w:color w:val="800080"/>
      <w:u w:val="single"/>
    </w:rPr>
  </w:style>
  <w:style w:type="character" w:customStyle="1" w:styleId="Marquedecommentaire2">
    <w:name w:val="Marque de commentaire2"/>
    <w:rsid w:val="007B3D5C"/>
    <w:rPr>
      <w:sz w:val="16"/>
      <w:szCs w:val="16"/>
    </w:rPr>
  </w:style>
  <w:style w:type="character" w:customStyle="1" w:styleId="Numrodeligne2">
    <w:name w:val="Numéro de ligne2"/>
    <w:rsid w:val="007B3D5C"/>
  </w:style>
  <w:style w:type="character" w:customStyle="1" w:styleId="ListLabel1">
    <w:name w:val="ListLabel 1"/>
    <w:rsid w:val="007B3D5C"/>
    <w:rPr>
      <w:rFonts w:cs="Times New Roman"/>
      <w:sz w:val="22"/>
    </w:rPr>
  </w:style>
  <w:style w:type="paragraph" w:styleId="affff8">
    <w:name w:val="caption"/>
    <w:basedOn w:val="a0"/>
    <w:qFormat/>
    <w:rsid w:val="007B3D5C"/>
    <w:pPr>
      <w:suppressLineNumbers/>
      <w:suppressAutoHyphens/>
      <w:spacing w:before="120" w:after="120" w:line="360" w:lineRule="auto"/>
      <w:ind w:left="357" w:hanging="357"/>
    </w:pPr>
    <w:rPr>
      <w:rFonts w:ascii="Calibri" w:eastAsia="Times New Roman" w:hAnsi="Calibri" w:cs="Tahoma"/>
      <w:i/>
      <w:iCs/>
      <w:kern w:val="1"/>
      <w:sz w:val="24"/>
      <w:szCs w:val="24"/>
      <w:lang w:val="en-US" w:bidi="en-US"/>
    </w:rPr>
  </w:style>
  <w:style w:type="paragraph" w:customStyle="1" w:styleId="Index">
    <w:name w:val="Index"/>
    <w:basedOn w:val="a0"/>
    <w:rsid w:val="007B3D5C"/>
    <w:pPr>
      <w:suppressLineNumbers/>
      <w:suppressAutoHyphens/>
      <w:spacing w:before="240" w:after="240" w:line="360" w:lineRule="auto"/>
      <w:ind w:left="357" w:hanging="357"/>
    </w:pPr>
    <w:rPr>
      <w:rFonts w:ascii="Calibri" w:eastAsia="Times New Roman" w:hAnsi="Calibri" w:cs="Tahoma"/>
      <w:kern w:val="1"/>
      <w:lang w:val="en-US" w:bidi="en-US"/>
    </w:rPr>
  </w:style>
  <w:style w:type="paragraph" w:customStyle="1" w:styleId="Lgende1">
    <w:name w:val="Légende1"/>
    <w:basedOn w:val="a0"/>
    <w:rsid w:val="007B3D5C"/>
    <w:pPr>
      <w:suppressLineNumbers/>
      <w:suppressAutoHyphens/>
      <w:spacing w:before="120" w:after="120" w:line="360" w:lineRule="auto"/>
      <w:ind w:left="357" w:hanging="357"/>
    </w:pPr>
    <w:rPr>
      <w:rFonts w:ascii="Calibri" w:eastAsia="Times New Roman" w:hAnsi="Calibri" w:cs="Tahoma"/>
      <w:i/>
      <w:iCs/>
      <w:kern w:val="1"/>
      <w:sz w:val="24"/>
      <w:szCs w:val="24"/>
      <w:lang w:val="en-US" w:bidi="en-US"/>
    </w:rPr>
  </w:style>
  <w:style w:type="paragraph" w:customStyle="1" w:styleId="Textedebulles1">
    <w:name w:val="Texte de bulles1"/>
    <w:basedOn w:val="a0"/>
    <w:rsid w:val="007B3D5C"/>
    <w:pPr>
      <w:suppressAutoHyphens/>
      <w:spacing w:before="240" w:after="240" w:line="360" w:lineRule="auto"/>
      <w:ind w:left="357" w:hanging="357"/>
    </w:pPr>
    <w:rPr>
      <w:rFonts w:ascii="Tahoma" w:eastAsia="Times New Roman" w:hAnsi="Tahoma" w:cs="Tahoma"/>
      <w:kern w:val="1"/>
      <w:sz w:val="16"/>
      <w:szCs w:val="16"/>
      <w:lang w:val="en-US" w:bidi="en-US"/>
    </w:rPr>
  </w:style>
  <w:style w:type="paragraph" w:customStyle="1" w:styleId="Notedebasdepage1">
    <w:name w:val="Note de bas de page1"/>
    <w:basedOn w:val="a0"/>
    <w:rsid w:val="007B3D5C"/>
    <w:pPr>
      <w:suppressAutoHyphens/>
      <w:spacing w:before="240" w:after="240" w:line="360" w:lineRule="auto"/>
      <w:ind w:left="357" w:hanging="357"/>
    </w:pPr>
    <w:rPr>
      <w:rFonts w:ascii="Calibri" w:eastAsia="Times New Roman" w:hAnsi="Calibri" w:cs="Times New Roman"/>
      <w:kern w:val="1"/>
      <w:sz w:val="20"/>
      <w:szCs w:val="20"/>
      <w:lang w:val="en-US" w:bidi="en-US"/>
    </w:rPr>
  </w:style>
  <w:style w:type="paragraph" w:customStyle="1" w:styleId="EFSAAppendixTitles">
    <w:name w:val="EFSA_Appendix_Titles"/>
    <w:rsid w:val="007B3D5C"/>
    <w:pPr>
      <w:tabs>
        <w:tab w:val="left" w:pos="357"/>
      </w:tabs>
      <w:suppressAutoHyphens/>
      <w:spacing w:after="220" w:line="240" w:lineRule="auto"/>
    </w:pPr>
    <w:rPr>
      <w:rFonts w:ascii="Times New Roman Bold" w:eastAsia="Times New Roman" w:hAnsi="Times New Roman Bold" w:cs="Times New Roman"/>
      <w:kern w:val="1"/>
      <w:sz w:val="20"/>
      <w:szCs w:val="20"/>
      <w:lang w:eastAsia="ar-SA"/>
    </w:rPr>
  </w:style>
  <w:style w:type="paragraph" w:customStyle="1" w:styleId="EFSAStyleTitle2">
    <w:name w:val="EFSA_StyleTitle2"/>
    <w:basedOn w:val="a0"/>
    <w:rsid w:val="007B3D5C"/>
    <w:pPr>
      <w:suppressAutoHyphens/>
      <w:spacing w:before="240" w:after="120" w:line="100" w:lineRule="atLeast"/>
      <w:jc w:val="both"/>
    </w:pPr>
    <w:rPr>
      <w:rFonts w:ascii="Times New Roman" w:eastAsia="Times New Roman" w:hAnsi="Times New Roman" w:cs="Times New Roman"/>
      <w:b/>
      <w:smallCaps/>
      <w:kern w:val="1"/>
      <w:lang w:bidi="en-US"/>
    </w:rPr>
  </w:style>
  <w:style w:type="paragraph" w:customStyle="1" w:styleId="EFSABodytext">
    <w:name w:val="EFSA_Body text"/>
    <w:basedOn w:val="a0"/>
    <w:rsid w:val="007B3D5C"/>
    <w:pPr>
      <w:suppressAutoHyphens/>
      <w:spacing w:after="220" w:line="100" w:lineRule="atLeast"/>
      <w:jc w:val="both"/>
    </w:pPr>
    <w:rPr>
      <w:rFonts w:ascii="Times New Roman" w:eastAsia="Times New Roman" w:hAnsi="Times New Roman" w:cs="Times New Roman"/>
      <w:kern w:val="1"/>
      <w:szCs w:val="20"/>
      <w:lang w:bidi="en-US"/>
    </w:rPr>
  </w:style>
  <w:style w:type="paragraph" w:customStyle="1" w:styleId="EFSAFigureTitles">
    <w:name w:val="EFSA_Figure Titles"/>
    <w:basedOn w:val="a0"/>
    <w:rsid w:val="007B3D5C"/>
    <w:pPr>
      <w:tabs>
        <w:tab w:val="left" w:pos="1080"/>
      </w:tabs>
      <w:suppressAutoHyphens/>
      <w:spacing w:before="240" w:after="220" w:line="100" w:lineRule="atLeast"/>
      <w:ind w:left="357" w:hanging="357"/>
      <w:jc w:val="both"/>
    </w:pPr>
    <w:rPr>
      <w:rFonts w:ascii="Times New Roman" w:eastAsia="Times New Roman" w:hAnsi="Times New Roman" w:cs="Times New Roman"/>
      <w:kern w:val="1"/>
      <w:lang w:bidi="en-US"/>
    </w:rPr>
  </w:style>
  <w:style w:type="paragraph" w:customStyle="1" w:styleId="EFSADocsprovided">
    <w:name w:val="EFSA_Docs provided"/>
    <w:rsid w:val="007B3D5C"/>
    <w:pPr>
      <w:suppressAutoHyphens/>
      <w:spacing w:after="240" w:line="240" w:lineRule="auto"/>
      <w:ind w:left="360" w:hanging="360"/>
    </w:pPr>
    <w:rPr>
      <w:rFonts w:ascii="Times New Roman" w:eastAsia="Times New Roman" w:hAnsi="Times New Roman" w:cs="Times New Roman"/>
      <w:kern w:val="1"/>
      <w:sz w:val="20"/>
      <w:lang w:eastAsia="ar-SA"/>
    </w:rPr>
  </w:style>
  <w:style w:type="paragraph" w:customStyle="1" w:styleId="EFSATableTitles">
    <w:name w:val="EFSA_TableTitles"/>
    <w:rsid w:val="007B3D5C"/>
    <w:pPr>
      <w:tabs>
        <w:tab w:val="left" w:pos="1080"/>
      </w:tabs>
      <w:suppressAutoHyphens/>
      <w:spacing w:before="240" w:after="240" w:line="240" w:lineRule="auto"/>
    </w:pPr>
    <w:rPr>
      <w:rFonts w:ascii="Times New Roman" w:eastAsia="Times New Roman" w:hAnsi="Times New Roman" w:cs="Times New Roman"/>
      <w:kern w:val="1"/>
      <w:sz w:val="20"/>
      <w:lang w:eastAsia="ar-SA"/>
    </w:rPr>
  </w:style>
  <w:style w:type="paragraph" w:customStyle="1" w:styleId="Retraitcorpsdetexte31">
    <w:name w:val="Retrait corps de texte 31"/>
    <w:basedOn w:val="a0"/>
    <w:rsid w:val="007B3D5C"/>
    <w:pPr>
      <w:suppressAutoHyphens/>
      <w:spacing w:before="240" w:after="120" w:line="360" w:lineRule="auto"/>
      <w:ind w:left="1378" w:hanging="357"/>
    </w:pPr>
    <w:rPr>
      <w:rFonts w:ascii="Garamond" w:eastAsia="MS Mincho" w:hAnsi="Garamond" w:cs="Times New Roman"/>
      <w:szCs w:val="16"/>
      <w:lang w:val="en-US"/>
    </w:rPr>
  </w:style>
  <w:style w:type="paragraph" w:customStyle="1" w:styleId="EFSAReferences">
    <w:name w:val="EFSA_References"/>
    <w:basedOn w:val="a0"/>
    <w:rsid w:val="007B3D5C"/>
    <w:pPr>
      <w:tabs>
        <w:tab w:val="left" w:pos="284"/>
      </w:tabs>
      <w:suppressAutoHyphens/>
      <w:spacing w:after="120" w:line="100" w:lineRule="atLeast"/>
      <w:ind w:left="284" w:hanging="284"/>
      <w:jc w:val="both"/>
    </w:pPr>
    <w:rPr>
      <w:rFonts w:ascii="Times New Roman" w:eastAsia="Times New Roman" w:hAnsi="Times New Roman" w:cs="Times New Roman"/>
      <w:color w:val="000000"/>
      <w:kern w:val="1"/>
      <w:lang w:bidi="en-US"/>
    </w:rPr>
  </w:style>
  <w:style w:type="paragraph" w:customStyle="1" w:styleId="abstract">
    <w:name w:val="abstract"/>
    <w:basedOn w:val="a0"/>
    <w:rsid w:val="007B3D5C"/>
    <w:pPr>
      <w:suppressAutoHyphens/>
      <w:spacing w:after="0" w:line="100" w:lineRule="atLeast"/>
    </w:pPr>
    <w:rPr>
      <w:rFonts w:ascii="Arial Unicode MS" w:eastAsia="Arial Unicode MS" w:hAnsi="Arial Unicode MS" w:cs="Arial Unicode MS"/>
      <w:color w:val="000000"/>
      <w:kern w:val="1"/>
      <w:sz w:val="24"/>
      <w:szCs w:val="24"/>
      <w:lang w:val="it-IT" w:bidi="en-US"/>
    </w:rPr>
  </w:style>
  <w:style w:type="paragraph" w:customStyle="1" w:styleId="Commentaire1">
    <w:name w:val="Commentaire1"/>
    <w:basedOn w:val="a0"/>
    <w:rsid w:val="007B3D5C"/>
    <w:pPr>
      <w:suppressAutoHyphens/>
      <w:spacing w:after="0" w:line="100" w:lineRule="atLeast"/>
      <w:jc w:val="both"/>
    </w:pPr>
    <w:rPr>
      <w:rFonts w:ascii="Times New Roman" w:eastAsia="Times New Roman" w:hAnsi="Times New Roman" w:cs="Times New Roman"/>
      <w:kern w:val="1"/>
      <w:sz w:val="20"/>
      <w:szCs w:val="20"/>
      <w:lang w:bidi="en-US"/>
    </w:rPr>
  </w:style>
  <w:style w:type="paragraph" w:customStyle="1" w:styleId="WW-BodyText2">
    <w:name w:val="WW-Body Text 2"/>
    <w:basedOn w:val="a0"/>
    <w:rsid w:val="007B3D5C"/>
    <w:pPr>
      <w:suppressAutoHyphens/>
      <w:spacing w:after="0" w:line="480" w:lineRule="auto"/>
      <w:jc w:val="both"/>
    </w:pPr>
    <w:rPr>
      <w:rFonts w:ascii="Times New Roman" w:eastAsia="Times New Roman" w:hAnsi="Times New Roman" w:cs="Times New Roman"/>
      <w:kern w:val="1"/>
      <w:sz w:val="24"/>
      <w:szCs w:val="20"/>
      <w:lang w:bidi="en-US"/>
    </w:rPr>
  </w:style>
  <w:style w:type="paragraph" w:customStyle="1" w:styleId="Corpsdetexte21">
    <w:name w:val="Corps de texte 21"/>
    <w:basedOn w:val="a0"/>
    <w:rsid w:val="007B3D5C"/>
    <w:pPr>
      <w:suppressAutoHyphens/>
      <w:spacing w:after="120" w:line="480" w:lineRule="auto"/>
      <w:jc w:val="both"/>
    </w:pPr>
    <w:rPr>
      <w:rFonts w:ascii="Times New Roman" w:eastAsia="Times New Roman" w:hAnsi="Times New Roman" w:cs="Times New Roman"/>
      <w:kern w:val="1"/>
      <w:sz w:val="24"/>
      <w:szCs w:val="24"/>
      <w:lang w:val="fr-FR" w:bidi="en-US"/>
    </w:rPr>
  </w:style>
  <w:style w:type="paragraph" w:customStyle="1" w:styleId="Retraitcorpsdetexte32">
    <w:name w:val="Retrait corps de texte 32"/>
    <w:basedOn w:val="a0"/>
    <w:rsid w:val="007B3D5C"/>
    <w:pPr>
      <w:suppressAutoHyphens/>
      <w:spacing w:after="240" w:line="100" w:lineRule="atLeast"/>
      <w:ind w:left="629" w:firstLine="363"/>
      <w:jc w:val="both"/>
    </w:pPr>
    <w:rPr>
      <w:rFonts w:ascii="Arial" w:eastAsia="Times New Roman" w:hAnsi="Arial" w:cs="Arial"/>
      <w:kern w:val="1"/>
      <w:sz w:val="18"/>
      <w:lang w:val="en-US" w:bidi="en-US"/>
    </w:rPr>
  </w:style>
  <w:style w:type="paragraph" w:customStyle="1" w:styleId="StyleTitle5aTradeGothicObliqueNonItalique">
    <w:name w:val="Style Title 5a + TradeGothic Oblique Non Italique"/>
    <w:rsid w:val="007B3D5C"/>
    <w:pPr>
      <w:suppressAutoHyphens/>
      <w:spacing w:after="0" w:line="240" w:lineRule="auto"/>
    </w:pPr>
    <w:rPr>
      <w:rFonts w:ascii="Times New Roman" w:eastAsia="Times New Roman" w:hAnsi="Times New Roman" w:cs="Times New Roman"/>
      <w:bCs/>
      <w:kern w:val="1"/>
      <w:sz w:val="20"/>
      <w:szCs w:val="20"/>
      <w:lang w:eastAsia="ar-SA"/>
    </w:rPr>
  </w:style>
  <w:style w:type="paragraph" w:customStyle="1" w:styleId="Objetducommentaire1">
    <w:name w:val="Objet du commentaire1"/>
    <w:rsid w:val="007B3D5C"/>
    <w:pPr>
      <w:suppressAutoHyphens/>
      <w:spacing w:before="240" w:after="240" w:line="360" w:lineRule="auto"/>
      <w:ind w:left="357" w:hanging="357"/>
    </w:pPr>
    <w:rPr>
      <w:rFonts w:ascii="Calibri" w:eastAsia="Times New Roman" w:hAnsi="Calibri" w:cs="Times New Roman"/>
      <w:b/>
      <w:bCs/>
      <w:kern w:val="1"/>
      <w:sz w:val="20"/>
      <w:szCs w:val="20"/>
      <w:lang w:val="en-US" w:eastAsia="ar-SA"/>
    </w:rPr>
  </w:style>
  <w:style w:type="paragraph" w:customStyle="1" w:styleId="Rvision1">
    <w:name w:val="Révision1"/>
    <w:rsid w:val="007B3D5C"/>
    <w:pPr>
      <w:suppressAutoHyphens/>
      <w:spacing w:after="0" w:line="240" w:lineRule="auto"/>
    </w:pPr>
    <w:rPr>
      <w:rFonts w:ascii="Calibri" w:eastAsia="Times New Roman" w:hAnsi="Calibri" w:cs="Times New Roman"/>
      <w:kern w:val="1"/>
      <w:lang w:val="en-US" w:bidi="en-US"/>
    </w:rPr>
  </w:style>
  <w:style w:type="paragraph" w:customStyle="1" w:styleId="Contenudetableau">
    <w:name w:val="Contenu de tableau"/>
    <w:basedOn w:val="a0"/>
    <w:rsid w:val="007B3D5C"/>
    <w:pPr>
      <w:suppressLineNumbers/>
      <w:suppressAutoHyphens/>
      <w:spacing w:before="240" w:after="240" w:line="360" w:lineRule="auto"/>
      <w:ind w:left="357" w:hanging="357"/>
    </w:pPr>
    <w:rPr>
      <w:rFonts w:ascii="Calibri" w:eastAsia="Times New Roman" w:hAnsi="Calibri" w:cs="Times New Roman"/>
      <w:kern w:val="1"/>
      <w:lang w:val="en-US" w:bidi="en-US"/>
    </w:rPr>
  </w:style>
  <w:style w:type="paragraph" w:customStyle="1" w:styleId="Titre10">
    <w:name w:val="Titre 10"/>
    <w:basedOn w:val="aff5"/>
    <w:next w:val="aff0"/>
    <w:rsid w:val="007B3D5C"/>
    <w:pPr>
      <w:keepNext/>
      <w:tabs>
        <w:tab w:val="num" w:pos="1584"/>
      </w:tabs>
      <w:suppressAutoHyphens/>
      <w:spacing w:after="120" w:line="360" w:lineRule="auto"/>
      <w:ind w:left="1584" w:hanging="1584"/>
      <w:outlineLvl w:val="8"/>
    </w:pPr>
    <w:rPr>
      <w:rFonts w:ascii="Arial" w:eastAsia="MS Mincho" w:hAnsi="Arial" w:cs="Tahoma"/>
      <w:b/>
      <w:iCs w:val="0"/>
      <w:spacing w:val="0"/>
      <w:kern w:val="1"/>
      <w:sz w:val="21"/>
      <w:szCs w:val="21"/>
    </w:rPr>
  </w:style>
  <w:style w:type="paragraph" w:customStyle="1" w:styleId="NormalWeb1">
    <w:name w:val="Normal (Web)+1"/>
    <w:basedOn w:val="Default"/>
    <w:rsid w:val="007B3D5C"/>
    <w:pPr>
      <w:suppressAutoHyphens/>
      <w:autoSpaceDE/>
      <w:autoSpaceDN/>
      <w:adjustRightInd/>
    </w:pPr>
    <w:rPr>
      <w:rFonts w:ascii="Times New Roman" w:eastAsia="Times New Roman" w:hAnsi="Times New Roman" w:cs="Times New Roman"/>
      <w:color w:val="00000A"/>
      <w:kern w:val="1"/>
      <w:sz w:val="20"/>
      <w:szCs w:val="20"/>
      <w:u w:color="000000"/>
      <w:lang w:val="fr-FR" w:eastAsia="ar-SA"/>
    </w:rPr>
  </w:style>
  <w:style w:type="paragraph" w:customStyle="1" w:styleId="Textedebulles2">
    <w:name w:val="Texte de bulles2"/>
    <w:basedOn w:val="a0"/>
    <w:rsid w:val="007B3D5C"/>
    <w:pPr>
      <w:suppressAutoHyphens/>
      <w:spacing w:before="240" w:after="240" w:line="360" w:lineRule="auto"/>
      <w:ind w:left="357" w:hanging="357"/>
    </w:pPr>
    <w:rPr>
      <w:rFonts w:ascii="Tahoma" w:eastAsia="Times New Roman" w:hAnsi="Tahoma" w:cs="Tahoma"/>
      <w:kern w:val="1"/>
      <w:sz w:val="16"/>
      <w:szCs w:val="16"/>
      <w:lang w:val="en-US" w:bidi="en-US"/>
    </w:rPr>
  </w:style>
  <w:style w:type="paragraph" w:customStyle="1" w:styleId="Commentaire2">
    <w:name w:val="Commentaire2"/>
    <w:basedOn w:val="a0"/>
    <w:rsid w:val="007B3D5C"/>
    <w:pPr>
      <w:suppressAutoHyphens/>
      <w:spacing w:before="240" w:after="240" w:line="100" w:lineRule="atLeast"/>
      <w:ind w:left="357" w:hanging="357"/>
    </w:pPr>
    <w:rPr>
      <w:rFonts w:ascii="Calibri" w:eastAsia="Times New Roman" w:hAnsi="Calibri" w:cs="Times New Roman"/>
      <w:kern w:val="1"/>
      <w:sz w:val="20"/>
      <w:szCs w:val="20"/>
      <w:lang w:val="en-US" w:bidi="en-US"/>
    </w:rPr>
  </w:style>
  <w:style w:type="paragraph" w:customStyle="1" w:styleId="Textebrut1">
    <w:name w:val="Texte brut1"/>
    <w:basedOn w:val="a0"/>
    <w:rsid w:val="007B3D5C"/>
    <w:pPr>
      <w:suppressAutoHyphens/>
      <w:spacing w:after="0" w:line="100" w:lineRule="atLeast"/>
    </w:pPr>
    <w:rPr>
      <w:rFonts w:ascii="Calibri" w:eastAsia="Times New Roman" w:hAnsi="Calibri" w:cs="Times New Roman"/>
      <w:kern w:val="1"/>
      <w:szCs w:val="21"/>
      <w:lang w:eastAsia="ar-SA"/>
    </w:rPr>
  </w:style>
  <w:style w:type="character" w:customStyle="1" w:styleId="CommentTextChar1">
    <w:name w:val="Comment Text Char1"/>
    <w:semiHidden/>
    <w:rsid w:val="007B3D5C"/>
    <w:rPr>
      <w:rFonts w:ascii="Calibri" w:hAnsi="Calibri"/>
      <w:kern w:val="1"/>
      <w:lang w:val="en-US" w:eastAsia="en-US" w:bidi="en-US"/>
    </w:rPr>
  </w:style>
  <w:style w:type="paragraph" w:customStyle="1" w:styleId="Affff9">
    <w:name w:val="A"/>
    <w:basedOn w:val="a0"/>
    <w:rsid w:val="007B3D5C"/>
    <w:pPr>
      <w:spacing w:before="120" w:after="240" w:line="240" w:lineRule="auto"/>
      <w:jc w:val="center"/>
    </w:pPr>
    <w:rPr>
      <w:rFonts w:ascii="Ottawa" w:eastAsia="Times New Roman" w:hAnsi="Ottawa" w:cs="Times New Roman"/>
      <w:b/>
      <w:bCs/>
      <w:caps/>
      <w:sz w:val="20"/>
      <w:szCs w:val="20"/>
      <w:lang w:eastAsia="fr-FR"/>
    </w:rPr>
  </w:style>
  <w:style w:type="numbering" w:customStyle="1" w:styleId="Aucuneliste11">
    <w:name w:val="Aucune liste11"/>
    <w:next w:val="a3"/>
    <w:uiPriority w:val="99"/>
    <w:semiHidden/>
    <w:unhideWhenUsed/>
    <w:rsid w:val="007B3D5C"/>
  </w:style>
  <w:style w:type="paragraph" w:customStyle="1" w:styleId="CM1">
    <w:name w:val="CM1"/>
    <w:basedOn w:val="a0"/>
    <w:next w:val="a0"/>
    <w:rsid w:val="007B3D5C"/>
    <w:pPr>
      <w:widowControl w:val="0"/>
      <w:autoSpaceDE w:val="0"/>
      <w:autoSpaceDN w:val="0"/>
      <w:adjustRightInd w:val="0"/>
      <w:spacing w:after="0" w:line="240" w:lineRule="auto"/>
    </w:pPr>
    <w:rPr>
      <w:rFonts w:ascii="Ottawa" w:eastAsia="Times New Roman" w:hAnsi="Ottawa" w:cs="Times New Roman"/>
      <w:sz w:val="24"/>
      <w:szCs w:val="24"/>
      <w:lang w:val="fr-FR" w:eastAsia="fr-FR"/>
    </w:rPr>
  </w:style>
  <w:style w:type="paragraph" w:customStyle="1" w:styleId="CM11">
    <w:name w:val="CM11"/>
    <w:basedOn w:val="Default"/>
    <w:next w:val="Default"/>
    <w:rsid w:val="007B3D5C"/>
    <w:pPr>
      <w:widowControl w:val="0"/>
    </w:pPr>
    <w:rPr>
      <w:rFonts w:ascii="Ottawa" w:eastAsia="Times New Roman" w:hAnsi="Ottawa" w:cs="Times New Roman"/>
      <w:color w:val="auto"/>
      <w:u w:color="000000"/>
      <w:lang w:val="fr-FR" w:eastAsia="fr-FR"/>
    </w:rPr>
  </w:style>
  <w:style w:type="paragraph" w:customStyle="1" w:styleId="CM8">
    <w:name w:val="CM8"/>
    <w:basedOn w:val="a0"/>
    <w:next w:val="a0"/>
    <w:rsid w:val="007B3D5C"/>
    <w:pPr>
      <w:widowControl w:val="0"/>
      <w:autoSpaceDE w:val="0"/>
      <w:autoSpaceDN w:val="0"/>
      <w:adjustRightInd w:val="0"/>
      <w:spacing w:after="0" w:line="240" w:lineRule="auto"/>
    </w:pPr>
    <w:rPr>
      <w:rFonts w:ascii="Ottawa" w:eastAsia="Times New Roman" w:hAnsi="Ottawa" w:cs="Times New Roman"/>
      <w:sz w:val="24"/>
      <w:szCs w:val="24"/>
      <w:lang w:val="fr-FR" w:eastAsia="fr-FR"/>
    </w:rPr>
  </w:style>
  <w:style w:type="paragraph" w:customStyle="1" w:styleId="CM9">
    <w:name w:val="CM9"/>
    <w:basedOn w:val="Default"/>
    <w:next w:val="Default"/>
    <w:rsid w:val="007B3D5C"/>
    <w:pPr>
      <w:widowControl w:val="0"/>
      <w:spacing w:after="145"/>
    </w:pPr>
    <w:rPr>
      <w:rFonts w:ascii="Ottawa" w:eastAsia="新細明體" w:hAnsi="Ottawa" w:cs="Times New Roman"/>
      <w:color w:val="auto"/>
      <w:u w:color="000000"/>
      <w:lang w:val="fr-FR" w:eastAsia="fr-FR"/>
    </w:rPr>
  </w:style>
  <w:style w:type="paragraph" w:customStyle="1" w:styleId="Footer1">
    <w:name w:val="Footer1"/>
    <w:uiPriority w:val="99"/>
    <w:rsid w:val="007B3D5C"/>
    <w:pPr>
      <w:tabs>
        <w:tab w:val="right" w:pos="9639"/>
      </w:tabs>
      <w:spacing w:after="0" w:line="240" w:lineRule="auto"/>
    </w:pPr>
    <w:rPr>
      <w:rFonts w:ascii="Times New Roman" w:eastAsia="Calibri" w:hAnsi="Times New Roman" w:cs="Times New Roman"/>
      <w:color w:val="000000"/>
      <w:sz w:val="24"/>
      <w:szCs w:val="20"/>
      <w:lang w:val="fr-FR" w:eastAsia="en-GB"/>
    </w:rPr>
  </w:style>
  <w:style w:type="paragraph" w:customStyle="1" w:styleId="FreeForm">
    <w:name w:val="Free Form"/>
    <w:uiPriority w:val="99"/>
    <w:rsid w:val="007B3D5C"/>
    <w:pPr>
      <w:spacing w:after="0" w:line="240" w:lineRule="auto"/>
    </w:pPr>
    <w:rPr>
      <w:rFonts w:ascii="Times New Roman" w:eastAsia="Calibri" w:hAnsi="Times New Roman" w:cs="Times New Roman"/>
      <w:color w:val="000000"/>
      <w:sz w:val="20"/>
      <w:szCs w:val="20"/>
      <w:lang w:eastAsia="en-GB"/>
    </w:rPr>
  </w:style>
  <w:style w:type="character" w:customStyle="1" w:styleId="hpsatn">
    <w:name w:val="hps atn"/>
    <w:uiPriority w:val="99"/>
    <w:rsid w:val="007B3D5C"/>
  </w:style>
  <w:style w:type="character" w:customStyle="1" w:styleId="iTegn">
    <w:name w:val="i) Tegn"/>
    <w:link w:val="i0"/>
    <w:rsid w:val="007B3D5C"/>
    <w:rPr>
      <w:rFonts w:ascii="Garamond" w:eastAsia="Times New Roman" w:hAnsi="Garamond" w:cs="Times New Roman"/>
      <w:lang w:eastAsia="fr-FR"/>
    </w:rPr>
  </w:style>
  <w:style w:type="character" w:customStyle="1" w:styleId="journalname">
    <w:name w:val="journalname"/>
    <w:rsid w:val="007B3D5C"/>
  </w:style>
  <w:style w:type="numbering" w:customStyle="1" w:styleId="NoList1">
    <w:name w:val="No List1"/>
    <w:next w:val="a3"/>
    <w:uiPriority w:val="99"/>
    <w:semiHidden/>
    <w:unhideWhenUsed/>
    <w:rsid w:val="007B3D5C"/>
  </w:style>
  <w:style w:type="paragraph" w:customStyle="1" w:styleId="pBase20">
    <w:name w:val="p_Base2"/>
    <w:next w:val="a0"/>
    <w:autoRedefine/>
    <w:rsid w:val="007B3D5C"/>
    <w:pPr>
      <w:overflowPunct w:val="0"/>
      <w:autoSpaceDE w:val="0"/>
      <w:autoSpaceDN w:val="0"/>
      <w:adjustRightInd w:val="0"/>
      <w:spacing w:after="120" w:line="200" w:lineRule="atLeast"/>
      <w:ind w:left="1276" w:hanging="425"/>
      <w:jc w:val="both"/>
      <w:textAlignment w:val="baseline"/>
    </w:pPr>
    <w:rPr>
      <w:rFonts w:ascii="Garamond" w:eastAsia="Times New Roman" w:hAnsi="Garamond" w:cs="Times New Roman"/>
      <w:noProof/>
      <w:szCs w:val="20"/>
      <w:lang w:val="fr-FR" w:eastAsia="ja-JP"/>
    </w:rPr>
  </w:style>
  <w:style w:type="paragraph" w:customStyle="1" w:styleId="Para3i">
    <w:name w:val="Para 3i"/>
    <w:basedOn w:val="Para3"/>
    <w:qFormat/>
    <w:rsid w:val="007B3D5C"/>
    <w:pPr>
      <w:ind w:left="1418" w:hanging="567"/>
    </w:pPr>
    <w:rPr>
      <w:rFonts w:ascii="Times New Roman" w:eastAsia="MS Mincho" w:hAnsi="Times New Roman" w:cs="Arial"/>
      <w:bCs w:val="0"/>
      <w:sz w:val="20"/>
      <w:szCs w:val="18"/>
    </w:rPr>
  </w:style>
  <w:style w:type="paragraph" w:customStyle="1" w:styleId="Para6i">
    <w:name w:val="Para 6i"/>
    <w:basedOn w:val="Para6"/>
    <w:uiPriority w:val="99"/>
    <w:rsid w:val="007B3D5C"/>
    <w:pPr>
      <w:spacing w:after="240"/>
      <w:ind w:left="1418"/>
    </w:pPr>
    <w:rPr>
      <w:rFonts w:ascii="Times New Roman" w:eastAsia="MS Mincho" w:hAnsi="Times New Roman"/>
      <w:sz w:val="20"/>
      <w:lang w:bidi="ar-SA"/>
    </w:rPr>
  </w:style>
  <w:style w:type="paragraph" w:customStyle="1" w:styleId="parai2a">
    <w:name w:val="para i.2.a"/>
    <w:basedOn w:val="Parai2"/>
    <w:rsid w:val="007B3D5C"/>
    <w:pPr>
      <w:spacing w:after="120"/>
      <w:ind w:left="4678" w:hanging="4253"/>
    </w:pPr>
    <w:rPr>
      <w:sz w:val="20"/>
    </w:rPr>
  </w:style>
  <w:style w:type="paragraph" w:customStyle="1" w:styleId="parai3">
    <w:name w:val="para i.3"/>
    <w:basedOn w:val="Parai5"/>
    <w:rsid w:val="007B3D5C"/>
    <w:pPr>
      <w:ind w:left="1276"/>
    </w:pPr>
  </w:style>
  <w:style w:type="paragraph" w:customStyle="1" w:styleId="Parai4">
    <w:name w:val="Para i.4"/>
    <w:basedOn w:val="Parai5"/>
    <w:rsid w:val="007B3D5C"/>
    <w:pPr>
      <w:ind w:left="1417"/>
    </w:pPr>
    <w:rPr>
      <w:rFonts w:cs="Angsana New"/>
    </w:rPr>
  </w:style>
  <w:style w:type="paragraph" w:customStyle="1" w:styleId="Paragraphedeliste1">
    <w:name w:val="Paragraphe de liste1"/>
    <w:basedOn w:val="a0"/>
    <w:qFormat/>
    <w:rsid w:val="007B3D5C"/>
    <w:pPr>
      <w:spacing w:after="200" w:line="276" w:lineRule="auto"/>
      <w:ind w:left="720"/>
      <w:contextualSpacing/>
    </w:pPr>
    <w:rPr>
      <w:rFonts w:ascii="Calibri" w:eastAsia="Calibri" w:hAnsi="Calibri" w:cs="Times New Roman"/>
      <w:lang w:val="en-US"/>
    </w:rPr>
  </w:style>
  <w:style w:type="paragraph" w:customStyle="1" w:styleId="paramarge2">
    <w:name w:val="paramarge 2"/>
    <w:basedOn w:val="a0"/>
    <w:qFormat/>
    <w:rsid w:val="007B3D5C"/>
    <w:pPr>
      <w:spacing w:after="240" w:line="240" w:lineRule="auto"/>
      <w:ind w:left="425"/>
      <w:jc w:val="both"/>
    </w:pPr>
    <w:rPr>
      <w:rFonts w:ascii="Times New Roman" w:eastAsia="Calibri" w:hAnsi="Times New Roman" w:cs="Times New Roman"/>
      <w:sz w:val="20"/>
    </w:rPr>
  </w:style>
  <w:style w:type="character" w:customStyle="1" w:styleId="REFTegn">
    <w:name w:val="REF Tegn"/>
    <w:link w:val="REF"/>
    <w:rsid w:val="007B3D5C"/>
    <w:rPr>
      <w:rFonts w:ascii="Arial" w:eastAsia="Times New Roman" w:hAnsi="Arial" w:cs="Times New Roman"/>
      <w:sz w:val="18"/>
      <w:lang w:val="en-IE" w:bidi="en-US"/>
    </w:rPr>
  </w:style>
  <w:style w:type="paragraph" w:styleId="affffa">
    <w:name w:val="No Spacing"/>
    <w:uiPriority w:val="1"/>
    <w:qFormat/>
    <w:rsid w:val="007B3D5C"/>
    <w:pPr>
      <w:spacing w:after="0" w:line="240" w:lineRule="auto"/>
    </w:pPr>
    <w:rPr>
      <w:rFonts w:ascii="Times New Roman" w:eastAsia="Times New Roman" w:hAnsi="Times New Roman" w:cs="Times New Roman"/>
      <w:sz w:val="24"/>
      <w:szCs w:val="24"/>
      <w:lang w:val="en-US"/>
    </w:rPr>
  </w:style>
  <w:style w:type="character" w:customStyle="1" w:styleId="sciname">
    <w:name w:val="sciname"/>
    <w:uiPriority w:val="99"/>
    <w:rsid w:val="007B3D5C"/>
  </w:style>
  <w:style w:type="character" w:customStyle="1" w:styleId="sheader2">
    <w:name w:val="sheader2"/>
    <w:uiPriority w:val="99"/>
    <w:rsid w:val="007B3D5C"/>
  </w:style>
  <w:style w:type="character" w:customStyle="1" w:styleId="sheader21">
    <w:name w:val="sheader21"/>
    <w:rsid w:val="007B3D5C"/>
    <w:rPr>
      <w:rFonts w:ascii="Times New Roman" w:hAnsi="Times New Roman" w:cs="Times New Roman" w:hint="default"/>
      <w:sz w:val="34"/>
      <w:szCs w:val="34"/>
    </w:rPr>
  </w:style>
  <w:style w:type="character" w:customStyle="1" w:styleId="shorttext">
    <w:name w:val="short_text"/>
    <w:uiPriority w:val="99"/>
    <w:rsid w:val="007B3D5C"/>
  </w:style>
  <w:style w:type="character" w:customStyle="1" w:styleId="slabel1">
    <w:name w:val="slabel1"/>
    <w:uiPriority w:val="99"/>
    <w:rsid w:val="007B3D5C"/>
  </w:style>
  <w:style w:type="paragraph" w:customStyle="1" w:styleId="StyleChaptertitleNonToutenmajuscule">
    <w:name w:val="Style Chapter title + Non Tout en majuscule"/>
    <w:basedOn w:val="a0"/>
    <w:link w:val="StyleChaptertitleNonToutenmajusculeCar"/>
    <w:rsid w:val="007B3D5C"/>
    <w:pPr>
      <w:pBdr>
        <w:bottom w:val="single" w:sz="6" w:space="6" w:color="auto"/>
      </w:pBdr>
      <w:spacing w:after="480" w:line="240" w:lineRule="auto"/>
      <w:jc w:val="center"/>
    </w:pPr>
    <w:rPr>
      <w:rFonts w:ascii="Ottawa" w:eastAsia="MS Mincho" w:hAnsi="Ottawa" w:cs="Times New Roman"/>
      <w:b/>
      <w:spacing w:val="40"/>
      <w:sz w:val="32"/>
      <w:szCs w:val="20"/>
      <w:lang w:val="en-US"/>
    </w:rPr>
  </w:style>
  <w:style w:type="character" w:customStyle="1" w:styleId="StyleChaptertitleNonToutenmajusculeCar">
    <w:name w:val="Style Chapter title + Non Tout en majuscule Car"/>
    <w:link w:val="StyleChaptertitleNonToutenmajuscule"/>
    <w:locked/>
    <w:rsid w:val="007B3D5C"/>
    <w:rPr>
      <w:rFonts w:ascii="Ottawa" w:eastAsia="MS Mincho" w:hAnsi="Ottawa" w:cs="Times New Roman"/>
      <w:b/>
      <w:spacing w:val="40"/>
      <w:sz w:val="32"/>
      <w:szCs w:val="20"/>
      <w:lang w:val="en-US"/>
    </w:rPr>
  </w:style>
  <w:style w:type="paragraph" w:customStyle="1" w:styleId="StyleText1111bulletLatin9ptLatinGras">
    <w:name w:val="Style Text 1.1.1.1 bullet + (Latin) 9 pt (Latin) Gras"/>
    <w:basedOn w:val="a0"/>
    <w:link w:val="StyleText1111bulletLatin9ptLatinGrasCar"/>
    <w:rsid w:val="007B3D5C"/>
    <w:pPr>
      <w:spacing w:after="240" w:line="240" w:lineRule="auto"/>
      <w:ind w:left="1560" w:hanging="284"/>
      <w:jc w:val="both"/>
    </w:pPr>
    <w:rPr>
      <w:rFonts w:ascii="Garamond" w:hAnsi="Garamond"/>
      <w:b/>
      <w:sz w:val="18"/>
      <w:lang w:val="en-IE" w:eastAsia="fr-FR"/>
    </w:rPr>
  </w:style>
  <w:style w:type="paragraph" w:customStyle="1" w:styleId="StyleTitle5aTradeGothicItalique">
    <w:name w:val="Style Title 5a + TradeGothic Italique"/>
    <w:basedOn w:val="Title5a"/>
    <w:rsid w:val="007B3D5C"/>
    <w:rPr>
      <w:rFonts w:ascii="TradeGothic" w:hAnsi="TradeGothic"/>
      <w:bCs w:val="0"/>
      <w:i w:val="0"/>
      <w:iCs/>
      <w:szCs w:val="20"/>
    </w:rPr>
  </w:style>
  <w:style w:type="paragraph" w:customStyle="1" w:styleId="StyleTitre2Aprs10pt">
    <w:name w:val="Style Titre 2 + Après : 10 pt"/>
    <w:basedOn w:val="2"/>
    <w:rsid w:val="007B3D5C"/>
    <w:pPr>
      <w:spacing w:after="200"/>
      <w:contextualSpacing/>
    </w:pPr>
    <w:rPr>
      <w:iCs w:val="0"/>
      <w:sz w:val="20"/>
      <w:szCs w:val="20"/>
      <w:lang w:val="en-US" w:eastAsia="fr-FR" w:bidi="en-US"/>
    </w:rPr>
  </w:style>
  <w:style w:type="paragraph" w:customStyle="1" w:styleId="StyleTitre5Arial">
    <w:name w:val="Style Titre 5 + Arial"/>
    <w:basedOn w:val="5"/>
    <w:uiPriority w:val="99"/>
    <w:rsid w:val="007B3D5C"/>
    <w:pPr>
      <w:keepNext w:val="0"/>
      <w:keepLines w:val="0"/>
      <w:tabs>
        <w:tab w:val="num" w:pos="360"/>
      </w:tabs>
      <w:spacing w:before="0" w:after="120"/>
      <w:ind w:left="360" w:hanging="360"/>
    </w:pPr>
    <w:rPr>
      <w:rFonts w:ascii="Ottawa" w:eastAsia="MS Mincho" w:hAnsi="Ottawa" w:cs="Times New Roman"/>
      <w:i/>
      <w:iCs/>
      <w:color w:val="auto"/>
      <w:sz w:val="18"/>
      <w:szCs w:val="18"/>
      <w:lang w:val="en-US"/>
    </w:rPr>
  </w:style>
  <w:style w:type="paragraph" w:customStyle="1" w:styleId="StyleTitreOTTAWACentr">
    <w:name w:val="Style Titre OTTAWA + Centré"/>
    <w:uiPriority w:val="99"/>
    <w:rsid w:val="007B3D5C"/>
    <w:pPr>
      <w:spacing w:after="480" w:line="240" w:lineRule="auto"/>
      <w:jc w:val="center"/>
      <w:outlineLvl w:val="3"/>
    </w:pPr>
    <w:rPr>
      <w:rFonts w:ascii="Helvetica Neue" w:eastAsia="Calibri" w:hAnsi="Helvetica Neue" w:cs="Times New Roman"/>
      <w:b/>
      <w:color w:val="444444"/>
      <w:sz w:val="28"/>
      <w:szCs w:val="20"/>
      <w:lang w:val="fr-FR" w:eastAsia="en-GB"/>
    </w:rPr>
  </w:style>
  <w:style w:type="character" w:customStyle="1" w:styleId="style2">
    <w:name w:val="style2"/>
    <w:basedOn w:val="a1"/>
    <w:rsid w:val="007B3D5C"/>
  </w:style>
  <w:style w:type="paragraph" w:customStyle="1" w:styleId="style4">
    <w:name w:val="style4"/>
    <w:basedOn w:val="a0"/>
    <w:rsid w:val="007B3D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liste-0">
    <w:name w:val="style-liste-0"/>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style-liste-1">
    <w:name w:val="style-liste-1"/>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table" w:customStyle="1" w:styleId="TableGrid1">
    <w:name w:val="Table Grid1"/>
    <w:basedOn w:val="a2"/>
    <w:next w:val="af2"/>
    <w:uiPriority w:val="39"/>
    <w:rsid w:val="007B3D5C"/>
    <w:pPr>
      <w:widowControl w:val="0"/>
      <w:spacing w:after="240" w:line="240" w:lineRule="auto"/>
      <w:jc w:val="both"/>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
    <w:name w:val="texta)"/>
    <w:basedOn w:val="a0"/>
    <w:uiPriority w:val="99"/>
    <w:rsid w:val="007B3D5C"/>
    <w:pPr>
      <w:spacing w:after="240" w:line="240" w:lineRule="auto"/>
      <w:ind w:left="993"/>
      <w:jc w:val="both"/>
    </w:pPr>
    <w:rPr>
      <w:rFonts w:ascii="Garamond" w:eastAsia="MS Mincho" w:hAnsi="Garamond" w:cs="Times New Roman"/>
      <w:lang w:val="fr-FR" w:eastAsia="fr-FR"/>
    </w:rPr>
  </w:style>
  <w:style w:type="character" w:customStyle="1" w:styleId="PlainTextChar1">
    <w:name w:val="Plain Text Char1"/>
    <w:uiPriority w:val="99"/>
    <w:rsid w:val="007B3D5C"/>
    <w:rPr>
      <w:rFonts w:ascii="Consolas" w:eastAsia="Times New Roman" w:hAnsi="Consolas" w:cs="Consolas"/>
      <w:sz w:val="21"/>
      <w:szCs w:val="21"/>
      <w:lang w:val="en-GB"/>
    </w:rPr>
  </w:style>
  <w:style w:type="paragraph" w:customStyle="1" w:styleId="Timespbasegras">
    <w:name w:val="Times p_base gras"/>
    <w:basedOn w:val="a0"/>
    <w:qFormat/>
    <w:rsid w:val="007B3D5C"/>
    <w:pPr>
      <w:widowControl w:val="0"/>
      <w:tabs>
        <w:tab w:val="left" w:pos="426"/>
      </w:tabs>
      <w:suppressAutoHyphens/>
      <w:spacing w:after="240" w:line="276" w:lineRule="auto"/>
      <w:ind w:left="425" w:hanging="425"/>
      <w:jc w:val="both"/>
    </w:pPr>
    <w:rPr>
      <w:rFonts w:ascii="Calibri" w:eastAsia="Calibri" w:hAnsi="Calibri" w:cs="Times New Roman"/>
      <w:b/>
      <w:sz w:val="20"/>
      <w:lang w:val="fr-FR"/>
    </w:rPr>
  </w:style>
  <w:style w:type="paragraph" w:customStyle="1" w:styleId="paramargebold">
    <w:name w:val="paramarge bold"/>
    <w:basedOn w:val="a0"/>
    <w:uiPriority w:val="99"/>
    <w:rsid w:val="007B3D5C"/>
    <w:pPr>
      <w:spacing w:after="240" w:line="240" w:lineRule="auto"/>
      <w:jc w:val="both"/>
    </w:pPr>
    <w:rPr>
      <w:rFonts w:ascii="Times New Roman" w:eastAsia="Times New Roman" w:hAnsi="Times New Roman" w:cs="Calibri"/>
      <w:b/>
      <w:sz w:val="20"/>
    </w:rPr>
  </w:style>
  <w:style w:type="paragraph" w:customStyle="1" w:styleId="paramarge20">
    <w:name w:val="paramarge2"/>
    <w:basedOn w:val="para2"/>
    <w:link w:val="paramarge2Car"/>
    <w:qFormat/>
    <w:rsid w:val="007B3D5C"/>
    <w:pPr>
      <w:pBdr>
        <w:top w:val="none" w:sz="0" w:space="0" w:color="auto"/>
        <w:left w:val="none" w:sz="0" w:space="0" w:color="auto"/>
        <w:bottom w:val="none" w:sz="0" w:space="0" w:color="auto"/>
        <w:right w:val="none" w:sz="0" w:space="0" w:color="auto"/>
        <w:between w:val="none" w:sz="0" w:space="0" w:color="auto"/>
        <w:bar w:val="none" w:sz="0" w:color="auto"/>
      </w:pBdr>
      <w:ind w:left="425" w:firstLine="0"/>
    </w:pPr>
    <w:rPr>
      <w:rFonts w:ascii="Times New Roman" w:eastAsia="MS Mincho" w:hAnsi="Times New Roman" w:cs="Times New Roman"/>
      <w:b w:val="0"/>
      <w:bCs w:val="0"/>
      <w:color w:val="auto"/>
      <w:sz w:val="20"/>
      <w:szCs w:val="20"/>
      <w:bdr w:val="none" w:sz="0" w:space="0" w:color="auto"/>
      <w:lang w:val="en-GB" w:eastAsia="fr-FR"/>
    </w:rPr>
  </w:style>
  <w:style w:type="character" w:customStyle="1" w:styleId="paramarge2Car">
    <w:name w:val="paramarge2 Car"/>
    <w:link w:val="paramarge20"/>
    <w:rsid w:val="007B3D5C"/>
    <w:rPr>
      <w:rFonts w:ascii="Times New Roman" w:eastAsia="MS Mincho" w:hAnsi="Times New Roman" w:cs="Times New Roman"/>
      <w:sz w:val="20"/>
      <w:szCs w:val="20"/>
      <w:u w:color="000000"/>
      <w:lang w:eastAsia="fr-FR"/>
    </w:rPr>
  </w:style>
  <w:style w:type="paragraph" w:customStyle="1" w:styleId="paramarge3">
    <w:name w:val="paramarge3"/>
    <w:basedOn w:val="paramarge2"/>
    <w:qFormat/>
    <w:rsid w:val="007B3D5C"/>
    <w:pPr>
      <w:ind w:left="992"/>
    </w:pPr>
  </w:style>
  <w:style w:type="paragraph" w:customStyle="1" w:styleId="CarCar2Char">
    <w:name w:val="Car Car2 Char"/>
    <w:basedOn w:val="a0"/>
    <w:rsid w:val="007B3D5C"/>
    <w:pPr>
      <w:spacing w:line="240" w:lineRule="exact"/>
    </w:pPr>
    <w:rPr>
      <w:rFonts w:ascii="Tahoma" w:eastAsia="Times New Roman" w:hAnsi="Tahoma" w:cs="Times New Roman"/>
      <w:sz w:val="20"/>
      <w:szCs w:val="20"/>
      <w:lang w:val="en-US"/>
    </w:rPr>
  </w:style>
  <w:style w:type="paragraph" w:customStyle="1" w:styleId="nom">
    <w:name w:val="nom"/>
    <w:basedOn w:val="a0"/>
    <w:rsid w:val="007B3D5C"/>
    <w:pPr>
      <w:keepNext/>
      <w:widowControl w:val="0"/>
      <w:suppressAutoHyphens/>
      <w:overflowPunct w:val="0"/>
      <w:autoSpaceDE w:val="0"/>
      <w:spacing w:after="0" w:line="240" w:lineRule="auto"/>
    </w:pPr>
    <w:rPr>
      <w:rFonts w:ascii="GeoSlab703 XBd BT" w:eastAsia="MS Mincho" w:hAnsi="GeoSlab703 XBd BT" w:cs="Times New Roman"/>
      <w:b/>
      <w:sz w:val="20"/>
      <w:szCs w:val="20"/>
      <w:lang w:eastAsia="ar-SA"/>
    </w:rPr>
  </w:style>
  <w:style w:type="paragraph" w:customStyle="1" w:styleId="CarCar1CharCarCar">
    <w:name w:val="Car Car1 Char Car Car"/>
    <w:basedOn w:val="a0"/>
    <w:rsid w:val="007B3D5C"/>
    <w:pPr>
      <w:spacing w:line="240" w:lineRule="exact"/>
    </w:pPr>
    <w:rPr>
      <w:rFonts w:ascii="Tahoma" w:eastAsia="Times New Roman" w:hAnsi="Tahoma" w:cs="Times New Roman"/>
      <w:sz w:val="20"/>
      <w:szCs w:val="20"/>
      <w:lang w:val="en-US"/>
    </w:rPr>
  </w:style>
  <w:style w:type="character" w:customStyle="1" w:styleId="Absatz-Standardschriftart">
    <w:name w:val="Absatz-Standardschriftart"/>
    <w:rsid w:val="007B3D5C"/>
  </w:style>
  <w:style w:type="character" w:customStyle="1" w:styleId="WW-Absatz-Standardschriftart">
    <w:name w:val="WW-Absatz-Standardschriftart"/>
    <w:rsid w:val="007B3D5C"/>
  </w:style>
  <w:style w:type="character" w:customStyle="1" w:styleId="WW-Absatz-Standardschriftart1">
    <w:name w:val="WW-Absatz-Standardschriftart1"/>
    <w:rsid w:val="007B3D5C"/>
  </w:style>
  <w:style w:type="character" w:customStyle="1" w:styleId="WW-Absatz-Standardschriftart11">
    <w:name w:val="WW-Absatz-Standardschriftart11"/>
    <w:rsid w:val="007B3D5C"/>
  </w:style>
  <w:style w:type="character" w:customStyle="1" w:styleId="WW-Absatz-Standardschriftart111">
    <w:name w:val="WW-Absatz-Standardschriftart111"/>
    <w:rsid w:val="007B3D5C"/>
  </w:style>
  <w:style w:type="character" w:customStyle="1" w:styleId="WW-Absatz-Standardschriftart1111">
    <w:name w:val="WW-Absatz-Standardschriftart1111"/>
    <w:rsid w:val="007B3D5C"/>
  </w:style>
  <w:style w:type="character" w:customStyle="1" w:styleId="WW-Absatz-Standardschriftart11111">
    <w:name w:val="WW-Absatz-Standardschriftart11111"/>
    <w:rsid w:val="007B3D5C"/>
  </w:style>
  <w:style w:type="character" w:customStyle="1" w:styleId="FootnoteCharacters">
    <w:name w:val="Footnote Characters"/>
    <w:rsid w:val="007B3D5C"/>
    <w:rPr>
      <w:vertAlign w:val="superscript"/>
    </w:rPr>
  </w:style>
  <w:style w:type="paragraph" w:customStyle="1" w:styleId="CarCar1CharCarCarCharCharCarCarCharCarCar">
    <w:name w:val="Car Car1 Char Car Car Char Char Car Car Char Car Car"/>
    <w:basedOn w:val="a0"/>
    <w:rsid w:val="007B3D5C"/>
    <w:pPr>
      <w:suppressAutoHyphens/>
      <w:spacing w:line="240" w:lineRule="exact"/>
    </w:pPr>
    <w:rPr>
      <w:rFonts w:ascii="Tahoma" w:eastAsia="Times New Roman" w:hAnsi="Tahoma" w:cs="Times New Roman"/>
      <w:sz w:val="20"/>
      <w:szCs w:val="20"/>
      <w:lang w:val="en-US" w:eastAsia="ar-SA"/>
    </w:rPr>
  </w:style>
  <w:style w:type="paragraph" w:customStyle="1" w:styleId="TableContents">
    <w:name w:val="Table Contents"/>
    <w:basedOn w:val="a0"/>
    <w:rsid w:val="007B3D5C"/>
    <w:pPr>
      <w:suppressLineNumbers/>
      <w:suppressAutoHyphens/>
      <w:spacing w:after="0" w:line="240" w:lineRule="auto"/>
    </w:pPr>
    <w:rPr>
      <w:rFonts w:ascii="Times New Roman" w:eastAsia="MS Mincho" w:hAnsi="Times New Roman" w:cs="Times New Roman"/>
      <w:sz w:val="24"/>
      <w:szCs w:val="24"/>
      <w:lang w:val="en-US" w:eastAsia="ar-SA"/>
    </w:rPr>
  </w:style>
  <w:style w:type="paragraph" w:customStyle="1" w:styleId="TableHeading">
    <w:name w:val="Table Heading"/>
    <w:basedOn w:val="TableContents"/>
    <w:rsid w:val="007B3D5C"/>
    <w:pPr>
      <w:jc w:val="center"/>
    </w:pPr>
    <w:rPr>
      <w:b/>
      <w:bCs/>
    </w:rPr>
  </w:style>
  <w:style w:type="paragraph" w:customStyle="1" w:styleId="CharChar1">
    <w:name w:val="Char Char1"/>
    <w:basedOn w:val="a0"/>
    <w:rsid w:val="007B3D5C"/>
    <w:pPr>
      <w:spacing w:line="240" w:lineRule="exact"/>
    </w:pPr>
    <w:rPr>
      <w:rFonts w:ascii="Tahoma" w:eastAsia="Times New Roman" w:hAnsi="Tahoma" w:cs="Times New Roman"/>
      <w:sz w:val="20"/>
      <w:szCs w:val="20"/>
      <w:lang w:val="en-US"/>
    </w:rPr>
  </w:style>
  <w:style w:type="paragraph" w:customStyle="1" w:styleId="CharCharCarCarCharChar1">
    <w:name w:val="Char Char Car Car Char Char1"/>
    <w:basedOn w:val="a0"/>
    <w:rsid w:val="007B3D5C"/>
    <w:pPr>
      <w:spacing w:after="0" w:line="240" w:lineRule="auto"/>
    </w:pPr>
    <w:rPr>
      <w:rFonts w:ascii="Arial" w:eastAsia="Times New Roman" w:hAnsi="Arial" w:cs="Times New Roman"/>
      <w:szCs w:val="20"/>
      <w:lang w:val="en-AU"/>
    </w:rPr>
  </w:style>
  <w:style w:type="paragraph" w:customStyle="1" w:styleId="CharChar">
    <w:name w:val="Char Char"/>
    <w:basedOn w:val="a0"/>
    <w:rsid w:val="007B3D5C"/>
    <w:pPr>
      <w:spacing w:line="240" w:lineRule="exact"/>
    </w:pPr>
    <w:rPr>
      <w:rFonts w:ascii="Tahoma" w:eastAsia="Times New Roman" w:hAnsi="Tahoma" w:cs="Times New Roman"/>
      <w:sz w:val="20"/>
      <w:szCs w:val="20"/>
      <w:lang w:val="en-US"/>
    </w:rPr>
  </w:style>
  <w:style w:type="paragraph" w:customStyle="1" w:styleId="CarCarCharCarCar1Char">
    <w:name w:val="Car Car Char Car Car1 Char"/>
    <w:basedOn w:val="a0"/>
    <w:rsid w:val="007B3D5C"/>
    <w:pPr>
      <w:spacing w:line="240" w:lineRule="exact"/>
    </w:pPr>
    <w:rPr>
      <w:rFonts w:ascii="Tahoma" w:eastAsia="Times New Roman" w:hAnsi="Tahoma" w:cs="Times New Roman"/>
      <w:sz w:val="20"/>
      <w:szCs w:val="20"/>
      <w:lang w:val="en-US"/>
    </w:rPr>
  </w:style>
  <w:style w:type="paragraph" w:customStyle="1" w:styleId="Heading2">
    <w:name w:val="Heading2"/>
    <w:basedOn w:val="a0"/>
    <w:link w:val="Heading2Char"/>
    <w:qFormat/>
    <w:rsid w:val="007B3D5C"/>
    <w:pPr>
      <w:spacing w:before="120" w:after="120" w:line="240" w:lineRule="auto"/>
      <w:ind w:left="425"/>
      <w:jc w:val="both"/>
    </w:pPr>
    <w:rPr>
      <w:rFonts w:ascii="Times New Roman" w:eastAsia="Times New Roman" w:hAnsi="Times New Roman" w:cs="Times New Roman"/>
      <w:b/>
      <w:sz w:val="20"/>
      <w:szCs w:val="20"/>
      <w:lang w:val="x-none"/>
    </w:rPr>
  </w:style>
  <w:style w:type="character" w:customStyle="1" w:styleId="Heading2Char">
    <w:name w:val="Heading2 Char"/>
    <w:link w:val="Heading2"/>
    <w:rsid w:val="007B3D5C"/>
    <w:rPr>
      <w:rFonts w:ascii="Times New Roman" w:eastAsia="Times New Roman" w:hAnsi="Times New Roman" w:cs="Times New Roman"/>
      <w:b/>
      <w:sz w:val="20"/>
      <w:szCs w:val="20"/>
      <w:lang w:val="x-none"/>
    </w:rPr>
  </w:style>
  <w:style w:type="character" w:customStyle="1" w:styleId="degree">
    <w:name w:val="degree"/>
    <w:basedOn w:val="a1"/>
    <w:rsid w:val="007B3D5C"/>
  </w:style>
  <w:style w:type="paragraph" w:customStyle="1" w:styleId="affffb">
    <w:name w:val="a)"/>
    <w:basedOn w:val="a0"/>
    <w:rsid w:val="007B3D5C"/>
    <w:pPr>
      <w:spacing w:before="120" w:after="120" w:line="240" w:lineRule="auto"/>
      <w:ind w:left="1134" w:hanging="283"/>
      <w:jc w:val="both"/>
    </w:pPr>
    <w:rPr>
      <w:rFonts w:ascii="Times New Roman" w:eastAsia="Times New Roman" w:hAnsi="Times New Roman" w:cs="Times New Roman"/>
      <w:b/>
      <w:sz w:val="20"/>
      <w:szCs w:val="20"/>
    </w:rPr>
  </w:style>
  <w:style w:type="paragraph" w:customStyle="1" w:styleId="article0">
    <w:name w:val="article"/>
    <w:basedOn w:val="a0"/>
    <w:autoRedefine/>
    <w:rsid w:val="007B3D5C"/>
    <w:pPr>
      <w:overflowPunct w:val="0"/>
      <w:autoSpaceDE w:val="0"/>
      <w:autoSpaceDN w:val="0"/>
      <w:adjustRightInd w:val="0"/>
      <w:spacing w:before="120" w:after="240" w:line="240" w:lineRule="atLeast"/>
      <w:ind w:left="425"/>
      <w:jc w:val="center"/>
      <w:textAlignment w:val="baseline"/>
    </w:pPr>
    <w:rPr>
      <w:rFonts w:ascii="Ottawa" w:eastAsia="Times New Roman" w:hAnsi="Ottawa" w:cs="Times New Roman"/>
      <w:sz w:val="18"/>
      <w:szCs w:val="20"/>
    </w:rPr>
  </w:style>
  <w:style w:type="paragraph" w:customStyle="1" w:styleId="BaseSoulignement">
    <w:name w:val="Base + Soulignement"/>
    <w:basedOn w:val="Base"/>
    <w:rsid w:val="007B3D5C"/>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BasegrasSoulignement">
    <w:name w:val="Base gras + Soulignement"/>
    <w:basedOn w:val="Basegras"/>
    <w:rsid w:val="007B3D5C"/>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Base2">
    <w:name w:val="Base2"/>
    <w:autoRedefine/>
    <w:rsid w:val="007B3D5C"/>
    <w:pPr>
      <w:overflowPunct w:val="0"/>
      <w:autoSpaceDE w:val="0"/>
      <w:autoSpaceDN w:val="0"/>
      <w:adjustRightInd w:val="0"/>
      <w:spacing w:after="200" w:line="200" w:lineRule="atLeast"/>
      <w:ind w:left="851"/>
      <w:jc w:val="both"/>
      <w:textAlignment w:val="baseline"/>
    </w:pPr>
    <w:rPr>
      <w:rFonts w:ascii="Garamond" w:eastAsia="Times New Roman" w:hAnsi="Garamond" w:cs="Times New Roman"/>
      <w:noProof/>
      <w:szCs w:val="20"/>
      <w:lang w:val="fr-FR" w:eastAsia="ja-JP"/>
    </w:rPr>
  </w:style>
  <w:style w:type="paragraph" w:customStyle="1" w:styleId="Base3">
    <w:name w:val="Base3"/>
    <w:autoRedefine/>
    <w:rsid w:val="007B3D5C"/>
    <w:pPr>
      <w:overflowPunct w:val="0"/>
      <w:autoSpaceDE w:val="0"/>
      <w:autoSpaceDN w:val="0"/>
      <w:adjustRightInd w:val="0"/>
      <w:spacing w:after="200" w:line="200" w:lineRule="atLeast"/>
      <w:ind w:left="1276"/>
      <w:jc w:val="both"/>
      <w:textAlignment w:val="baseline"/>
    </w:pPr>
    <w:rPr>
      <w:rFonts w:ascii="Garamond" w:eastAsia="Times New Roman" w:hAnsi="Garamond" w:cs="Times New Roman"/>
      <w:noProof/>
      <w:szCs w:val="20"/>
      <w:lang w:val="fr-FR" w:eastAsia="ja-JP"/>
    </w:rPr>
  </w:style>
  <w:style w:type="paragraph" w:customStyle="1" w:styleId="Base4">
    <w:name w:val="Base4"/>
    <w:autoRedefine/>
    <w:rsid w:val="007B3D5C"/>
    <w:pPr>
      <w:overflowPunct w:val="0"/>
      <w:autoSpaceDE w:val="0"/>
      <w:autoSpaceDN w:val="0"/>
      <w:adjustRightInd w:val="0"/>
      <w:spacing w:after="200" w:line="200" w:lineRule="atLeast"/>
      <w:ind w:left="1701"/>
      <w:jc w:val="both"/>
      <w:textAlignment w:val="baseline"/>
    </w:pPr>
    <w:rPr>
      <w:rFonts w:ascii="Garamond" w:eastAsia="Times New Roman" w:hAnsi="Garamond" w:cs="Times New Roman"/>
      <w:noProof/>
      <w:szCs w:val="20"/>
      <w:lang w:val="fr-FR" w:eastAsia="ja-JP"/>
    </w:rPr>
  </w:style>
  <w:style w:type="paragraph" w:customStyle="1" w:styleId="Base5">
    <w:name w:val="Base5"/>
    <w:autoRedefine/>
    <w:rsid w:val="007B3D5C"/>
    <w:pPr>
      <w:overflowPunct w:val="0"/>
      <w:autoSpaceDE w:val="0"/>
      <w:autoSpaceDN w:val="0"/>
      <w:adjustRightInd w:val="0"/>
      <w:spacing w:after="200" w:line="200" w:lineRule="atLeast"/>
      <w:ind w:left="2126"/>
      <w:jc w:val="both"/>
      <w:textAlignment w:val="baseline"/>
    </w:pPr>
    <w:rPr>
      <w:rFonts w:ascii="Garamond" w:eastAsia="Times New Roman" w:hAnsi="Garamond" w:cs="Times New Roman"/>
      <w:noProof/>
      <w:szCs w:val="20"/>
      <w:lang w:val="fr-FR" w:eastAsia="ja-JP"/>
    </w:rPr>
  </w:style>
  <w:style w:type="paragraph" w:customStyle="1" w:styleId="basic">
    <w:name w:val="basic"/>
    <w:basedOn w:val="a0"/>
    <w:autoRedefine/>
    <w:rsid w:val="007B3D5C"/>
    <w:pPr>
      <w:widowControl w:val="0"/>
      <w:suppressAutoHyphens/>
      <w:spacing w:before="120" w:after="240" w:line="240" w:lineRule="auto"/>
      <w:ind w:left="425"/>
      <w:jc w:val="both"/>
    </w:pPr>
    <w:rPr>
      <w:rFonts w:ascii="Arial" w:eastAsia="Times New Roman" w:hAnsi="Arial" w:cs="Arial"/>
      <w:sz w:val="20"/>
      <w:szCs w:val="20"/>
      <w:lang w:eastAsia="ar-SA"/>
    </w:rPr>
  </w:style>
  <w:style w:type="character" w:customStyle="1" w:styleId="NumberingSymbols">
    <w:name w:val="Numbering Symbols"/>
    <w:rsid w:val="007B3D5C"/>
  </w:style>
  <w:style w:type="paragraph" w:customStyle="1" w:styleId="citation">
    <w:name w:val="citation"/>
    <w:basedOn w:val="a0"/>
    <w:rsid w:val="007B3D5C"/>
    <w:pPr>
      <w:spacing w:before="100" w:beforeAutospacing="1" w:after="100" w:afterAutospacing="1" w:line="240" w:lineRule="auto"/>
      <w:ind w:left="425"/>
    </w:pPr>
    <w:rPr>
      <w:rFonts w:ascii="Times New Roman" w:eastAsia="Calibri" w:hAnsi="Times New Roman" w:cs="Times New Roman"/>
      <w:sz w:val="24"/>
      <w:szCs w:val="24"/>
      <w:lang w:val="en-US"/>
    </w:rPr>
  </w:style>
  <w:style w:type="paragraph" w:customStyle="1" w:styleId="authlist">
    <w:name w:val="auth_list"/>
    <w:basedOn w:val="a0"/>
    <w:rsid w:val="007B3D5C"/>
    <w:pPr>
      <w:spacing w:before="100" w:beforeAutospacing="1" w:after="100" w:afterAutospacing="1" w:line="240" w:lineRule="auto"/>
      <w:ind w:left="425"/>
    </w:pPr>
    <w:rPr>
      <w:rFonts w:ascii="Times New Roman" w:eastAsia="Calibri" w:hAnsi="Times New Roman" w:cs="Times New Roman"/>
      <w:sz w:val="24"/>
      <w:szCs w:val="24"/>
      <w:lang w:val="en-US"/>
    </w:rPr>
  </w:style>
  <w:style w:type="paragraph" w:customStyle="1" w:styleId="pBase3">
    <w:name w:val="p_Base3"/>
    <w:next w:val="a0"/>
    <w:autoRedefine/>
    <w:rsid w:val="007B3D5C"/>
    <w:pPr>
      <w:overflowPunct w:val="0"/>
      <w:autoSpaceDE w:val="0"/>
      <w:autoSpaceDN w:val="0"/>
      <w:adjustRightInd w:val="0"/>
      <w:spacing w:after="200" w:line="200" w:lineRule="atLeast"/>
      <w:ind w:left="1701" w:hanging="425"/>
      <w:jc w:val="both"/>
      <w:textAlignment w:val="baseline"/>
    </w:pPr>
    <w:rPr>
      <w:rFonts w:ascii="Garamond" w:eastAsia="Times New Roman" w:hAnsi="Garamond" w:cs="Times New Roman"/>
      <w:noProof/>
      <w:szCs w:val="20"/>
      <w:lang w:val="fr-FR" w:eastAsia="ja-JP"/>
    </w:rPr>
  </w:style>
  <w:style w:type="paragraph" w:customStyle="1" w:styleId="pBase4">
    <w:name w:val="p_Base4"/>
    <w:next w:val="a0"/>
    <w:autoRedefine/>
    <w:rsid w:val="007B3D5C"/>
    <w:pPr>
      <w:overflowPunct w:val="0"/>
      <w:autoSpaceDE w:val="0"/>
      <w:autoSpaceDN w:val="0"/>
      <w:adjustRightInd w:val="0"/>
      <w:spacing w:after="200" w:line="200" w:lineRule="atLeast"/>
      <w:ind w:left="2126" w:hanging="425"/>
      <w:jc w:val="both"/>
      <w:textAlignment w:val="baseline"/>
    </w:pPr>
    <w:rPr>
      <w:rFonts w:ascii="Garamond" w:eastAsia="Times New Roman" w:hAnsi="Garamond" w:cs="Times New Roman"/>
      <w:noProof/>
      <w:szCs w:val="20"/>
      <w:lang w:val="fr-FR" w:eastAsia="ja-JP"/>
    </w:rPr>
  </w:style>
  <w:style w:type="paragraph" w:customStyle="1" w:styleId="pBase5">
    <w:name w:val="p_Base5"/>
    <w:autoRedefine/>
    <w:rsid w:val="007B3D5C"/>
    <w:pPr>
      <w:overflowPunct w:val="0"/>
      <w:autoSpaceDE w:val="0"/>
      <w:autoSpaceDN w:val="0"/>
      <w:adjustRightInd w:val="0"/>
      <w:spacing w:after="200" w:line="200" w:lineRule="atLeast"/>
      <w:ind w:left="2551" w:hanging="425"/>
      <w:textAlignment w:val="baseline"/>
    </w:pPr>
    <w:rPr>
      <w:rFonts w:ascii="Garamond" w:eastAsia="Times New Roman" w:hAnsi="Garamond" w:cs="Times New Roman"/>
      <w:noProof/>
      <w:szCs w:val="20"/>
      <w:lang w:val="fr-FR" w:eastAsia="ja-JP"/>
    </w:rPr>
  </w:style>
  <w:style w:type="paragraph" w:customStyle="1" w:styleId="Partie">
    <w:name w:val="Partie"/>
    <w:next w:val="a0"/>
    <w:rsid w:val="007B3D5C"/>
    <w:pPr>
      <w:overflowPunct w:val="0"/>
      <w:autoSpaceDE w:val="0"/>
      <w:autoSpaceDN w:val="0"/>
      <w:adjustRightInd w:val="0"/>
      <w:spacing w:before="720" w:after="480" w:line="240" w:lineRule="atLeast"/>
      <w:jc w:val="center"/>
      <w:textAlignment w:val="baseline"/>
    </w:pPr>
    <w:rPr>
      <w:rFonts w:ascii="Ottawa" w:eastAsia="Times New Roman" w:hAnsi="Ottawa" w:cs="Times New Roman"/>
      <w:b/>
      <w:noProof/>
      <w:spacing w:val="50"/>
      <w:sz w:val="28"/>
      <w:szCs w:val="20"/>
      <w:lang w:val="fr-FR" w:eastAsia="ja-JP"/>
    </w:rPr>
  </w:style>
  <w:style w:type="paragraph" w:customStyle="1" w:styleId="StyleBaseSoulignement">
    <w:name w:val="Style Base + Soulignement"/>
    <w:basedOn w:val="Base"/>
    <w:rsid w:val="007B3D5C"/>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StyleBasegrasSoulignement">
    <w:name w:val="Style Base gras + Soulignement"/>
    <w:basedOn w:val="Basegras"/>
    <w:rsid w:val="007B3D5C"/>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Style1">
    <w:name w:val="Style1"/>
    <w:basedOn w:val="pBase"/>
    <w:qFormat/>
    <w:rsid w:val="007B3D5C"/>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851"/>
      <w:textAlignment w:val="baseline"/>
    </w:pPr>
    <w:rPr>
      <w:rFonts w:ascii="Garamond" w:eastAsia="Times New Roman" w:hAnsi="Garamond" w:cs="Times New Roman"/>
      <w:b w:val="0"/>
      <w:bCs w:val="0"/>
      <w:noProof/>
      <w:color w:val="auto"/>
      <w:sz w:val="22"/>
      <w:bdr w:val="none" w:sz="0" w:space="0" w:color="auto"/>
      <w:lang w:val="fr-FR" w:eastAsia="ja-JP"/>
    </w:rPr>
  </w:style>
  <w:style w:type="paragraph" w:customStyle="1" w:styleId="TitreSectionI-I">
    <w:name w:val="Titre Section I-I"/>
    <w:basedOn w:val="pBase"/>
    <w:autoRedefine/>
    <w:rsid w:val="007B3D5C"/>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1701" w:hanging="1701"/>
      <w:textAlignment w:val="baseline"/>
    </w:pPr>
    <w:rPr>
      <w:rFonts w:ascii="Garamond" w:eastAsia="Times New Roman" w:hAnsi="Garamond" w:cs="Arial"/>
      <w:b w:val="0"/>
      <w:bCs w:val="0"/>
      <w:noProof/>
      <w:color w:val="auto"/>
      <w:sz w:val="22"/>
      <w:szCs w:val="22"/>
      <w:bdr w:val="none" w:sz="0" w:space="0" w:color="auto"/>
      <w:lang w:val="en-GB" w:eastAsia="ja-JP"/>
    </w:rPr>
  </w:style>
  <w:style w:type="paragraph" w:customStyle="1" w:styleId="Titresection">
    <w:name w:val="Titre section"/>
    <w:aliases w:val="item"/>
    <w:basedOn w:val="a0"/>
    <w:autoRedefine/>
    <w:rsid w:val="007B3D5C"/>
    <w:pPr>
      <w:suppressAutoHyphens/>
      <w:autoSpaceDE w:val="0"/>
      <w:spacing w:before="120" w:after="120" w:line="240" w:lineRule="auto"/>
      <w:ind w:left="1701" w:hanging="1701"/>
      <w:jc w:val="both"/>
    </w:pPr>
    <w:rPr>
      <w:rFonts w:ascii="Arial" w:eastAsia="Times New Roman" w:hAnsi="Arial" w:cs="Arial"/>
      <w:lang w:eastAsia="ar-SA"/>
    </w:rPr>
  </w:style>
  <w:style w:type="paragraph" w:customStyle="1" w:styleId="TitreIntercalaire">
    <w:name w:val="Titre_Intercalaire"/>
    <w:autoRedefine/>
    <w:rsid w:val="007B3D5C"/>
    <w:pPr>
      <w:numPr>
        <w:numId w:val="20"/>
      </w:numPr>
      <w:spacing w:after="240" w:line="240" w:lineRule="auto"/>
      <w:jc w:val="center"/>
    </w:pPr>
    <w:rPr>
      <w:rFonts w:ascii="TradeGothic BoldCondTwenty" w:eastAsia="Times New Roman" w:hAnsi="TradeGothic BoldCondTwenty" w:cs="Times New Roman"/>
      <w:bCs/>
      <w:color w:val="000000"/>
      <w:sz w:val="48"/>
      <w:szCs w:val="48"/>
    </w:rPr>
  </w:style>
  <w:style w:type="paragraph" w:customStyle="1" w:styleId="Timespbase1gras">
    <w:name w:val="Times p_base1 gras"/>
    <w:basedOn w:val="a4"/>
    <w:qFormat/>
    <w:rsid w:val="007B3D5C"/>
    <w:pPr>
      <w:spacing w:before="120" w:after="240" w:line="240" w:lineRule="auto"/>
      <w:ind w:left="850" w:hanging="425"/>
      <w:jc w:val="both"/>
    </w:pPr>
    <w:rPr>
      <w:rFonts w:ascii="Times New Roman" w:eastAsia="Times New Roman" w:hAnsi="Times New Roman" w:cs="Times New Roman"/>
      <w:b/>
      <w:sz w:val="20"/>
      <w:szCs w:val="20"/>
    </w:rPr>
  </w:style>
  <w:style w:type="paragraph" w:customStyle="1" w:styleId="Startlist">
    <w:name w:val="Start list"/>
    <w:basedOn w:val="a0"/>
    <w:link w:val="StartlistChar"/>
    <w:qFormat/>
    <w:rsid w:val="007B3D5C"/>
    <w:pPr>
      <w:spacing w:before="60" w:after="60" w:line="240" w:lineRule="auto"/>
      <w:jc w:val="both"/>
    </w:pPr>
    <w:rPr>
      <w:rFonts w:ascii="Times New Roman" w:eastAsia="Times New Roman" w:hAnsi="Times New Roman" w:cs="Times New Roman"/>
      <w:sz w:val="20"/>
      <w:szCs w:val="20"/>
      <w:lang w:val="x-none"/>
    </w:rPr>
  </w:style>
  <w:style w:type="paragraph" w:customStyle="1" w:styleId="Table">
    <w:name w:val="Table"/>
    <w:basedOn w:val="a0"/>
    <w:qFormat/>
    <w:rsid w:val="007B3D5C"/>
    <w:pPr>
      <w:spacing w:before="60" w:after="60" w:line="240" w:lineRule="auto"/>
      <w:ind w:left="142"/>
      <w:jc w:val="both"/>
    </w:pPr>
    <w:rPr>
      <w:rFonts w:ascii="Arial" w:eastAsia="Times New Roman" w:hAnsi="Arial" w:cs="Arial"/>
      <w:i/>
      <w:sz w:val="18"/>
      <w:szCs w:val="18"/>
    </w:rPr>
  </w:style>
  <w:style w:type="character" w:customStyle="1" w:styleId="StartlistChar">
    <w:name w:val="Start list Char"/>
    <w:link w:val="Startlist"/>
    <w:rsid w:val="007B3D5C"/>
    <w:rPr>
      <w:rFonts w:ascii="Times New Roman" w:eastAsia="Times New Roman" w:hAnsi="Times New Roman" w:cs="Times New Roman"/>
      <w:sz w:val="20"/>
      <w:szCs w:val="20"/>
      <w:lang w:val="x-none"/>
    </w:rPr>
  </w:style>
  <w:style w:type="paragraph" w:customStyle="1" w:styleId="Style20">
    <w:name w:val="Style2"/>
    <w:basedOn w:val="a0"/>
    <w:link w:val="Style2Char"/>
    <w:qFormat/>
    <w:rsid w:val="007B3D5C"/>
    <w:pPr>
      <w:spacing w:before="60" w:after="60" w:line="240" w:lineRule="auto"/>
      <w:ind w:left="142"/>
      <w:jc w:val="both"/>
    </w:pPr>
    <w:rPr>
      <w:rFonts w:ascii="Arial" w:eastAsia="Times New Roman" w:hAnsi="Arial" w:cs="Times New Roman"/>
      <w:sz w:val="18"/>
      <w:szCs w:val="18"/>
      <w:lang w:val="x-none"/>
    </w:rPr>
  </w:style>
  <w:style w:type="character" w:customStyle="1" w:styleId="Style2Char">
    <w:name w:val="Style2 Char"/>
    <w:link w:val="Style20"/>
    <w:rsid w:val="007B3D5C"/>
    <w:rPr>
      <w:rFonts w:ascii="Arial" w:eastAsia="Times New Roman" w:hAnsi="Arial" w:cs="Times New Roman"/>
      <w:sz w:val="18"/>
      <w:szCs w:val="18"/>
      <w:lang w:val="x-none"/>
    </w:rPr>
  </w:style>
  <w:style w:type="character" w:customStyle="1" w:styleId="Marquedecommentaire3">
    <w:name w:val="Marque de commentaire3"/>
    <w:rsid w:val="007B3D5C"/>
    <w:rPr>
      <w:sz w:val="16"/>
      <w:szCs w:val="16"/>
    </w:rPr>
  </w:style>
  <w:style w:type="character" w:customStyle="1" w:styleId="Lienhypertextesuivivisit2">
    <w:name w:val="Lien hypertexte suivi visité2"/>
    <w:rsid w:val="007B3D5C"/>
    <w:rPr>
      <w:color w:val="800080"/>
      <w:u w:val="single"/>
    </w:rPr>
  </w:style>
  <w:style w:type="paragraph" w:customStyle="1" w:styleId="Commentaire3">
    <w:name w:val="Commentaire3"/>
    <w:basedOn w:val="a0"/>
    <w:rsid w:val="007B3D5C"/>
    <w:pPr>
      <w:suppressAutoHyphens/>
      <w:spacing w:before="240" w:after="240" w:line="360" w:lineRule="auto"/>
      <w:ind w:left="357" w:hanging="357"/>
    </w:pPr>
    <w:rPr>
      <w:rFonts w:ascii="Arial" w:eastAsia="Arial Unicode MS" w:hAnsi="Arial" w:cs="font323"/>
      <w:kern w:val="1"/>
      <w:sz w:val="20"/>
      <w:szCs w:val="20"/>
      <w:lang w:val="en-US" w:bidi="en-US"/>
    </w:rPr>
  </w:style>
  <w:style w:type="paragraph" w:customStyle="1" w:styleId="Textedebulles3">
    <w:name w:val="Texte de bulles3"/>
    <w:basedOn w:val="a0"/>
    <w:rsid w:val="007B3D5C"/>
    <w:pPr>
      <w:suppressAutoHyphens/>
      <w:spacing w:before="240" w:after="240" w:line="360" w:lineRule="auto"/>
      <w:ind w:left="357" w:hanging="357"/>
    </w:pPr>
    <w:rPr>
      <w:rFonts w:ascii="Tahoma" w:eastAsia="Arial Unicode MS" w:hAnsi="Tahoma" w:cs="Tahoma"/>
      <w:kern w:val="1"/>
      <w:sz w:val="16"/>
      <w:szCs w:val="16"/>
      <w:lang w:val="en-US" w:bidi="en-US"/>
    </w:rPr>
  </w:style>
  <w:style w:type="paragraph" w:customStyle="1" w:styleId="Rvision2">
    <w:name w:val="Révision2"/>
    <w:rsid w:val="007B3D5C"/>
    <w:pPr>
      <w:suppressAutoHyphens/>
      <w:spacing w:after="0" w:line="240" w:lineRule="auto"/>
    </w:pPr>
    <w:rPr>
      <w:rFonts w:ascii="Calibri" w:eastAsia="Arial Unicode MS" w:hAnsi="Calibri" w:cs="font323"/>
      <w:kern w:val="1"/>
      <w:lang w:val="en-US" w:bidi="en-US"/>
    </w:rPr>
  </w:style>
  <w:style w:type="paragraph" w:customStyle="1" w:styleId="Objetducommentaire2">
    <w:name w:val="Objet du commentaire2"/>
    <w:rsid w:val="007B3D5C"/>
    <w:pPr>
      <w:widowControl w:val="0"/>
      <w:suppressAutoHyphens/>
      <w:spacing w:after="0" w:line="100" w:lineRule="atLeast"/>
    </w:pPr>
    <w:rPr>
      <w:rFonts w:ascii="Times New Roman" w:eastAsia="Arial Unicode MS" w:hAnsi="Times New Roman" w:cs="font323"/>
      <w:b/>
      <w:bCs/>
      <w:kern w:val="1"/>
      <w:sz w:val="20"/>
      <w:szCs w:val="20"/>
      <w:lang w:eastAsia="ar-SA"/>
    </w:rPr>
  </w:style>
  <w:style w:type="paragraph" w:styleId="affffc">
    <w:name w:val="Bibliography"/>
    <w:basedOn w:val="a0"/>
    <w:next w:val="a0"/>
    <w:unhideWhenUsed/>
    <w:rsid w:val="007B3D5C"/>
    <w:pPr>
      <w:spacing w:after="200" w:line="276" w:lineRule="auto"/>
    </w:pPr>
    <w:rPr>
      <w:rFonts w:ascii="Arial" w:eastAsia="Times New Roman" w:hAnsi="Arial" w:cs="Times New Roman"/>
      <w:sz w:val="16"/>
      <w:lang w:val="fr-FR"/>
    </w:rPr>
  </w:style>
  <w:style w:type="character" w:customStyle="1" w:styleId="s36">
    <w:name w:val="s36"/>
    <w:basedOn w:val="a1"/>
    <w:rsid w:val="007B3D5C"/>
  </w:style>
  <w:style w:type="character" w:customStyle="1" w:styleId="s8">
    <w:name w:val="s8"/>
    <w:basedOn w:val="a1"/>
    <w:rsid w:val="007B3D5C"/>
  </w:style>
  <w:style w:type="character" w:customStyle="1" w:styleId="WW8Num5z0">
    <w:name w:val="WW8Num5z0"/>
    <w:rsid w:val="007B3D5C"/>
    <w:rPr>
      <w:rFonts w:ascii="Times New Roman" w:hAnsi="Times New Roman" w:cs="Times New Roman"/>
      <w:sz w:val="20"/>
    </w:rPr>
  </w:style>
  <w:style w:type="character" w:customStyle="1" w:styleId="WW8Num7z0">
    <w:name w:val="WW8Num7z0"/>
    <w:rsid w:val="007B3D5C"/>
    <w:rPr>
      <w:rFonts w:ascii="Symbol" w:hAnsi="Symbol" w:cs="Symbol"/>
    </w:rPr>
  </w:style>
  <w:style w:type="character" w:customStyle="1" w:styleId="WW8Num7z1">
    <w:name w:val="WW8Num7z1"/>
    <w:rsid w:val="007B3D5C"/>
    <w:rPr>
      <w:rFonts w:ascii="Courier New" w:hAnsi="Courier New" w:cs="Courier New"/>
    </w:rPr>
  </w:style>
  <w:style w:type="character" w:customStyle="1" w:styleId="Carpredefinitoparagrafo">
    <w:name w:val="Car. predefinito paragrafo"/>
    <w:rsid w:val="007B3D5C"/>
  </w:style>
  <w:style w:type="character" w:customStyle="1" w:styleId="DefaultParagraphFont1">
    <w:name w:val="Default Paragraph Font1"/>
    <w:rsid w:val="007B3D5C"/>
  </w:style>
  <w:style w:type="character" w:customStyle="1" w:styleId="WW8Num8z0">
    <w:name w:val="WW8Num8z0"/>
    <w:rsid w:val="007B3D5C"/>
    <w:rPr>
      <w:rFonts w:ascii="Symbol" w:hAnsi="Symbol" w:cs="Symbol"/>
    </w:rPr>
  </w:style>
  <w:style w:type="character" w:customStyle="1" w:styleId="WW8Num8z1">
    <w:name w:val="WW8Num8z1"/>
    <w:rsid w:val="007B3D5C"/>
    <w:rPr>
      <w:rFonts w:ascii="Courier New" w:hAnsi="Courier New" w:cs="Courier New"/>
    </w:rPr>
  </w:style>
  <w:style w:type="character" w:customStyle="1" w:styleId="WW8Num8z2">
    <w:name w:val="WW8Num8z2"/>
    <w:rsid w:val="007B3D5C"/>
    <w:rPr>
      <w:rFonts w:ascii="Wingdings" w:hAnsi="Wingdings" w:cs="Wingdings"/>
    </w:rPr>
  </w:style>
  <w:style w:type="character" w:customStyle="1" w:styleId="WW8Num1z0">
    <w:name w:val="WW8Num1z0"/>
    <w:rsid w:val="007B3D5C"/>
    <w:rPr>
      <w:rFonts w:ascii="Symbol" w:hAnsi="Symbol" w:cs="Symbol"/>
    </w:rPr>
  </w:style>
  <w:style w:type="character" w:customStyle="1" w:styleId="WW8Num2z0">
    <w:name w:val="WW8Num2z0"/>
    <w:rsid w:val="007B3D5C"/>
    <w:rPr>
      <w:rFonts w:ascii="Symbol" w:hAnsi="Symbol" w:cs="Symbol"/>
    </w:rPr>
  </w:style>
  <w:style w:type="character" w:customStyle="1" w:styleId="WW8Num3z0">
    <w:name w:val="WW8Num3z0"/>
    <w:rsid w:val="007B3D5C"/>
    <w:rPr>
      <w:rFonts w:ascii="Times New Roman" w:hAnsi="Times New Roman" w:cs="Times New Roman"/>
      <w:sz w:val="24"/>
    </w:rPr>
  </w:style>
  <w:style w:type="character" w:customStyle="1" w:styleId="WW8Num4z1">
    <w:name w:val="WW8Num4z1"/>
    <w:rsid w:val="007B3D5C"/>
    <w:rPr>
      <w:rFonts w:ascii="Courier New" w:hAnsi="Courier New" w:cs="Courier New"/>
      <w:sz w:val="20"/>
    </w:rPr>
  </w:style>
  <w:style w:type="character" w:customStyle="1" w:styleId="WW8Num6z0">
    <w:name w:val="WW8Num6z0"/>
    <w:rsid w:val="007B3D5C"/>
    <w:rPr>
      <w:rFonts w:ascii="Symbol" w:hAnsi="Symbol" w:cs="Symbol"/>
    </w:rPr>
  </w:style>
  <w:style w:type="character" w:customStyle="1" w:styleId="WW8Num6z1">
    <w:name w:val="WW8Num6z1"/>
    <w:rsid w:val="007B3D5C"/>
    <w:rPr>
      <w:rFonts w:ascii="Courier New" w:hAnsi="Courier New" w:cs="Courier New"/>
    </w:rPr>
  </w:style>
  <w:style w:type="character" w:customStyle="1" w:styleId="WW8Num6z2">
    <w:name w:val="WW8Num6z2"/>
    <w:rsid w:val="007B3D5C"/>
    <w:rPr>
      <w:rFonts w:ascii="Wingdings" w:hAnsi="Wingdings" w:cs="Wingdings"/>
    </w:rPr>
  </w:style>
  <w:style w:type="character" w:customStyle="1" w:styleId="WW8Num7z2">
    <w:name w:val="WW8Num7z2"/>
    <w:rsid w:val="007B3D5C"/>
    <w:rPr>
      <w:rFonts w:ascii="Wingdings" w:hAnsi="Wingdings" w:cs="Wingdings"/>
    </w:rPr>
  </w:style>
  <w:style w:type="character" w:customStyle="1" w:styleId="WW8Num14z0">
    <w:name w:val="WW8Num14z0"/>
    <w:rsid w:val="007B3D5C"/>
    <w:rPr>
      <w:rFonts w:ascii="Symbol" w:hAnsi="Symbol" w:cs="Symbol"/>
    </w:rPr>
  </w:style>
  <w:style w:type="character" w:customStyle="1" w:styleId="WW8Num14z1">
    <w:name w:val="WW8Num14z1"/>
    <w:rsid w:val="007B3D5C"/>
    <w:rPr>
      <w:rFonts w:ascii="Courier New" w:hAnsi="Courier New" w:cs="Courier New"/>
    </w:rPr>
  </w:style>
  <w:style w:type="character" w:customStyle="1" w:styleId="WW8Num14z2">
    <w:name w:val="WW8Num14z2"/>
    <w:rsid w:val="007B3D5C"/>
    <w:rPr>
      <w:rFonts w:ascii="Wingdings" w:hAnsi="Wingdings" w:cs="Wingdings"/>
    </w:rPr>
  </w:style>
  <w:style w:type="character" w:customStyle="1" w:styleId="WW8Num16z0">
    <w:name w:val="WW8Num16z0"/>
    <w:rsid w:val="007B3D5C"/>
    <w:rPr>
      <w:rFonts w:ascii="Symbol" w:hAnsi="Symbol" w:cs="Symbol"/>
      <w:color w:val="auto"/>
    </w:rPr>
  </w:style>
  <w:style w:type="character" w:customStyle="1" w:styleId="FootnoteReference1">
    <w:name w:val="Footnote Reference1"/>
    <w:rsid w:val="007B3D5C"/>
    <w:rPr>
      <w:vertAlign w:val="superscript"/>
    </w:rPr>
  </w:style>
  <w:style w:type="character" w:customStyle="1" w:styleId="EndnoteCharacters">
    <w:name w:val="Endnote Characters"/>
    <w:rsid w:val="007B3D5C"/>
    <w:rPr>
      <w:vertAlign w:val="superscript"/>
    </w:rPr>
  </w:style>
  <w:style w:type="character" w:customStyle="1" w:styleId="WW-EndnoteCharacters">
    <w:name w:val="WW-Endnote Characters"/>
    <w:rsid w:val="007B3D5C"/>
  </w:style>
  <w:style w:type="character" w:customStyle="1" w:styleId="Bullets">
    <w:name w:val="Bullets"/>
    <w:rsid w:val="007B3D5C"/>
    <w:rPr>
      <w:rFonts w:ascii="OpenSymbol" w:eastAsia="OpenSymbol" w:hAnsi="OpenSymbol" w:cs="OpenSymbol"/>
    </w:rPr>
  </w:style>
  <w:style w:type="character" w:customStyle="1" w:styleId="EndnoteReference1">
    <w:name w:val="Endnote Reference1"/>
    <w:rsid w:val="007B3D5C"/>
    <w:rPr>
      <w:vertAlign w:val="superscript"/>
    </w:rPr>
  </w:style>
  <w:style w:type="character" w:customStyle="1" w:styleId="CommentReference1">
    <w:name w:val="Comment Reference1"/>
    <w:rsid w:val="007B3D5C"/>
    <w:rPr>
      <w:sz w:val="16"/>
      <w:szCs w:val="16"/>
    </w:rPr>
  </w:style>
  <w:style w:type="character" w:customStyle="1" w:styleId="Caratteredellanota">
    <w:name w:val="Carattere della nota"/>
    <w:rsid w:val="007B3D5C"/>
    <w:rPr>
      <w:vertAlign w:val="superscript"/>
    </w:rPr>
  </w:style>
  <w:style w:type="character" w:customStyle="1" w:styleId="Caratterenotadichiusura">
    <w:name w:val="Carattere nota di chiusura"/>
    <w:rsid w:val="007B3D5C"/>
    <w:rPr>
      <w:vertAlign w:val="superscript"/>
    </w:rPr>
  </w:style>
  <w:style w:type="character" w:customStyle="1" w:styleId="Rimandonotaapidipagina">
    <w:name w:val="Rimando nota a piè di pagina"/>
    <w:rsid w:val="007B3D5C"/>
    <w:rPr>
      <w:vertAlign w:val="superscript"/>
    </w:rPr>
  </w:style>
  <w:style w:type="character" w:customStyle="1" w:styleId="Rimandonotadichiusura">
    <w:name w:val="Rimando nota di chiusura"/>
    <w:rsid w:val="007B3D5C"/>
    <w:rPr>
      <w:vertAlign w:val="superscript"/>
    </w:rPr>
  </w:style>
  <w:style w:type="character" w:customStyle="1" w:styleId="TestofumettoCarattere">
    <w:name w:val="Testo fumetto Carattere"/>
    <w:rsid w:val="007B3D5C"/>
    <w:rPr>
      <w:rFonts w:ascii="Tahoma" w:eastAsia="MS Mincho" w:hAnsi="Tahoma" w:cs="Tahoma"/>
      <w:sz w:val="16"/>
      <w:szCs w:val="16"/>
      <w:lang w:val="en-AU"/>
    </w:rPr>
  </w:style>
  <w:style w:type="character" w:customStyle="1" w:styleId="Rimandocommento">
    <w:name w:val="Rimando commento"/>
    <w:rsid w:val="007B3D5C"/>
    <w:rPr>
      <w:sz w:val="16"/>
      <w:szCs w:val="16"/>
    </w:rPr>
  </w:style>
  <w:style w:type="character" w:customStyle="1" w:styleId="TestocommentoCarattere">
    <w:name w:val="Testo commento Carattere"/>
    <w:rsid w:val="007B3D5C"/>
    <w:rPr>
      <w:rFonts w:eastAsia="MS Mincho"/>
      <w:lang w:val="en-AU"/>
    </w:rPr>
  </w:style>
  <w:style w:type="character" w:customStyle="1" w:styleId="SoggettocommentoCarattere">
    <w:name w:val="Soggetto commento Carattere"/>
    <w:rsid w:val="007B3D5C"/>
    <w:rPr>
      <w:rFonts w:eastAsia="MS Mincho"/>
      <w:b/>
      <w:bCs/>
      <w:lang w:val="en-AU"/>
    </w:rPr>
  </w:style>
  <w:style w:type="character" w:customStyle="1" w:styleId="WW8Num9z0">
    <w:name w:val="WW8Num9z0"/>
    <w:rsid w:val="007B3D5C"/>
    <w:rPr>
      <w:rFonts w:ascii="Symbol" w:hAnsi="Symbol" w:cs="OpenSymbol"/>
    </w:rPr>
  </w:style>
  <w:style w:type="character" w:customStyle="1" w:styleId="WW8Num9z1">
    <w:name w:val="WW8Num9z1"/>
    <w:rsid w:val="007B3D5C"/>
    <w:rPr>
      <w:rFonts w:ascii="OpenSymbol" w:hAnsi="OpenSymbol" w:cs="OpenSymbol"/>
    </w:rPr>
  </w:style>
  <w:style w:type="character" w:customStyle="1" w:styleId="WW8Num10z0">
    <w:name w:val="WW8Num10z0"/>
    <w:rsid w:val="007B3D5C"/>
    <w:rPr>
      <w:rFonts w:ascii="Symbol" w:hAnsi="Symbol" w:cs="OpenSymbol"/>
    </w:rPr>
  </w:style>
  <w:style w:type="character" w:customStyle="1" w:styleId="WW8Num10z1">
    <w:name w:val="WW8Num10z1"/>
    <w:rsid w:val="007B3D5C"/>
    <w:rPr>
      <w:rFonts w:ascii="OpenSymbol" w:hAnsi="OpenSymbol" w:cs="OpenSymbol"/>
    </w:rPr>
  </w:style>
  <w:style w:type="character" w:customStyle="1" w:styleId="WW8Num11z0">
    <w:name w:val="WW8Num11z0"/>
    <w:rsid w:val="007B3D5C"/>
    <w:rPr>
      <w:rFonts w:ascii="Symbol" w:hAnsi="Symbol" w:cs="OpenSymbol"/>
    </w:rPr>
  </w:style>
  <w:style w:type="character" w:customStyle="1" w:styleId="WW8Num11z1">
    <w:name w:val="WW8Num11z1"/>
    <w:rsid w:val="007B3D5C"/>
    <w:rPr>
      <w:rFonts w:ascii="OpenSymbol" w:hAnsi="OpenSymbol" w:cs="OpenSymbol"/>
    </w:rPr>
  </w:style>
  <w:style w:type="paragraph" w:customStyle="1" w:styleId="Caption2">
    <w:name w:val="Caption2"/>
    <w:basedOn w:val="a0"/>
    <w:rsid w:val="007B3D5C"/>
    <w:pPr>
      <w:widowControl w:val="0"/>
      <w:suppressLineNumbers/>
      <w:suppressAutoHyphens/>
      <w:overflowPunct w:val="0"/>
      <w:autoSpaceDE w:val="0"/>
      <w:spacing w:before="120" w:after="120" w:line="240" w:lineRule="auto"/>
      <w:textAlignment w:val="baseline"/>
    </w:pPr>
    <w:rPr>
      <w:rFonts w:ascii="Times New Roman" w:eastAsia="MS Mincho" w:hAnsi="Times New Roman" w:cs="Tahoma"/>
      <w:i/>
      <w:iCs/>
      <w:sz w:val="24"/>
      <w:szCs w:val="24"/>
      <w:lang w:val="en-AU" w:eastAsia="ar-SA"/>
    </w:rPr>
  </w:style>
  <w:style w:type="paragraph" w:customStyle="1" w:styleId="Intestazione1">
    <w:name w:val="Intestazione1"/>
    <w:basedOn w:val="a0"/>
    <w:next w:val="aff0"/>
    <w:rsid w:val="007B3D5C"/>
    <w:pPr>
      <w:keepNext/>
      <w:widowControl w:val="0"/>
      <w:suppressAutoHyphens/>
      <w:overflowPunct w:val="0"/>
      <w:autoSpaceDE w:val="0"/>
      <w:spacing w:before="240" w:after="120" w:line="240" w:lineRule="auto"/>
      <w:textAlignment w:val="baseline"/>
    </w:pPr>
    <w:rPr>
      <w:rFonts w:ascii="Arial" w:eastAsia="Microsoft YaHei" w:hAnsi="Arial" w:cs="Mangal"/>
      <w:sz w:val="28"/>
      <w:szCs w:val="28"/>
      <w:lang w:val="en-AU" w:eastAsia="ar-SA"/>
    </w:rPr>
  </w:style>
  <w:style w:type="paragraph" w:customStyle="1" w:styleId="Didascalia1">
    <w:name w:val="Didascalia1"/>
    <w:basedOn w:val="a0"/>
    <w:rsid w:val="007B3D5C"/>
    <w:pPr>
      <w:widowControl w:val="0"/>
      <w:suppressLineNumbers/>
      <w:suppressAutoHyphens/>
      <w:overflowPunct w:val="0"/>
      <w:autoSpaceDE w:val="0"/>
      <w:spacing w:before="120" w:after="120" w:line="240" w:lineRule="auto"/>
      <w:textAlignment w:val="baseline"/>
    </w:pPr>
    <w:rPr>
      <w:rFonts w:ascii="Times New Roman" w:eastAsia="MS Mincho" w:hAnsi="Times New Roman" w:cs="Mangal"/>
      <w:i/>
      <w:iCs/>
      <w:sz w:val="24"/>
      <w:szCs w:val="24"/>
      <w:lang w:val="en-AU" w:eastAsia="ar-SA"/>
    </w:rPr>
  </w:style>
  <w:style w:type="paragraph" w:customStyle="1" w:styleId="Indice">
    <w:name w:val="Indice"/>
    <w:basedOn w:val="a0"/>
    <w:rsid w:val="007B3D5C"/>
    <w:pPr>
      <w:widowControl w:val="0"/>
      <w:suppressLineNumbers/>
      <w:suppressAutoHyphens/>
      <w:overflowPunct w:val="0"/>
      <w:autoSpaceDE w:val="0"/>
      <w:spacing w:after="0" w:line="240" w:lineRule="auto"/>
      <w:textAlignment w:val="baseline"/>
    </w:pPr>
    <w:rPr>
      <w:rFonts w:ascii="Times New Roman" w:eastAsia="MS Mincho" w:hAnsi="Times New Roman" w:cs="Mangal"/>
      <w:sz w:val="20"/>
      <w:szCs w:val="20"/>
      <w:lang w:val="en-AU" w:eastAsia="ar-SA"/>
    </w:rPr>
  </w:style>
  <w:style w:type="paragraph" w:customStyle="1" w:styleId="Caption1">
    <w:name w:val="Caption1"/>
    <w:basedOn w:val="a0"/>
    <w:rsid w:val="007B3D5C"/>
    <w:pPr>
      <w:widowControl w:val="0"/>
      <w:suppressLineNumbers/>
      <w:suppressAutoHyphens/>
      <w:overflowPunct w:val="0"/>
      <w:autoSpaceDE w:val="0"/>
      <w:spacing w:before="120" w:after="120" w:line="240" w:lineRule="auto"/>
      <w:textAlignment w:val="baseline"/>
    </w:pPr>
    <w:rPr>
      <w:rFonts w:ascii="Times New Roman" w:eastAsia="MS Mincho" w:hAnsi="Times New Roman" w:cs="Tahoma"/>
      <w:i/>
      <w:iCs/>
      <w:sz w:val="24"/>
      <w:szCs w:val="24"/>
      <w:lang w:val="en-AU" w:eastAsia="ar-SA"/>
    </w:rPr>
  </w:style>
  <w:style w:type="paragraph" w:customStyle="1" w:styleId="Retraitnormal1">
    <w:name w:val="Retrait normal1"/>
    <w:basedOn w:val="a0"/>
    <w:rsid w:val="007B3D5C"/>
    <w:pPr>
      <w:widowControl w:val="0"/>
      <w:suppressAutoHyphens/>
      <w:overflowPunct w:val="0"/>
      <w:autoSpaceDE w:val="0"/>
      <w:spacing w:after="0" w:line="240" w:lineRule="auto"/>
      <w:ind w:left="720"/>
      <w:textAlignment w:val="baseline"/>
    </w:pPr>
    <w:rPr>
      <w:rFonts w:ascii="Times New Roman" w:eastAsia="MS Mincho" w:hAnsi="Times New Roman" w:cs="Times New Roman"/>
      <w:sz w:val="20"/>
      <w:szCs w:val="20"/>
      <w:lang w:val="en-AU" w:eastAsia="ar-SA"/>
    </w:rPr>
  </w:style>
  <w:style w:type="paragraph" w:customStyle="1" w:styleId="Annexe">
    <w:name w:val="Annexe"/>
    <w:next w:val="a0"/>
    <w:rsid w:val="007B3D5C"/>
    <w:pPr>
      <w:widowControl w:val="0"/>
      <w:suppressAutoHyphens/>
      <w:overflowPunct w:val="0"/>
      <w:autoSpaceDE w:val="0"/>
      <w:spacing w:before="360" w:after="240" w:line="240" w:lineRule="atLeast"/>
      <w:jc w:val="center"/>
      <w:textAlignment w:val="baseline"/>
    </w:pPr>
    <w:rPr>
      <w:rFonts w:ascii="Times New Roman" w:eastAsia="MS Mincho" w:hAnsi="Times New Roman" w:cs="Times New Roman"/>
      <w:b/>
      <w:sz w:val="20"/>
      <w:szCs w:val="20"/>
      <w:lang w:val="en-US" w:eastAsia="ar-SA"/>
    </w:rPr>
  </w:style>
  <w:style w:type="paragraph" w:customStyle="1" w:styleId="Para111">
    <w:name w:val="Para 1.1."/>
    <w:basedOn w:val="11"/>
    <w:rsid w:val="007B3D5C"/>
    <w:pPr>
      <w:widowControl w:val="0"/>
      <w:suppressAutoHyphens/>
      <w:overflowPunct w:val="0"/>
      <w:autoSpaceDE w:val="0"/>
      <w:ind w:left="851" w:firstLine="0"/>
      <w:textAlignment w:val="baseline"/>
    </w:pPr>
    <w:rPr>
      <w:rFonts w:ascii="Ottawa" w:eastAsia="Times New Roman" w:hAnsi="Ottawa"/>
      <w:b w:val="0"/>
      <w:sz w:val="21"/>
      <w:lang w:val="fr-FR" w:eastAsia="ar-SA"/>
    </w:rPr>
  </w:style>
  <w:style w:type="paragraph" w:customStyle="1" w:styleId="paraa">
    <w:name w:val="para a)"/>
    <w:basedOn w:val="a0"/>
    <w:rsid w:val="007B3D5C"/>
    <w:pPr>
      <w:widowControl w:val="0"/>
      <w:suppressAutoHyphens/>
      <w:overflowPunct w:val="0"/>
      <w:autoSpaceDE w:val="0"/>
      <w:spacing w:after="240" w:line="240" w:lineRule="auto"/>
      <w:ind w:left="1134"/>
      <w:jc w:val="both"/>
      <w:textAlignment w:val="baseline"/>
    </w:pPr>
    <w:rPr>
      <w:rFonts w:ascii="Times New Roman" w:eastAsia="Times New Roman" w:hAnsi="Times New Roman" w:cs="Times New Roman"/>
      <w:sz w:val="20"/>
      <w:szCs w:val="20"/>
      <w:lang w:val="fr-FR" w:eastAsia="ar-SA"/>
    </w:rPr>
  </w:style>
  <w:style w:type="paragraph" w:customStyle="1" w:styleId="Annexetitreacte">
    <w:name w:val="Annexe titre (acte)"/>
    <w:basedOn w:val="a0"/>
    <w:next w:val="a0"/>
    <w:rsid w:val="007B3D5C"/>
    <w:pPr>
      <w:widowControl w:val="0"/>
      <w:suppressAutoHyphens/>
      <w:overflowPunct w:val="0"/>
      <w:autoSpaceDE w:val="0"/>
      <w:spacing w:before="120" w:after="120" w:line="240" w:lineRule="auto"/>
      <w:jc w:val="center"/>
      <w:textAlignment w:val="baseline"/>
    </w:pPr>
    <w:rPr>
      <w:rFonts w:ascii="Times New Roman" w:eastAsia="MS Mincho" w:hAnsi="Times New Roman" w:cs="Times New Roman"/>
      <w:b/>
      <w:sz w:val="24"/>
      <w:szCs w:val="20"/>
      <w:u w:val="single"/>
      <w:lang w:eastAsia="ar-SA"/>
    </w:rPr>
  </w:style>
  <w:style w:type="paragraph" w:customStyle="1" w:styleId="Enclosures">
    <w:name w:val="Enclosures"/>
    <w:basedOn w:val="a0"/>
    <w:next w:val="a0"/>
    <w:rsid w:val="007B3D5C"/>
    <w:pPr>
      <w:keepNext/>
      <w:keepLines/>
      <w:widowControl w:val="0"/>
      <w:tabs>
        <w:tab w:val="left" w:pos="5642"/>
      </w:tabs>
      <w:suppressAutoHyphens/>
      <w:overflowPunct w:val="0"/>
      <w:autoSpaceDE w:val="0"/>
      <w:spacing w:before="480" w:after="0" w:line="240" w:lineRule="auto"/>
      <w:ind w:left="1792" w:hanging="1792"/>
      <w:textAlignment w:val="baseline"/>
    </w:pPr>
    <w:rPr>
      <w:rFonts w:ascii="Times New Roman" w:eastAsia="MS Mincho" w:hAnsi="Times New Roman" w:cs="Times New Roman"/>
      <w:sz w:val="24"/>
      <w:szCs w:val="20"/>
      <w:lang w:val="en-AU" w:eastAsia="ar-SA"/>
    </w:rPr>
  </w:style>
  <w:style w:type="paragraph" w:customStyle="1" w:styleId="adressesbiblio">
    <w:name w:val="adresses+biblio"/>
    <w:basedOn w:val="a0"/>
    <w:rsid w:val="007B3D5C"/>
    <w:pPr>
      <w:widowControl w:val="0"/>
      <w:tabs>
        <w:tab w:val="left" w:pos="426"/>
        <w:tab w:val="left" w:pos="567"/>
        <w:tab w:val="left" w:pos="4820"/>
      </w:tabs>
      <w:suppressAutoHyphens/>
      <w:overflowPunct w:val="0"/>
      <w:autoSpaceDE w:val="0"/>
      <w:spacing w:before="240" w:after="0" w:line="360" w:lineRule="atLeast"/>
      <w:jc w:val="both"/>
      <w:textAlignment w:val="baseline"/>
    </w:pPr>
    <w:rPr>
      <w:rFonts w:ascii="Times New Roman" w:eastAsia="MS Mincho" w:hAnsi="Times New Roman" w:cs="Times New Roman"/>
      <w:sz w:val="24"/>
      <w:szCs w:val="20"/>
      <w:lang w:eastAsia="ar-SA"/>
    </w:rPr>
  </w:style>
  <w:style w:type="paragraph" w:customStyle="1" w:styleId="Numdoc">
    <w:name w:val="Numdoc"/>
    <w:basedOn w:val="a0"/>
    <w:rsid w:val="007B3D5C"/>
    <w:pPr>
      <w:keepLines/>
      <w:widowControl w:val="0"/>
      <w:tabs>
        <w:tab w:val="left" w:pos="288"/>
      </w:tabs>
      <w:suppressAutoHyphens/>
      <w:overflowPunct w:val="0"/>
      <w:autoSpaceDE w:val="0"/>
      <w:spacing w:after="0" w:line="240" w:lineRule="atLeast"/>
      <w:jc w:val="center"/>
      <w:textAlignment w:val="baseline"/>
    </w:pPr>
    <w:rPr>
      <w:rFonts w:ascii="Arial" w:eastAsia="MS Mincho" w:hAnsi="Arial" w:cs="Arial"/>
      <w:sz w:val="28"/>
      <w:szCs w:val="20"/>
      <w:lang w:val="en-AU" w:eastAsia="ar-SA"/>
    </w:rPr>
  </w:style>
  <w:style w:type="paragraph" w:customStyle="1" w:styleId="paratiret">
    <w:name w:val="paratiret"/>
    <w:basedOn w:val="a0"/>
    <w:rsid w:val="007B3D5C"/>
    <w:pPr>
      <w:suppressAutoHyphens/>
      <w:overflowPunct w:val="0"/>
      <w:autoSpaceDE w:val="0"/>
      <w:spacing w:after="200" w:line="360" w:lineRule="auto"/>
      <w:ind w:left="851"/>
      <w:jc w:val="both"/>
      <w:textAlignment w:val="baseline"/>
    </w:pPr>
    <w:rPr>
      <w:rFonts w:ascii="Times New Roman" w:eastAsia="MS Mincho" w:hAnsi="Times New Roman" w:cs="Times New Roman"/>
      <w:b/>
      <w:sz w:val="24"/>
      <w:szCs w:val="20"/>
      <w:lang w:val="en-IE" w:eastAsia="ar-SA"/>
    </w:rPr>
  </w:style>
  <w:style w:type="paragraph" w:customStyle="1" w:styleId="point">
    <w:name w:val="point"/>
    <w:basedOn w:val="a0"/>
    <w:rsid w:val="007B3D5C"/>
    <w:pPr>
      <w:widowControl w:val="0"/>
      <w:tabs>
        <w:tab w:val="left" w:pos="709"/>
      </w:tabs>
      <w:suppressAutoHyphens/>
      <w:overflowPunct w:val="0"/>
      <w:autoSpaceDE w:val="0"/>
      <w:spacing w:after="240" w:line="240" w:lineRule="auto"/>
      <w:ind w:left="709" w:hanging="283"/>
      <w:jc w:val="both"/>
      <w:textAlignment w:val="baseline"/>
    </w:pPr>
    <w:rPr>
      <w:rFonts w:ascii="Times New Roman" w:eastAsia="MS Mincho" w:hAnsi="Times New Roman" w:cs="Times New Roman"/>
      <w:sz w:val="20"/>
      <w:szCs w:val="20"/>
      <w:lang w:val="en-US" w:eastAsia="ar-SA"/>
    </w:rPr>
  </w:style>
  <w:style w:type="paragraph" w:customStyle="1" w:styleId="doc">
    <w:name w:val="doc"/>
    <w:basedOn w:val="a0"/>
    <w:rsid w:val="007B3D5C"/>
    <w:pPr>
      <w:suppressAutoHyphens/>
      <w:overflowPunct w:val="0"/>
      <w:autoSpaceDE w:val="0"/>
      <w:spacing w:after="240" w:line="240" w:lineRule="auto"/>
      <w:jc w:val="center"/>
      <w:textAlignment w:val="baseline"/>
    </w:pPr>
    <w:rPr>
      <w:rFonts w:ascii="Century" w:eastAsia="MS Mincho" w:hAnsi="Century" w:cs="Century"/>
      <w:sz w:val="20"/>
      <w:szCs w:val="20"/>
      <w:lang w:eastAsia="ar-SA"/>
    </w:rPr>
  </w:style>
  <w:style w:type="paragraph" w:customStyle="1" w:styleId="tiret">
    <w:name w:val="tiret"/>
    <w:basedOn w:val="a0"/>
    <w:rsid w:val="007B3D5C"/>
    <w:pPr>
      <w:widowControl w:val="0"/>
      <w:suppressAutoHyphens/>
      <w:overflowPunct w:val="0"/>
      <w:autoSpaceDE w:val="0"/>
      <w:spacing w:after="240" w:line="240" w:lineRule="auto"/>
      <w:ind w:left="851" w:hanging="284"/>
      <w:jc w:val="both"/>
      <w:textAlignment w:val="baseline"/>
    </w:pPr>
    <w:rPr>
      <w:rFonts w:ascii="Century" w:eastAsia="MS Mincho" w:hAnsi="Century" w:cs="Century"/>
      <w:sz w:val="20"/>
      <w:szCs w:val="20"/>
      <w:lang w:eastAsia="ar-SA"/>
    </w:rPr>
  </w:style>
  <w:style w:type="paragraph" w:customStyle="1" w:styleId="puce">
    <w:name w:val="puce"/>
    <w:basedOn w:val="a0"/>
    <w:rsid w:val="007B3D5C"/>
    <w:pPr>
      <w:widowControl w:val="0"/>
      <w:tabs>
        <w:tab w:val="left" w:pos="425"/>
      </w:tabs>
      <w:suppressAutoHyphens/>
      <w:overflowPunct w:val="0"/>
      <w:autoSpaceDE w:val="0"/>
      <w:spacing w:after="240" w:line="240" w:lineRule="auto"/>
      <w:ind w:left="425" w:hanging="425"/>
      <w:jc w:val="both"/>
      <w:textAlignment w:val="baseline"/>
    </w:pPr>
    <w:rPr>
      <w:rFonts w:ascii="Times New Roman" w:eastAsia="MS Mincho" w:hAnsi="Times New Roman" w:cs="Times New Roman"/>
      <w:sz w:val="20"/>
      <w:szCs w:val="20"/>
      <w:lang w:eastAsia="ar-SA"/>
    </w:rPr>
  </w:style>
  <w:style w:type="paragraph" w:customStyle="1" w:styleId="point1">
    <w:name w:val="point1."/>
    <w:basedOn w:val="a0"/>
    <w:rsid w:val="007B3D5C"/>
    <w:pPr>
      <w:widowControl w:val="0"/>
      <w:tabs>
        <w:tab w:val="left" w:pos="1135"/>
      </w:tabs>
      <w:suppressAutoHyphens/>
      <w:overflowPunct w:val="0"/>
      <w:autoSpaceDE w:val="0"/>
      <w:spacing w:after="240" w:line="360" w:lineRule="auto"/>
      <w:ind w:left="1135" w:hanging="284"/>
      <w:jc w:val="both"/>
      <w:textAlignment w:val="baseline"/>
    </w:pPr>
    <w:rPr>
      <w:rFonts w:ascii="Times New Roman" w:eastAsia="MS Mincho" w:hAnsi="Times New Roman" w:cs="Times New Roman"/>
      <w:sz w:val="20"/>
      <w:szCs w:val="20"/>
      <w:lang w:val="en-IE" w:eastAsia="ar-SA"/>
    </w:rPr>
  </w:style>
  <w:style w:type="paragraph" w:customStyle="1" w:styleId="tiret1">
    <w:name w:val="tiret 1"/>
    <w:basedOn w:val="para1"/>
    <w:rsid w:val="007B3D5C"/>
    <w:pPr>
      <w:widowControl w:val="0"/>
      <w:suppressAutoHyphens/>
      <w:overflowPunct w:val="0"/>
      <w:autoSpaceDE w:val="0"/>
      <w:ind w:left="426" w:firstLine="0"/>
      <w:textAlignment w:val="baseline"/>
    </w:pPr>
    <w:rPr>
      <w:rFonts w:eastAsia="Times New Roman" w:cs="Times New Roman"/>
      <w:b w:val="0"/>
      <w:bCs w:val="0"/>
      <w:sz w:val="22"/>
      <w:u w:color="000000"/>
      <w:lang w:val="fr-FR" w:eastAsia="ar-SA"/>
    </w:rPr>
  </w:style>
  <w:style w:type="paragraph" w:customStyle="1" w:styleId="puceM">
    <w:name w:val="puceM"/>
    <w:basedOn w:val="a0"/>
    <w:rsid w:val="007B3D5C"/>
    <w:pPr>
      <w:suppressAutoHyphens/>
      <w:spacing w:after="120" w:line="240" w:lineRule="auto"/>
      <w:ind w:left="714" w:hanging="357"/>
      <w:jc w:val="both"/>
    </w:pPr>
    <w:rPr>
      <w:rFonts w:ascii="Times New Roman" w:eastAsia="MS Mincho" w:hAnsi="Times New Roman" w:cs="Times New Roman"/>
      <w:sz w:val="20"/>
      <w:szCs w:val="20"/>
      <w:lang w:val="en-AU" w:eastAsia="ar-SA"/>
    </w:rPr>
  </w:style>
  <w:style w:type="paragraph" w:customStyle="1" w:styleId="puceMfin">
    <w:name w:val="puceM fin"/>
    <w:basedOn w:val="a0"/>
    <w:rsid w:val="007B3D5C"/>
    <w:pPr>
      <w:suppressAutoHyphens/>
      <w:spacing w:after="240" w:line="240" w:lineRule="auto"/>
      <w:ind w:left="714" w:hanging="357"/>
      <w:jc w:val="both"/>
    </w:pPr>
    <w:rPr>
      <w:rFonts w:ascii="Times New Roman" w:eastAsia="MS Mincho" w:hAnsi="Times New Roman" w:cs="Times New Roman"/>
      <w:sz w:val="20"/>
      <w:szCs w:val="20"/>
      <w:lang w:val="en-AU" w:eastAsia="ar-SA"/>
    </w:rPr>
  </w:style>
  <w:style w:type="paragraph" w:customStyle="1" w:styleId="Original">
    <w:name w:val="Original"/>
    <w:basedOn w:val="a0"/>
    <w:rsid w:val="007B3D5C"/>
    <w:pPr>
      <w:suppressAutoHyphens/>
      <w:spacing w:after="0" w:line="240" w:lineRule="auto"/>
      <w:jc w:val="right"/>
    </w:pPr>
    <w:rPr>
      <w:rFonts w:ascii="Times New Roman" w:eastAsia="Times New Roman" w:hAnsi="Times New Roman" w:cs="Times New Roman"/>
      <w:sz w:val="20"/>
      <w:szCs w:val="24"/>
      <w:lang w:eastAsia="ar-SA"/>
    </w:rPr>
  </w:style>
  <w:style w:type="paragraph" w:customStyle="1" w:styleId="datedroite">
    <w:name w:val="date droite"/>
    <w:basedOn w:val="a0"/>
    <w:rsid w:val="007B3D5C"/>
    <w:pPr>
      <w:suppressAutoHyphens/>
      <w:spacing w:after="840" w:line="240" w:lineRule="auto"/>
      <w:jc w:val="right"/>
    </w:pPr>
    <w:rPr>
      <w:rFonts w:ascii="Times New Roman" w:eastAsia="Times New Roman" w:hAnsi="Times New Roman" w:cs="Times New Roman"/>
      <w:sz w:val="20"/>
      <w:szCs w:val="24"/>
      <w:lang w:eastAsia="ar-SA"/>
    </w:rPr>
  </w:style>
  <w:style w:type="paragraph" w:customStyle="1" w:styleId="BalloonText1">
    <w:name w:val="Balloon Text1"/>
    <w:basedOn w:val="a0"/>
    <w:rsid w:val="007B3D5C"/>
    <w:pPr>
      <w:widowControl w:val="0"/>
      <w:suppressAutoHyphens/>
      <w:overflowPunct w:val="0"/>
      <w:autoSpaceDE w:val="0"/>
      <w:spacing w:after="0" w:line="240" w:lineRule="auto"/>
      <w:textAlignment w:val="baseline"/>
    </w:pPr>
    <w:rPr>
      <w:rFonts w:ascii="Tahoma" w:eastAsia="MS Mincho" w:hAnsi="Tahoma" w:cs="Tahoma"/>
      <w:sz w:val="16"/>
      <w:szCs w:val="16"/>
      <w:lang w:val="en-AU" w:eastAsia="ar-SA"/>
    </w:rPr>
  </w:style>
  <w:style w:type="paragraph" w:customStyle="1" w:styleId="CommentSubject1">
    <w:name w:val="Comment Subject1"/>
    <w:basedOn w:val="Commentaire1"/>
    <w:next w:val="Commentaire1"/>
    <w:rsid w:val="007B3D5C"/>
    <w:pPr>
      <w:widowControl w:val="0"/>
      <w:overflowPunct w:val="0"/>
      <w:autoSpaceDE w:val="0"/>
      <w:spacing w:line="240" w:lineRule="auto"/>
      <w:jc w:val="left"/>
      <w:textAlignment w:val="baseline"/>
    </w:pPr>
    <w:rPr>
      <w:rFonts w:eastAsia="MS Mincho"/>
      <w:b/>
      <w:bCs/>
      <w:kern w:val="0"/>
      <w:lang w:val="en-AU" w:eastAsia="ar-SA" w:bidi="ar-SA"/>
    </w:rPr>
  </w:style>
  <w:style w:type="paragraph" w:customStyle="1" w:styleId="Heading51">
    <w:name w:val="Heading 51"/>
    <w:basedOn w:val="a0"/>
    <w:rsid w:val="007B3D5C"/>
    <w:pPr>
      <w:widowControl w:val="0"/>
      <w:suppressAutoHyphens/>
      <w:spacing w:after="240" w:line="240" w:lineRule="auto"/>
      <w:jc w:val="center"/>
    </w:pPr>
    <w:rPr>
      <w:rFonts w:ascii="Times Udarennyi It" w:eastAsia="Times New Roman" w:hAnsi="Times Udarennyi It" w:cs="Arial"/>
      <w:b/>
      <w:bCs/>
      <w:sz w:val="20"/>
      <w:szCs w:val="24"/>
      <w:lang w:val="en-US" w:eastAsia="ar-SA"/>
    </w:rPr>
  </w:style>
  <w:style w:type="paragraph" w:customStyle="1" w:styleId="ListParagraph1">
    <w:name w:val="List Paragraph1"/>
    <w:basedOn w:val="a0"/>
    <w:rsid w:val="007B3D5C"/>
    <w:pPr>
      <w:widowControl w:val="0"/>
      <w:suppressAutoHyphens/>
      <w:overflowPunct w:val="0"/>
      <w:autoSpaceDE w:val="0"/>
      <w:spacing w:after="0" w:line="240" w:lineRule="auto"/>
      <w:textAlignment w:val="baseline"/>
    </w:pPr>
    <w:rPr>
      <w:rFonts w:ascii="Times New Roman" w:eastAsia="MS Mincho" w:hAnsi="Times New Roman" w:cs="Times New Roman"/>
      <w:sz w:val="20"/>
      <w:szCs w:val="20"/>
      <w:lang w:val="en-AU" w:eastAsia="ar-SA"/>
    </w:rPr>
  </w:style>
  <w:style w:type="paragraph" w:customStyle="1" w:styleId="CommentText1">
    <w:name w:val="Comment Text1"/>
    <w:basedOn w:val="a0"/>
    <w:rsid w:val="007B3D5C"/>
    <w:pPr>
      <w:widowControl w:val="0"/>
      <w:suppressAutoHyphens/>
      <w:overflowPunct w:val="0"/>
      <w:autoSpaceDE w:val="0"/>
      <w:spacing w:after="0" w:line="240" w:lineRule="auto"/>
      <w:textAlignment w:val="baseline"/>
    </w:pPr>
    <w:rPr>
      <w:rFonts w:ascii="Times New Roman" w:eastAsia="MS Mincho" w:hAnsi="Times New Roman" w:cs="Times New Roman"/>
      <w:sz w:val="20"/>
      <w:szCs w:val="20"/>
      <w:lang w:val="en-AU" w:eastAsia="ar-SA"/>
    </w:rPr>
  </w:style>
  <w:style w:type="paragraph" w:customStyle="1" w:styleId="ListParagraph2">
    <w:name w:val="List Paragraph2"/>
    <w:basedOn w:val="a0"/>
    <w:rsid w:val="007B3D5C"/>
    <w:pPr>
      <w:widowControl w:val="0"/>
      <w:suppressAutoHyphens/>
      <w:overflowPunct w:val="0"/>
      <w:autoSpaceDE w:val="0"/>
      <w:spacing w:after="0" w:line="240" w:lineRule="auto"/>
      <w:textAlignment w:val="baseline"/>
    </w:pPr>
    <w:rPr>
      <w:rFonts w:ascii="Times New Roman" w:eastAsia="MS Mincho" w:hAnsi="Times New Roman" w:cs="Times New Roman"/>
      <w:sz w:val="20"/>
      <w:szCs w:val="20"/>
      <w:lang w:val="en-AU" w:eastAsia="ar-SA"/>
    </w:rPr>
  </w:style>
  <w:style w:type="paragraph" w:customStyle="1" w:styleId="Contenutotabella">
    <w:name w:val="Contenuto tabella"/>
    <w:basedOn w:val="a0"/>
    <w:rsid w:val="007B3D5C"/>
    <w:pPr>
      <w:widowControl w:val="0"/>
      <w:suppressLineNumbers/>
      <w:suppressAutoHyphens/>
      <w:overflowPunct w:val="0"/>
      <w:autoSpaceDE w:val="0"/>
      <w:spacing w:after="0" w:line="240" w:lineRule="auto"/>
      <w:textAlignment w:val="baseline"/>
    </w:pPr>
    <w:rPr>
      <w:rFonts w:ascii="Times New Roman" w:eastAsia="MS Mincho" w:hAnsi="Times New Roman" w:cs="Times New Roman"/>
      <w:sz w:val="20"/>
      <w:szCs w:val="20"/>
      <w:lang w:val="en-AU" w:eastAsia="ar-SA"/>
    </w:rPr>
  </w:style>
  <w:style w:type="paragraph" w:customStyle="1" w:styleId="Intestazionetabella">
    <w:name w:val="Intestazione tabella"/>
    <w:basedOn w:val="Contenutotabella"/>
    <w:rsid w:val="007B3D5C"/>
    <w:pPr>
      <w:jc w:val="center"/>
    </w:pPr>
    <w:rPr>
      <w:b/>
      <w:bCs/>
    </w:rPr>
  </w:style>
  <w:style w:type="paragraph" w:customStyle="1" w:styleId="Testofumetto">
    <w:name w:val="Testo fumetto"/>
    <w:basedOn w:val="a0"/>
    <w:rsid w:val="007B3D5C"/>
    <w:pPr>
      <w:widowControl w:val="0"/>
      <w:suppressAutoHyphens/>
      <w:overflowPunct w:val="0"/>
      <w:autoSpaceDE w:val="0"/>
      <w:spacing w:after="0" w:line="240" w:lineRule="auto"/>
      <w:textAlignment w:val="baseline"/>
    </w:pPr>
    <w:rPr>
      <w:rFonts w:ascii="Tahoma" w:eastAsia="MS Mincho" w:hAnsi="Tahoma" w:cs="Tahoma"/>
      <w:sz w:val="16"/>
      <w:szCs w:val="16"/>
      <w:lang w:val="en-AU" w:eastAsia="ar-SA"/>
    </w:rPr>
  </w:style>
  <w:style w:type="paragraph" w:customStyle="1" w:styleId="Testocommento">
    <w:name w:val="Testo commento"/>
    <w:basedOn w:val="a0"/>
    <w:rsid w:val="007B3D5C"/>
    <w:pPr>
      <w:widowControl w:val="0"/>
      <w:suppressAutoHyphens/>
      <w:overflowPunct w:val="0"/>
      <w:autoSpaceDE w:val="0"/>
      <w:spacing w:after="0" w:line="240" w:lineRule="auto"/>
      <w:textAlignment w:val="baseline"/>
    </w:pPr>
    <w:rPr>
      <w:rFonts w:ascii="Times New Roman" w:eastAsia="MS Mincho" w:hAnsi="Times New Roman" w:cs="Times New Roman"/>
      <w:sz w:val="20"/>
      <w:szCs w:val="20"/>
      <w:lang w:val="en-AU" w:eastAsia="ar-SA"/>
    </w:rPr>
  </w:style>
  <w:style w:type="paragraph" w:customStyle="1" w:styleId="Soggettocommento">
    <w:name w:val="Soggetto commento"/>
    <w:basedOn w:val="Testocommento"/>
    <w:next w:val="Testocommento"/>
    <w:rsid w:val="007B3D5C"/>
    <w:rPr>
      <w:b/>
      <w:bCs/>
    </w:rPr>
  </w:style>
  <w:style w:type="paragraph" w:customStyle="1" w:styleId="DefaultLTGliederung1">
    <w:name w:val="Default~LT~Gliederung 1"/>
    <w:rsid w:val="007B3D5C"/>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Arial" w:eastAsia="Arial" w:hAnsi="Arial" w:cs="Arial"/>
      <w:color w:val="000000"/>
      <w:sz w:val="64"/>
      <w:szCs w:val="64"/>
      <w:lang w:val="it-IT" w:eastAsia="hi-IN" w:bidi="hi-IN"/>
    </w:rPr>
  </w:style>
  <w:style w:type="character" w:customStyle="1" w:styleId="TextedebullesCar1">
    <w:name w:val="Texte de bulles Car1"/>
    <w:uiPriority w:val="99"/>
    <w:semiHidden/>
    <w:rsid w:val="007B3D5C"/>
    <w:rPr>
      <w:rFonts w:ascii="Tahoma" w:eastAsia="MS Mincho" w:hAnsi="Tahoma" w:cs="Tahoma"/>
      <w:sz w:val="16"/>
      <w:szCs w:val="16"/>
      <w:lang w:val="en-AU" w:eastAsia="ar-SA"/>
    </w:rPr>
  </w:style>
  <w:style w:type="character" w:customStyle="1" w:styleId="ObjetducommentaireCar1">
    <w:name w:val="Objet du commentaire Car1"/>
    <w:uiPriority w:val="99"/>
    <w:semiHidden/>
    <w:rsid w:val="007B3D5C"/>
    <w:rPr>
      <w:rFonts w:eastAsia="MS Mincho"/>
      <w:b/>
      <w:bCs/>
      <w:lang w:val="en-AU" w:eastAsia="ar-SA"/>
    </w:rPr>
  </w:style>
  <w:style w:type="character" w:customStyle="1" w:styleId="Corpsdetexte2Car1">
    <w:name w:val="Corps de texte 2 Car1"/>
    <w:uiPriority w:val="99"/>
    <w:semiHidden/>
    <w:rsid w:val="007B3D5C"/>
    <w:rPr>
      <w:rFonts w:eastAsia="MS Mincho"/>
      <w:lang w:val="en-AU" w:eastAsia="ar-SA"/>
    </w:rPr>
  </w:style>
  <w:style w:type="paragraph" w:customStyle="1" w:styleId="xl64">
    <w:name w:val="xl64"/>
    <w:basedOn w:val="a0"/>
    <w:rsid w:val="007B3D5C"/>
    <w:pP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65">
    <w:name w:val="xl65"/>
    <w:basedOn w:val="a0"/>
    <w:rsid w:val="007B3D5C"/>
    <w:pP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66">
    <w:name w:val="xl66"/>
    <w:basedOn w:val="a0"/>
    <w:rsid w:val="007B3D5C"/>
    <w:pP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67">
    <w:name w:val="xl67"/>
    <w:basedOn w:val="a0"/>
    <w:rsid w:val="007B3D5C"/>
    <w:pPr>
      <w:spacing w:before="100" w:beforeAutospacing="1" w:after="100" w:afterAutospacing="1" w:line="240" w:lineRule="auto"/>
    </w:pPr>
    <w:rPr>
      <w:rFonts w:ascii="Times New Roman" w:eastAsia="Times New Roman" w:hAnsi="Times New Roman" w:cs="Times New Roman"/>
      <w:sz w:val="16"/>
      <w:szCs w:val="16"/>
      <w:lang w:val="fr-FR" w:eastAsia="fr-FR"/>
    </w:rPr>
  </w:style>
  <w:style w:type="paragraph" w:customStyle="1" w:styleId="xl68">
    <w:name w:val="xl68"/>
    <w:basedOn w:val="a0"/>
    <w:rsid w:val="007B3D5C"/>
    <w:pPr>
      <w:spacing w:before="100" w:beforeAutospacing="1" w:after="100" w:afterAutospacing="1" w:line="240" w:lineRule="auto"/>
      <w:jc w:val="center"/>
    </w:pPr>
    <w:rPr>
      <w:rFonts w:ascii="Times New Roman" w:eastAsia="Times New Roman" w:hAnsi="Times New Roman" w:cs="Times New Roman"/>
      <w:color w:val="000000"/>
      <w:sz w:val="16"/>
      <w:szCs w:val="16"/>
      <w:lang w:val="fr-FR" w:eastAsia="fr-FR"/>
    </w:rPr>
  </w:style>
  <w:style w:type="paragraph" w:customStyle="1" w:styleId="xl69">
    <w:name w:val="xl69"/>
    <w:basedOn w:val="a0"/>
    <w:rsid w:val="007B3D5C"/>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70">
    <w:name w:val="xl70"/>
    <w:basedOn w:val="a0"/>
    <w:rsid w:val="007B3D5C"/>
    <w:pPr>
      <w:pBdr>
        <w:bottom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71">
    <w:name w:val="xl71"/>
    <w:basedOn w:val="a0"/>
    <w:rsid w:val="007B3D5C"/>
    <w:pPr>
      <w:pBdr>
        <w:bottom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72">
    <w:name w:val="xl72"/>
    <w:basedOn w:val="a0"/>
    <w:rsid w:val="007B3D5C"/>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val="fr-FR" w:eastAsia="fr-FR"/>
    </w:rPr>
  </w:style>
  <w:style w:type="paragraph" w:customStyle="1" w:styleId="xl73">
    <w:name w:val="xl73"/>
    <w:basedOn w:val="a0"/>
    <w:rsid w:val="007B3D5C"/>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74">
    <w:name w:val="xl74"/>
    <w:basedOn w:val="a0"/>
    <w:rsid w:val="007B3D5C"/>
    <w:pPr>
      <w:pBdr>
        <w:top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75">
    <w:name w:val="xl75"/>
    <w:basedOn w:val="a0"/>
    <w:rsid w:val="007B3D5C"/>
    <w:pP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76">
    <w:name w:val="xl76"/>
    <w:basedOn w:val="a0"/>
    <w:rsid w:val="007B3D5C"/>
    <w:pPr>
      <w:pBdr>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color w:val="000000"/>
      <w:sz w:val="16"/>
      <w:szCs w:val="16"/>
      <w:lang w:val="fr-FR" w:eastAsia="fr-FR"/>
    </w:rPr>
  </w:style>
  <w:style w:type="paragraph" w:customStyle="1" w:styleId="xl77">
    <w:name w:val="xl77"/>
    <w:basedOn w:val="a0"/>
    <w:rsid w:val="007B3D5C"/>
    <w:pPr>
      <w:pBdr>
        <w:top w:val="single" w:sz="4" w:space="0" w:color="auto"/>
        <w:lef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78">
    <w:name w:val="xl78"/>
    <w:basedOn w:val="a0"/>
    <w:rsid w:val="007B3D5C"/>
    <w:pPr>
      <w:pBdr>
        <w:top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79">
    <w:name w:val="xl79"/>
    <w:basedOn w:val="a0"/>
    <w:rsid w:val="007B3D5C"/>
    <w:pPr>
      <w:pBdr>
        <w:top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80">
    <w:name w:val="xl80"/>
    <w:basedOn w:val="a0"/>
    <w:rsid w:val="007B3D5C"/>
    <w:pPr>
      <w:pBdr>
        <w:lef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81">
    <w:name w:val="xl81"/>
    <w:basedOn w:val="a0"/>
    <w:rsid w:val="007B3D5C"/>
    <w:pP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82">
    <w:name w:val="xl82"/>
    <w:basedOn w:val="a0"/>
    <w:rsid w:val="007B3D5C"/>
    <w:pPr>
      <w:pBdr>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color w:val="000000"/>
      <w:sz w:val="16"/>
      <w:szCs w:val="16"/>
      <w:u w:val="single"/>
      <w:lang w:val="fr-FR" w:eastAsia="fr-FR"/>
    </w:rPr>
  </w:style>
  <w:style w:type="paragraph" w:customStyle="1" w:styleId="xl83">
    <w:name w:val="xl83"/>
    <w:basedOn w:val="a0"/>
    <w:rsid w:val="007B3D5C"/>
    <w:pPr>
      <w:pBdr>
        <w:left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color w:val="000000"/>
      <w:sz w:val="16"/>
      <w:szCs w:val="16"/>
      <w:lang w:val="fr-FR" w:eastAsia="fr-FR"/>
    </w:rPr>
  </w:style>
  <w:style w:type="paragraph" w:customStyle="1" w:styleId="xl84">
    <w:name w:val="xl84"/>
    <w:basedOn w:val="a0"/>
    <w:rsid w:val="007B3D5C"/>
    <w:pPr>
      <w:pBdr>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color w:val="000000"/>
      <w:sz w:val="16"/>
      <w:szCs w:val="16"/>
      <w:lang w:val="fr-FR" w:eastAsia="fr-FR"/>
    </w:rPr>
  </w:style>
  <w:style w:type="paragraph" w:customStyle="1" w:styleId="xl85">
    <w:name w:val="xl85"/>
    <w:basedOn w:val="a0"/>
    <w:rsid w:val="007B3D5C"/>
    <w:pPr>
      <w:pBdr>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color w:val="000000"/>
      <w:sz w:val="16"/>
      <w:szCs w:val="16"/>
      <w:lang w:val="fr-FR" w:eastAsia="fr-FR"/>
    </w:rPr>
  </w:style>
  <w:style w:type="paragraph" w:customStyle="1" w:styleId="xl86">
    <w:name w:val="xl86"/>
    <w:basedOn w:val="a0"/>
    <w:rsid w:val="007B3D5C"/>
    <w:pPr>
      <w:pBdr>
        <w:left w:val="single" w:sz="4" w:space="0" w:color="auto"/>
      </w:pBdr>
      <w:shd w:val="clear" w:color="000000" w:fill="DDD9C4"/>
      <w:spacing w:before="100" w:beforeAutospacing="1" w:after="100" w:afterAutospacing="1" w:line="240" w:lineRule="auto"/>
    </w:pPr>
    <w:rPr>
      <w:rFonts w:ascii="Times New Roman" w:eastAsia="Times New Roman" w:hAnsi="Times New Roman" w:cs="Times New Roman"/>
      <w:b/>
      <w:bCs/>
      <w:color w:val="000000"/>
      <w:sz w:val="16"/>
      <w:szCs w:val="16"/>
      <w:lang w:val="fr-FR" w:eastAsia="fr-FR"/>
    </w:rPr>
  </w:style>
  <w:style w:type="paragraph" w:customStyle="1" w:styleId="xl87">
    <w:name w:val="xl87"/>
    <w:basedOn w:val="a0"/>
    <w:rsid w:val="007B3D5C"/>
    <w:pPr>
      <w:shd w:val="clear" w:color="000000" w:fill="DDD9C4"/>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88">
    <w:name w:val="xl88"/>
    <w:basedOn w:val="a0"/>
    <w:rsid w:val="007B3D5C"/>
    <w:pPr>
      <w:shd w:val="clear" w:color="000000" w:fill="DDD9C4"/>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89">
    <w:name w:val="xl89"/>
    <w:basedOn w:val="a0"/>
    <w:rsid w:val="007B3D5C"/>
    <w:pPr>
      <w:shd w:val="clear" w:color="000000" w:fill="DDD9C4"/>
      <w:spacing w:before="100" w:beforeAutospacing="1" w:after="100" w:afterAutospacing="1" w:line="240" w:lineRule="auto"/>
      <w:jc w:val="center"/>
    </w:pPr>
    <w:rPr>
      <w:rFonts w:ascii="Times New Roman" w:eastAsia="Times New Roman" w:hAnsi="Times New Roman" w:cs="Times New Roman"/>
      <w:color w:val="000000"/>
      <w:sz w:val="16"/>
      <w:szCs w:val="16"/>
      <w:lang w:val="fr-FR" w:eastAsia="fr-FR"/>
    </w:rPr>
  </w:style>
  <w:style w:type="paragraph" w:customStyle="1" w:styleId="xl90">
    <w:name w:val="xl90"/>
    <w:basedOn w:val="a0"/>
    <w:rsid w:val="007B3D5C"/>
    <w:pPr>
      <w:pBdr>
        <w:right w:val="single" w:sz="4" w:space="0" w:color="auto"/>
      </w:pBdr>
      <w:shd w:val="clear" w:color="000000" w:fill="DDD9C4"/>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91">
    <w:name w:val="xl91"/>
    <w:basedOn w:val="a0"/>
    <w:rsid w:val="007B3D5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92">
    <w:name w:val="xl92"/>
    <w:basedOn w:val="a0"/>
    <w:rsid w:val="007B3D5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paragraph" w:customStyle="1" w:styleId="xl93">
    <w:name w:val="xl93"/>
    <w:basedOn w:val="a0"/>
    <w:rsid w:val="007B3D5C"/>
    <w:pPr>
      <w:pBdr>
        <w:left w:val="single" w:sz="4" w:space="0" w:color="auto"/>
      </w:pBdr>
      <w:spacing w:before="100" w:beforeAutospacing="1" w:after="100" w:afterAutospacing="1" w:line="240" w:lineRule="auto"/>
    </w:pPr>
    <w:rPr>
      <w:rFonts w:ascii="Times New Roman" w:eastAsia="Times New Roman" w:hAnsi="Times New Roman" w:cs="Times New Roman"/>
      <w:i/>
      <w:iCs/>
      <w:color w:val="000000"/>
      <w:sz w:val="16"/>
      <w:szCs w:val="16"/>
      <w:lang w:val="fr-FR" w:eastAsia="fr-FR"/>
    </w:rPr>
  </w:style>
  <w:style w:type="paragraph" w:customStyle="1" w:styleId="xl94">
    <w:name w:val="xl94"/>
    <w:basedOn w:val="a0"/>
    <w:rsid w:val="007B3D5C"/>
    <w:pPr>
      <w:spacing w:before="100" w:beforeAutospacing="1" w:after="100" w:afterAutospacing="1" w:line="240" w:lineRule="auto"/>
    </w:pPr>
    <w:rPr>
      <w:rFonts w:ascii="Times New Roman" w:eastAsia="Times New Roman" w:hAnsi="Times New Roman" w:cs="Times New Roman"/>
      <w:color w:val="FF0000"/>
      <w:sz w:val="16"/>
      <w:szCs w:val="16"/>
      <w:lang w:val="fr-FR" w:eastAsia="fr-FR"/>
    </w:rPr>
  </w:style>
  <w:style w:type="paragraph" w:customStyle="1" w:styleId="xl95">
    <w:name w:val="xl95"/>
    <w:basedOn w:val="a0"/>
    <w:rsid w:val="007B3D5C"/>
    <w:pPr>
      <w:pBdr>
        <w:left w:val="single" w:sz="4" w:space="0" w:color="auto"/>
      </w:pBdr>
      <w:spacing w:before="100" w:beforeAutospacing="1" w:after="100" w:afterAutospacing="1" w:line="240" w:lineRule="auto"/>
    </w:pPr>
    <w:rPr>
      <w:rFonts w:ascii="Times New Roman" w:eastAsia="Times New Roman" w:hAnsi="Times New Roman" w:cs="Times New Roman"/>
      <w:sz w:val="16"/>
      <w:szCs w:val="16"/>
      <w:lang w:val="fr-FR" w:eastAsia="fr-FR"/>
    </w:rPr>
  </w:style>
  <w:style w:type="paragraph" w:customStyle="1" w:styleId="xl96">
    <w:name w:val="xl96"/>
    <w:basedOn w:val="a0"/>
    <w:rsid w:val="007B3D5C"/>
    <w:pPr>
      <w:spacing w:before="100" w:beforeAutospacing="1" w:after="100" w:afterAutospacing="1" w:line="240" w:lineRule="auto"/>
    </w:pPr>
    <w:rPr>
      <w:rFonts w:ascii="Times New Roman" w:eastAsia="Times New Roman" w:hAnsi="Times New Roman" w:cs="Times New Roman"/>
      <w:sz w:val="16"/>
      <w:szCs w:val="16"/>
      <w:lang w:val="fr-FR" w:eastAsia="fr-FR"/>
    </w:rPr>
  </w:style>
  <w:style w:type="paragraph" w:customStyle="1" w:styleId="xl97">
    <w:name w:val="xl97"/>
    <w:basedOn w:val="a0"/>
    <w:rsid w:val="007B3D5C"/>
    <w:pPr>
      <w:spacing w:before="100" w:beforeAutospacing="1" w:after="100" w:afterAutospacing="1" w:line="240" w:lineRule="auto"/>
      <w:jc w:val="center"/>
    </w:pPr>
    <w:rPr>
      <w:rFonts w:ascii="Times New Roman" w:eastAsia="Times New Roman" w:hAnsi="Times New Roman" w:cs="Times New Roman"/>
      <w:sz w:val="16"/>
      <w:szCs w:val="16"/>
      <w:lang w:val="fr-FR" w:eastAsia="fr-FR"/>
    </w:rPr>
  </w:style>
  <w:style w:type="paragraph" w:customStyle="1" w:styleId="xl98">
    <w:name w:val="xl98"/>
    <w:basedOn w:val="a0"/>
    <w:rsid w:val="007B3D5C"/>
    <w:pPr>
      <w:pBdr>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fr-FR" w:eastAsia="fr-FR"/>
    </w:rPr>
  </w:style>
  <w:style w:type="paragraph" w:customStyle="1" w:styleId="xl99">
    <w:name w:val="xl99"/>
    <w:basedOn w:val="a0"/>
    <w:rsid w:val="007B3D5C"/>
    <w:pPr>
      <w:spacing w:before="100" w:beforeAutospacing="1" w:after="100" w:afterAutospacing="1" w:line="240" w:lineRule="auto"/>
    </w:pPr>
    <w:rPr>
      <w:rFonts w:ascii="Times New Roman" w:eastAsia="Times New Roman" w:hAnsi="Times New Roman" w:cs="Times New Roman"/>
      <w:color w:val="FF0000"/>
      <w:sz w:val="16"/>
      <w:szCs w:val="16"/>
      <w:lang w:val="fr-FR" w:eastAsia="fr-FR"/>
    </w:rPr>
  </w:style>
  <w:style w:type="paragraph" w:customStyle="1" w:styleId="xl100">
    <w:name w:val="xl100"/>
    <w:basedOn w:val="a0"/>
    <w:rsid w:val="007B3D5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val="fr-FR" w:eastAsia="fr-FR"/>
    </w:rPr>
  </w:style>
  <w:style w:type="table" w:customStyle="1" w:styleId="Trameclaire-Accent11">
    <w:name w:val="Trame claire - Accent 11"/>
    <w:basedOn w:val="a2"/>
    <w:uiPriority w:val="60"/>
    <w:rsid w:val="007B3D5C"/>
    <w:pPr>
      <w:spacing w:after="0" w:line="240" w:lineRule="auto"/>
    </w:pPr>
    <w:rPr>
      <w:rFonts w:ascii="Calibri" w:eastAsia="Calibri" w:hAnsi="Calibri" w:cs="Times New Roman"/>
      <w:color w:val="365F91"/>
      <w:sz w:val="20"/>
      <w:szCs w:val="20"/>
      <w:lang w:val="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
    <w:name w:val="Ombrage clair1"/>
    <w:basedOn w:val="a2"/>
    <w:uiPriority w:val="60"/>
    <w:rsid w:val="007B3D5C"/>
    <w:pPr>
      <w:spacing w:after="0" w:line="240" w:lineRule="auto"/>
    </w:pPr>
    <w:rPr>
      <w:rFonts w:ascii="Calibri" w:eastAsia="Calibri" w:hAnsi="Calibri" w:cs="Times New Roman"/>
      <w:color w:val="000000"/>
      <w:sz w:val="20"/>
      <w:szCs w:val="20"/>
      <w:lang w:val="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En-tteCar1">
    <w:name w:val="En-tête Car1"/>
    <w:uiPriority w:val="99"/>
    <w:rsid w:val="007B3D5C"/>
    <w:rPr>
      <w:rFonts w:eastAsia="MS Mincho"/>
      <w:lang w:eastAsia="ar-SA"/>
    </w:rPr>
  </w:style>
  <w:style w:type="paragraph" w:customStyle="1" w:styleId="paramarge1">
    <w:name w:val="paramarge"/>
    <w:basedOn w:val="a0"/>
    <w:uiPriority w:val="99"/>
    <w:semiHidden/>
    <w:rsid w:val="007B3D5C"/>
    <w:pPr>
      <w:spacing w:before="100" w:beforeAutospacing="1" w:after="100" w:afterAutospacing="1" w:line="240" w:lineRule="auto"/>
    </w:pPr>
    <w:rPr>
      <w:rFonts w:ascii="Times New Roman" w:eastAsia="Calibri" w:hAnsi="Times New Roman" w:cs="Times New Roman"/>
      <w:sz w:val="24"/>
      <w:szCs w:val="24"/>
      <w:lang w:val="en-US"/>
    </w:rPr>
  </w:style>
  <w:style w:type="character" w:customStyle="1" w:styleId="blue">
    <w:name w:val="blue"/>
    <w:basedOn w:val="a1"/>
    <w:rsid w:val="007B3D5C"/>
  </w:style>
  <w:style w:type="paragraph" w:styleId="affffd">
    <w:name w:val="TOC Heading"/>
    <w:basedOn w:val="1"/>
    <w:next w:val="a0"/>
    <w:uiPriority w:val="39"/>
    <w:unhideWhenUsed/>
    <w:qFormat/>
    <w:rsid w:val="007B3D5C"/>
    <w:pPr>
      <w:spacing w:before="480" w:line="276" w:lineRule="auto"/>
      <w:outlineLvl w:val="9"/>
    </w:pPr>
    <w:rPr>
      <w:rFonts w:ascii="Helvetica" w:eastAsia="Times New Roman" w:hAnsi="Helvetica" w:cs="Times New Roman"/>
      <w:b/>
      <w:bCs/>
      <w:color w:val="2F759E"/>
      <w:sz w:val="28"/>
      <w:szCs w:val="28"/>
      <w:lang w:val="en-US"/>
    </w:rPr>
  </w:style>
  <w:style w:type="paragraph" w:styleId="3f">
    <w:name w:val="toc 3"/>
    <w:basedOn w:val="a0"/>
    <w:next w:val="a0"/>
    <w:autoRedefine/>
    <w:uiPriority w:val="39"/>
    <w:unhideWhenUsed/>
    <w:qFormat/>
    <w:rsid w:val="007B3D5C"/>
    <w:pPr>
      <w:spacing w:after="100" w:line="276" w:lineRule="auto"/>
      <w:ind w:left="440"/>
    </w:pPr>
    <w:rPr>
      <w:rFonts w:ascii="Helvetica" w:eastAsia="Times New Roman" w:hAnsi="Helvetica" w:cs="Times New Roman"/>
      <w:lang w:val="en-US"/>
    </w:rPr>
  </w:style>
  <w:style w:type="numbering" w:customStyle="1" w:styleId="Aucuneliste3">
    <w:name w:val="Aucune liste3"/>
    <w:next w:val="a3"/>
    <w:uiPriority w:val="99"/>
    <w:semiHidden/>
    <w:unhideWhenUsed/>
    <w:rsid w:val="007B3D5C"/>
  </w:style>
  <w:style w:type="numbering" w:customStyle="1" w:styleId="Aucuneliste4">
    <w:name w:val="Aucune liste4"/>
    <w:next w:val="a3"/>
    <w:uiPriority w:val="99"/>
    <w:semiHidden/>
    <w:unhideWhenUsed/>
    <w:rsid w:val="007B3D5C"/>
  </w:style>
  <w:style w:type="table" w:customStyle="1" w:styleId="Grilledutableau2">
    <w:name w:val="Grille du tableau2"/>
    <w:basedOn w:val="a2"/>
    <w:next w:val="af2"/>
    <w:rsid w:val="007B3D5C"/>
    <w:pPr>
      <w:spacing w:after="0" w:line="240" w:lineRule="auto"/>
    </w:pPr>
    <w:rPr>
      <w:rFonts w:ascii="Times New Roman" w:eastAsia="SimSu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
    <w:name w:val="Article / Section1"/>
    <w:basedOn w:val="a3"/>
    <w:next w:val="a"/>
    <w:rsid w:val="007B3D5C"/>
  </w:style>
  <w:style w:type="numbering" w:customStyle="1" w:styleId="1ai1">
    <w:name w:val="1 / a / i1"/>
    <w:basedOn w:val="a3"/>
    <w:next w:val="1ai"/>
    <w:rsid w:val="007B3D5C"/>
  </w:style>
  <w:style w:type="numbering" w:customStyle="1" w:styleId="1111111">
    <w:name w:val="1 / 1.1 / 1.1.11"/>
    <w:basedOn w:val="a3"/>
    <w:next w:val="111111"/>
    <w:rsid w:val="007B3D5C"/>
  </w:style>
  <w:style w:type="numbering" w:customStyle="1" w:styleId="Aucuneliste5">
    <w:name w:val="Aucune liste5"/>
    <w:next w:val="a3"/>
    <w:uiPriority w:val="99"/>
    <w:semiHidden/>
    <w:unhideWhenUsed/>
    <w:rsid w:val="007B3D5C"/>
  </w:style>
  <w:style w:type="table" w:customStyle="1" w:styleId="Grilledutableau3">
    <w:name w:val="Grille du tableau3"/>
    <w:basedOn w:val="a2"/>
    <w:next w:val="af2"/>
    <w:rsid w:val="007B3D5C"/>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6">
    <w:name w:val="Aucune liste6"/>
    <w:next w:val="a3"/>
    <w:uiPriority w:val="99"/>
    <w:semiHidden/>
    <w:unhideWhenUsed/>
    <w:rsid w:val="007B3D5C"/>
  </w:style>
  <w:style w:type="table" w:customStyle="1" w:styleId="Grilledutableau4">
    <w:name w:val="Grille du tableau4"/>
    <w:basedOn w:val="a2"/>
    <w:next w:val="af2"/>
    <w:rsid w:val="007B3D5C"/>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maire-libelle-chapitre">
    <w:name w:val="sommaire-libelle-chapitre"/>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1111">
    <w:name w:val="1.1.1.1."/>
    <w:basedOn w:val="40"/>
    <w:qFormat/>
    <w:rsid w:val="007B3D5C"/>
    <w:pPr>
      <w:tabs>
        <w:tab w:val="num" w:pos="360"/>
      </w:tabs>
      <w:spacing w:before="0" w:after="240"/>
      <w:ind w:left="567" w:firstLine="0"/>
    </w:pPr>
    <w:rPr>
      <w:rFonts w:ascii="Ottawa" w:eastAsia="Times New Roman" w:hAnsi="Ottawa" w:cs="Times New Roman"/>
      <w:b/>
      <w:bCs/>
      <w:i w:val="0"/>
      <w:color w:val="auto"/>
      <w:sz w:val="18"/>
    </w:rPr>
  </w:style>
  <w:style w:type="paragraph" w:customStyle="1" w:styleId="11111">
    <w:name w:val="1.1.1.1.1."/>
    <w:basedOn w:val="1111"/>
    <w:qFormat/>
    <w:rsid w:val="007B3D5C"/>
    <w:rPr>
      <w:b w:val="0"/>
      <w:i/>
      <w:lang w:val="en-IE"/>
    </w:rPr>
  </w:style>
  <w:style w:type="paragraph" w:customStyle="1" w:styleId="1111110">
    <w:name w:val="1.1.1.1.1.1."/>
    <w:basedOn w:val="11111"/>
    <w:qFormat/>
    <w:rsid w:val="007B3D5C"/>
    <w:pPr>
      <w:ind w:left="851"/>
    </w:pPr>
  </w:style>
  <w:style w:type="numbering" w:customStyle="1" w:styleId="Aucuneliste7">
    <w:name w:val="Aucune liste7"/>
    <w:next w:val="a3"/>
    <w:uiPriority w:val="99"/>
    <w:semiHidden/>
    <w:unhideWhenUsed/>
    <w:rsid w:val="007B3D5C"/>
  </w:style>
  <w:style w:type="numbering" w:customStyle="1" w:styleId="Aucuneliste8">
    <w:name w:val="Aucune liste8"/>
    <w:next w:val="a3"/>
    <w:uiPriority w:val="99"/>
    <w:semiHidden/>
    <w:unhideWhenUsed/>
    <w:rsid w:val="007B3D5C"/>
  </w:style>
  <w:style w:type="character" w:customStyle="1" w:styleId="Para4Car">
    <w:name w:val="Para 4 Car"/>
    <w:link w:val="Para4"/>
    <w:rsid w:val="007B3D5C"/>
    <w:rPr>
      <w:rFonts w:ascii="Arial" w:eastAsia="Times New Roman" w:hAnsi="Arial" w:cs="Times New Roman"/>
      <w:bCs/>
      <w:sz w:val="18"/>
      <w:lang w:val="en-IE" w:eastAsia="fr-FR"/>
    </w:rPr>
  </w:style>
  <w:style w:type="character" w:customStyle="1" w:styleId="Parai5Car">
    <w:name w:val="Para i.5 Car"/>
    <w:link w:val="Parai5"/>
    <w:rsid w:val="007B3D5C"/>
    <w:rPr>
      <w:rFonts w:ascii="Arial" w:eastAsia="Times New Roman" w:hAnsi="Arial" w:cs="Times New Roman"/>
      <w:bCs/>
      <w:sz w:val="18"/>
      <w:lang w:val="en-IE" w:bidi="en-US"/>
    </w:rPr>
  </w:style>
  <w:style w:type="character" w:customStyle="1" w:styleId="BuffertextCar">
    <w:name w:val="Buffer text Car"/>
    <w:link w:val="Buffertext"/>
    <w:rsid w:val="007B3D5C"/>
    <w:rPr>
      <w:rFonts w:ascii="Arial" w:eastAsia="Times New Roman" w:hAnsi="Arial" w:cs="Arial"/>
      <w:bCs/>
      <w:sz w:val="18"/>
      <w:lang w:val="pt-BR" w:bidi="en-US"/>
    </w:rPr>
  </w:style>
  <w:style w:type="paragraph" w:customStyle="1" w:styleId="Diseasename">
    <w:name w:val="Disease name"/>
    <w:basedOn w:val="a0"/>
    <w:qFormat/>
    <w:rsid w:val="007B3D5C"/>
    <w:pPr>
      <w:spacing w:before="240" w:after="240" w:line="360" w:lineRule="auto"/>
      <w:ind w:left="357"/>
      <w:jc w:val="center"/>
    </w:pPr>
    <w:rPr>
      <w:rFonts w:ascii="Rockwell" w:eastAsia="Times New Roman" w:hAnsi="Rockwell" w:cs="Times New Roman"/>
      <w:b/>
      <w:caps/>
      <w:spacing w:val="40"/>
      <w:sz w:val="28"/>
      <w:lang w:val="en-US" w:bidi="en-US"/>
    </w:rPr>
  </w:style>
  <w:style w:type="character" w:customStyle="1" w:styleId="Parai2Car">
    <w:name w:val="Para i.2 Car"/>
    <w:link w:val="Parai2"/>
    <w:rsid w:val="007B3D5C"/>
    <w:rPr>
      <w:rFonts w:ascii="Arial" w:eastAsia="Times New Roman" w:hAnsi="Arial" w:cs="Times New Roman"/>
      <w:sz w:val="18"/>
      <w:lang w:val="en-IE"/>
    </w:rPr>
  </w:style>
  <w:style w:type="character" w:customStyle="1" w:styleId="TabletitleCar">
    <w:name w:val="Table title Car"/>
    <w:link w:val="Tabletitle"/>
    <w:rsid w:val="006237A8"/>
    <w:rPr>
      <w:rFonts w:ascii="Ottawa" w:eastAsia="Times New Roman" w:hAnsi="Ottawa" w:cs="Times New Roman"/>
      <w:b/>
      <w:bCs/>
      <w:i/>
      <w:sz w:val="18"/>
      <w:lang w:val="en-IE" w:bidi="en-US"/>
    </w:rPr>
  </w:style>
  <w:style w:type="character" w:customStyle="1" w:styleId="TableHeadCar">
    <w:name w:val="Table Head Car"/>
    <w:link w:val="TableHead"/>
    <w:rsid w:val="007B3D5C"/>
    <w:rPr>
      <w:rFonts w:ascii="Ottawa" w:eastAsia="Times New Roman" w:hAnsi="Ottawa" w:cs="Times New Roman"/>
      <w:b/>
      <w:bCs/>
      <w:sz w:val="18"/>
      <w:lang w:val="en-IE" w:bidi="en-US"/>
    </w:rPr>
  </w:style>
  <w:style w:type="character" w:customStyle="1" w:styleId="buffertextlastCar">
    <w:name w:val="buffer text last Car"/>
    <w:link w:val="buffertextlast"/>
    <w:rsid w:val="007B3D5C"/>
    <w:rPr>
      <w:rFonts w:ascii="Arial" w:eastAsia="Times New Roman" w:hAnsi="Arial" w:cs="Arial"/>
      <w:bCs/>
      <w:sz w:val="18"/>
      <w:szCs w:val="18"/>
      <w:lang w:val="pt-BR" w:bidi="en-US"/>
    </w:rPr>
  </w:style>
  <w:style w:type="paragraph" w:customStyle="1" w:styleId="Title6a">
    <w:name w:val="Title 6a"/>
    <w:basedOn w:val="Title5a"/>
    <w:rsid w:val="007B3D5C"/>
    <w:pPr>
      <w:ind w:left="1559"/>
    </w:pPr>
    <w:rPr>
      <w:szCs w:val="20"/>
    </w:rPr>
  </w:style>
  <w:style w:type="paragraph" w:customStyle="1" w:styleId="Footnote">
    <w:name w:val="Footnote"/>
    <w:basedOn w:val="Note"/>
    <w:rsid w:val="007B3D5C"/>
    <w:pPr>
      <w:spacing w:before="120" w:after="120"/>
      <w:jc w:val="center"/>
    </w:pPr>
    <w:rPr>
      <w:rFonts w:ascii="Arial" w:hAnsi="Arial"/>
    </w:rPr>
  </w:style>
  <w:style w:type="paragraph" w:styleId="affffe">
    <w:name w:val="Document Map"/>
    <w:basedOn w:val="a0"/>
    <w:link w:val="afffff"/>
    <w:semiHidden/>
    <w:rsid w:val="007B3D5C"/>
    <w:pPr>
      <w:shd w:val="clear" w:color="auto" w:fill="000080"/>
      <w:spacing w:before="240" w:after="240" w:line="360" w:lineRule="auto"/>
      <w:ind w:left="357" w:hanging="357"/>
    </w:pPr>
    <w:rPr>
      <w:rFonts w:ascii="Tahoma" w:eastAsia="Times New Roman" w:hAnsi="Tahoma" w:cs="Tahoma"/>
      <w:sz w:val="20"/>
      <w:szCs w:val="20"/>
      <w:lang w:val="en-US" w:bidi="en-US"/>
    </w:rPr>
  </w:style>
  <w:style w:type="character" w:customStyle="1" w:styleId="afffff">
    <w:name w:val="文件引導模式 字元"/>
    <w:basedOn w:val="a1"/>
    <w:link w:val="affffe"/>
    <w:semiHidden/>
    <w:rsid w:val="007B3D5C"/>
    <w:rPr>
      <w:rFonts w:ascii="Tahoma" w:eastAsia="Times New Roman" w:hAnsi="Tahoma" w:cs="Tahoma"/>
      <w:sz w:val="20"/>
      <w:szCs w:val="20"/>
      <w:shd w:val="clear" w:color="auto" w:fill="000080"/>
      <w:lang w:val="en-US" w:bidi="en-US"/>
    </w:rPr>
  </w:style>
  <w:style w:type="table" w:customStyle="1" w:styleId="Grilledutableau5">
    <w:name w:val="Grille du tableau5"/>
    <w:basedOn w:val="a2"/>
    <w:next w:val="af2"/>
    <w:rsid w:val="007B3D5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default">
    <w:name w:val="gmail-default"/>
    <w:basedOn w:val="a0"/>
    <w:rsid w:val="007B3D5C"/>
    <w:pPr>
      <w:spacing w:before="100" w:beforeAutospacing="1" w:after="100" w:afterAutospacing="1" w:line="240" w:lineRule="auto"/>
    </w:pPr>
    <w:rPr>
      <w:rFonts w:ascii="Times New Roman" w:eastAsia="Calibri" w:hAnsi="Times New Roman" w:cs="Times New Roman"/>
      <w:sz w:val="24"/>
      <w:szCs w:val="24"/>
      <w:lang w:val="en-US"/>
    </w:rPr>
  </w:style>
  <w:style w:type="paragraph" w:customStyle="1" w:styleId="xgmail-para11">
    <w:name w:val="x_gmail-para11"/>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Title7">
    <w:name w:val="Title 7"/>
    <w:basedOn w:val="Title6"/>
    <w:qFormat/>
    <w:rsid w:val="007B3D5C"/>
    <w:pPr>
      <w:ind w:left="1276"/>
    </w:pPr>
  </w:style>
  <w:style w:type="character" w:customStyle="1" w:styleId="CommentaireCar2">
    <w:name w:val="Commentaire Car2"/>
    <w:uiPriority w:val="99"/>
    <w:rsid w:val="007B3D5C"/>
    <w:rPr>
      <w:rFonts w:eastAsia="MS Mincho"/>
      <w:lang w:val="fr-FR" w:eastAsia="ja-JP" w:bidi="ar-SA"/>
    </w:rPr>
  </w:style>
  <w:style w:type="character" w:customStyle="1" w:styleId="Para6Car">
    <w:name w:val="Para 6 Car"/>
    <w:rsid w:val="007B3D5C"/>
    <w:rPr>
      <w:rFonts w:ascii="Arial" w:hAnsi="Arial"/>
      <w:bCs/>
      <w:sz w:val="18"/>
      <w:szCs w:val="22"/>
      <w:lang w:val="en-IE" w:eastAsia="en-US" w:bidi="en-US"/>
    </w:rPr>
  </w:style>
  <w:style w:type="character" w:customStyle="1" w:styleId="iCar0">
    <w:name w:val="i) Car"/>
    <w:rsid w:val="007B3D5C"/>
    <w:rPr>
      <w:rFonts w:ascii="Garamond" w:hAnsi="Garamond"/>
      <w:sz w:val="22"/>
      <w:szCs w:val="22"/>
      <w:lang w:val="en-GB" w:eastAsia="fr-FR" w:bidi="en-US"/>
    </w:rPr>
  </w:style>
  <w:style w:type="paragraph" w:customStyle="1" w:styleId="Appendixname">
    <w:name w:val="Appendix name"/>
    <w:basedOn w:val="a0"/>
    <w:qFormat/>
    <w:rsid w:val="007B3D5C"/>
    <w:pPr>
      <w:spacing w:before="240" w:after="240" w:line="360" w:lineRule="auto"/>
      <w:ind w:left="357"/>
      <w:jc w:val="right"/>
    </w:pPr>
    <w:rPr>
      <w:rFonts w:ascii="Times New Roman" w:eastAsia="新細明體" w:hAnsi="Times New Roman" w:cs="Times New Roman"/>
      <w:sz w:val="20"/>
      <w:u w:val="single"/>
      <w:lang w:val="en-US" w:bidi="en-US"/>
    </w:rPr>
  </w:style>
  <w:style w:type="paragraph" w:customStyle="1" w:styleId="Heada">
    <w:name w:val="Head a)"/>
    <w:basedOn w:val="a0"/>
    <w:rsid w:val="007B3D5C"/>
    <w:pPr>
      <w:spacing w:after="240" w:line="240" w:lineRule="auto"/>
      <w:ind w:left="284" w:hanging="284"/>
      <w:jc w:val="both"/>
    </w:pPr>
    <w:rPr>
      <w:rFonts w:ascii="Garamond" w:eastAsia="Times New Roman" w:hAnsi="Garamond" w:cs="Times New Roman"/>
      <w:b/>
      <w:bCs/>
      <w:sz w:val="20"/>
      <w:szCs w:val="20"/>
      <w:lang w:val="en-AU" w:eastAsia="fr-FR"/>
    </w:rPr>
  </w:style>
  <w:style w:type="paragraph" w:customStyle="1" w:styleId="CharCharCharChar">
    <w:name w:val="Char Char Char Char"/>
    <w:basedOn w:val="a0"/>
    <w:rsid w:val="007B3D5C"/>
    <w:pPr>
      <w:spacing w:line="240" w:lineRule="exact"/>
    </w:pPr>
    <w:rPr>
      <w:rFonts w:ascii="Verdana" w:eastAsia="Times New Roman" w:hAnsi="Verdana" w:cs="Times New Roman"/>
      <w:sz w:val="20"/>
      <w:szCs w:val="20"/>
      <w:lang w:val="en-US"/>
    </w:rPr>
  </w:style>
  <w:style w:type="paragraph" w:customStyle="1" w:styleId="para11i">
    <w:name w:val="para 1.1.i"/>
    <w:basedOn w:val="para11"/>
    <w:qFormat/>
    <w:rsid w:val="007B3D5C"/>
    <w:pPr>
      <w:spacing w:after="120"/>
      <w:ind w:left="1417" w:hanging="425"/>
    </w:pPr>
    <w:rPr>
      <w:rFonts w:eastAsia="Times New Roman"/>
      <w:iCs/>
      <w:u w:color="000000"/>
      <w:lang w:val="en-US" w:eastAsia="en-CA"/>
    </w:rPr>
  </w:style>
  <w:style w:type="paragraph" w:customStyle="1" w:styleId="CharCharCharCharCharCharCharCharCharChar">
    <w:name w:val="Char Char Char Char Char Char Char Char Char Char"/>
    <w:basedOn w:val="a0"/>
    <w:rsid w:val="007B3D5C"/>
    <w:pPr>
      <w:spacing w:line="240" w:lineRule="exact"/>
    </w:pPr>
    <w:rPr>
      <w:rFonts w:ascii="Verdana" w:eastAsia="Times New Roman" w:hAnsi="Verdana" w:cs="Times New Roman"/>
      <w:sz w:val="20"/>
      <w:szCs w:val="20"/>
      <w:lang w:val="en-CA"/>
    </w:rPr>
  </w:style>
  <w:style w:type="character" w:customStyle="1" w:styleId="author">
    <w:name w:val="author"/>
    <w:basedOn w:val="a1"/>
    <w:rsid w:val="007B3D5C"/>
  </w:style>
  <w:style w:type="character" w:customStyle="1" w:styleId="author-name">
    <w:name w:val="author-name"/>
    <w:basedOn w:val="a1"/>
    <w:rsid w:val="007B3D5C"/>
  </w:style>
  <w:style w:type="character" w:customStyle="1" w:styleId="sr-only">
    <w:name w:val="sr-only"/>
    <w:basedOn w:val="a1"/>
    <w:rsid w:val="007B3D5C"/>
  </w:style>
  <w:style w:type="character" w:customStyle="1" w:styleId="articletypelabel">
    <w:name w:val="articletypelabel"/>
    <w:basedOn w:val="a1"/>
    <w:rsid w:val="007B3D5C"/>
  </w:style>
  <w:style w:type="numbering" w:customStyle="1" w:styleId="Aucuneliste12">
    <w:name w:val="Aucune liste12"/>
    <w:next w:val="a3"/>
    <w:uiPriority w:val="99"/>
    <w:semiHidden/>
    <w:unhideWhenUsed/>
    <w:rsid w:val="007B3D5C"/>
  </w:style>
  <w:style w:type="numbering" w:customStyle="1" w:styleId="NoList11">
    <w:name w:val="No List11"/>
    <w:next w:val="a3"/>
    <w:uiPriority w:val="99"/>
    <w:semiHidden/>
    <w:unhideWhenUsed/>
    <w:rsid w:val="007B3D5C"/>
  </w:style>
  <w:style w:type="table" w:customStyle="1" w:styleId="TableGrid11">
    <w:name w:val="Table Grid11"/>
    <w:basedOn w:val="a2"/>
    <w:next w:val="af2"/>
    <w:rsid w:val="007B3D5C"/>
    <w:pPr>
      <w:widowControl w:val="0"/>
      <w:spacing w:after="24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2214819733945920736gmail-msonospacing">
    <w:name w:val="m_2214819733945920736gmail-msonospacing"/>
    <w:basedOn w:val="a0"/>
    <w:rsid w:val="007B3D5C"/>
    <w:pPr>
      <w:spacing w:before="100" w:beforeAutospacing="1" w:after="100" w:afterAutospacing="1" w:line="240" w:lineRule="auto"/>
    </w:pPr>
    <w:rPr>
      <w:rFonts w:ascii="Times New Roman" w:eastAsia="Calibri" w:hAnsi="Times New Roman" w:cs="Times New Roman"/>
      <w:sz w:val="24"/>
      <w:szCs w:val="24"/>
      <w:lang w:val="en-IE" w:eastAsia="en-IE"/>
    </w:rPr>
  </w:style>
  <w:style w:type="character" w:customStyle="1" w:styleId="m2214819733945920736gmail-meta-value">
    <w:name w:val="m_2214819733945920736gmail-meta-value"/>
    <w:basedOn w:val="a1"/>
    <w:rsid w:val="007B3D5C"/>
  </w:style>
  <w:style w:type="numbering" w:customStyle="1" w:styleId="Aucuneliste9">
    <w:name w:val="Aucune liste9"/>
    <w:next w:val="a3"/>
    <w:uiPriority w:val="99"/>
    <w:semiHidden/>
    <w:unhideWhenUsed/>
    <w:rsid w:val="007B3D5C"/>
  </w:style>
  <w:style w:type="character" w:customStyle="1" w:styleId="groupname">
    <w:name w:val="groupname"/>
    <w:basedOn w:val="a1"/>
    <w:rsid w:val="007B3D5C"/>
  </w:style>
  <w:style w:type="character" w:customStyle="1" w:styleId="pubyear">
    <w:name w:val="pubyear"/>
    <w:basedOn w:val="a1"/>
    <w:rsid w:val="007B3D5C"/>
  </w:style>
  <w:style w:type="character" w:customStyle="1" w:styleId="articletitle">
    <w:name w:val="articletitle"/>
    <w:basedOn w:val="a1"/>
    <w:rsid w:val="007B3D5C"/>
  </w:style>
  <w:style w:type="character" w:customStyle="1" w:styleId="journaltitle">
    <w:name w:val="journaltitle"/>
    <w:basedOn w:val="a1"/>
    <w:rsid w:val="007B3D5C"/>
  </w:style>
  <w:style w:type="character" w:customStyle="1" w:styleId="vol">
    <w:name w:val="vol"/>
    <w:basedOn w:val="a1"/>
    <w:rsid w:val="007B3D5C"/>
  </w:style>
  <w:style w:type="character" w:customStyle="1" w:styleId="citedissue">
    <w:name w:val="citedissue"/>
    <w:basedOn w:val="a1"/>
    <w:rsid w:val="007B3D5C"/>
  </w:style>
  <w:style w:type="paragraph" w:customStyle="1" w:styleId="xpara2">
    <w:name w:val="x_para2"/>
    <w:basedOn w:val="a0"/>
    <w:rsid w:val="007B3D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olorfulList-Accent11">
    <w:name w:val="Colorful List - Accent 11"/>
    <w:basedOn w:val="a0"/>
    <w:uiPriority w:val="34"/>
    <w:qFormat/>
    <w:rsid w:val="007B3D5C"/>
    <w:pPr>
      <w:spacing w:after="0" w:line="240" w:lineRule="auto"/>
      <w:ind w:left="720"/>
      <w:contextualSpacing/>
    </w:pPr>
    <w:rPr>
      <w:rFonts w:ascii="Times New Roman" w:eastAsia="Times New Roman" w:hAnsi="Times New Roman" w:cs="Calibri"/>
      <w:noProof/>
      <w:sz w:val="20"/>
      <w:lang w:eastAsia="en-GB"/>
    </w:rPr>
  </w:style>
  <w:style w:type="character" w:customStyle="1" w:styleId="NotedefinCar1">
    <w:name w:val="Note de fin Car1"/>
    <w:uiPriority w:val="99"/>
    <w:semiHidden/>
    <w:rsid w:val="007B3D5C"/>
    <w:rPr>
      <w:rFonts w:ascii="Times New Roman" w:eastAsia="Times New Roman" w:hAnsi="Times New Roman" w:cs="Times New Roman"/>
      <w:sz w:val="20"/>
      <w:szCs w:val="20"/>
      <w:lang w:val="en-GB"/>
    </w:rPr>
  </w:style>
  <w:style w:type="table" w:customStyle="1" w:styleId="Grilledutableau6">
    <w:name w:val="Grille du tableau6"/>
    <w:basedOn w:val="a2"/>
    <w:next w:val="af2"/>
    <w:uiPriority w:val="59"/>
    <w:rsid w:val="007B3D5C"/>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0">
    <w:name w:val="Aucune liste10"/>
    <w:next w:val="a3"/>
    <w:uiPriority w:val="99"/>
    <w:semiHidden/>
    <w:unhideWhenUsed/>
    <w:rsid w:val="007B3D5C"/>
  </w:style>
  <w:style w:type="numbering" w:customStyle="1" w:styleId="ImportedStyle41">
    <w:name w:val="Imported Style 41"/>
    <w:rsid w:val="007B3D5C"/>
  </w:style>
  <w:style w:type="numbering" w:customStyle="1" w:styleId="ImportedStyle51">
    <w:name w:val="Imported Style 51"/>
    <w:rsid w:val="007B3D5C"/>
  </w:style>
  <w:style w:type="numbering" w:customStyle="1" w:styleId="ImportedStyle11">
    <w:name w:val="Imported Style 11"/>
    <w:rsid w:val="007B3D5C"/>
  </w:style>
  <w:style w:type="table" w:customStyle="1" w:styleId="Grilledutableau7">
    <w:name w:val="Grille du tableau7"/>
    <w:basedOn w:val="a2"/>
    <w:next w:val="af2"/>
    <w:uiPriority w:val="39"/>
    <w:rsid w:val="007B3D5C"/>
    <w:pPr>
      <w:spacing w:after="0" w:line="240" w:lineRule="auto"/>
    </w:pPr>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BuffertextNoir">
    <w:name w:val="Style Buffer text + Noir"/>
    <w:basedOn w:val="Buffertext"/>
    <w:rsid w:val="007B3D5C"/>
    <w:pPr>
      <w:tabs>
        <w:tab w:val="clear" w:pos="5670"/>
        <w:tab w:val="left" w:pos="4253"/>
      </w:tabs>
      <w:ind w:left="1559"/>
    </w:pPr>
    <w:rPr>
      <w:color w:val="000000"/>
    </w:rPr>
  </w:style>
  <w:style w:type="character" w:customStyle="1" w:styleId="databold1">
    <w:name w:val="data_bold1"/>
    <w:rsid w:val="007B3D5C"/>
    <w:rPr>
      <w:b/>
      <w:bCs/>
    </w:rPr>
  </w:style>
  <w:style w:type="character" w:customStyle="1" w:styleId="hithilite1">
    <w:name w:val="hithilite1"/>
    <w:rsid w:val="007B3D5C"/>
    <w:rPr>
      <w:shd w:val="clear" w:color="auto" w:fill="FFF3C6"/>
    </w:rPr>
  </w:style>
  <w:style w:type="character" w:customStyle="1" w:styleId="mpreadercontentreferrersidebarcontrolreferreritem1">
    <w:name w:val="mpreader_content_referrersidebarcontrolreferreritem1"/>
    <w:rsid w:val="007B3D5C"/>
    <w:rPr>
      <w:sz w:val="24"/>
      <w:szCs w:val="24"/>
    </w:rPr>
  </w:style>
  <w:style w:type="character" w:customStyle="1" w:styleId="lbluf1">
    <w:name w:val="lbluf1"/>
    <w:rsid w:val="007B3D5C"/>
    <w:rPr>
      <w:color w:val="005087"/>
    </w:rPr>
  </w:style>
  <w:style w:type="paragraph" w:customStyle="1" w:styleId="CelluleIntitul">
    <w:name w:val="Cellule Intitulé"/>
    <w:rsid w:val="007B3D5C"/>
    <w:pPr>
      <w:widowControl w:val="0"/>
      <w:suppressAutoHyphens/>
      <w:autoSpaceDE w:val="0"/>
      <w:autoSpaceDN w:val="0"/>
      <w:adjustRightInd w:val="0"/>
      <w:spacing w:after="0" w:line="280" w:lineRule="atLeast"/>
      <w:jc w:val="center"/>
    </w:pPr>
    <w:rPr>
      <w:rFonts w:ascii="Times New Roman" w:eastAsia="Times New Roman" w:hAnsi="Times New Roman" w:cs="Times New Roman"/>
      <w:color w:val="000000"/>
      <w:w w:val="0"/>
      <w:sz w:val="24"/>
      <w:szCs w:val="24"/>
      <w:lang w:val="fr-FR" w:eastAsia="en-IE"/>
    </w:rPr>
  </w:style>
  <w:style w:type="paragraph" w:customStyle="1" w:styleId="paraA0">
    <w:name w:val="paraA"/>
    <w:basedOn w:val="a0"/>
    <w:uiPriority w:val="99"/>
    <w:rsid w:val="007B3D5C"/>
    <w:pPr>
      <w:tabs>
        <w:tab w:val="left" w:pos="-720"/>
      </w:tabs>
      <w:spacing w:after="240" w:line="240" w:lineRule="auto"/>
      <w:jc w:val="both"/>
    </w:pPr>
    <w:rPr>
      <w:rFonts w:ascii="Arial" w:eastAsia="Times New Roman" w:hAnsi="Arial" w:cs="Arial"/>
      <w:sz w:val="18"/>
      <w:szCs w:val="18"/>
      <w:lang w:eastAsia="fr-FR"/>
    </w:rPr>
  </w:style>
  <w:style w:type="paragraph" w:customStyle="1" w:styleId="StyleTitre2Arial">
    <w:name w:val="Style Titre 2 + Arial"/>
    <w:basedOn w:val="2"/>
    <w:rsid w:val="007B3D5C"/>
    <w:pPr>
      <w:tabs>
        <w:tab w:val="clear" w:pos="360"/>
      </w:tabs>
      <w:ind w:left="851" w:hanging="567"/>
      <w:contextualSpacing/>
    </w:pPr>
    <w:rPr>
      <w:rFonts w:ascii="Arial" w:hAnsi="Arial"/>
      <w:iCs w:val="0"/>
      <w:szCs w:val="21"/>
      <w:lang w:val="en-US" w:eastAsia="fr-FR" w:bidi="en-US"/>
    </w:rPr>
  </w:style>
  <w:style w:type="paragraph" w:customStyle="1" w:styleId="StyleTitre2Arial1">
    <w:name w:val="Style Titre 2 + Arial1"/>
    <w:basedOn w:val="2"/>
    <w:rsid w:val="007B3D5C"/>
    <w:pPr>
      <w:tabs>
        <w:tab w:val="clear" w:pos="360"/>
      </w:tabs>
      <w:ind w:left="851" w:hanging="567"/>
      <w:contextualSpacing/>
    </w:pPr>
    <w:rPr>
      <w:rFonts w:ascii="Arial" w:hAnsi="Arial"/>
      <w:iCs w:val="0"/>
      <w:szCs w:val="21"/>
      <w:lang w:val="en-US" w:eastAsia="fr-FR" w:bidi="en-US"/>
    </w:rPr>
  </w:style>
  <w:style w:type="paragraph" w:customStyle="1" w:styleId="StyleTitre1Arial">
    <w:name w:val="Style Titre 1 + Arial"/>
    <w:basedOn w:val="1"/>
    <w:rsid w:val="007B3D5C"/>
    <w:pPr>
      <w:keepNext w:val="0"/>
      <w:keepLines w:val="0"/>
      <w:spacing w:before="0" w:after="240"/>
      <w:ind w:left="284" w:hanging="284"/>
    </w:pPr>
    <w:rPr>
      <w:rFonts w:ascii="Arial" w:eastAsia="Times New Roman" w:hAnsi="Arial" w:cs="Times New Roman"/>
      <w:b/>
      <w:bCs/>
      <w:color w:val="auto"/>
      <w:sz w:val="22"/>
      <w:szCs w:val="22"/>
      <w:lang w:val="en-US" w:bidi="en-US"/>
    </w:rPr>
  </w:style>
  <w:style w:type="character" w:customStyle="1" w:styleId="REFChar">
    <w:name w:val="REF Char"/>
    <w:rsid w:val="007B3D5C"/>
    <w:rPr>
      <w:rFonts w:ascii="Arial" w:eastAsia="Times New Roman" w:hAnsi="Arial" w:cs="Times New Roman"/>
      <w:sz w:val="18"/>
      <w:lang w:val="en-IE" w:bidi="en-US"/>
    </w:rPr>
  </w:style>
  <w:style w:type="character" w:customStyle="1" w:styleId="rfrencesChar">
    <w:name w:val="références Char"/>
    <w:link w:val="rfrences"/>
    <w:rsid w:val="007B3D5C"/>
    <w:rPr>
      <w:rFonts w:ascii="Garamond" w:eastAsia="Times New Roman" w:hAnsi="Garamond" w:cs="Times New Roman"/>
      <w:lang w:val="fr-FR" w:eastAsia="fr-FR" w:bidi="en-US"/>
    </w:rPr>
  </w:style>
  <w:style w:type="paragraph" w:customStyle="1" w:styleId="StylerfrencesArial9ptPetitesmajuscules">
    <w:name w:val="Style références + Arial 9 pt Petites majuscules"/>
    <w:basedOn w:val="rfrences"/>
    <w:rsid w:val="007B3D5C"/>
    <w:pPr>
      <w:ind w:left="0" w:firstLine="0"/>
    </w:pPr>
    <w:rPr>
      <w:rFonts w:ascii="Arial" w:hAnsi="Arial"/>
      <w:smallCaps/>
      <w:sz w:val="18"/>
      <w:lang w:bidi="ar-SA"/>
    </w:rPr>
  </w:style>
  <w:style w:type="paragraph" w:customStyle="1" w:styleId="tableau">
    <w:name w:val="tableau"/>
    <w:basedOn w:val="a0"/>
    <w:uiPriority w:val="99"/>
    <w:rsid w:val="007B3D5C"/>
    <w:pPr>
      <w:autoSpaceDE w:val="0"/>
      <w:autoSpaceDN w:val="0"/>
      <w:adjustRightInd w:val="0"/>
      <w:spacing w:after="0" w:line="240" w:lineRule="auto"/>
      <w:jc w:val="both"/>
    </w:pPr>
    <w:rPr>
      <w:rFonts w:ascii="Arial" w:eastAsia="Times New Roman" w:hAnsi="Arial" w:cs="Arial"/>
      <w:sz w:val="18"/>
      <w:szCs w:val="18"/>
      <w:lang w:eastAsia="es-ES_tradnl"/>
    </w:rPr>
  </w:style>
  <w:style w:type="table" w:customStyle="1" w:styleId="TableGrid2">
    <w:name w:val="Table Grid2"/>
    <w:basedOn w:val="a2"/>
    <w:next w:val="af2"/>
    <w:uiPriority w:val="59"/>
    <w:rsid w:val="007B3D5C"/>
    <w:pPr>
      <w:spacing w:after="0" w:line="240" w:lineRule="auto"/>
    </w:pPr>
    <w:rPr>
      <w:rFonts w:ascii="Calibri" w:eastAsia="Times New Roman"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0">
    <w:name w:val="Quote"/>
    <w:basedOn w:val="a0"/>
    <w:next w:val="a0"/>
    <w:link w:val="afffff1"/>
    <w:uiPriority w:val="29"/>
    <w:qFormat/>
    <w:rsid w:val="007B3D5C"/>
    <w:pPr>
      <w:spacing w:before="160" w:after="120" w:line="264" w:lineRule="auto"/>
      <w:ind w:left="720" w:right="720"/>
    </w:pPr>
    <w:rPr>
      <w:rFonts w:ascii="Calibri" w:eastAsia="Times New Roman" w:hAnsi="Calibri" w:cs="Times New Roman"/>
      <w:i/>
      <w:iCs/>
      <w:color w:val="404040"/>
      <w:szCs w:val="20"/>
      <w:lang w:val="en-AU"/>
    </w:rPr>
  </w:style>
  <w:style w:type="character" w:customStyle="1" w:styleId="afffff1">
    <w:name w:val="引文 字元"/>
    <w:basedOn w:val="a1"/>
    <w:link w:val="afffff0"/>
    <w:uiPriority w:val="29"/>
    <w:rsid w:val="007B3D5C"/>
    <w:rPr>
      <w:rFonts w:ascii="Calibri" w:eastAsia="Times New Roman" w:hAnsi="Calibri" w:cs="Times New Roman"/>
      <w:i/>
      <w:iCs/>
      <w:color w:val="404040"/>
      <w:szCs w:val="20"/>
      <w:lang w:val="en-AU"/>
    </w:rPr>
  </w:style>
  <w:style w:type="paragraph" w:styleId="afffff2">
    <w:name w:val="Intense Quote"/>
    <w:basedOn w:val="a0"/>
    <w:next w:val="a0"/>
    <w:link w:val="afffff3"/>
    <w:uiPriority w:val="30"/>
    <w:qFormat/>
    <w:rsid w:val="007B3D5C"/>
    <w:pPr>
      <w:pBdr>
        <w:left w:val="single" w:sz="18" w:space="12" w:color="4472C4"/>
      </w:pBdr>
      <w:spacing w:before="100" w:beforeAutospacing="1" w:after="120" w:line="300" w:lineRule="auto"/>
      <w:ind w:left="1224" w:right="1224"/>
    </w:pPr>
    <w:rPr>
      <w:rFonts w:ascii="Calibri Light" w:eastAsia="Times New Roman" w:hAnsi="Calibri Light" w:cs="Times New Roman"/>
      <w:color w:val="4472C4"/>
      <w:sz w:val="28"/>
      <w:szCs w:val="28"/>
      <w:lang w:val="en-AU"/>
    </w:rPr>
  </w:style>
  <w:style w:type="character" w:customStyle="1" w:styleId="afffff3">
    <w:name w:val="鮮明引文 字元"/>
    <w:basedOn w:val="a1"/>
    <w:link w:val="afffff2"/>
    <w:uiPriority w:val="30"/>
    <w:rsid w:val="007B3D5C"/>
    <w:rPr>
      <w:rFonts w:ascii="Calibri Light" w:eastAsia="Times New Roman" w:hAnsi="Calibri Light" w:cs="Times New Roman"/>
      <w:color w:val="4472C4"/>
      <w:sz w:val="28"/>
      <w:szCs w:val="28"/>
      <w:lang w:val="en-AU"/>
    </w:rPr>
  </w:style>
  <w:style w:type="character" w:styleId="afffff4">
    <w:name w:val="Subtle Emphasis"/>
    <w:uiPriority w:val="19"/>
    <w:qFormat/>
    <w:rsid w:val="007B3D5C"/>
    <w:rPr>
      <w:i/>
      <w:iCs/>
      <w:color w:val="404040"/>
    </w:rPr>
  </w:style>
  <w:style w:type="character" w:styleId="afffff5">
    <w:name w:val="Subtle Reference"/>
    <w:uiPriority w:val="31"/>
    <w:qFormat/>
    <w:rsid w:val="007B3D5C"/>
    <w:rPr>
      <w:smallCaps/>
      <w:color w:val="404040"/>
      <w:u w:val="single" w:color="7F7F7F"/>
    </w:rPr>
  </w:style>
  <w:style w:type="character" w:styleId="afffff6">
    <w:name w:val="Intense Reference"/>
    <w:uiPriority w:val="32"/>
    <w:qFormat/>
    <w:rsid w:val="007B3D5C"/>
    <w:rPr>
      <w:b/>
      <w:bCs/>
      <w:smallCaps/>
      <w:spacing w:val="5"/>
      <w:u w:val="single"/>
    </w:rPr>
  </w:style>
  <w:style w:type="character" w:styleId="afffff7">
    <w:name w:val="Book Title"/>
    <w:uiPriority w:val="33"/>
    <w:qFormat/>
    <w:rsid w:val="007B3D5C"/>
    <w:rPr>
      <w:b/>
      <w:bCs/>
      <w:smallCaps/>
    </w:rPr>
  </w:style>
  <w:style w:type="paragraph" w:customStyle="1" w:styleId="xmsolistparagraph">
    <w:name w:val="x_msolistparagraph"/>
    <w:basedOn w:val="a0"/>
    <w:uiPriority w:val="99"/>
    <w:rsid w:val="007B3D5C"/>
    <w:pPr>
      <w:spacing w:after="0" w:line="240" w:lineRule="auto"/>
    </w:pPr>
    <w:rPr>
      <w:rFonts w:ascii="Times New Roman" w:eastAsia="Calibri" w:hAnsi="Times New Roman" w:cs="Times New Roman"/>
      <w:sz w:val="24"/>
      <w:szCs w:val="24"/>
      <w:lang w:val="fr-FR" w:eastAsia="fr-FR"/>
    </w:rPr>
  </w:style>
  <w:style w:type="table" w:customStyle="1" w:styleId="Grilledutableau8">
    <w:name w:val="Grille du tableau8"/>
    <w:basedOn w:val="a2"/>
    <w:next w:val="af2"/>
    <w:uiPriority w:val="39"/>
    <w:rsid w:val="007B3D5C"/>
    <w:pPr>
      <w:spacing w:after="0" w:line="240" w:lineRule="auto"/>
    </w:pPr>
    <w:rPr>
      <w:rFonts w:ascii="Calibri" w:eastAsia="Calibri" w:hAnsi="Calibri" w:cs="Times New Roman"/>
      <w:sz w:val="20"/>
      <w:szCs w:val="20"/>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21">
    <w:name w:val="Para_2"/>
    <w:basedOn w:val="a0"/>
    <w:qFormat/>
    <w:rsid w:val="007B3D5C"/>
    <w:pPr>
      <w:spacing w:after="240" w:line="240" w:lineRule="auto"/>
      <w:ind w:left="709"/>
      <w:jc w:val="both"/>
    </w:pPr>
    <w:rPr>
      <w:rFonts w:ascii="Times New Roman" w:eastAsia="Times New Roman" w:hAnsi="Times New Roman" w:cs="Times New Roman"/>
      <w:sz w:val="20"/>
      <w:lang w:val="en-IE" w:eastAsia="en-IE"/>
    </w:rPr>
  </w:style>
  <w:style w:type="table" w:customStyle="1" w:styleId="GridTable1Light1">
    <w:name w:val="Grid Table 1 Light1"/>
    <w:basedOn w:val="a2"/>
    <w:uiPriority w:val="46"/>
    <w:rsid w:val="007B3D5C"/>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lid-translation">
    <w:name w:val="tlid-translation"/>
    <w:basedOn w:val="a1"/>
    <w:rsid w:val="007B3D5C"/>
  </w:style>
  <w:style w:type="character" w:customStyle="1" w:styleId="HeaderChar4">
    <w:name w:val="Header Char4"/>
    <w:aliases w:val="Header Char1 Char Char3,Header Char Char Char Char3, Car Char Char Char Char3, Car Car Char Char Char Char3, Car Car Car Char Char Char Char3, Car Car Car Car Car Char Char Char Car Char3,Heading 1 Char Car1 Char3, Car Char17 Car1 Char3"/>
    <w:basedOn w:val="a1"/>
    <w:uiPriority w:val="99"/>
    <w:rsid w:val="007B3D5C"/>
    <w:rPr>
      <w:rFonts w:ascii="Times New Roman" w:eastAsia="Times New Roman" w:hAnsi="Times New Roman" w:cs="Times New Roman"/>
      <w:sz w:val="24"/>
      <w:szCs w:val="24"/>
      <w:lang w:val="en-GB"/>
    </w:rPr>
  </w:style>
  <w:style w:type="character" w:customStyle="1" w:styleId="frlabel">
    <w:name w:val="fr_label"/>
    <w:rsid w:val="007B3D5C"/>
  </w:style>
  <w:style w:type="character" w:customStyle="1" w:styleId="chaptertitle0">
    <w:name w:val="chaptertitle"/>
    <w:rsid w:val="007B3D5C"/>
  </w:style>
  <w:style w:type="character" w:customStyle="1" w:styleId="booktitle">
    <w:name w:val="booktitle"/>
    <w:rsid w:val="007B3D5C"/>
  </w:style>
  <w:style w:type="numbering" w:customStyle="1" w:styleId="Aucuneliste111">
    <w:name w:val="Aucune liste111"/>
    <w:next w:val="a3"/>
    <w:uiPriority w:val="99"/>
    <w:semiHidden/>
    <w:unhideWhenUsed/>
    <w:rsid w:val="007B3D5C"/>
  </w:style>
  <w:style w:type="character" w:customStyle="1" w:styleId="pagefirst">
    <w:name w:val="pagefirst"/>
    <w:basedOn w:val="a1"/>
    <w:rsid w:val="00C7266C"/>
  </w:style>
  <w:style w:type="table" w:customStyle="1" w:styleId="-11">
    <w:name w:val="浅色列表 - 强调文字颜色 11"/>
    <w:basedOn w:val="a2"/>
    <w:uiPriority w:val="61"/>
    <w:rsid w:val="00C7266C"/>
    <w:pPr>
      <w:spacing w:after="0" w:line="240" w:lineRule="auto"/>
      <w:ind w:left="851"/>
      <w:jc w:val="both"/>
    </w:pPr>
    <w:rPr>
      <w:rFonts w:ascii="Calibri" w:eastAsia="Calibri" w:hAnsi="Calibri" w:cs="Times New Roman"/>
      <w:sz w:val="20"/>
      <w:szCs w:val="20"/>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EndNoteBibliographyTitle">
    <w:name w:val="EndNote Bibliography Title"/>
    <w:basedOn w:val="a0"/>
    <w:link w:val="EndNoteBibliographyTitleChar"/>
    <w:rsid w:val="00C7266C"/>
    <w:pPr>
      <w:spacing w:after="0" w:line="240" w:lineRule="auto"/>
      <w:ind w:left="851"/>
      <w:jc w:val="center"/>
    </w:pPr>
    <w:rPr>
      <w:rFonts w:ascii="Times New Roman" w:eastAsia="Times New Roman" w:hAnsi="Times New Roman" w:cs="Times New Roman"/>
      <w:noProof/>
      <w:sz w:val="24"/>
      <w:szCs w:val="24"/>
      <w:lang w:val="en-US"/>
    </w:rPr>
  </w:style>
  <w:style w:type="character" w:customStyle="1" w:styleId="EndNoteBibliographyTitleChar">
    <w:name w:val="EndNote Bibliography Title Char"/>
    <w:basedOn w:val="Para3Car"/>
    <w:link w:val="EndNoteBibliographyTitle"/>
    <w:rsid w:val="00C7266C"/>
    <w:rPr>
      <w:rFonts w:ascii="Times New Roman" w:eastAsia="Times New Roman" w:hAnsi="Times New Roman" w:cs="Times New Roman"/>
      <w:bCs w:val="0"/>
      <w:noProof/>
      <w:sz w:val="24"/>
      <w:szCs w:val="24"/>
      <w:lang w:val="en-US"/>
    </w:rPr>
  </w:style>
  <w:style w:type="paragraph" w:customStyle="1" w:styleId="EndNoteBibliography">
    <w:name w:val="EndNote Bibliography"/>
    <w:basedOn w:val="a0"/>
    <w:link w:val="EndNoteBibliographyChar"/>
    <w:rsid w:val="00C7266C"/>
    <w:pPr>
      <w:spacing w:after="0" w:line="240" w:lineRule="auto"/>
      <w:ind w:left="851"/>
      <w:jc w:val="both"/>
    </w:pPr>
    <w:rPr>
      <w:rFonts w:ascii="Times New Roman" w:eastAsia="Times New Roman" w:hAnsi="Times New Roman" w:cs="Times New Roman"/>
      <w:noProof/>
      <w:sz w:val="24"/>
      <w:szCs w:val="24"/>
      <w:lang w:val="en-US"/>
    </w:rPr>
  </w:style>
  <w:style w:type="character" w:customStyle="1" w:styleId="EndNoteBibliographyChar">
    <w:name w:val="EndNote Bibliography Char"/>
    <w:basedOn w:val="Para3Car"/>
    <w:link w:val="EndNoteBibliography"/>
    <w:rsid w:val="00C7266C"/>
    <w:rPr>
      <w:rFonts w:ascii="Times New Roman" w:eastAsia="Times New Roman" w:hAnsi="Times New Roman" w:cs="Times New Roman"/>
      <w:bCs w:val="0"/>
      <w:noProof/>
      <w:sz w:val="24"/>
      <w:szCs w:val="24"/>
      <w:lang w:val="en-US"/>
    </w:rPr>
  </w:style>
  <w:style w:type="paragraph" w:customStyle="1" w:styleId="Para4i">
    <w:name w:val="Para 4i"/>
    <w:basedOn w:val="Para4"/>
    <w:qFormat/>
    <w:rsid w:val="00C7266C"/>
    <w:pPr>
      <w:spacing w:after="120"/>
      <w:ind w:left="1417" w:hanging="425"/>
    </w:pPr>
  </w:style>
  <w:style w:type="character" w:customStyle="1" w:styleId="Mentionnonrsolue1">
    <w:name w:val="Mention non résolue1"/>
    <w:basedOn w:val="a1"/>
    <w:uiPriority w:val="99"/>
    <w:semiHidden/>
    <w:unhideWhenUsed/>
    <w:rsid w:val="00C7266C"/>
    <w:rPr>
      <w:color w:val="605E5C"/>
      <w:shd w:val="clear" w:color="auto" w:fill="E1DFDD"/>
    </w:rPr>
  </w:style>
  <w:style w:type="paragraph" w:customStyle="1" w:styleId="Titre2">
    <w:name w:val="Titre2"/>
    <w:basedOn w:val="a0"/>
    <w:rsid w:val="00C7266C"/>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numbering" w:customStyle="1" w:styleId="Aucuneliste13">
    <w:name w:val="Aucune liste13"/>
    <w:next w:val="a3"/>
    <w:uiPriority w:val="99"/>
    <w:semiHidden/>
    <w:unhideWhenUsed/>
    <w:rsid w:val="00C7266C"/>
  </w:style>
  <w:style w:type="table" w:customStyle="1" w:styleId="TableGrid10">
    <w:name w:val="TableGrid1"/>
    <w:rsid w:val="00C7266C"/>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numbering" w:customStyle="1" w:styleId="Aucuneliste14">
    <w:name w:val="Aucune liste14"/>
    <w:next w:val="a3"/>
    <w:uiPriority w:val="99"/>
    <w:semiHidden/>
    <w:unhideWhenUsed/>
    <w:rsid w:val="00C7266C"/>
  </w:style>
  <w:style w:type="table" w:customStyle="1" w:styleId="Grilledutableau9">
    <w:name w:val="Grille du tableau9"/>
    <w:basedOn w:val="a2"/>
    <w:next w:val="af2"/>
    <w:uiPriority w:val="59"/>
    <w:rsid w:val="00C7266C"/>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1">
    <w:name w:val="Aucune liste21"/>
    <w:next w:val="a3"/>
    <w:uiPriority w:val="99"/>
    <w:semiHidden/>
    <w:unhideWhenUsed/>
    <w:rsid w:val="00C7266C"/>
  </w:style>
  <w:style w:type="numbering" w:customStyle="1" w:styleId="ImportedStyle42">
    <w:name w:val="Imported Style 42"/>
    <w:rsid w:val="00C7266C"/>
    <w:pPr>
      <w:numPr>
        <w:numId w:val="1"/>
      </w:numPr>
    </w:pPr>
  </w:style>
  <w:style w:type="numbering" w:customStyle="1" w:styleId="ImportedStyle52">
    <w:name w:val="Imported Style 52"/>
    <w:rsid w:val="00C7266C"/>
    <w:pPr>
      <w:numPr>
        <w:numId w:val="2"/>
      </w:numPr>
    </w:pPr>
  </w:style>
  <w:style w:type="numbering" w:customStyle="1" w:styleId="ImportedStyle12">
    <w:name w:val="Imported Style 12"/>
    <w:rsid w:val="00C7266C"/>
    <w:pPr>
      <w:numPr>
        <w:numId w:val="3"/>
      </w:numPr>
    </w:pPr>
  </w:style>
  <w:style w:type="table" w:customStyle="1" w:styleId="Grilledutableau11">
    <w:name w:val="Grille du tableau11"/>
    <w:basedOn w:val="a2"/>
    <w:next w:val="af2"/>
    <w:rsid w:val="00C7266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ffetsdetableau3D11">
    <w:name w:val="Effets de tableau 3D 11"/>
    <w:basedOn w:val="a2"/>
    <w:next w:val="3D1"/>
    <w:rsid w:val="00C7266C"/>
    <w:pPr>
      <w:spacing w:after="0" w:line="240" w:lineRule="auto"/>
    </w:pPr>
    <w:rPr>
      <w:rFonts w:ascii="Times New Roman" w:eastAsia="SimSu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Effetsdetableau3D21">
    <w:name w:val="Effets de tableau 3D 21"/>
    <w:basedOn w:val="a2"/>
    <w:next w:val="3D2"/>
    <w:rsid w:val="00C7266C"/>
    <w:pPr>
      <w:spacing w:after="0" w:line="240" w:lineRule="auto"/>
    </w:pPr>
    <w:rPr>
      <w:rFonts w:ascii="Times New Roman" w:eastAsia="SimSu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ffetsdetableau3D31">
    <w:name w:val="Effets de tableau 3D 31"/>
    <w:basedOn w:val="a2"/>
    <w:next w:val="3D3"/>
    <w:rsid w:val="00C7266C"/>
    <w:pPr>
      <w:spacing w:after="0" w:line="240" w:lineRule="auto"/>
    </w:pPr>
    <w:rPr>
      <w:rFonts w:ascii="Times New Roman" w:eastAsia="SimSu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11">
    <w:name w:val="Tableau classique 11"/>
    <w:basedOn w:val="a2"/>
    <w:next w:val="14"/>
    <w:rsid w:val="00C7266C"/>
    <w:pPr>
      <w:spacing w:after="0" w:line="240" w:lineRule="auto"/>
    </w:pPr>
    <w:rPr>
      <w:rFonts w:ascii="Times New Roman" w:eastAsia="SimSun" w:hAnsi="Times New Roman" w:cs="Times New Roman"/>
      <w:sz w:val="20"/>
      <w:szCs w:val="20"/>
      <w:lang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21">
    <w:name w:val="Tableau classique 21"/>
    <w:basedOn w:val="a2"/>
    <w:next w:val="2b"/>
    <w:rsid w:val="00C7266C"/>
    <w:pPr>
      <w:spacing w:after="0" w:line="240" w:lineRule="auto"/>
    </w:pPr>
    <w:rPr>
      <w:rFonts w:ascii="Times New Roman" w:eastAsia="SimSun" w:hAnsi="Times New Roman" w:cs="Times New Roman"/>
      <w:sz w:val="20"/>
      <w:szCs w:val="20"/>
      <w:lang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auclassique31">
    <w:name w:val="Tableau classique 31"/>
    <w:basedOn w:val="a2"/>
    <w:next w:val="39"/>
    <w:rsid w:val="00C7266C"/>
    <w:pPr>
      <w:spacing w:after="0" w:line="240" w:lineRule="auto"/>
    </w:pPr>
    <w:rPr>
      <w:rFonts w:ascii="Times New Roman" w:eastAsia="SimSu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auclassique41">
    <w:name w:val="Tableau classique 41"/>
    <w:basedOn w:val="a2"/>
    <w:next w:val="45"/>
    <w:rsid w:val="00C7266C"/>
    <w:pPr>
      <w:spacing w:after="0" w:line="240" w:lineRule="auto"/>
    </w:pPr>
    <w:rPr>
      <w:rFonts w:ascii="Times New Roman" w:eastAsia="SimSu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aucolor11">
    <w:name w:val="Tableau coloré 11"/>
    <w:basedOn w:val="a2"/>
    <w:next w:val="15"/>
    <w:rsid w:val="00C7266C"/>
    <w:pPr>
      <w:spacing w:after="0" w:line="240" w:lineRule="auto"/>
    </w:pPr>
    <w:rPr>
      <w:rFonts w:ascii="Times New Roman" w:eastAsia="SimSu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aucolor21">
    <w:name w:val="Tableau coloré 21"/>
    <w:basedOn w:val="a2"/>
    <w:next w:val="2c"/>
    <w:rsid w:val="00C7266C"/>
    <w:pPr>
      <w:spacing w:after="0" w:line="240" w:lineRule="auto"/>
    </w:pPr>
    <w:rPr>
      <w:rFonts w:ascii="Times New Roman" w:eastAsia="SimSu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aucolor31">
    <w:name w:val="Tableau coloré 31"/>
    <w:basedOn w:val="a2"/>
    <w:next w:val="3a"/>
    <w:rsid w:val="00C7266C"/>
    <w:pPr>
      <w:spacing w:after="0" w:line="240" w:lineRule="auto"/>
    </w:pPr>
    <w:rPr>
      <w:rFonts w:ascii="Times New Roman" w:eastAsia="SimSu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Colonnesdetableau11">
    <w:name w:val="Colonnes de tableau 11"/>
    <w:basedOn w:val="a2"/>
    <w:next w:val="16"/>
    <w:rsid w:val="00C7266C"/>
    <w:pPr>
      <w:spacing w:after="0" w:line="240" w:lineRule="auto"/>
    </w:pPr>
    <w:rPr>
      <w:rFonts w:ascii="Times New Roman" w:eastAsia="SimSu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nnesdetableau21">
    <w:name w:val="Colonnes de tableau 21"/>
    <w:basedOn w:val="a2"/>
    <w:next w:val="2d"/>
    <w:rsid w:val="00C7266C"/>
    <w:pPr>
      <w:spacing w:after="0" w:line="240" w:lineRule="auto"/>
    </w:pPr>
    <w:rPr>
      <w:rFonts w:ascii="Times New Roman" w:eastAsia="SimSu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nnesdetableau31">
    <w:name w:val="Colonnes de tableau 31"/>
    <w:basedOn w:val="a2"/>
    <w:next w:val="3b"/>
    <w:rsid w:val="00C7266C"/>
    <w:pPr>
      <w:spacing w:after="0" w:line="240" w:lineRule="auto"/>
    </w:pPr>
    <w:rPr>
      <w:rFonts w:ascii="Times New Roman" w:eastAsia="SimSu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Colonnesdetableau41">
    <w:name w:val="Colonnes de tableau 41"/>
    <w:basedOn w:val="a2"/>
    <w:next w:val="46"/>
    <w:rsid w:val="00C7266C"/>
    <w:pPr>
      <w:spacing w:after="0" w:line="240" w:lineRule="auto"/>
    </w:pPr>
    <w:rPr>
      <w:rFonts w:ascii="Times New Roman" w:eastAsia="SimSu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Colonnesdetableau51">
    <w:name w:val="Colonnes de tableau 51"/>
    <w:basedOn w:val="a2"/>
    <w:next w:val="55"/>
    <w:rsid w:val="00C7266C"/>
    <w:pPr>
      <w:spacing w:after="0" w:line="240" w:lineRule="auto"/>
    </w:pPr>
    <w:rPr>
      <w:rFonts w:ascii="Times New Roman" w:eastAsia="SimSu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aucontemporain1">
    <w:name w:val="Tableau contemporain1"/>
    <w:basedOn w:val="a2"/>
    <w:next w:val="affff2"/>
    <w:rsid w:val="00C7266C"/>
    <w:pPr>
      <w:spacing w:after="0" w:line="240" w:lineRule="auto"/>
    </w:pPr>
    <w:rPr>
      <w:rFonts w:ascii="Times New Roman" w:eastAsia="SimSu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aulgant1">
    <w:name w:val="Tableau élégant1"/>
    <w:basedOn w:val="a2"/>
    <w:next w:val="affff3"/>
    <w:rsid w:val="00C7266C"/>
    <w:pPr>
      <w:spacing w:after="0" w:line="240" w:lineRule="auto"/>
    </w:pPr>
    <w:rPr>
      <w:rFonts w:ascii="Times New Roman" w:eastAsia="SimSu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Grilledetableau11">
    <w:name w:val="Grille de tableau 11"/>
    <w:basedOn w:val="a2"/>
    <w:next w:val="17"/>
    <w:rsid w:val="00C7266C"/>
    <w:pPr>
      <w:spacing w:after="0" w:line="240" w:lineRule="auto"/>
    </w:pPr>
    <w:rPr>
      <w:rFonts w:ascii="Times New Roman" w:eastAsia="SimSu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Grilledetableau21">
    <w:name w:val="Grille de tableau 21"/>
    <w:basedOn w:val="a2"/>
    <w:next w:val="2e"/>
    <w:rsid w:val="00C7266C"/>
    <w:pPr>
      <w:spacing w:after="0" w:line="240" w:lineRule="auto"/>
    </w:pPr>
    <w:rPr>
      <w:rFonts w:ascii="Times New Roman" w:eastAsia="SimSun" w:hAnsi="Times New Roman" w:cs="Times New Roman"/>
      <w:sz w:val="20"/>
      <w:szCs w:val="20"/>
      <w:lang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Grilledetableau31">
    <w:name w:val="Grille de tableau 31"/>
    <w:basedOn w:val="a2"/>
    <w:next w:val="3c"/>
    <w:rsid w:val="00C7266C"/>
    <w:pPr>
      <w:spacing w:after="0" w:line="240" w:lineRule="auto"/>
    </w:pPr>
    <w:rPr>
      <w:rFonts w:ascii="Times New Roman" w:eastAsia="SimSu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Grilledetableau41">
    <w:name w:val="Grille de tableau 41"/>
    <w:basedOn w:val="a2"/>
    <w:next w:val="47"/>
    <w:rsid w:val="00C7266C"/>
    <w:pPr>
      <w:spacing w:after="0" w:line="240" w:lineRule="auto"/>
    </w:pPr>
    <w:rPr>
      <w:rFonts w:ascii="Times New Roman" w:eastAsia="SimSu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Grilledetableau51">
    <w:name w:val="Grille de tableau 51"/>
    <w:basedOn w:val="a2"/>
    <w:next w:val="56"/>
    <w:rsid w:val="00C7266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61">
    <w:name w:val="Grille de tableau 61"/>
    <w:basedOn w:val="a2"/>
    <w:next w:val="61"/>
    <w:rsid w:val="00C7266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71">
    <w:name w:val="Grille de tableau 71"/>
    <w:basedOn w:val="a2"/>
    <w:next w:val="71"/>
    <w:rsid w:val="00C7266C"/>
    <w:pPr>
      <w:spacing w:after="0" w:line="240" w:lineRule="auto"/>
    </w:pPr>
    <w:rPr>
      <w:rFonts w:ascii="Times New Roman" w:eastAsia="SimSu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Grilledetableau81">
    <w:name w:val="Grille de tableau 81"/>
    <w:basedOn w:val="a2"/>
    <w:next w:val="81"/>
    <w:rsid w:val="00C7266C"/>
    <w:pPr>
      <w:spacing w:after="0" w:line="240" w:lineRule="auto"/>
    </w:pPr>
    <w:rPr>
      <w:rFonts w:ascii="Times New Roman" w:eastAsia="SimSu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auliste11">
    <w:name w:val="Tableau liste 11"/>
    <w:basedOn w:val="a2"/>
    <w:next w:val="18"/>
    <w:rsid w:val="00C7266C"/>
    <w:pPr>
      <w:spacing w:after="0" w:line="240" w:lineRule="auto"/>
    </w:pPr>
    <w:rPr>
      <w:rFonts w:ascii="Times New Roman" w:eastAsia="SimSu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liste21">
    <w:name w:val="Tableau liste 21"/>
    <w:basedOn w:val="a2"/>
    <w:next w:val="2f"/>
    <w:rsid w:val="00C7266C"/>
    <w:pPr>
      <w:spacing w:after="0" w:line="240" w:lineRule="auto"/>
    </w:pPr>
    <w:rPr>
      <w:rFonts w:ascii="Times New Roman" w:eastAsia="SimSu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liste31">
    <w:name w:val="Tableau liste 31"/>
    <w:basedOn w:val="a2"/>
    <w:next w:val="3d"/>
    <w:rsid w:val="00C7266C"/>
    <w:pPr>
      <w:spacing w:after="0" w:line="240" w:lineRule="auto"/>
    </w:pPr>
    <w:rPr>
      <w:rFonts w:ascii="Times New Roman" w:eastAsia="SimSu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auliste41">
    <w:name w:val="Tableau liste 41"/>
    <w:basedOn w:val="a2"/>
    <w:next w:val="48"/>
    <w:rsid w:val="00C7266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auliste51">
    <w:name w:val="Tableau liste 51"/>
    <w:basedOn w:val="a2"/>
    <w:next w:val="57"/>
    <w:rsid w:val="00C7266C"/>
    <w:pPr>
      <w:spacing w:after="0" w:line="240" w:lineRule="auto"/>
    </w:pPr>
    <w:rPr>
      <w:rFonts w:ascii="Times New Roman" w:eastAsia="SimSu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auliste61">
    <w:name w:val="Tableau liste 61"/>
    <w:basedOn w:val="a2"/>
    <w:next w:val="62"/>
    <w:rsid w:val="00C7266C"/>
    <w:pPr>
      <w:spacing w:after="0" w:line="240" w:lineRule="auto"/>
    </w:pPr>
    <w:rPr>
      <w:rFonts w:ascii="Times New Roman" w:eastAsia="SimSu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auliste71">
    <w:name w:val="Tableau liste 71"/>
    <w:basedOn w:val="a2"/>
    <w:next w:val="72"/>
    <w:rsid w:val="00C7266C"/>
    <w:pPr>
      <w:spacing w:after="0" w:line="240" w:lineRule="auto"/>
    </w:pPr>
    <w:rPr>
      <w:rFonts w:ascii="Times New Roman" w:eastAsia="SimSu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auliste81">
    <w:name w:val="Tableau liste 81"/>
    <w:basedOn w:val="a2"/>
    <w:next w:val="82"/>
    <w:rsid w:val="00C7266C"/>
    <w:pPr>
      <w:spacing w:after="0" w:line="240" w:lineRule="auto"/>
    </w:pPr>
    <w:rPr>
      <w:rFonts w:ascii="Times New Roman" w:eastAsia="SimSu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auprofessionnel1">
    <w:name w:val="Tableau professionnel1"/>
    <w:basedOn w:val="a2"/>
    <w:next w:val="affff4"/>
    <w:rsid w:val="00C7266C"/>
    <w:pPr>
      <w:spacing w:after="0" w:line="240" w:lineRule="auto"/>
    </w:pPr>
    <w:rPr>
      <w:rFonts w:ascii="Times New Roman" w:eastAsia="SimSu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ausimple11">
    <w:name w:val="Tableau simple 11"/>
    <w:basedOn w:val="a2"/>
    <w:next w:val="19"/>
    <w:rsid w:val="00C7266C"/>
    <w:pPr>
      <w:spacing w:after="0" w:line="240" w:lineRule="auto"/>
    </w:pPr>
    <w:rPr>
      <w:rFonts w:ascii="Times New Roman" w:eastAsia="SimSun" w:hAnsi="Times New Roman" w:cs="Times New Roman"/>
      <w:sz w:val="20"/>
      <w:szCs w:val="20"/>
      <w:lang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ausimple21">
    <w:name w:val="Tableau simple 21"/>
    <w:basedOn w:val="a2"/>
    <w:next w:val="2f0"/>
    <w:rsid w:val="00C7266C"/>
    <w:pPr>
      <w:spacing w:after="0" w:line="240" w:lineRule="auto"/>
    </w:pPr>
    <w:rPr>
      <w:rFonts w:ascii="Times New Roman" w:eastAsia="SimSu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ausimple31">
    <w:name w:val="Tableau simple 31"/>
    <w:basedOn w:val="a2"/>
    <w:next w:val="3e"/>
    <w:rsid w:val="00C7266C"/>
    <w:pPr>
      <w:spacing w:after="0" w:line="240" w:lineRule="auto"/>
    </w:pPr>
    <w:rPr>
      <w:rFonts w:ascii="Times New Roman" w:eastAsia="SimSu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auple11">
    <w:name w:val="Tableau pâle 11"/>
    <w:basedOn w:val="a2"/>
    <w:next w:val="1a"/>
    <w:rsid w:val="00C7266C"/>
    <w:pPr>
      <w:spacing w:after="0" w:line="240" w:lineRule="auto"/>
    </w:pPr>
    <w:rPr>
      <w:rFonts w:ascii="Times New Roman" w:eastAsia="SimSu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ple21">
    <w:name w:val="Tableau pâle 21"/>
    <w:basedOn w:val="a2"/>
    <w:next w:val="2f1"/>
    <w:rsid w:val="00C7266C"/>
    <w:pPr>
      <w:spacing w:after="0" w:line="240" w:lineRule="auto"/>
    </w:pPr>
    <w:rPr>
      <w:rFonts w:ascii="Times New Roman" w:eastAsia="SimSu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hmedutableau1">
    <w:name w:val="Thème du tableau1"/>
    <w:basedOn w:val="a2"/>
    <w:next w:val="affff5"/>
    <w:rsid w:val="00C7266C"/>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Web11">
    <w:name w:val="Tableau Web 11"/>
    <w:basedOn w:val="a2"/>
    <w:next w:val="Web1"/>
    <w:rsid w:val="00C7266C"/>
    <w:pPr>
      <w:spacing w:after="0" w:line="240" w:lineRule="auto"/>
    </w:pPr>
    <w:rPr>
      <w:rFonts w:ascii="Times New Roman" w:eastAsia="SimSu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auWeb21">
    <w:name w:val="Tableau Web 21"/>
    <w:basedOn w:val="a2"/>
    <w:next w:val="Web2"/>
    <w:rsid w:val="00C7266C"/>
    <w:pPr>
      <w:spacing w:after="0" w:line="240" w:lineRule="auto"/>
    </w:pPr>
    <w:rPr>
      <w:rFonts w:ascii="Times New Roman" w:eastAsia="SimSu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auWeb31">
    <w:name w:val="Tableau Web 31"/>
    <w:basedOn w:val="a2"/>
    <w:next w:val="Web3"/>
    <w:rsid w:val="00C7266C"/>
    <w:pPr>
      <w:spacing w:after="0" w:line="240" w:lineRule="auto"/>
    </w:pPr>
    <w:rPr>
      <w:rFonts w:ascii="Times New Roman" w:eastAsia="SimSu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ArticleSection2">
    <w:name w:val="Article / Section2"/>
    <w:basedOn w:val="a3"/>
    <w:next w:val="a"/>
    <w:rsid w:val="00C7266C"/>
    <w:pPr>
      <w:numPr>
        <w:numId w:val="6"/>
      </w:numPr>
    </w:pPr>
  </w:style>
  <w:style w:type="numbering" w:customStyle="1" w:styleId="1ai2">
    <w:name w:val="1 / a / i2"/>
    <w:basedOn w:val="a3"/>
    <w:next w:val="1ai"/>
    <w:rsid w:val="00C7266C"/>
    <w:pPr>
      <w:numPr>
        <w:numId w:val="5"/>
      </w:numPr>
    </w:pPr>
  </w:style>
  <w:style w:type="numbering" w:customStyle="1" w:styleId="1111112">
    <w:name w:val="1 / 1.1 / 1.1.12"/>
    <w:basedOn w:val="a3"/>
    <w:next w:val="111111"/>
    <w:rsid w:val="00C7266C"/>
    <w:pPr>
      <w:numPr>
        <w:numId w:val="4"/>
      </w:numPr>
    </w:pPr>
  </w:style>
  <w:style w:type="numbering" w:customStyle="1" w:styleId="List01">
    <w:name w:val="List 01"/>
    <w:basedOn w:val="ImportedStyle1"/>
    <w:rsid w:val="00C7266C"/>
    <w:pPr>
      <w:numPr>
        <w:numId w:val="7"/>
      </w:numPr>
    </w:pPr>
  </w:style>
  <w:style w:type="numbering" w:customStyle="1" w:styleId="List11">
    <w:name w:val="List 11"/>
    <w:basedOn w:val="ImportedStyle2"/>
    <w:rsid w:val="00C7266C"/>
    <w:pPr>
      <w:numPr>
        <w:numId w:val="8"/>
      </w:numPr>
    </w:pPr>
  </w:style>
  <w:style w:type="numbering" w:customStyle="1" w:styleId="ImportedStyle21">
    <w:name w:val="Imported Style 21"/>
    <w:rsid w:val="00C7266C"/>
  </w:style>
  <w:style w:type="numbering" w:customStyle="1" w:styleId="List211">
    <w:name w:val="List 211"/>
    <w:basedOn w:val="ImportedStyle3"/>
    <w:rsid w:val="00C7266C"/>
    <w:pPr>
      <w:numPr>
        <w:numId w:val="9"/>
      </w:numPr>
    </w:pPr>
  </w:style>
  <w:style w:type="numbering" w:customStyle="1" w:styleId="ImportedStyle31">
    <w:name w:val="Imported Style 31"/>
    <w:rsid w:val="00C7266C"/>
  </w:style>
  <w:style w:type="numbering" w:customStyle="1" w:styleId="Aucuneliste112">
    <w:name w:val="Aucune liste112"/>
    <w:next w:val="a3"/>
    <w:uiPriority w:val="99"/>
    <w:semiHidden/>
    <w:unhideWhenUsed/>
    <w:rsid w:val="00C7266C"/>
  </w:style>
  <w:style w:type="numbering" w:customStyle="1" w:styleId="NoList12">
    <w:name w:val="No List12"/>
    <w:next w:val="a3"/>
    <w:uiPriority w:val="99"/>
    <w:semiHidden/>
    <w:unhideWhenUsed/>
    <w:rsid w:val="00C7266C"/>
  </w:style>
  <w:style w:type="table" w:customStyle="1" w:styleId="TableGrid12">
    <w:name w:val="Table Grid12"/>
    <w:basedOn w:val="a2"/>
    <w:next w:val="af2"/>
    <w:uiPriority w:val="39"/>
    <w:rsid w:val="00C7266C"/>
    <w:pPr>
      <w:widowControl w:val="0"/>
      <w:spacing w:after="240" w:line="240" w:lineRule="auto"/>
      <w:jc w:val="both"/>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ameclaire-Accent111">
    <w:name w:val="Trame claire - Accent 111"/>
    <w:basedOn w:val="a2"/>
    <w:uiPriority w:val="60"/>
    <w:rsid w:val="00C7266C"/>
    <w:pPr>
      <w:spacing w:after="0" w:line="240" w:lineRule="auto"/>
    </w:pPr>
    <w:rPr>
      <w:rFonts w:ascii="Calibri" w:eastAsia="Calibri" w:hAnsi="Calibri" w:cs="Times New Roman"/>
      <w:color w:val="365F91"/>
      <w:sz w:val="20"/>
      <w:szCs w:val="20"/>
      <w:lang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1">
    <w:name w:val="Ombrage clair11"/>
    <w:basedOn w:val="a2"/>
    <w:uiPriority w:val="60"/>
    <w:rsid w:val="00C7266C"/>
    <w:pPr>
      <w:spacing w:after="0" w:line="240" w:lineRule="auto"/>
    </w:pPr>
    <w:rPr>
      <w:rFonts w:ascii="Calibri" w:eastAsia="Calibri" w:hAnsi="Calibri" w:cs="Times New Roman"/>
      <w:color w:val="000000"/>
      <w:sz w:val="20"/>
      <w:szCs w:val="2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Aucuneliste31">
    <w:name w:val="Aucune liste31"/>
    <w:next w:val="a3"/>
    <w:uiPriority w:val="99"/>
    <w:semiHidden/>
    <w:unhideWhenUsed/>
    <w:rsid w:val="00C7266C"/>
  </w:style>
  <w:style w:type="numbering" w:customStyle="1" w:styleId="Aucuneliste41">
    <w:name w:val="Aucune liste41"/>
    <w:next w:val="a3"/>
    <w:uiPriority w:val="99"/>
    <w:semiHidden/>
    <w:unhideWhenUsed/>
    <w:rsid w:val="00C7266C"/>
  </w:style>
  <w:style w:type="table" w:customStyle="1" w:styleId="Grilledutableau21">
    <w:name w:val="Grille du tableau21"/>
    <w:basedOn w:val="a2"/>
    <w:next w:val="af2"/>
    <w:rsid w:val="00C7266C"/>
    <w:pPr>
      <w:spacing w:after="0" w:line="240" w:lineRule="auto"/>
    </w:pPr>
    <w:rPr>
      <w:rFonts w:ascii="Times New Roman" w:eastAsia="SimSu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1">
    <w:name w:val="Article / Section11"/>
    <w:basedOn w:val="a3"/>
    <w:next w:val="a"/>
    <w:rsid w:val="00C7266C"/>
  </w:style>
  <w:style w:type="numbering" w:customStyle="1" w:styleId="1ai11">
    <w:name w:val="1 / a / i11"/>
    <w:basedOn w:val="a3"/>
    <w:next w:val="1ai"/>
    <w:rsid w:val="00C7266C"/>
  </w:style>
  <w:style w:type="numbering" w:customStyle="1" w:styleId="11111111">
    <w:name w:val="1 / 1.1 / 1.1.111"/>
    <w:basedOn w:val="a3"/>
    <w:next w:val="111111"/>
    <w:rsid w:val="00C7266C"/>
  </w:style>
  <w:style w:type="numbering" w:customStyle="1" w:styleId="Aucuneliste51">
    <w:name w:val="Aucune liste51"/>
    <w:next w:val="a3"/>
    <w:uiPriority w:val="99"/>
    <w:semiHidden/>
    <w:unhideWhenUsed/>
    <w:rsid w:val="00C7266C"/>
  </w:style>
  <w:style w:type="table" w:customStyle="1" w:styleId="Grilledutableau31">
    <w:name w:val="Grille du tableau31"/>
    <w:basedOn w:val="a2"/>
    <w:next w:val="af2"/>
    <w:rsid w:val="00C7266C"/>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61">
    <w:name w:val="Aucune liste61"/>
    <w:next w:val="a3"/>
    <w:uiPriority w:val="99"/>
    <w:semiHidden/>
    <w:unhideWhenUsed/>
    <w:rsid w:val="00C7266C"/>
  </w:style>
  <w:style w:type="table" w:customStyle="1" w:styleId="Grilledutableau41">
    <w:name w:val="Grille du tableau41"/>
    <w:basedOn w:val="a2"/>
    <w:next w:val="af2"/>
    <w:rsid w:val="00C7266C"/>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71">
    <w:name w:val="Aucune liste71"/>
    <w:next w:val="a3"/>
    <w:uiPriority w:val="99"/>
    <w:semiHidden/>
    <w:unhideWhenUsed/>
    <w:rsid w:val="00C7266C"/>
  </w:style>
  <w:style w:type="numbering" w:customStyle="1" w:styleId="Aucuneliste81">
    <w:name w:val="Aucune liste81"/>
    <w:next w:val="a3"/>
    <w:uiPriority w:val="99"/>
    <w:semiHidden/>
    <w:unhideWhenUsed/>
    <w:rsid w:val="00C7266C"/>
  </w:style>
  <w:style w:type="table" w:customStyle="1" w:styleId="Grilledutableau51">
    <w:name w:val="Grille du tableau51"/>
    <w:basedOn w:val="a2"/>
    <w:next w:val="af2"/>
    <w:rsid w:val="00C7266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21">
    <w:name w:val="Aucune liste121"/>
    <w:next w:val="a3"/>
    <w:uiPriority w:val="99"/>
    <w:semiHidden/>
    <w:unhideWhenUsed/>
    <w:rsid w:val="00C7266C"/>
  </w:style>
  <w:style w:type="numbering" w:customStyle="1" w:styleId="NoList111">
    <w:name w:val="No List111"/>
    <w:next w:val="a3"/>
    <w:uiPriority w:val="99"/>
    <w:semiHidden/>
    <w:unhideWhenUsed/>
    <w:rsid w:val="00C7266C"/>
  </w:style>
  <w:style w:type="table" w:customStyle="1" w:styleId="TableGrid111">
    <w:name w:val="Table Grid111"/>
    <w:basedOn w:val="a2"/>
    <w:next w:val="af2"/>
    <w:rsid w:val="00C7266C"/>
    <w:pPr>
      <w:widowControl w:val="0"/>
      <w:spacing w:after="24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91">
    <w:name w:val="Aucune liste91"/>
    <w:next w:val="a3"/>
    <w:uiPriority w:val="99"/>
    <w:semiHidden/>
    <w:unhideWhenUsed/>
    <w:rsid w:val="00C7266C"/>
  </w:style>
  <w:style w:type="table" w:customStyle="1" w:styleId="Grilledutableau61">
    <w:name w:val="Grille du tableau61"/>
    <w:basedOn w:val="a2"/>
    <w:next w:val="af2"/>
    <w:uiPriority w:val="59"/>
    <w:rsid w:val="00C7266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01">
    <w:name w:val="Aucune liste101"/>
    <w:next w:val="a3"/>
    <w:uiPriority w:val="99"/>
    <w:semiHidden/>
    <w:unhideWhenUsed/>
    <w:rsid w:val="00C7266C"/>
  </w:style>
  <w:style w:type="numbering" w:customStyle="1" w:styleId="ImportedStyle411">
    <w:name w:val="Imported Style 411"/>
    <w:rsid w:val="00C7266C"/>
  </w:style>
  <w:style w:type="numbering" w:customStyle="1" w:styleId="ImportedStyle511">
    <w:name w:val="Imported Style 511"/>
    <w:rsid w:val="00C7266C"/>
  </w:style>
  <w:style w:type="numbering" w:customStyle="1" w:styleId="ImportedStyle111">
    <w:name w:val="Imported Style 111"/>
    <w:rsid w:val="00C7266C"/>
  </w:style>
  <w:style w:type="table" w:customStyle="1" w:styleId="Grilledutableau71">
    <w:name w:val="Grille du tableau71"/>
    <w:basedOn w:val="a2"/>
    <w:next w:val="af2"/>
    <w:uiPriority w:val="39"/>
    <w:rsid w:val="00C7266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claire-Accent11">
    <w:name w:val="Liste claire - Accent 11"/>
    <w:basedOn w:val="a2"/>
    <w:next w:val="-1"/>
    <w:uiPriority w:val="61"/>
    <w:rsid w:val="00C7266C"/>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Grilledutableau81">
    <w:name w:val="Grille du tableau81"/>
    <w:basedOn w:val="a2"/>
    <w:next w:val="af2"/>
    <w:uiPriority w:val="39"/>
    <w:rsid w:val="00C7266C"/>
    <w:pPr>
      <w:spacing w:after="0" w:line="240" w:lineRule="auto"/>
    </w:pPr>
    <w:rPr>
      <w:rFonts w:ascii="Calibri" w:eastAsia="Calibri" w:hAnsi="Calibri" w:cs="Times New Roman"/>
      <w:sz w:val="20"/>
      <w:szCs w:val="20"/>
      <w:lang w:val="en-AU"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a1"/>
    <w:rsid w:val="00C7266C"/>
  </w:style>
  <w:style w:type="character" w:customStyle="1" w:styleId="arttitle">
    <w:name w:val="art_title"/>
    <w:basedOn w:val="a1"/>
    <w:rsid w:val="00C7266C"/>
  </w:style>
  <w:style w:type="character" w:customStyle="1" w:styleId="serialtitle">
    <w:name w:val="serial_title"/>
    <w:basedOn w:val="a1"/>
    <w:rsid w:val="00C7266C"/>
  </w:style>
  <w:style w:type="character" w:customStyle="1" w:styleId="volumeissue">
    <w:name w:val="volume_issue"/>
    <w:basedOn w:val="a1"/>
    <w:rsid w:val="00C7266C"/>
  </w:style>
  <w:style w:type="character" w:customStyle="1" w:styleId="pagerange">
    <w:name w:val="page_range"/>
    <w:basedOn w:val="a1"/>
    <w:rsid w:val="00C7266C"/>
  </w:style>
  <w:style w:type="character" w:customStyle="1" w:styleId="doilink">
    <w:name w:val="doi_link"/>
    <w:basedOn w:val="a1"/>
    <w:rsid w:val="00C7266C"/>
  </w:style>
  <w:style w:type="character" w:customStyle="1" w:styleId="Date1">
    <w:name w:val="Date1"/>
    <w:basedOn w:val="a1"/>
    <w:rsid w:val="00C7266C"/>
  </w:style>
  <w:style w:type="character" w:customStyle="1" w:styleId="sciname1">
    <w:name w:val="sciname1"/>
    <w:rsid w:val="00C7266C"/>
    <w:rPr>
      <w:i/>
      <w:iCs/>
    </w:rPr>
  </w:style>
  <w:style w:type="paragraph" w:customStyle="1" w:styleId="TableParagraph">
    <w:name w:val="Table Paragraph"/>
    <w:basedOn w:val="a0"/>
    <w:uiPriority w:val="1"/>
    <w:qFormat/>
    <w:rsid w:val="00C7266C"/>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UnresolvedMention">
    <w:name w:val="Unresolved Mention"/>
    <w:basedOn w:val="a1"/>
    <w:uiPriority w:val="99"/>
    <w:semiHidden/>
    <w:unhideWhenUsed/>
    <w:rsid w:val="00C72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09322">
      <w:bodyDiv w:val="1"/>
      <w:marLeft w:val="0"/>
      <w:marRight w:val="0"/>
      <w:marTop w:val="0"/>
      <w:marBottom w:val="0"/>
      <w:divBdr>
        <w:top w:val="none" w:sz="0" w:space="0" w:color="auto"/>
        <w:left w:val="none" w:sz="0" w:space="0" w:color="auto"/>
        <w:bottom w:val="none" w:sz="0" w:space="0" w:color="auto"/>
        <w:right w:val="none" w:sz="0" w:space="0" w:color="auto"/>
      </w:divBdr>
    </w:div>
    <w:div w:id="141628667">
      <w:bodyDiv w:val="1"/>
      <w:marLeft w:val="0"/>
      <w:marRight w:val="0"/>
      <w:marTop w:val="0"/>
      <w:marBottom w:val="0"/>
      <w:divBdr>
        <w:top w:val="none" w:sz="0" w:space="0" w:color="auto"/>
        <w:left w:val="none" w:sz="0" w:space="0" w:color="auto"/>
        <w:bottom w:val="none" w:sz="0" w:space="0" w:color="auto"/>
        <w:right w:val="none" w:sz="0" w:space="0" w:color="auto"/>
      </w:divBdr>
    </w:div>
    <w:div w:id="323819407">
      <w:bodyDiv w:val="1"/>
      <w:marLeft w:val="0"/>
      <w:marRight w:val="0"/>
      <w:marTop w:val="0"/>
      <w:marBottom w:val="0"/>
      <w:divBdr>
        <w:top w:val="none" w:sz="0" w:space="0" w:color="auto"/>
        <w:left w:val="none" w:sz="0" w:space="0" w:color="auto"/>
        <w:bottom w:val="none" w:sz="0" w:space="0" w:color="auto"/>
        <w:right w:val="none" w:sz="0" w:space="0" w:color="auto"/>
      </w:divBdr>
    </w:div>
    <w:div w:id="416749482">
      <w:bodyDiv w:val="1"/>
      <w:marLeft w:val="0"/>
      <w:marRight w:val="0"/>
      <w:marTop w:val="0"/>
      <w:marBottom w:val="0"/>
      <w:divBdr>
        <w:top w:val="none" w:sz="0" w:space="0" w:color="auto"/>
        <w:left w:val="none" w:sz="0" w:space="0" w:color="auto"/>
        <w:bottom w:val="none" w:sz="0" w:space="0" w:color="auto"/>
        <w:right w:val="none" w:sz="0" w:space="0" w:color="auto"/>
      </w:divBdr>
    </w:div>
    <w:div w:id="546648415">
      <w:bodyDiv w:val="1"/>
      <w:marLeft w:val="0"/>
      <w:marRight w:val="0"/>
      <w:marTop w:val="0"/>
      <w:marBottom w:val="0"/>
      <w:divBdr>
        <w:top w:val="none" w:sz="0" w:space="0" w:color="auto"/>
        <w:left w:val="none" w:sz="0" w:space="0" w:color="auto"/>
        <w:bottom w:val="none" w:sz="0" w:space="0" w:color="auto"/>
        <w:right w:val="none" w:sz="0" w:space="0" w:color="auto"/>
      </w:divBdr>
    </w:div>
    <w:div w:id="608783668">
      <w:bodyDiv w:val="1"/>
      <w:marLeft w:val="0"/>
      <w:marRight w:val="0"/>
      <w:marTop w:val="0"/>
      <w:marBottom w:val="0"/>
      <w:divBdr>
        <w:top w:val="none" w:sz="0" w:space="0" w:color="auto"/>
        <w:left w:val="none" w:sz="0" w:space="0" w:color="auto"/>
        <w:bottom w:val="none" w:sz="0" w:space="0" w:color="auto"/>
        <w:right w:val="none" w:sz="0" w:space="0" w:color="auto"/>
      </w:divBdr>
    </w:div>
    <w:div w:id="1228956772">
      <w:bodyDiv w:val="1"/>
      <w:marLeft w:val="0"/>
      <w:marRight w:val="0"/>
      <w:marTop w:val="0"/>
      <w:marBottom w:val="0"/>
      <w:divBdr>
        <w:top w:val="none" w:sz="0" w:space="0" w:color="auto"/>
        <w:left w:val="none" w:sz="0" w:space="0" w:color="auto"/>
        <w:bottom w:val="none" w:sz="0" w:space="0" w:color="auto"/>
        <w:right w:val="none" w:sz="0" w:space="0" w:color="auto"/>
      </w:divBdr>
    </w:div>
    <w:div w:id="1263689191">
      <w:bodyDiv w:val="1"/>
      <w:marLeft w:val="0"/>
      <w:marRight w:val="0"/>
      <w:marTop w:val="0"/>
      <w:marBottom w:val="0"/>
      <w:divBdr>
        <w:top w:val="none" w:sz="0" w:space="0" w:color="auto"/>
        <w:left w:val="none" w:sz="0" w:space="0" w:color="auto"/>
        <w:bottom w:val="none" w:sz="0" w:space="0" w:color="auto"/>
        <w:right w:val="none" w:sz="0" w:space="0" w:color="auto"/>
      </w:divBdr>
    </w:div>
    <w:div w:id="1393885891">
      <w:bodyDiv w:val="1"/>
      <w:marLeft w:val="0"/>
      <w:marRight w:val="0"/>
      <w:marTop w:val="0"/>
      <w:marBottom w:val="0"/>
      <w:divBdr>
        <w:top w:val="none" w:sz="0" w:space="0" w:color="auto"/>
        <w:left w:val="none" w:sz="0" w:space="0" w:color="auto"/>
        <w:bottom w:val="none" w:sz="0" w:space="0" w:color="auto"/>
        <w:right w:val="none" w:sz="0" w:space="0" w:color="auto"/>
      </w:divBdr>
    </w:div>
    <w:div w:id="1406873082">
      <w:bodyDiv w:val="1"/>
      <w:marLeft w:val="0"/>
      <w:marRight w:val="0"/>
      <w:marTop w:val="0"/>
      <w:marBottom w:val="0"/>
      <w:divBdr>
        <w:top w:val="none" w:sz="0" w:space="0" w:color="auto"/>
        <w:left w:val="none" w:sz="0" w:space="0" w:color="auto"/>
        <w:bottom w:val="none" w:sz="0" w:space="0" w:color="auto"/>
        <w:right w:val="none" w:sz="0" w:space="0" w:color="auto"/>
      </w:divBdr>
    </w:div>
    <w:div w:id="1535270099">
      <w:bodyDiv w:val="1"/>
      <w:marLeft w:val="0"/>
      <w:marRight w:val="0"/>
      <w:marTop w:val="0"/>
      <w:marBottom w:val="0"/>
      <w:divBdr>
        <w:top w:val="none" w:sz="0" w:space="0" w:color="auto"/>
        <w:left w:val="none" w:sz="0" w:space="0" w:color="auto"/>
        <w:bottom w:val="none" w:sz="0" w:space="0" w:color="auto"/>
        <w:right w:val="none" w:sz="0" w:space="0" w:color="auto"/>
      </w:divBdr>
    </w:div>
    <w:div w:id="1626737448">
      <w:bodyDiv w:val="1"/>
      <w:marLeft w:val="0"/>
      <w:marRight w:val="0"/>
      <w:marTop w:val="0"/>
      <w:marBottom w:val="0"/>
      <w:divBdr>
        <w:top w:val="none" w:sz="0" w:space="0" w:color="auto"/>
        <w:left w:val="none" w:sz="0" w:space="0" w:color="auto"/>
        <w:bottom w:val="none" w:sz="0" w:space="0" w:color="auto"/>
        <w:right w:val="none" w:sz="0" w:space="0" w:color="auto"/>
      </w:divBdr>
    </w:div>
    <w:div w:id="1716082186">
      <w:bodyDiv w:val="1"/>
      <w:marLeft w:val="0"/>
      <w:marRight w:val="0"/>
      <w:marTop w:val="0"/>
      <w:marBottom w:val="0"/>
      <w:divBdr>
        <w:top w:val="none" w:sz="0" w:space="0" w:color="auto"/>
        <w:left w:val="none" w:sz="0" w:space="0" w:color="auto"/>
        <w:bottom w:val="none" w:sz="0" w:space="0" w:color="auto"/>
        <w:right w:val="none" w:sz="0" w:space="0" w:color="auto"/>
      </w:divBdr>
    </w:div>
    <w:div w:id="201368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1.xml"/><Relationship Id="rId21" Type="http://schemas.openxmlformats.org/officeDocument/2006/relationships/header" Target="header2.xml"/><Relationship Id="rId42" Type="http://schemas.openxmlformats.org/officeDocument/2006/relationships/header" Target="header9.xml"/><Relationship Id="rId63" Type="http://schemas.openxmlformats.org/officeDocument/2006/relationships/hyperlink" Target="https://www.google.com/search?rlz=1C1GCEU_enFR862FR862&amp;q=Siluridae&amp;stick=H4sIAAAAAAAAAONgVuLUz9U3SEkzjjdYxMoZnJlTWpSZkpgKAH9KZAgZAAAA&amp;sa=X&amp;ved=2ahUKEwiOtuq6jqHlAhVFSxoKHcMTAloQmxMoATAlegQIDBAK" TargetMode="External"/><Relationship Id="rId84" Type="http://schemas.openxmlformats.org/officeDocument/2006/relationships/hyperlink" Target="http://www.oie.int/index.php?id=2439&amp;L=0&amp;htmfile=chapitre_svc.htm" TargetMode="External"/><Relationship Id="rId138" Type="http://schemas.openxmlformats.org/officeDocument/2006/relationships/header" Target="header53.xml"/><Relationship Id="rId159" Type="http://schemas.openxmlformats.org/officeDocument/2006/relationships/footer" Target="footer40.xml"/><Relationship Id="rId170" Type="http://schemas.openxmlformats.org/officeDocument/2006/relationships/footer" Target="footer45.xml"/><Relationship Id="rId191" Type="http://schemas.openxmlformats.org/officeDocument/2006/relationships/hyperlink" Target="mailto:ssthilai@cityu.edu.hk" TargetMode="External"/><Relationship Id="rId205" Type="http://schemas.openxmlformats.org/officeDocument/2006/relationships/header" Target="header85.xml"/><Relationship Id="rId107" Type="http://schemas.openxmlformats.org/officeDocument/2006/relationships/footer" Target="footer25.xml"/><Relationship Id="rId11" Type="http://schemas.openxmlformats.org/officeDocument/2006/relationships/hyperlink" Target="mailto:d.mateo@oie.int" TargetMode="External"/><Relationship Id="rId32" Type="http://schemas.openxmlformats.org/officeDocument/2006/relationships/header" Target="header4.xml"/><Relationship Id="rId53" Type="http://schemas.openxmlformats.org/officeDocument/2006/relationships/header" Target="header14.xml"/><Relationship Id="rId74" Type="http://schemas.openxmlformats.org/officeDocument/2006/relationships/header" Target="header24.xml"/><Relationship Id="rId128" Type="http://schemas.openxmlformats.org/officeDocument/2006/relationships/header" Target="header48.xml"/><Relationship Id="rId149" Type="http://schemas.openxmlformats.org/officeDocument/2006/relationships/hyperlink" Target="https://doi.org/10.1080/08997659.2016.1254121" TargetMode="External"/><Relationship Id="rId5" Type="http://schemas.openxmlformats.org/officeDocument/2006/relationships/webSettings" Target="webSettings.xml"/><Relationship Id="rId95" Type="http://schemas.openxmlformats.org/officeDocument/2006/relationships/header" Target="header30.xml"/><Relationship Id="rId160" Type="http://schemas.openxmlformats.org/officeDocument/2006/relationships/footer" Target="footer41.xml"/><Relationship Id="rId181" Type="http://schemas.openxmlformats.org/officeDocument/2006/relationships/header" Target="header73.xml"/><Relationship Id="rId216" Type="http://schemas.openxmlformats.org/officeDocument/2006/relationships/header" Target="header92.xml"/><Relationship Id="rId211" Type="http://schemas.openxmlformats.org/officeDocument/2006/relationships/header" Target="header89.xml"/><Relationship Id="rId22" Type="http://schemas.openxmlformats.org/officeDocument/2006/relationships/footer" Target="footer1.xml"/><Relationship Id="rId27" Type="http://schemas.openxmlformats.org/officeDocument/2006/relationships/hyperlink" Target="mailto:KevinCH@daff.gov.za" TargetMode="External"/><Relationship Id="rId43" Type="http://schemas.openxmlformats.org/officeDocument/2006/relationships/footer" Target="footer7.xml"/><Relationship Id="rId48" Type="http://schemas.openxmlformats.org/officeDocument/2006/relationships/header" Target="header11.xml"/><Relationship Id="rId64" Type="http://schemas.openxmlformats.org/officeDocument/2006/relationships/header" Target="header19.xml"/><Relationship Id="rId69" Type="http://schemas.openxmlformats.org/officeDocument/2006/relationships/hyperlink" Target="http://www.oie.int/index.php?id=171&amp;L=0&amp;htmfile=glossaire.htm" TargetMode="External"/><Relationship Id="rId113" Type="http://schemas.openxmlformats.org/officeDocument/2006/relationships/header" Target="header39.xml"/><Relationship Id="rId118" Type="http://schemas.openxmlformats.org/officeDocument/2006/relationships/header" Target="header42.xml"/><Relationship Id="rId134" Type="http://schemas.openxmlformats.org/officeDocument/2006/relationships/header" Target="header50.xml"/><Relationship Id="rId139" Type="http://schemas.openxmlformats.org/officeDocument/2006/relationships/footer" Target="footer35.xml"/><Relationship Id="rId80" Type="http://schemas.openxmlformats.org/officeDocument/2006/relationships/header" Target="header27.xml"/><Relationship Id="rId85" Type="http://schemas.openxmlformats.org/officeDocument/2006/relationships/hyperlink" Target="https://en.wikipedia.org/wiki/Cyprinidae" TargetMode="External"/><Relationship Id="rId150" Type="http://schemas.openxmlformats.org/officeDocument/2006/relationships/hyperlink" Target="http://wfrc.usgs.gov/products/fs20083003.pdf" TargetMode="External"/><Relationship Id="rId155" Type="http://schemas.openxmlformats.org/officeDocument/2006/relationships/footer" Target="footer39.xml"/><Relationship Id="rId171" Type="http://schemas.openxmlformats.org/officeDocument/2006/relationships/header" Target="header69.xml"/><Relationship Id="rId176" Type="http://schemas.openxmlformats.org/officeDocument/2006/relationships/header" Target="header71.xml"/><Relationship Id="rId192" Type="http://schemas.openxmlformats.org/officeDocument/2006/relationships/hyperlink" Target="mailto:s.johnsen@oie.int" TargetMode="External"/><Relationship Id="rId197" Type="http://schemas.openxmlformats.org/officeDocument/2006/relationships/header" Target="header80.xml"/><Relationship Id="rId206" Type="http://schemas.openxmlformats.org/officeDocument/2006/relationships/header" Target="header86.xml"/><Relationship Id="rId201" Type="http://schemas.openxmlformats.org/officeDocument/2006/relationships/header" Target="header83.xml"/><Relationship Id="rId222" Type="http://schemas.openxmlformats.org/officeDocument/2006/relationships/footer" Target="footer61.xml"/><Relationship Id="rId12" Type="http://schemas.openxmlformats.org/officeDocument/2006/relationships/hyperlink" Target="https://talk.ictvonline.org/taxonomy/" TargetMode="External"/><Relationship Id="rId17" Type="http://schemas.openxmlformats.org/officeDocument/2006/relationships/hyperlink" Target="https://www.oie.int/en/standard-setting/specialists-commissions-working-ad-hoc-groups/ad-hoc-groups-reports/" TargetMode="External"/><Relationship Id="rId33" Type="http://schemas.openxmlformats.org/officeDocument/2006/relationships/header" Target="header5.xml"/><Relationship Id="rId38" Type="http://schemas.openxmlformats.org/officeDocument/2006/relationships/header" Target="header7.xml"/><Relationship Id="rId59" Type="http://schemas.openxmlformats.org/officeDocument/2006/relationships/header" Target="header17.xml"/><Relationship Id="rId103" Type="http://schemas.openxmlformats.org/officeDocument/2006/relationships/hyperlink" Target="http://www.oie.int" TargetMode="External"/><Relationship Id="rId108" Type="http://schemas.openxmlformats.org/officeDocument/2006/relationships/footer" Target="footer26.xml"/><Relationship Id="rId124" Type="http://schemas.openxmlformats.org/officeDocument/2006/relationships/header" Target="header45.xml"/><Relationship Id="rId129" Type="http://schemas.openxmlformats.org/officeDocument/2006/relationships/footer" Target="footer33.xml"/><Relationship Id="rId54" Type="http://schemas.openxmlformats.org/officeDocument/2006/relationships/footer" Target="footer10.xml"/><Relationship Id="rId70" Type="http://schemas.openxmlformats.org/officeDocument/2006/relationships/header" Target="header22.xml"/><Relationship Id="rId75" Type="http://schemas.openxmlformats.org/officeDocument/2006/relationships/footer" Target="footer17.xml"/><Relationship Id="rId91" Type="http://schemas.openxmlformats.org/officeDocument/2006/relationships/header" Target="header28.xml"/><Relationship Id="rId96" Type="http://schemas.openxmlformats.org/officeDocument/2006/relationships/footer" Target="footer23.xml"/><Relationship Id="rId140" Type="http://schemas.openxmlformats.org/officeDocument/2006/relationships/footer" Target="footer36.xml"/><Relationship Id="rId145" Type="http://schemas.openxmlformats.org/officeDocument/2006/relationships/header" Target="header57.xml"/><Relationship Id="rId161" Type="http://schemas.openxmlformats.org/officeDocument/2006/relationships/header" Target="header63.xml"/><Relationship Id="rId166" Type="http://schemas.openxmlformats.org/officeDocument/2006/relationships/header" Target="header66.xml"/><Relationship Id="rId182" Type="http://schemas.openxmlformats.org/officeDocument/2006/relationships/header" Target="header74.xml"/><Relationship Id="rId187" Type="http://schemas.openxmlformats.org/officeDocument/2006/relationships/hyperlink" Target="mailto:mark.crane@csiro.au" TargetMode="External"/><Relationship Id="rId217" Type="http://schemas.openxmlformats.org/officeDocument/2006/relationships/footer" Target="footer59.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footer" Target="footer57.xml"/><Relationship Id="rId23" Type="http://schemas.openxmlformats.org/officeDocument/2006/relationships/footer" Target="footer2.xml"/><Relationship Id="rId28" Type="http://schemas.openxmlformats.org/officeDocument/2006/relationships/hyperlink" Target="mailto:agallardol@sernapesca.cl" TargetMode="External"/><Relationship Id="rId49" Type="http://schemas.openxmlformats.org/officeDocument/2006/relationships/footer" Target="footer8.xml"/><Relationship Id="rId114" Type="http://schemas.openxmlformats.org/officeDocument/2006/relationships/footer" Target="footer28.xml"/><Relationship Id="rId119" Type="http://schemas.openxmlformats.org/officeDocument/2006/relationships/footer" Target="footer29.xml"/><Relationship Id="rId44" Type="http://schemas.openxmlformats.org/officeDocument/2006/relationships/hyperlink" Target="http://www.oie.int/index.php?id=171&amp;L=0&amp;htmfile=glossaire.htm" TargetMode="External"/><Relationship Id="rId60" Type="http://schemas.openxmlformats.org/officeDocument/2006/relationships/footer" Target="footer13.xml"/><Relationship Id="rId65" Type="http://schemas.openxmlformats.org/officeDocument/2006/relationships/header" Target="header20.xml"/><Relationship Id="rId81" Type="http://schemas.openxmlformats.org/officeDocument/2006/relationships/footer" Target="footer20.xml"/><Relationship Id="rId86" Type="http://schemas.openxmlformats.org/officeDocument/2006/relationships/hyperlink" Target="https://www.google.com/search?rlz=1C1GCEU_enFR862FR862&amp;q=Siluridae&amp;stick=H4sIAAAAAAAAAONgVuLUz9U3SEkzjjdYxMoZnJlTWpSZkpgKAH9KZAgZAAAA&amp;sa=X&amp;ved=2ahUKEwiOtuq6jqHlAhVFSxoKHcMTAloQmxMoATAlegQIDBAK" TargetMode="External"/><Relationship Id="rId130" Type="http://schemas.openxmlformats.org/officeDocument/2006/relationships/hyperlink" Target="http://www.crl-fish.eu/upload/sites/crl-fish/reports/links/fisheggtrade%20wp1.pdf" TargetMode="External"/><Relationship Id="rId135" Type="http://schemas.openxmlformats.org/officeDocument/2006/relationships/footer" Target="footer34.xml"/><Relationship Id="rId151" Type="http://schemas.openxmlformats.org/officeDocument/2006/relationships/hyperlink" Target="http://www.oie.int/en/scientific-expertise/reference-laboratories/list-of-laboratories/" TargetMode="External"/><Relationship Id="rId156" Type="http://schemas.openxmlformats.org/officeDocument/2006/relationships/header" Target="header60.xml"/><Relationship Id="rId177" Type="http://schemas.openxmlformats.org/officeDocument/2006/relationships/footer" Target="footer47.xml"/><Relationship Id="rId198" Type="http://schemas.openxmlformats.org/officeDocument/2006/relationships/footer" Target="footer52.xml"/><Relationship Id="rId172" Type="http://schemas.openxmlformats.org/officeDocument/2006/relationships/footer" Target="footer46.xml"/><Relationship Id="rId193" Type="http://schemas.openxmlformats.org/officeDocument/2006/relationships/header" Target="header76.xml"/><Relationship Id="rId202" Type="http://schemas.openxmlformats.org/officeDocument/2006/relationships/footer" Target="footer53.xml"/><Relationship Id="rId207" Type="http://schemas.openxmlformats.org/officeDocument/2006/relationships/footer" Target="footer55.xml"/><Relationship Id="rId223" Type="http://schemas.openxmlformats.org/officeDocument/2006/relationships/header" Target="header96.xml"/><Relationship Id="rId13" Type="http://schemas.openxmlformats.org/officeDocument/2006/relationships/hyperlink" Target="https://enaca.org/?id=8" TargetMode="External"/><Relationship Id="rId18" Type="http://schemas.openxmlformats.org/officeDocument/2006/relationships/hyperlink" Target="mailto:standards.dept@oie.int" TargetMode="External"/><Relationship Id="rId39" Type="http://schemas.openxmlformats.org/officeDocument/2006/relationships/header" Target="header8.xml"/><Relationship Id="rId109" Type="http://schemas.openxmlformats.org/officeDocument/2006/relationships/header" Target="header36.xml"/><Relationship Id="rId34" Type="http://schemas.openxmlformats.org/officeDocument/2006/relationships/header" Target="header6.xml"/><Relationship Id="rId50" Type="http://schemas.openxmlformats.org/officeDocument/2006/relationships/footer" Target="footer9.xml"/><Relationship Id="rId55" Type="http://schemas.openxmlformats.org/officeDocument/2006/relationships/footer" Target="footer11.xml"/><Relationship Id="rId76" Type="http://schemas.openxmlformats.org/officeDocument/2006/relationships/header" Target="header25.xml"/><Relationship Id="rId97" Type="http://schemas.openxmlformats.org/officeDocument/2006/relationships/header" Target="header31.xml"/><Relationship Id="rId104" Type="http://schemas.openxmlformats.org/officeDocument/2006/relationships/hyperlink" Target="https://en.wikipedia.org/wiki/Chytridiomycota" TargetMode="External"/><Relationship Id="rId120" Type="http://schemas.openxmlformats.org/officeDocument/2006/relationships/header" Target="header43.xml"/><Relationship Id="rId125" Type="http://schemas.openxmlformats.org/officeDocument/2006/relationships/footer" Target="footer32.xml"/><Relationship Id="rId141" Type="http://schemas.openxmlformats.org/officeDocument/2006/relationships/header" Target="header54.xml"/><Relationship Id="rId146" Type="http://schemas.openxmlformats.org/officeDocument/2006/relationships/footer" Target="footer38.xml"/><Relationship Id="rId167" Type="http://schemas.openxmlformats.org/officeDocument/2006/relationships/header" Target="header67.xml"/><Relationship Id="rId188" Type="http://schemas.openxmlformats.org/officeDocument/2006/relationships/hyperlink" Target="mailto:lori.l.gustafson@aphis.usda.gov" TargetMode="External"/><Relationship Id="rId7" Type="http://schemas.openxmlformats.org/officeDocument/2006/relationships/endnotes" Target="endnotes.xml"/><Relationship Id="rId71" Type="http://schemas.openxmlformats.org/officeDocument/2006/relationships/header" Target="header23.xml"/><Relationship Id="rId92" Type="http://schemas.openxmlformats.org/officeDocument/2006/relationships/header" Target="header29.xml"/><Relationship Id="rId162" Type="http://schemas.openxmlformats.org/officeDocument/2006/relationships/header" Target="header64.xml"/><Relationship Id="rId183" Type="http://schemas.openxmlformats.org/officeDocument/2006/relationships/footer" Target="footer49.xml"/><Relationship Id="rId213" Type="http://schemas.openxmlformats.org/officeDocument/2006/relationships/footer" Target="footer58.xml"/><Relationship Id="rId218" Type="http://schemas.openxmlformats.org/officeDocument/2006/relationships/footer" Target="footer60.xml"/><Relationship Id="rId2" Type="http://schemas.openxmlformats.org/officeDocument/2006/relationships/numbering" Target="numbering.xml"/><Relationship Id="rId29" Type="http://schemas.openxmlformats.org/officeDocument/2006/relationships/hyperlink" Target="mailto:chang_siow_foong@nparks.gov.sg" TargetMode="External"/><Relationship Id="rId24" Type="http://schemas.openxmlformats.org/officeDocument/2006/relationships/header" Target="header3.xml"/><Relationship Id="rId40" Type="http://schemas.openxmlformats.org/officeDocument/2006/relationships/footer" Target="footer5.xml"/><Relationship Id="rId45" Type="http://schemas.openxmlformats.org/officeDocument/2006/relationships/hyperlink" Target="http://www.oie.int/index.php?id=171&amp;L=0&amp;htmfile=glossaire.htm" TargetMode="External"/><Relationship Id="rId66" Type="http://schemas.openxmlformats.org/officeDocument/2006/relationships/footer" Target="footer14.xml"/><Relationship Id="rId87" Type="http://schemas.openxmlformats.org/officeDocument/2006/relationships/hyperlink" Target="http://www.oie.int/index.php?id=2439&amp;L=0&amp;htmfile=chapitre_svc.htm" TargetMode="External"/><Relationship Id="rId110" Type="http://schemas.openxmlformats.org/officeDocument/2006/relationships/footer" Target="footer27.xml"/><Relationship Id="rId115" Type="http://schemas.openxmlformats.org/officeDocument/2006/relationships/hyperlink" Target="https://doi.org/10.1038/srep08037" TargetMode="External"/><Relationship Id="rId131" Type="http://schemas.openxmlformats.org/officeDocument/2006/relationships/hyperlink" Target="http://www.oie.int/en/scientific-expertise/reference-laboratories/list-of-laboratories/" TargetMode="External"/><Relationship Id="rId136" Type="http://schemas.openxmlformats.org/officeDocument/2006/relationships/header" Target="header51.xml"/><Relationship Id="rId157" Type="http://schemas.openxmlformats.org/officeDocument/2006/relationships/header" Target="header61.xml"/><Relationship Id="rId178" Type="http://schemas.openxmlformats.org/officeDocument/2006/relationships/header" Target="header72.xml"/><Relationship Id="rId61" Type="http://schemas.openxmlformats.org/officeDocument/2006/relationships/header" Target="header18.xml"/><Relationship Id="rId82" Type="http://schemas.openxmlformats.org/officeDocument/2006/relationships/hyperlink" Target="http://www.oie.int/index.php?id=2439&amp;L=0&amp;htmfile=chapitre_svc.htm" TargetMode="External"/><Relationship Id="rId152" Type="http://schemas.openxmlformats.org/officeDocument/2006/relationships/hyperlink" Target="http://www.oie.int" TargetMode="External"/><Relationship Id="rId173" Type="http://schemas.openxmlformats.org/officeDocument/2006/relationships/hyperlink" Target="http://www.fao.org/faoterm/collection/faoterm/en/" TargetMode="External"/><Relationship Id="rId194" Type="http://schemas.openxmlformats.org/officeDocument/2006/relationships/header" Target="header77.xml"/><Relationship Id="rId199" Type="http://schemas.openxmlformats.org/officeDocument/2006/relationships/header" Target="header81.xml"/><Relationship Id="rId203" Type="http://schemas.openxmlformats.org/officeDocument/2006/relationships/footer" Target="footer54.xml"/><Relationship Id="rId208" Type="http://schemas.openxmlformats.org/officeDocument/2006/relationships/footer" Target="footer56.xml"/><Relationship Id="rId19" Type="http://schemas.openxmlformats.org/officeDocument/2006/relationships/hyperlink" Target="mailto:standards.dept@oie.int" TargetMode="External"/><Relationship Id="rId224" Type="http://schemas.openxmlformats.org/officeDocument/2006/relationships/fontTable" Target="fontTable.xml"/><Relationship Id="rId14" Type="http://schemas.openxmlformats.org/officeDocument/2006/relationships/hyperlink" Target="mailto:standards.dept@oie.int" TargetMode="External"/><Relationship Id="rId30" Type="http://schemas.openxmlformats.org/officeDocument/2006/relationships/hyperlink" Target="mailto:g.mylrea@oie.int" TargetMode="External"/><Relationship Id="rId35" Type="http://schemas.openxmlformats.org/officeDocument/2006/relationships/footer" Target="footer4.xml"/><Relationship Id="rId56" Type="http://schemas.openxmlformats.org/officeDocument/2006/relationships/header" Target="header15.xml"/><Relationship Id="rId77" Type="http://schemas.openxmlformats.org/officeDocument/2006/relationships/header" Target="header26.xml"/><Relationship Id="rId100" Type="http://schemas.openxmlformats.org/officeDocument/2006/relationships/footer" Target="footer24.xml"/><Relationship Id="rId105" Type="http://schemas.openxmlformats.org/officeDocument/2006/relationships/header" Target="header34.xml"/><Relationship Id="rId126" Type="http://schemas.openxmlformats.org/officeDocument/2006/relationships/header" Target="header46.xml"/><Relationship Id="rId147" Type="http://schemas.openxmlformats.org/officeDocument/2006/relationships/hyperlink" Target="http://www.eurl-fish.eu/-/media/Sites/EURL-FISH/english/activities/scientific%20reports/fisheggtrade%20wp_3.ashx?la=da" TargetMode="External"/><Relationship Id="rId168" Type="http://schemas.openxmlformats.org/officeDocument/2006/relationships/header" Target="header68.xml"/><Relationship Id="rId8" Type="http://schemas.openxmlformats.org/officeDocument/2006/relationships/image" Target="media/image1.png"/><Relationship Id="rId51" Type="http://schemas.openxmlformats.org/officeDocument/2006/relationships/header" Target="header12.xml"/><Relationship Id="rId72" Type="http://schemas.openxmlformats.org/officeDocument/2006/relationships/footer" Target="footer15.xml"/><Relationship Id="rId93" Type="http://schemas.openxmlformats.org/officeDocument/2006/relationships/footer" Target="footer21.xml"/><Relationship Id="rId98" Type="http://schemas.openxmlformats.org/officeDocument/2006/relationships/header" Target="header32.xml"/><Relationship Id="rId121" Type="http://schemas.openxmlformats.org/officeDocument/2006/relationships/header" Target="header44.xml"/><Relationship Id="rId142" Type="http://schemas.openxmlformats.org/officeDocument/2006/relationships/footer" Target="footer37.xml"/><Relationship Id="rId163" Type="http://schemas.openxmlformats.org/officeDocument/2006/relationships/header" Target="header65.xml"/><Relationship Id="rId184" Type="http://schemas.openxmlformats.org/officeDocument/2006/relationships/footer" Target="footer50.xml"/><Relationship Id="rId189" Type="http://schemas.openxmlformats.org/officeDocument/2006/relationships/hyperlink" Target="mailto:keiyuasa@hotmail.co.jp" TargetMode="External"/><Relationship Id="rId219" Type="http://schemas.openxmlformats.org/officeDocument/2006/relationships/header" Target="header93.xml"/><Relationship Id="rId3" Type="http://schemas.openxmlformats.org/officeDocument/2006/relationships/styles" Target="styles.xml"/><Relationship Id="rId214" Type="http://schemas.openxmlformats.org/officeDocument/2006/relationships/header" Target="header90.xml"/><Relationship Id="rId25" Type="http://schemas.openxmlformats.org/officeDocument/2006/relationships/footer" Target="footer3.xml"/><Relationship Id="rId46" Type="http://schemas.openxmlformats.org/officeDocument/2006/relationships/hyperlink" Target="http://www.oie.int/index.php?id=171&amp;L=0&amp;htmfile=glossaire.htm" TargetMode="External"/><Relationship Id="rId67" Type="http://schemas.openxmlformats.org/officeDocument/2006/relationships/header" Target="header21.xml"/><Relationship Id="rId116" Type="http://schemas.openxmlformats.org/officeDocument/2006/relationships/header" Target="header40.xml"/><Relationship Id="rId137" Type="http://schemas.openxmlformats.org/officeDocument/2006/relationships/header" Target="header52.xml"/><Relationship Id="rId158" Type="http://schemas.openxmlformats.org/officeDocument/2006/relationships/header" Target="header62.xml"/><Relationship Id="rId20" Type="http://schemas.openxmlformats.org/officeDocument/2006/relationships/header" Target="header1.xml"/><Relationship Id="rId41" Type="http://schemas.openxmlformats.org/officeDocument/2006/relationships/footer" Target="footer6.xml"/><Relationship Id="rId62" Type="http://schemas.openxmlformats.org/officeDocument/2006/relationships/hyperlink" Target="https://en.wikipedia.org/wiki/Cyprinidae" TargetMode="External"/><Relationship Id="rId83" Type="http://schemas.openxmlformats.org/officeDocument/2006/relationships/hyperlink" Target="http://www.oie.int/index.php?id=2439&amp;L=0&amp;htmfile=chapitre_svc.htm" TargetMode="External"/><Relationship Id="rId88" Type="http://schemas.openxmlformats.org/officeDocument/2006/relationships/hyperlink" Target="http://www.oie.int/index.php?id=2439&amp;L=0&amp;htmfile=chapitre_svc.htm" TargetMode="External"/><Relationship Id="rId111" Type="http://schemas.openxmlformats.org/officeDocument/2006/relationships/header" Target="header37.xml"/><Relationship Id="rId132" Type="http://schemas.openxmlformats.org/officeDocument/2006/relationships/hyperlink" Target="http://www.oie.int" TargetMode="External"/><Relationship Id="rId153" Type="http://schemas.openxmlformats.org/officeDocument/2006/relationships/header" Target="header58.xml"/><Relationship Id="rId174" Type="http://schemas.openxmlformats.org/officeDocument/2006/relationships/hyperlink" Target="https://www.fishbase.se/search.php" TargetMode="External"/><Relationship Id="rId179" Type="http://schemas.openxmlformats.org/officeDocument/2006/relationships/footer" Target="footer48.xml"/><Relationship Id="rId195" Type="http://schemas.openxmlformats.org/officeDocument/2006/relationships/header" Target="header78.xml"/><Relationship Id="rId209" Type="http://schemas.openxmlformats.org/officeDocument/2006/relationships/header" Target="header87.xml"/><Relationship Id="rId190" Type="http://schemas.openxmlformats.org/officeDocument/2006/relationships/hyperlink" Target="mailto:kei_yuasa380@maff.go.jp" TargetMode="External"/><Relationship Id="rId204" Type="http://schemas.openxmlformats.org/officeDocument/2006/relationships/header" Target="header84.xml"/><Relationship Id="rId220" Type="http://schemas.openxmlformats.org/officeDocument/2006/relationships/header" Target="header94.xml"/><Relationship Id="rId225" Type="http://schemas.openxmlformats.org/officeDocument/2006/relationships/theme" Target="theme/theme1.xml"/><Relationship Id="rId15" Type="http://schemas.openxmlformats.org/officeDocument/2006/relationships/hyperlink" Target="https://www.oie.int/en/standard-setting/specialists-commissions-working-ad-hoc-groups/ad-hoc-groups-reports/" TargetMode="External"/><Relationship Id="rId36" Type="http://schemas.openxmlformats.org/officeDocument/2006/relationships/hyperlink" Target="http://www.oie.int/index.php?id=171&amp;L=0&amp;htmfile=glossaire.htm" TargetMode="External"/><Relationship Id="rId57" Type="http://schemas.openxmlformats.org/officeDocument/2006/relationships/footer" Target="footer12.xml"/><Relationship Id="rId106" Type="http://schemas.openxmlformats.org/officeDocument/2006/relationships/header" Target="header35.xml"/><Relationship Id="rId127" Type="http://schemas.openxmlformats.org/officeDocument/2006/relationships/header" Target="header47.xml"/><Relationship Id="rId10" Type="http://schemas.openxmlformats.org/officeDocument/2006/relationships/hyperlink" Target="mailto:standards.dept@oie.int" TargetMode="External"/><Relationship Id="rId31" Type="http://schemas.openxmlformats.org/officeDocument/2006/relationships/hyperlink" Target="mailto:j.fischer@oie.int" TargetMode="External"/><Relationship Id="rId52" Type="http://schemas.openxmlformats.org/officeDocument/2006/relationships/header" Target="header13.xml"/><Relationship Id="rId73" Type="http://schemas.openxmlformats.org/officeDocument/2006/relationships/footer" Target="footer16.xml"/><Relationship Id="rId78" Type="http://schemas.openxmlformats.org/officeDocument/2006/relationships/footer" Target="footer18.xml"/><Relationship Id="rId94" Type="http://schemas.openxmlformats.org/officeDocument/2006/relationships/footer" Target="footer22.xml"/><Relationship Id="rId99" Type="http://schemas.openxmlformats.org/officeDocument/2006/relationships/header" Target="header33.xml"/><Relationship Id="rId101" Type="http://schemas.openxmlformats.org/officeDocument/2006/relationships/hyperlink" Target="http://www.ebi.ac.uk/blastall/index.html" TargetMode="External"/><Relationship Id="rId122" Type="http://schemas.openxmlformats.org/officeDocument/2006/relationships/footer" Target="footer30.xml"/><Relationship Id="rId143" Type="http://schemas.openxmlformats.org/officeDocument/2006/relationships/header" Target="header55.xml"/><Relationship Id="rId148" Type="http://schemas.openxmlformats.org/officeDocument/2006/relationships/hyperlink" Target="http://www.fishpathogens.eu" TargetMode="External"/><Relationship Id="rId164" Type="http://schemas.openxmlformats.org/officeDocument/2006/relationships/footer" Target="footer42.xml"/><Relationship Id="rId169" Type="http://schemas.openxmlformats.org/officeDocument/2006/relationships/footer" Target="footer44.xml"/><Relationship Id="rId185" Type="http://schemas.openxmlformats.org/officeDocument/2006/relationships/header" Target="header75.xml"/><Relationship Id="rId4" Type="http://schemas.openxmlformats.org/officeDocument/2006/relationships/settings" Target="settings.xml"/><Relationship Id="rId9" Type="http://schemas.openxmlformats.org/officeDocument/2006/relationships/hyperlink" Target="https://www.oie.int/en/standard-setting/specialists-commissions-working-ad-hoc-groups/ad-hoc-groups-reports/" TargetMode="External"/><Relationship Id="rId180" Type="http://schemas.openxmlformats.org/officeDocument/2006/relationships/hyperlink" Target="http://www.oie.int/wahis_2/temp/reports/en_imm_0000013315_20130426_163431.pdf" TargetMode="External"/><Relationship Id="rId210" Type="http://schemas.openxmlformats.org/officeDocument/2006/relationships/header" Target="header88.xml"/><Relationship Id="rId215" Type="http://schemas.openxmlformats.org/officeDocument/2006/relationships/header" Target="header91.xml"/><Relationship Id="rId26" Type="http://schemas.openxmlformats.org/officeDocument/2006/relationships/hyperlink" Target="mailto:atle.lillehaug@vetinst.no" TargetMode="External"/><Relationship Id="rId47" Type="http://schemas.openxmlformats.org/officeDocument/2006/relationships/header" Target="header10.xml"/><Relationship Id="rId68" Type="http://schemas.openxmlformats.org/officeDocument/2006/relationships/hyperlink" Target="http://www.oie.int/index.php?id=171&amp;L=0&amp;htmfile=glossaire.htm" TargetMode="External"/><Relationship Id="rId89" Type="http://schemas.openxmlformats.org/officeDocument/2006/relationships/hyperlink" Target="http://www.oie.int/index.php?id=2439&amp;L=0&amp;htmfile=chapitre_svc.htm" TargetMode="External"/><Relationship Id="rId112" Type="http://schemas.openxmlformats.org/officeDocument/2006/relationships/header" Target="header38.xml"/><Relationship Id="rId133" Type="http://schemas.openxmlformats.org/officeDocument/2006/relationships/header" Target="header49.xml"/><Relationship Id="rId154" Type="http://schemas.openxmlformats.org/officeDocument/2006/relationships/header" Target="header59.xml"/><Relationship Id="rId175" Type="http://schemas.openxmlformats.org/officeDocument/2006/relationships/header" Target="header70.xml"/><Relationship Id="rId196" Type="http://schemas.openxmlformats.org/officeDocument/2006/relationships/header" Target="header79.xml"/><Relationship Id="rId200" Type="http://schemas.openxmlformats.org/officeDocument/2006/relationships/header" Target="header82.xml"/><Relationship Id="rId16" Type="http://schemas.openxmlformats.org/officeDocument/2006/relationships/hyperlink" Target="mailto:standards.dept@oie.int" TargetMode="External"/><Relationship Id="rId221" Type="http://schemas.openxmlformats.org/officeDocument/2006/relationships/header" Target="header95.xml"/><Relationship Id="rId37" Type="http://schemas.openxmlformats.org/officeDocument/2006/relationships/hyperlink" Target="http://www.oie.int/index.php?id=171&amp;L=0&amp;htmfile=glossaire.htm" TargetMode="External"/><Relationship Id="rId58" Type="http://schemas.openxmlformats.org/officeDocument/2006/relationships/header" Target="header16.xml"/><Relationship Id="rId79" Type="http://schemas.openxmlformats.org/officeDocument/2006/relationships/footer" Target="footer19.xml"/><Relationship Id="rId102" Type="http://schemas.openxmlformats.org/officeDocument/2006/relationships/hyperlink" Target="http://www.oie.int/en/scientific-expertise/reference-laboratories/list-of-laboratories/" TargetMode="External"/><Relationship Id="rId123" Type="http://schemas.openxmlformats.org/officeDocument/2006/relationships/footer" Target="footer31.xml"/><Relationship Id="rId144" Type="http://schemas.openxmlformats.org/officeDocument/2006/relationships/header" Target="header56.xml"/><Relationship Id="rId90" Type="http://schemas.openxmlformats.org/officeDocument/2006/relationships/hyperlink" Target="http://www.oie.int/index.php?id=2439&amp;L=0&amp;htmfile=chapitre_svc.htm" TargetMode="External"/><Relationship Id="rId165" Type="http://schemas.openxmlformats.org/officeDocument/2006/relationships/footer" Target="footer43.xml"/><Relationship Id="rId186" Type="http://schemas.openxmlformats.org/officeDocument/2006/relationships/footer" Target="footer51.xml"/></Relationships>
</file>

<file path=word/_rels/footnotes.xml.rels><?xml version="1.0" encoding="UTF-8" standalone="yes"?>
<Relationships xmlns="http://schemas.openxmlformats.org/package/2006/relationships"><Relationship Id="rId1" Type="http://schemas.openxmlformats.org/officeDocument/2006/relationships/hyperlink" Target="http://www.oie.int/fileadmin/Home/eng/Animal_Health_in_the_World/docs/pdf/Self-declarations/EN_Procedure_self_decla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33FC-C56B-480B-9D02-96F82E36C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81790</Words>
  <Characters>466206</Characters>
  <Application>Microsoft Office Word</Application>
  <DocSecurity>4</DocSecurity>
  <Lines>3885</Lines>
  <Paragraphs>1093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546903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Jeannine Fischer</dc:creator>
  <cp:lastModifiedBy>詹雁婷</cp:lastModifiedBy>
  <cp:revision>2</cp:revision>
  <cp:lastPrinted>2019-11-13T14:43:00Z</cp:lastPrinted>
  <dcterms:created xsi:type="dcterms:W3CDTF">2019-11-21T13:16:00Z</dcterms:created>
  <dcterms:modified xsi:type="dcterms:W3CDTF">2019-11-21T13:16:00Z</dcterms:modified>
</cp:coreProperties>
</file>